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60" w:type="dxa"/>
            <w:vAlign w:val="bottom"/>
          </w:tcPr>
          <w:p>
            <w:pPr>
              <w:jc w:val="right"/>
              <w:ind w:right="4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60" w:type="dxa"/>
            <w:vAlign w:val="bottom"/>
          </w:tcPr>
          <w:p>
            <w:pPr>
              <w:jc w:val="center"/>
              <w:ind w:left="40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18 East 16th Street, 7th Floor</w:t>
            </w:r>
          </w:p>
        </w:tc>
        <w:tc>
          <w:tcPr>
            <w:tcW w:w="5160" w:type="dxa"/>
            <w:vAlign w:val="bottom"/>
          </w:tcPr>
          <w:p>
            <w:pPr>
              <w:spacing w:after="0"/>
              <w:rPr>
                <w:sz w:val="24"/>
                <w:szCs w:val="24"/>
                <w:color w:val="auto"/>
              </w:rPr>
            </w:pPr>
          </w:p>
        </w:tc>
      </w:tr>
      <w:tr>
        <w:trPr>
          <w:trHeight w:val="23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51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10003</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60" w:type="dxa"/>
            <w:vAlign w:val="bottom"/>
          </w:tcPr>
          <w:p>
            <w:pPr>
              <w:jc w:val="right"/>
              <w:ind w:right="2884"/>
              <w:spacing w:after="0"/>
              <w:rPr>
                <w:sz w:val="20"/>
                <w:szCs w:val="20"/>
                <w:color w:val="auto"/>
              </w:rPr>
            </w:pPr>
            <w:r>
              <w:rPr>
                <w:rFonts w:ascii="Arial" w:cs="Arial" w:eastAsia="Arial" w:hAnsi="Arial"/>
                <w:sz w:val="18"/>
                <w:szCs w:val="18"/>
                <w:b w:val="1"/>
                <w:bCs w:val="1"/>
                <w:color w:val="auto"/>
              </w:rPr>
              <w:t>(646) 525-4319</w:t>
            </w:r>
          </w:p>
        </w:tc>
      </w:tr>
      <w:tr>
        <w:trPr>
          <w:trHeight w:val="174"/>
        </w:trPr>
        <w:tc>
          <w:tcPr>
            <w:tcW w:w="2340" w:type="dxa"/>
            <w:vAlign w:val="bottom"/>
          </w:tcPr>
          <w:p>
            <w:pPr>
              <w:spacing w:after="0"/>
              <w:rPr>
                <w:sz w:val="15"/>
                <w:szCs w:val="15"/>
                <w:color w:val="auto"/>
              </w:rPr>
            </w:pPr>
          </w:p>
        </w:tc>
        <w:tc>
          <w:tcPr>
            <w:tcW w:w="51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As of May 16, 2011, 5,673,253 shares of the registrant’s common stock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77"/>
        </w:trPr>
        <w:tc>
          <w:tcPr>
            <w:tcW w:w="28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6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9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60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4T.</w:t>
            </w:r>
          </w:p>
        </w:tc>
        <w:tc>
          <w:tcPr>
            <w:tcW w:w="1026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PART II. OTHER INFORMATION</w:t>
              </w:r>
            </w:hyperlink>
          </w:p>
        </w:tc>
        <w:tc>
          <w:tcPr>
            <w:tcW w:w="854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96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260" w:type="dxa"/>
            <w:vAlign w:val="bottom"/>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60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2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80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98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83"/>
        </w:trPr>
        <w:tc>
          <w:tcPr>
            <w:tcW w:w="8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720" w:type="dxa"/>
            <w:vAlign w:val="bottom"/>
            <w:gridSpan w:val="10"/>
          </w:tcPr>
          <w:p>
            <w:pPr>
              <w:jc w:val="right"/>
              <w:ind w:right="1360"/>
              <w:spacing w:after="0"/>
              <w:rPr>
                <w:sz w:val="20"/>
                <w:szCs w:val="20"/>
                <w:color w:val="auto"/>
              </w:rPr>
            </w:pPr>
            <w:r>
              <w:rPr>
                <w:rFonts w:ascii="Arial" w:cs="Arial" w:eastAsia="Arial" w:hAnsi="Arial"/>
                <w:sz w:val="18"/>
                <w:szCs w:val="18"/>
                <w:color w:val="auto"/>
              </w:rPr>
              <w:t>2</w:t>
            </w: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60" w:type="dxa"/>
            <w:vAlign w:val="bottom"/>
          </w:tcPr>
          <w:p>
            <w:pPr>
              <w:jc w:val="center"/>
              <w:ind w:left="1012"/>
              <w:spacing w:after="0"/>
              <w:rPr>
                <w:sz w:val="20"/>
                <w:szCs w:val="20"/>
                <w:color w:val="auto"/>
              </w:rPr>
            </w:pPr>
            <w:r>
              <w:rPr>
                <w:rFonts w:ascii="Arial" w:cs="Arial" w:eastAsia="Arial" w:hAnsi="Arial"/>
                <w:sz w:val="18"/>
                <w:szCs w:val="18"/>
                <w:b w:val="1"/>
                <w:bCs w:val="1"/>
                <w:color w:val="auto"/>
              </w:rPr>
              <w:t>Part I — FINANCIAL INFORMATION</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88"/>
              </w:rPr>
              <w:t>Vringo, Inc. and Subsidiary</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(a Development Stage Company)</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1012"/>
              <w:spacing w:after="0"/>
              <w:rPr>
                <w:sz w:val="20"/>
                <w:szCs w:val="20"/>
                <w:color w:val="auto"/>
              </w:rPr>
            </w:pPr>
            <w:r>
              <w:rPr>
                <w:rFonts w:ascii="Arial" w:cs="Arial" w:eastAsia="Arial" w:hAnsi="Arial"/>
                <w:sz w:val="18"/>
                <w:szCs w:val="18"/>
                <w:b w:val="1"/>
                <w:bCs w:val="1"/>
                <w:color w:val="auto"/>
                <w:w w:val="96"/>
              </w:rPr>
              <w:t>CONSOLIDATED BALANCE SHEETS</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89"/>
              </w:rPr>
              <w:t>(Unaudited)</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60" w:type="dxa"/>
            <w:vAlign w:val="bottom"/>
          </w:tcPr>
          <w:p>
            <w:pPr>
              <w:jc w:val="center"/>
              <w:ind w:left="992"/>
              <w:spacing w:after="0"/>
              <w:rPr>
                <w:sz w:val="20"/>
                <w:szCs w:val="20"/>
                <w:color w:val="auto"/>
              </w:rPr>
            </w:pPr>
            <w:r>
              <w:rPr>
                <w:rFonts w:ascii="Arial" w:cs="Arial" w:eastAsia="Arial" w:hAnsi="Arial"/>
                <w:sz w:val="18"/>
                <w:szCs w:val="18"/>
                <w:b w:val="1"/>
                <w:bCs w:val="1"/>
                <w:color w:val="auto"/>
                <w:w w:val="86"/>
              </w:rPr>
              <w:t>(in thousands except share and per share data)</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3,567</w:t>
            </w:r>
          </w:p>
        </w:tc>
        <w:tc>
          <w:tcPr>
            <w:tcW w:w="80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136</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deposit (restricted)</w:t>
            </w: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3,809</w:t>
            </w:r>
          </w:p>
        </w:tc>
        <w:tc>
          <w:tcPr>
            <w:tcW w:w="80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3"/>
              </w:rPr>
              <w:t>Property and equipment</w:t>
            </w:r>
            <w:r>
              <w:rPr>
                <w:rFonts w:ascii="Arial" w:cs="Arial" w:eastAsia="Arial" w:hAnsi="Arial"/>
                <w:sz w:val="18"/>
                <w:szCs w:val="18"/>
                <w:color w:val="auto"/>
                <w:w w:val="93"/>
              </w:rPr>
              <w:t>, at cost, net of $402 and $393 accumulated depreciation and amortization as of March 31, 2011 and</w:t>
            </w: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400" w:type="dxa"/>
            <w:vAlign w:val="bottom"/>
            <w:gridSpan w:val="3"/>
            <w:vMerge w:val="continue"/>
          </w:tcPr>
          <w:p>
            <w:pPr>
              <w:spacing w:after="0"/>
              <w:rPr>
                <w:sz w:val="24"/>
                <w:szCs w:val="2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175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200"/>
              <w:spacing w:after="0"/>
              <w:rPr>
                <w:sz w:val="20"/>
                <w:szCs w:val="20"/>
                <w:color w:val="auto"/>
              </w:rPr>
            </w:pPr>
            <w:r>
              <w:rPr>
                <w:rFonts w:ascii="Arial" w:cs="Arial" w:eastAsia="Arial" w:hAnsi="Arial"/>
                <w:sz w:val="18"/>
                <w:szCs w:val="18"/>
                <w:color w:val="auto"/>
              </w:rPr>
              <w:t>December 31, 2010, respectively</w:t>
            </w:r>
          </w:p>
        </w:tc>
        <w:tc>
          <w:tcPr>
            <w:tcW w:w="112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8"/>
              </w:rPr>
              <w:t>Total assets</w:t>
            </w:r>
          </w:p>
        </w:tc>
        <w:tc>
          <w:tcPr>
            <w:tcW w:w="846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4,020</w:t>
            </w:r>
          </w:p>
        </w:tc>
        <w:tc>
          <w:tcPr>
            <w:tcW w:w="80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60" w:type="dxa"/>
            <w:vAlign w:val="bottom"/>
            <w:vMerge w:val="restart"/>
          </w:tcPr>
          <w:p>
            <w:pPr>
              <w:jc w:val="center"/>
              <w:ind w:left="992"/>
              <w:spacing w:after="0"/>
              <w:rPr>
                <w:sz w:val="20"/>
                <w:szCs w:val="20"/>
                <w:color w:val="auto"/>
              </w:rPr>
            </w:pPr>
            <w:r>
              <w:rPr>
                <w:rFonts w:ascii="Arial" w:cs="Arial" w:eastAsia="Arial" w:hAnsi="Arial"/>
                <w:sz w:val="18"/>
                <w:szCs w:val="18"/>
                <w:color w:val="auto"/>
                <w:w w:val="87"/>
              </w:rPr>
              <w:t>The accompanying notes form an integral part of these consolidated financial statements.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Pr>
          <w:p>
            <w:pPr>
              <w:jc w:val="center"/>
              <w:ind w:left="1012"/>
              <w:spacing w:after="0"/>
              <w:rPr>
                <w:sz w:val="20"/>
                <w:szCs w:val="20"/>
                <w:color w:val="auto"/>
              </w:rPr>
            </w:pPr>
            <w:r>
              <w:rPr>
                <w:rFonts w:ascii="Arial" w:cs="Arial" w:eastAsia="Arial" w:hAnsi="Arial"/>
                <w:sz w:val="18"/>
                <w:szCs w:val="18"/>
                <w:color w:val="auto"/>
                <w:w w:val="79"/>
              </w:rPr>
              <w:t>3</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3"/>
              </w:rPr>
              <w:t>Note</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4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short-term severance pay</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32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Venture loan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1,560</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2,803</w:t>
            </w:r>
          </w:p>
        </w:tc>
        <w:tc>
          <w:tcPr>
            <w:tcW w:w="4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Deficit in stockholders’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$0.01 par value per share; 5,000,000 authorized; none issued and outstanding as of March 31, 2011 and</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8800" w:type="dxa"/>
            <w:vAlign w:val="bottom"/>
            <w:gridSpan w:val="2"/>
          </w:tcPr>
          <w:p>
            <w:pPr>
              <w:spacing w:after="0"/>
              <w:rPr>
                <w:sz w:val="20"/>
                <w:szCs w:val="20"/>
                <w:color w:val="auto"/>
              </w:rPr>
            </w:pPr>
            <w:r>
              <w:rPr>
                <w:rFonts w:ascii="Arial" w:cs="Arial" w:eastAsia="Arial" w:hAnsi="Arial"/>
                <w:sz w:val="18"/>
                <w:szCs w:val="18"/>
                <w:color w:val="auto"/>
                <w:w w:val="91"/>
              </w:rPr>
              <w:t>Common stock, $0.01 par value per share 28,000,000 authorized; 5,673,253 and 5,405,080 issued and outstanding as of</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March 31, 2011 and December 31, 2010 respectively</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30,205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323"/>
        </w:trPr>
        <w:tc>
          <w:tcPr>
            <w:tcW w:w="880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(31,176)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(914)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33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4,020</w:t>
            </w:r>
          </w:p>
        </w:tc>
        <w:tc>
          <w:tcPr>
            <w:tcW w:w="4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Amounts recorded as of March 31, 2011 and December 31, 2010 include $0 and $20 to a related party, respectively.</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Three months ended March 31,</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329"/>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519</w:t>
            </w:r>
          </w:p>
        </w:tc>
        <w:tc>
          <w:tcPr>
            <w:tcW w:w="780" w:type="dxa"/>
            <w:vAlign w:val="bottom"/>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1,830</w:t>
            </w:r>
          </w:p>
        </w:tc>
        <w:tc>
          <w:tcPr>
            <w:tcW w:w="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(1,266)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(27,527)</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712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(1,091)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(31,129)</w:t>
            </w:r>
          </w:p>
        </w:tc>
        <w:tc>
          <w:tcPr>
            <w:tcW w:w="0" w:type="dxa"/>
            <w:vAlign w:val="bottom"/>
          </w:tcPr>
          <w:p>
            <w:pPr>
              <w:spacing w:after="0"/>
              <w:rPr>
                <w:sz w:val="1"/>
                <w:szCs w:val="1"/>
                <w:color w:val="auto"/>
              </w:rPr>
            </w:pPr>
          </w:p>
        </w:tc>
      </w:tr>
      <w:tr>
        <w:trPr>
          <w:trHeight w:val="323"/>
        </w:trPr>
        <w:tc>
          <w:tcPr>
            <w:tcW w:w="81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180" w:type="dxa"/>
            <w:vAlign w:val="bottom"/>
            <w:gridSpan w:val="3"/>
          </w:tcPr>
          <w:p>
            <w:pPr>
              <w:spacing w:after="0"/>
              <w:rPr>
                <w:sz w:val="20"/>
                <w:szCs w:val="20"/>
                <w:color w:val="auto"/>
              </w:rPr>
            </w:pPr>
            <w:r>
              <w:rPr>
                <w:rFonts w:ascii="Arial" w:cs="Arial" w:eastAsia="Arial" w:hAnsi="Arial"/>
                <w:sz w:val="18"/>
                <w:szCs w:val="18"/>
                <w:color w:val="auto"/>
              </w:rPr>
              <w:t>Basic and diluted net loss per common share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(0.19)</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(5.44)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and dilutive net loss per common share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5,724,253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36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recorded for the three month period ended March 31, 2011 and 2010 and the cumulative period from inception include $131, $77 and $1,182, respectively, to related parties.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Deficit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during the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development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Common stock</w:t>
            </w:r>
          </w:p>
        </w:tc>
        <w:tc>
          <w:tcPr>
            <w:tcW w:w="5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paid-in capital</w:t>
            </w: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5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series A convertible preferred stock, net of issuance costs of</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jc w:val="right"/>
              <w:ind w:right="5012"/>
              <w:spacing w:after="0"/>
              <w:rPr>
                <w:sz w:val="20"/>
                <w:szCs w:val="20"/>
                <w:color w:val="auto"/>
              </w:rPr>
            </w:pPr>
            <w:r>
              <w:rPr>
                <w:rFonts w:ascii="Arial" w:cs="Arial" w:eastAsia="Arial" w:hAnsi="Arial"/>
                <w:sz w:val="18"/>
                <w:szCs w:val="18"/>
                <w:color w:val="auto"/>
              </w:rPr>
              <w:t>$33</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5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 dividend</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(44)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(1,481)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(1,481)</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52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(1,481)</w:t>
            </w: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Discounts to temporary equity</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(5,163)</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(6,644)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Issuance of warrants</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5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(7,332)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Deficit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6"/>
              </w:rPr>
              <w:t>Series A</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during the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preferred</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development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Common stock</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stock</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paid-in capital</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stage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4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4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4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2,960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(13,976)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Issuance of warrants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Loan modification</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Grants of stock options, net of forfeiture—non employees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2009</w:t>
            </w: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gridSpan w:val="2"/>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3,701</w:t>
            </w:r>
          </w:p>
        </w:tc>
        <w:tc>
          <w:tcPr>
            <w:tcW w:w="4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(20,125)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 of $1,768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Bridge notes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2,536</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 to charity</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Grants of warrants to lead investors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1,342</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Grants of warrants to charity</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Stock dividend</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11,925</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warrants to charity</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(9,942)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(30,067)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Grants of stock options, net of forfeitures—employees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4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25</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to a consultant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46</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Grants of warrants to charity</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43</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(1,109)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(1,109)</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Balance as of March 31, 2011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30,205</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(31,176)</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8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7"/>
              </w:rPr>
              <w:t>Three months ended March 31,</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(1,109)</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(1,997)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accrued severance pay</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(176)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6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Increase (decrease) in fair value of warrants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(708)</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Exchange rate (gains) losses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6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gridSpan w:val="2"/>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(1,517)</w:t>
            </w:r>
          </w:p>
        </w:tc>
        <w:tc>
          <w:tcPr>
            <w:tcW w:w="680" w:type="dxa"/>
            <w:vAlign w:val="bottom"/>
            <w:vMerge w:val="continue"/>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(1,723)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(7)</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Decrease in lease deposits</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Proceeds from sale of fixed assets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2,582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8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2,559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8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7"/>
              </w:rPr>
              <w:t>Three months ended March 31,</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Receipt of a venture loan</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Repayment on account of venture loan</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(348)</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Receipt of convertible loans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Change in deferred issuance cost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(345)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8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(1,840)</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678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5,407</w:t>
            </w:r>
          </w:p>
        </w:tc>
        <w:tc>
          <w:tcPr>
            <w:tcW w:w="680" w:type="dxa"/>
            <w:vAlign w:val="bottom"/>
          </w:tcPr>
          <w:p>
            <w:pPr>
              <w:spacing w:after="0"/>
              <w:rPr>
                <w:sz w:val="18"/>
                <w:szCs w:val="18"/>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744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3,567</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Allocation of fair value of loan warrants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fair value of conversion warrants</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Conversion of bridge notes into common stock</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2" w:lineRule="exact"/>
        <w:rPr>
          <w:sz w:val="20"/>
          <w:szCs w:val="20"/>
          <w:color w:val="auto"/>
        </w:rPr>
      </w:pPr>
    </w:p>
    <w:p>
      <w:pPr>
        <w:ind w:left="460" w:right="60"/>
        <w:spacing w:after="0" w:line="357" w:lineRule="auto"/>
        <w:rPr>
          <w:sz w:val="20"/>
          <w:szCs w:val="20"/>
          <w:color w:val="auto"/>
        </w:rPr>
      </w:pPr>
      <w:r>
        <w:rPr>
          <w:rFonts w:ascii="Arial" w:cs="Arial" w:eastAsia="Arial" w:hAnsi="Arial"/>
          <w:sz w:val="15"/>
          <w:szCs w:val="15"/>
          <w:color w:val="auto"/>
        </w:rPr>
        <w:t>The Company is engaged in developing software for mobile phones. The Company provides a comprehensive platform allowing users to create, download and share video ringtones. The Company’s proprietary ringtone platform includes social networking capability and integration with web systems.</w:t>
      </w:r>
    </w:p>
    <w:p>
      <w:pPr>
        <w:ind w:left="460" w:right="20"/>
        <w:spacing w:after="0" w:line="289"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37"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Company is still in the development stage. Therefore, there is no certainty regarding the Company’s ability to complete the product’s development and ensure the success of its marketing. The continuation of the stages of development and the realization of assets related to the planned activities depend on future events, including future financings and achieving operational profitability. The Company has incurred significant losses since its inception and expects that it will continue to operate at a net loss in the foreseeable future. For the three month periods ended March 31, 2011, 2010 and for the cumulative period from inception until March 31, 2011, the Company incurred net losses of $1.1 million, $2.0 million and $31.2 million, respectively. The Company’s deficit in stockholders’ equity as of March 31, 2011 was $0.9 million.</w:t>
      </w:r>
    </w:p>
    <w:p>
      <w:pPr>
        <w:spacing w:after="0" w:line="3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There is still significant doubt as to the ability of the Company to continue operating as a “going concern”. In 2011, in order to conserve funds, the Company underwent resource reductions. Other activities were initiated, including possible business combinations and/or the raising of additional funding. The Company believes that its current cash levels will be sufficient to support its activity only into the third quarter of 2011. 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39"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2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On March 8, 2011, the Company announced that it had signed a non-binding Letter of Intent to acquire substantially all the assets of m-Wise, Inc. The consummation of the transaction is subject to the signing of a definitive agreement, completion of due diligence and receipt of regulatory and stockholder approval.</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approximately $157 thousand of the Company’s net liabilities were located outside of the United States.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2010. The results of operations for the three month period ended March 31, 2011, are not necessarily indicative of the results that may be expected for the entire fiscal year or for any other interim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At March 31, 2011, the exchange rate was U.S. $1 = NIS 3.481 (December 31, 2010—U.S. $1 = NIS 3.549). The average exchange rate for the three months period ended March 31, 2011 and the year ended December 31, 2010, was U.S. $1 = NIS 3.601 and U.S. $1 = NIS 3.733,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stock options granted to management, employees and directors (except for the $5.50 options granted in 2010 and in 2011) is estimated at the date of grant using the Black-Scholes-Merton option-pricing model, which takes into consideration the share price at the date of grant, the exercise price of the option, the expected life of the option, risk-free interest rate and the expected volatility. The fair value of the stock options granted to management, employees and directors at an exercise price of $5.50 was valued using the Lattice model, which takes into consideration the share price at the date of grant, the exercise price of the option, the expected life of the option, risk free interest rate, expected dividend, and the expected volatility. The Company uses the Lattice option pricing model for the valuation of options to management, employees and directors that are not plain vanilla.</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fair value of stock options granted to consultants is estimated at the date of grant using the Black-Scholes-Merton option-pricing model. In cases where no measurement date has been reached nor there is a counter-party performance commitment, the options are revalued at the reporting date. The options are valued using the share price, the exercise price of the option, the expected life of the option, risk-free interest rates and the expected volatility, at the reporting period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Impact of recently adopted accounting standards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Financial Accounting Standards Board recently issued ASU 2010-06, “</w:t>
      </w:r>
      <w:r>
        <w:rPr>
          <w:rFonts w:ascii="Arial" w:cs="Arial" w:eastAsia="Arial" w:hAnsi="Arial"/>
          <w:sz w:val="16"/>
          <w:szCs w:val="16"/>
          <w:i w:val="1"/>
          <w:iCs w:val="1"/>
          <w:color w:val="auto"/>
        </w:rPr>
        <w:t>Fair Value Measurements and Disclosures (Topic 820): Improving 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amends Topic 820 and demands more robust disclosures of (1) the different classes of assets and liabilities measured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(2) the valuation of techniques and inputs used, (3) the activity in Level 3 fair value measurements, and (4) the transfers between Levels 1, 2 and 3. The disclosures about purchases, sales, issuances and settlements relating to Level 3 measurements are effective for fiscal years beginning after December 15, 2010, and for interim periods within those fiscal years. Early adoption is permitted. The Company does not expect the adoption of ASU 2010-06 to have a material impact on the Company’s consolidated financial position, results of operations or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share data</w:t>
      </w:r>
    </w:p>
    <w:p>
      <w:pPr>
        <w:spacing w:after="0" w:line="9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inception</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25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Three months ended March 31,</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loss attributable to common stock shares (basic and diluted)</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(1,109)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(1,997)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8"/>
                <w:szCs w:val="18"/>
                <w:color w:val="auto"/>
              </w:rPr>
              <w:t>Weighted average number of common stock shares issued and</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5,554,385</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8"/>
                <w:szCs w:val="18"/>
                <w:color w:val="auto"/>
              </w:rPr>
              <w:t>outstanding (basic and diluted)</w:t>
            </w:r>
          </w:p>
        </w:tc>
        <w:tc>
          <w:tcPr>
            <w:tcW w:w="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366,782</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1,105,464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exercisable penny stock options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169,868</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(basic and diluted)</w:t>
            </w:r>
          </w:p>
        </w:tc>
        <w:tc>
          <w:tcPr>
            <w:tcW w:w="8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b w:val="1"/>
                <w:bCs w:val="1"/>
                <w:color w:val="auto"/>
              </w:rPr>
              <w:t>Basic and diluted, outstanding, common stock shares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5,724,253</w:t>
            </w:r>
          </w:p>
        </w:tc>
        <w:tc>
          <w:tcPr>
            <w:tcW w:w="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366,782</w:t>
            </w:r>
          </w:p>
        </w:tc>
        <w:tc>
          <w:tcPr>
            <w:tcW w:w="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1,151,706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losses per common stock share</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(0.19)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Reclassification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have been reclassified to conform to current year presentation.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measures fair value in accordance with ASC 820-10,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(formerly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ASC 820-10 clarifies that fair value is an exit price, representing the amount that would be received to sell an asset or paid to transfer a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1 Inputs</w:t>
      </w:r>
      <w:r>
        <w:rPr>
          <w:rFonts w:ascii="Arial" w:cs="Arial" w:eastAsia="Arial" w:hAnsi="Arial"/>
          <w:sz w:val="16"/>
          <w:szCs w:val="16"/>
          <w:color w:val="auto"/>
        </w:rPr>
        <w:t>: Unadjusted quoted prices in active markets for identical assets or liabilities accessible to the reporting entity at the measurement date.</w:t>
      </w:r>
    </w:p>
    <w:p>
      <w:pPr>
        <w:spacing w:after="0" w:line="1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 or indirectly, for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term of the asset or liability.</w:t>
      </w:r>
    </w:p>
    <w:p>
      <w:pPr>
        <w:spacing w:after="0" w:line="12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Level 3 Inputs: </w:t>
      </w:r>
      <w:r>
        <w:rPr>
          <w:rFonts w:ascii="Arial" w:cs="Arial" w:eastAsia="Arial" w:hAnsi="Arial"/>
          <w:sz w:val="16"/>
          <w:szCs w:val="16"/>
          <w:color w:val="auto"/>
        </w:rPr>
        <w:t>Unobservable inputs for the asset or liability used to measure fair value to the extent that observable inputs are not available, thereby allowing for</w:t>
      </w:r>
      <w:r>
        <w:rPr>
          <w:rFonts w:ascii="Arial" w:cs="Arial" w:eastAsia="Arial" w:hAnsi="Arial"/>
          <w:sz w:val="16"/>
          <w:szCs w:val="16"/>
          <w:b w:val="1"/>
          <w:bCs w:val="1"/>
          <w:color w:val="auto"/>
        </w:rPr>
        <w:t xml:space="preserve"> </w:t>
      </w:r>
      <w:r>
        <w:rPr>
          <w:rFonts w:ascii="Arial" w:cs="Arial" w:eastAsia="Arial" w:hAnsi="Arial"/>
          <w:sz w:val="16"/>
          <w:szCs w:val="16"/>
          <w:color w:val="auto"/>
        </w:rPr>
        <w:t>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10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(as these warrants include a down-round protection clause) models which utilize significant inputs that are unobservable in the market such as the expected stock price volatility and the dividend yield, and the remaining period of time the warrants will be outstanding before they expire.</w:t>
      </w:r>
    </w:p>
    <w:p>
      <w:pPr>
        <w:spacing w:after="0" w:line="14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2011 and December 31, 2010, aggregated by the level in the fair-value hierarchy within which those measurements fall: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60" w:type="dxa"/>
            <w:vAlign w:val="bottom"/>
            <w:gridSpan w:val="6"/>
          </w:tcPr>
          <w:p>
            <w:pPr>
              <w:ind w:left="7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7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9"/>
              </w:rPr>
              <w:t>March 31,</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7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assets (Level 1)</w:t>
            </w:r>
          </w:p>
        </w:tc>
        <w:tc>
          <w:tcPr>
            <w:tcW w:w="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7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inputs (Level 3)</w:t>
            </w:r>
          </w:p>
        </w:tc>
        <w:tc>
          <w:tcPr>
            <w:tcW w:w="0" w:type="dxa"/>
            <w:vAlign w:val="bottom"/>
          </w:tcPr>
          <w:p>
            <w:pPr>
              <w:spacing w:after="0"/>
              <w:rPr>
                <w:sz w:val="1"/>
                <w:szCs w:val="1"/>
                <w:color w:val="auto"/>
              </w:rPr>
            </w:pPr>
          </w:p>
        </w:tc>
      </w:tr>
      <w:tr>
        <w:trPr>
          <w:trHeight w:val="20"/>
        </w:trPr>
        <w:tc>
          <w:tcPr>
            <w:tcW w:w="4820" w:type="dxa"/>
            <w:vAlign w:val="bottom"/>
            <w:gridSpan w:val="3"/>
            <w:vMerge w:val="continu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U.S.$ thousands</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w:t>
            </w:r>
          </w:p>
        </w:tc>
        <w:tc>
          <w:tcPr>
            <w:tcW w:w="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72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2,713</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2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7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3"/>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1,062</w:t>
            </w:r>
          </w:p>
        </w:tc>
        <w:tc>
          <w:tcPr>
            <w:tcW w:w="72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200" w:lineRule="exact"/>
        <w:rPr>
          <w:sz w:val="20"/>
          <w:szCs w:val="20"/>
          <w:color w:val="auto"/>
        </w:rPr>
      </w:pP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40" w:type="dxa"/>
            <w:vAlign w:val="bottom"/>
            <w:gridSpan w:val="6"/>
          </w:tcPr>
          <w:p>
            <w:pPr>
              <w:ind w:left="80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7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7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7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inputs (Level 3)</w:t>
            </w:r>
          </w:p>
        </w:tc>
        <w:tc>
          <w:tcPr>
            <w:tcW w:w="0" w:type="dxa"/>
            <w:vAlign w:val="bottom"/>
          </w:tcPr>
          <w:p>
            <w:pPr>
              <w:spacing w:after="0"/>
              <w:rPr>
                <w:sz w:val="1"/>
                <w:szCs w:val="1"/>
                <w:color w:val="auto"/>
              </w:rPr>
            </w:pPr>
          </w:p>
        </w:tc>
      </w:tr>
      <w:tr>
        <w:trPr>
          <w:trHeight w:val="142"/>
        </w:trPr>
        <w:tc>
          <w:tcPr>
            <w:tcW w:w="4500" w:type="dxa"/>
            <w:vAlign w:val="bottom"/>
            <w:gridSpan w:val="3"/>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w w:val="78"/>
              </w:rPr>
              <w:t>U.S.$ thousands</w:t>
            </w:r>
          </w:p>
        </w:tc>
        <w:tc>
          <w:tcPr>
            <w:tcW w:w="9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4,542</w:t>
            </w:r>
          </w:p>
        </w:tc>
        <w:tc>
          <w:tcPr>
            <w:tcW w:w="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76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4,542</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5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on account of warrants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w:t>
            </w:r>
          </w:p>
        </w:tc>
        <w:tc>
          <w:tcPr>
            <w:tcW w:w="7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1,770</w:t>
            </w:r>
          </w:p>
        </w:tc>
        <w:tc>
          <w:tcPr>
            <w:tcW w:w="7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above, the Company’s financial instruments at March 31, 2011 and December 31, 2010, consisted of cash, accounts receivable, long-term deposits, accrued expenses, accrued compensation, related liabilities, and the venture loan. The carrying amounts of all the aforementioned financial instruments, approximate fair value, except the venture loan (see below).</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2011:</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Special Bridge</w:t>
            </w:r>
          </w:p>
        </w:tc>
        <w:tc>
          <w:tcPr>
            <w:tcW w:w="440" w:type="dxa"/>
            <w:vAlign w:val="bottom"/>
          </w:tcPr>
          <w:p>
            <w:pPr>
              <w:spacing w:after="0"/>
              <w:rPr>
                <w:sz w:val="11"/>
                <w:szCs w:val="11"/>
                <w:color w:val="auto"/>
              </w:rPr>
            </w:pPr>
          </w:p>
        </w:tc>
        <w:tc>
          <w:tcPr>
            <w:tcW w:w="12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Conversion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4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85"/>
              </w:rPr>
              <w:t>U.S.$</w:t>
            </w: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Warrants</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thousands</w:t>
            </w:r>
          </w:p>
        </w:tc>
        <w:tc>
          <w:tcPr>
            <w:tcW w:w="60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Original allocated amount</w:t>
            </w:r>
          </w:p>
        </w:tc>
        <w:tc>
          <w:tcPr>
            <w:tcW w:w="2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Allocated amount – June 21, 2010</w:t>
            </w:r>
          </w:p>
        </w:tc>
        <w:tc>
          <w:tcPr>
            <w:tcW w:w="294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1,564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1,652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Fair value adjustment included in non-operating income</w:t>
            </w:r>
          </w:p>
        </w:tc>
        <w:tc>
          <w:tcPr>
            <w:tcW w:w="1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(570)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2010</w:t>
            </w:r>
          </w:p>
        </w:tc>
        <w:tc>
          <w:tcPr>
            <w:tcW w:w="1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776</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994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1,770</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4"/>
              </w:rPr>
              <w:t>Fair value adjustment included in non-operating expenses</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Balance at March 31, 2011</w:t>
            </w:r>
          </w:p>
        </w:tc>
        <w:tc>
          <w:tcPr>
            <w:tcW w:w="29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397</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665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1,062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40" w:type="dxa"/>
            <w:vAlign w:val="bottom"/>
            <w:vMerge w:val="restart"/>
          </w:tcPr>
          <w:p>
            <w:pPr>
              <w:jc w:val="right"/>
              <w:ind w:right="1352"/>
              <w:spacing w:after="0"/>
              <w:rPr>
                <w:sz w:val="20"/>
                <w:szCs w:val="20"/>
                <w:color w:val="auto"/>
              </w:rPr>
            </w:pPr>
            <w:r>
              <w:rPr>
                <w:rFonts w:ascii="Arial" w:cs="Arial" w:eastAsia="Arial" w:hAnsi="Arial"/>
                <w:sz w:val="18"/>
                <w:szCs w:val="18"/>
                <w:color w:val="auto"/>
              </w:rPr>
              <w:t>15</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and the related estimated fair value of the venture loan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72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March 31, 2011</w:t>
            </w:r>
          </w:p>
        </w:tc>
        <w:tc>
          <w:tcPr>
            <w:tcW w:w="540" w:type="dxa"/>
            <w:vAlign w:val="bottom"/>
          </w:tcPr>
          <w:p>
            <w:pPr>
              <w:spacing w:after="0"/>
              <w:rPr>
                <w:sz w:val="14"/>
                <w:szCs w:val="14"/>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644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r>
      <w:tr>
        <w:trPr>
          <w:trHeight w:val="20"/>
        </w:trPr>
        <w:tc>
          <w:tcPr>
            <w:tcW w:w="6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4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322"/>
              <w:spacing w:after="0" w:line="142" w:lineRule="exact"/>
              <w:rPr>
                <w:sz w:val="20"/>
                <w:szCs w:val="20"/>
                <w:color w:val="auto"/>
              </w:rPr>
            </w:pPr>
            <w:r>
              <w:rPr>
                <w:rFonts w:ascii="Arial" w:cs="Arial" w:eastAsia="Arial" w:hAnsi="Arial"/>
                <w:sz w:val="14"/>
                <w:szCs w:val="14"/>
                <w:b w:val="1"/>
                <w:bCs w:val="1"/>
                <w:color w:val="auto"/>
              </w:rPr>
              <w:t>U.S.$ thousands</w:t>
            </w:r>
          </w:p>
        </w:tc>
        <w:tc>
          <w:tcPr>
            <w:tcW w:w="540" w:type="dxa"/>
            <w:vAlign w:val="bottom"/>
          </w:tcPr>
          <w:p>
            <w:pPr>
              <w:spacing w:after="0"/>
              <w:rPr>
                <w:sz w:val="12"/>
                <w:szCs w:val="12"/>
                <w:color w:val="auto"/>
              </w:rPr>
            </w:pPr>
          </w:p>
        </w:tc>
        <w:tc>
          <w:tcPr>
            <w:tcW w:w="1700" w:type="dxa"/>
            <w:vAlign w:val="bottom"/>
            <w:tcBorders>
              <w:bottom w:val="single" w:sz="8" w:color="auto"/>
            </w:tcBorders>
            <w:gridSpan w:val="3"/>
          </w:tcPr>
          <w:p>
            <w:pPr>
              <w:jc w:val="right"/>
              <w:ind w:right="302"/>
              <w:spacing w:after="0" w:line="142" w:lineRule="exact"/>
              <w:rPr>
                <w:sz w:val="20"/>
                <w:szCs w:val="20"/>
                <w:color w:val="auto"/>
              </w:rPr>
            </w:pPr>
            <w:r>
              <w:rPr>
                <w:rFonts w:ascii="Arial" w:cs="Arial" w:eastAsia="Arial" w:hAnsi="Arial"/>
                <w:sz w:val="14"/>
                <w:szCs w:val="14"/>
                <w:b w:val="1"/>
                <w:bCs w:val="1"/>
                <w:color w:val="auto"/>
              </w:rPr>
              <w:t>U.S.$ thousands</w:t>
            </w:r>
          </w:p>
        </w:tc>
        <w:tc>
          <w:tcPr>
            <w:tcW w:w="10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2,877</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January 31, 2011, the Company granted 480,500 options to purchase shares of common stock to its employees, management and consultants (see below). During the three month period ended March 31, 2011, 114,000 stock options were forfeited and no stock options were exercised.</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during the three month period ended March 31, 2011, the Company issued 27,000 shares of common stock to one of its consultants. As a result, a compensation expense in the total amount of approximately $45 thousand was recorded.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January 2011, the Company granted 40,000 warrants to purchase shares of common stock as a charitable donation. 20,000 of these warrants were granted at an exercise price of $5.50 per share and the remaining 20,000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in the three month period ended March 31, 2011.</w:t>
      </w:r>
    </w:p>
    <w:p>
      <w:pPr>
        <w:spacing w:after="0" w:line="143"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As of March 31, 2011, there was approximately $2.7 million of total unrecognized share-based payment cost related to non-vested share-based compensation arrangements granted under the incentive plans. That cost is expected to be recognized over an estimated 3.5 years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4—Stockholders’ Equity—(cont’d)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31, 2011, the Company’s Board of Directors (the “Board”) approved the granting of options to management, employees and consultants. The Board approved the granting of 216,000 options at an exercise price of $0.01 per share. These options will vest yearly over three and four year periods (according to the applicable schedule of the optionee). The Board also approved the granting of 264,500 options at an exercise price of $5.50 to its management, employees and consultants. These options will vest over three and four years.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there were approximately 10.9 million shares of common stock available for grant under the Stock Option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2011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4"/>
              </w:rPr>
              <w:t>No. of options to</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4"/>
              </w:rPr>
              <w:t>No. of options to</w:t>
            </w:r>
          </w:p>
        </w:tc>
        <w:tc>
          <w:tcPr>
            <w:tcW w:w="66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9"/>
              </w:rPr>
              <w:t>Exercise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Fair value of</w:t>
            </w:r>
          </w:p>
        </w:tc>
      </w:tr>
      <w:tr>
        <w:trPr>
          <w:trHeight w:val="161"/>
        </w:trPr>
        <w:tc>
          <w:tcPr>
            <w:tcW w:w="518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Employees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5"/>
              </w:rPr>
              <w:t>Non Employees</w:t>
            </w:r>
          </w:p>
        </w:tc>
        <w:tc>
          <w:tcPr>
            <w:tcW w:w="66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common stock</w:t>
            </w:r>
          </w:p>
        </w:tc>
      </w:tr>
      <w:tr>
        <w:trPr>
          <w:trHeight w:val="142"/>
        </w:trPr>
        <w:tc>
          <w:tcPr>
            <w:tcW w:w="5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January 31, 2011</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January 31, 2011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252,500</w:t>
            </w:r>
          </w:p>
        </w:tc>
        <w:tc>
          <w:tcPr>
            <w:tcW w:w="960" w:type="dxa"/>
            <w:vAlign w:val="bottom"/>
          </w:tcPr>
          <w:p>
            <w:pPr>
              <w:jc w:val="right"/>
              <w:spacing w:after="0"/>
              <w:rPr>
                <w:sz w:val="20"/>
                <w:szCs w:val="20"/>
                <w:color w:val="auto"/>
              </w:rPr>
            </w:pPr>
            <w:r>
              <w:rPr>
                <w:rFonts w:ascii="Arial" w:cs="Arial" w:eastAsia="Arial" w:hAnsi="Arial"/>
                <w:sz w:val="18"/>
                <w:szCs w:val="18"/>
                <w:color w:val="auto"/>
              </w:rPr>
              <w:t>12,000</w:t>
            </w: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5.50</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fair value of the $0.01 options granted January 31, 2011, to management employees and directors was calculated using the Black-Scholes-Merton model with an expected life of 4-4.25 years, a risk-free interest rate of 1.44%-1.55% and an expected volatility of 47.9%-52.2% and no dividend yield. The fair value of the common stock used for this calculation was $1.68.</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fair value of the $5.50 options granted January 31, 2011, to employees and directors was calculated using the Lattice model with an expected life of 6 years, a risk-free interest rate of 2.38% and an expected volatility of 56.41% and no dividend yield. The fair value of the common stock used for this calculation was $1.68.</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total fair value of all options granted to non-employees, is calculated using the Black-Scholes-Merton model with an expected life of 2.75-6 years, stock price of $1.70, a risk free interest rate of 1.15%-2.38% and an expected volatility of 46.31%-56.41% and no dividend yield.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for office space and cars, as of March 31, 2011, are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U.S.$</w:t>
            </w:r>
          </w:p>
        </w:tc>
      </w:tr>
      <w:tr>
        <w:trPr>
          <w:trHeight w:val="161"/>
        </w:trPr>
        <w:tc>
          <w:tcPr>
            <w:tcW w:w="5180" w:type="dxa"/>
            <w:vAlign w:val="bottom"/>
          </w:tcPr>
          <w:p>
            <w:pPr>
              <w:spacing w:after="0"/>
              <w:rPr>
                <w:sz w:val="14"/>
                <w:szCs w:val="14"/>
                <w:color w:val="auto"/>
              </w:rPr>
            </w:pPr>
          </w:p>
        </w:tc>
        <w:tc>
          <w:tcPr>
            <w:tcW w:w="2580" w:type="dxa"/>
            <w:vAlign w:val="bottom"/>
            <w:gridSpan w:val="3"/>
          </w:tcPr>
          <w:p>
            <w:pPr>
              <w:jc w:val="center"/>
              <w:ind w:left="1697"/>
              <w:spacing w:after="0"/>
              <w:rPr>
                <w:sz w:val="20"/>
                <w:szCs w:val="20"/>
                <w:color w:val="auto"/>
              </w:rPr>
            </w:pPr>
            <w:r>
              <w:rPr>
                <w:rFonts w:ascii="Arial" w:cs="Arial" w:eastAsia="Arial" w:hAnsi="Arial"/>
                <w:sz w:val="14"/>
                <w:szCs w:val="14"/>
                <w:b w:val="1"/>
                <w:bCs w:val="1"/>
                <w:color w:val="auto"/>
                <w:w w:val="84"/>
              </w:rPr>
              <w:t>thousands</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8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2011 (nine months ending December 31, 2011)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2013</w:t>
            </w:r>
          </w:p>
        </w:tc>
        <w:tc>
          <w:tcPr>
            <w:tcW w:w="1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Rental expense for operating leases for both office space and cars for the three month period ended March 31, 2011 and 2010 was $33 thousand, and $26 thousand,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its international carrier partners.</w:t>
      </w:r>
    </w:p>
    <w:p>
      <w:pPr>
        <w:spacing w:after="0" w:line="59" w:lineRule="exact"/>
        <w:rPr>
          <w:rFonts w:ascii="Arial" w:cs="Arial" w:eastAsia="Arial" w:hAnsi="Arial"/>
          <w:sz w:val="18"/>
          <w:szCs w:val="18"/>
          <w:color w:val="auto"/>
        </w:rPr>
      </w:pPr>
    </w:p>
    <w:p>
      <w:pPr>
        <w:ind w:left="900" w:righ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62"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to continue operating as a going concern the Company needs to raise capital through further debt or equity transactions. The Company is thus exposed to a market risk that it will not be able to raise this capital, as disclosed in Note 1.</w:t>
      </w:r>
    </w:p>
    <w:p>
      <w:pPr>
        <w:spacing w:after="0" w:line="50" w:lineRule="exact"/>
        <w:rPr>
          <w:rFonts w:ascii="Arial" w:cs="Arial" w:eastAsia="Arial" w:hAnsi="Arial"/>
          <w:sz w:val="18"/>
          <w:szCs w:val="18"/>
          <w:color w:val="auto"/>
        </w:rPr>
      </w:pPr>
    </w:p>
    <w:p>
      <w:pPr>
        <w:ind w:left="900" w:right="3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Acceleration of venture loan in the event of default, as defined in the venture loan agreement, is possible, among others, should the Company be unable to pay its debts or should the fair salable value of the Company’s assets drops below the fair value of its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2011, the Company issued 19,862 shares of common stock upon exercise of 20,000 charitable warrants with an exercise price of $0.01 per share.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31, 2011.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provide comprehensive software platforms and applications that allows users to create, download and share mobile video entertainment content in the form of video ringtones for mobile phones, “ReMixed” video clips from artists and branded content, as well as social picture ringtone and ringback content. We believe that our service represents the next stage in the evolution of the mobile video market. We anticipate that the ringtone market will begin to migrate from standard audio ringtones to high-quality video ringtones, with social networking capability and integration with web systems. Our video ringtone solution, which encompasses a suite of mobile and PC-based tools, enables users to create, download and share video ringtones with ease, and provides our business partners with a consumer-friendly and easy-to-integrate monetization platform. In addition to our core video ringtone platform we have also developed three new platforms: our Video ReMix Platform that allows users to create their own “mix” combining their own clips together with artist and branded content, our Facetones™ platform that automatically generates a slide show from social network pictures which provides relevant and social visual enhancement to the Ringtone and the Ringback tone, and our Fan Loyalty platform that allows users to obtain video and video ringtones, view information on reality television stars and vote for contestants.</w:t>
      </w:r>
    </w:p>
    <w:p>
      <w:pPr>
        <w:spacing w:after="0" w:line="10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believe that the mobile video and services market is fragmented and that there are opportunities to acquire additional assets. We have been focusing on commercializing our service primarily through agreements with mobile carriers and other distribution partners in related areas such as handset manufactures and retailers such as the CarPhone Warehouse. We have live commercial launches of our service with six mobile carriers operating in Turkey, Malaysia, Armenia, United Arab Emirates, Singapore, and the United Kingdom. In addition, launched with RTL, a major television network in Belgium, and with Hungama Digital Media Entertainment a content and mobile services aggregator in India. Our partners have an aggregate of approximately 700 million subscribers, of which 235,000 are paid subscribers to our service, and another 42,000 subscribers have enrolled on a free-trial basis.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first quarter of 2011, we launched our products and services with Everything Everywhere Limited, a United Kingdom communication company which operates the T–Mobile UK and Orange UK mobile services. With this launch, our video ringtone service is available to over 16 million Orange subscribers in the United Kingdom. We anticipate further integration with T-Mobile for a future release which would make our service directly available to another 14-plus million mobile subscribers in the UK.</w:t>
      </w:r>
    </w:p>
    <w:p>
      <w:pPr>
        <w:spacing w:after="0" w:line="14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also recently launched with StarHub, a mobile carrier in Singapore. Through this new carrier, our video ringtone service will be co-branded by StarHub and made available to its over 2 million customers. Following the termination of our agreement with Avea in Turkey, we signed a deal with Retromedya, a third party service provider there, whereby we will have access to offer our service to the customers of all carriers in Turkey. Subsequent to quarter end, in April 2011, we launched our ringtone service in India with Hungama Digital Media Entertainment “Hungama”. Our service with Hungama is available to a potential</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500 million plus subscribers. We are negotiating with additional mobile carriers in a number of different countries and we expect to continue to scale our carrier business during the remainder of 2011.</w:t>
      </w:r>
    </w:p>
    <w:p>
      <w:pPr>
        <w:spacing w:after="0" w:line="13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the first quarter of 2011, we partnered with Corso Communications and its client Heineken, to deliver a sponsored version of our new Video ReMix platform. Subsequent to quarter end, we launched our Fan Loyalty platform by co-branding with a song competition reality TV show. This platform enables users to obtain video content from the show as well as from behind the scenes, retrieve information regarding the show and vote for their favorite contestants.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Content sales are made through carrier relationships, as well as through various application stores (“App stores”). We commenced paid content distribution through both Nokia’s Ovi store in the United Kingdom and, subsequent to year end, and Verizon V Cast App Store in the United States. We have launched free trial downloads with Vodafone Shop in eight countries: Germany, Greece, Ireland, Italy, Netherlands, Portugal, Spain and the United Kingdom. Our content partnerships include major artists, celebrities and content providers, including EMI, Warner Music, T–Pain, Muhammad Ali Enterprises, Tiesto, Turner, Marvel, Hungama Mobile, RTL and Ingrooves.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business model for our video ringtone platform entails revenue sharing and/or charging fees from our mobile carriers or app store distribution partners primarily using a subscription-based model where users pay a monthly fee for access to the service as well as additional fees for access to certain premium content. Some of our products are available for one time purchase fees in app stores. In addition, as in the case of Heineken and the song competition reality TV service, we have engaged in developing free experiences for consumers in exchange for one-time fees from sponsors.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launched our service together with mobile carriers in the United Kingdom, Singapore,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subscriptions ranging from $1 to $5 and we expect to generally receive at least 40% of the monthly subscription revenue. We currently monetize our video ringtone service across our existing launches on a blended rate basis of $0.13 per subscriber per month and we intend to increase this rate going forward as we move to more lucrative markets in Europe and North America. We expect that premium content will generally be sold for $1 to $5 per item although this price and the monthly subscription rate may vary substantially by country. Operators usually do not charge us or our users for any data charges associated with using our service, or for using the operator’s text messaging infrastructure to communicate with our subscribers.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model consists of growing our user base through carrier partnerships, continuing to ensure we have broad handset reach, enhancing our viral and social tools, maintaining and growing our product and technology portfolio, building a strong revenue base of recurring monthly subscription revenue, finding new forms of distribution, exploring monetization through advertising, and revenue through content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 We had approximately $3.6 million of cash and cash equivalents at March 31, 2011. Our average monthly burn rate from operations for the three month period ended March 31, 2011 and the year ended December 31, 2010, was approximately $0.5 million. We believe that current cash levels will be sufficient to support our activity only into the third quarter of 2011. In order to conserve funds, we underwent resource reductions in the first quarter of 2011. Other activities were initiated, including possible business combinations, and/or the raising of additional funding. Under the terms of our venture loan agreement, if we are deemed insolvent, we would be in default. If the loan is accelerated as a result of such default, we would not have sufficient funds to continue our operations. Insolvency is defined in the venture loan agreement as our inability to pay debts when they become due, or when the fair salable value of our assets drops below the fair value of our liabilities (excluding derivative liabilities on account of warrants).</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 development stage company. From inception, we have raised approximately $28.5 million. These amounts have been used to finance our operations, as until now, we have not yet generated any significant revenues. From inception and until March 31, 2011, we recorded losses of $31.2 million and net cash outflow from operations of $25.4 million.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substantial portion of our revenues and anticipated revenues are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recognize revenue from monthly subscription from carriers and content sales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Marketing expenses include the salary of all business development and marketing personnel, travel expenses relating to business development activity and tradeshows, as well as public relations, advertising and customer acquisition expenses. As we increase our sales, certain commissions to agents will also be included in sales and marketing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General and administrative expenses include the salary of our finance and administrative personnel, rental costs for our legal and accounting fees, insurance, telephone and other office expenses including depreciation and amortization. Following the consummation of our IPO, general and administrative expenses increased significantly as we incurred additional costs of being a public company. These costs include increased legal and accounting costs, additional insurance costs, director compensation and increased share based compensation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Non-operating expense (income) includes transaction gains (losses) from foreign exchange rate differences. In addition, non-operating expense (income) include expenses recorded as a result of the extinguishment of debt, interest expense incurred as a result of the conversion of the Bridge Loan into equity, amortization of the Bridge Loan and expenses recorded on account of the Lead Investor Warrants. Fair value adjustments of derivative liabilities on account of the Special Bridge Warrants and the Conversion Warrants, which are highly influenced by our stock price at the period end (measurement date), are recorded in non-operating expense (income). We expect that our non-operating expenses (income) will be directly impacted by changes in fair value of these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March 31, 2011, our deferred tax assets generated from our U.S. activities were entirely offset by a valuation allowance because realization depends on generating future taxable income, which, in our estimation, is not more likely than not to be realized. The deferred tax assets and liabilities generated from our subsidiary’s operations are not offset by an allowance, as in our estimation, it is more likely than not to be realized.</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subsidiary generates net taxable income from services it provides to us. The subsidiary charges us for research and development and certain management services which it provides to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and 2008. In January 2011, new legislation amending the Investment Law was enacted. According to the amendment, the uniform tax rate applicable to the zone where the production facilities of the subsidiary are located would be 15% in 2011 and 2012, 12.5% in 2013 and 2014, and 12% in 2015 and thereafter. Under the transitory provisions of the new legislation, the subsidiary may opt whether to irrevocably implement the new law while waiving benefits provided under the current law or keep implementing the current law during the next years. Changing from the current law to the new law is permissible at any stage.</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February 2011, the Israeli tax authorities commenced an audit of the subsidiary’s Israeli tax returns for the 2007 through 2009 tax years. To date, the subsidiary has not yet received any findings from the audit by the Israeli tax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and 2010 and the development stage period (cumulative from inception through March 31, 2011)</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three month period ended March 31, 2011, to the results of operations for the three month period ended March 31, 2010 and the results of our operations from inception through March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31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8"/>
              </w:rPr>
              <w:t>Three month period ended March 31,</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5"/>
        </w:trPr>
        <w:tc>
          <w:tcPr>
            <w:tcW w:w="5580" w:type="dxa"/>
            <w:vAlign w:val="bottom"/>
          </w:tcPr>
          <w:p>
            <w:pPr>
              <w:spacing w:after="0"/>
              <w:rPr>
                <w:sz w:val="10"/>
                <w:szCs w:val="10"/>
                <w:color w:val="auto"/>
              </w:rPr>
            </w:pPr>
          </w:p>
        </w:tc>
        <w:tc>
          <w:tcPr>
            <w:tcW w:w="3140" w:type="dxa"/>
            <w:vAlign w:val="bottom"/>
            <w:tcBorders>
              <w:bottom w:val="single" w:sz="8" w:color="auto"/>
            </w:tcBorders>
            <w:gridSpan w:val="6"/>
            <w:vMerge w:val="continue"/>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16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During the three month period ended March 31, 2011, we recorded revenues of $147 thousand, which represents an increase of $117 thousand (or 390%) from revenues recorded for the three month period ended March 31, 2010. The recognized revenue in the first quarter of 2011 was mainly from our revenue-sharing agreements in Malaysia ($77 thousand recorded, an increase of $67 thousand compared to the first quarter of 2010), Turkey ($7 thousand recorded, compared to $0 in the first quarter of 2010), and the United Arab Emirates ($19 thousand recorded, an increase of $9 thousand compared to the first quarter of 2010). In addition, we recognized revenue for one time set up fees in Singapore ($9 thousand in the first quarter of 2011, compared to $0 in the first quarter of</w:t>
      </w:r>
    </w:p>
    <w:p>
      <w:pPr>
        <w:spacing w:after="0" w:line="2" w:lineRule="exact"/>
        <w:rPr>
          <w:sz w:val="20"/>
          <w:szCs w:val="20"/>
          <w:color w:val="auto"/>
        </w:rPr>
      </w:pPr>
    </w:p>
    <w:p>
      <w:pPr>
        <w:ind w:right="300"/>
        <w:spacing w:after="0" w:line="361" w:lineRule="auto"/>
        <w:rPr>
          <w:sz w:val="20"/>
          <w:szCs w:val="20"/>
          <w:color w:val="auto"/>
        </w:rPr>
      </w:pPr>
      <w:r>
        <w:rPr>
          <w:rFonts w:ascii="Arial" w:cs="Arial" w:eastAsia="Arial" w:hAnsi="Arial"/>
          <w:sz w:val="15"/>
          <w:szCs w:val="15"/>
          <w:color w:val="auto"/>
        </w:rPr>
        <w:t>2010) and Armenia ($9 thousand in the first quarter of 2011). The revenue in the first quarter of 2010 was mainly comprised of our then new revenue-sharing agreements in Malaysia, the United Arab Emirates and Armenia, whereby we recognized approximately $10 thousand for each one of these customers.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for our Video ReMix platform commenced this quarter, with the recognition of $23 thousand in March 2011.</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expect to continue to generate a substantial portion of our revenues for the coming year from: (i) Video Remix, Facetones™ and Fan Loyalty application platforms, (ii) revenue-sharing agreements in Malaysia, (iii) services provided in the United Arab Emirates, (iv) agreements with Everything Everywhere Limited and Bango in the UK, (v) newly launched services in India, and (vi) agreement with StarHub in Singapore. Our agreement with Vivacell in Armenia expires on June 30, 2011.</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From inception through March 31, 2011, we have recorded revenues of $378 thousand, which includes $174 thousand from our services in Malaysia, $73 thousand from our services in the United Arab Emirates, $62 thousand from our services in Armenia, $23 thousand Video ReMix platform development services, $22 thousand from our services in Turkey, $19 from initial one-time setup fee in Singapore, and $5 thousand from applications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Three month period ended March 31,</w:t>
            </w:r>
          </w:p>
        </w:tc>
        <w:tc>
          <w:tcPr>
            <w:tcW w:w="74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 in thousands)</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34</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three month period ended March 31, 2011 and 2010, our cost of revenue was $25 thousand and $34 thousand, respectively, which represents a decrease of $9 thousand (or 26%) compared to cost of revenue for the three month period ended March 31, 2010. Cost of revenue is comprised of services related to the provision of content to end-users and hosted servers needed to support the service in markets where we have launched our services.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expect that cost of revenue will increase over time as we provide more content and other services to the users of our service. As some of these costs are fixed irrespective of our revenues, we expect our gross margin to increase significantly over time. We believe that we currently have enough server capacity to service up to two million global users before we need to expand our server capacity. From inception through March 31, 2011, our total cost of revenue was $236 thousand.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Three month period ended March 31,</w:t>
            </w:r>
          </w:p>
        </w:tc>
        <w:tc>
          <w:tcPr>
            <w:tcW w:w="60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6"/>
        </w:trPr>
        <w:tc>
          <w:tcPr>
            <w:tcW w:w="5820" w:type="dxa"/>
            <w:vAlign w:val="bottom"/>
          </w:tcPr>
          <w:p>
            <w:pPr>
              <w:spacing w:after="0"/>
              <w:rPr>
                <w:sz w:val="10"/>
                <w:szCs w:val="10"/>
                <w:color w:val="auto"/>
              </w:rPr>
            </w:pPr>
          </w:p>
        </w:tc>
        <w:tc>
          <w:tcPr>
            <w:tcW w:w="2980" w:type="dxa"/>
            <w:vAlign w:val="bottom"/>
            <w:tcBorders>
              <w:bottom w:val="single" w:sz="8" w:color="auto"/>
            </w:tcBorders>
            <w:gridSpan w:val="5"/>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Research and development expenses decreased from $587 thousand to $519 thousand (12%) during the three month period ended March 31, 2011, compared to the three month period ended March 31, 2010. The decrease is mainly due to a separation agreement we entered into with our former chief technology officer. This was offset by an increase in share based compensation expense in connection with 2011 and 2010 grants. As our business matures and our revenues increase, we expect that our research and development expenses will grow at a slower rate than our corresponding revenues and marketing expenses. We also expect that our share based compensation costs will increase due to the recording of the expense related to the options granted to management and employees.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March 31, 2011, research and development expenses amounted to approximately $11.3 million. Of this amount,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$7.9 million was attributed to salaries and related expenses, $1.8 million was attributed to sub-contracting and consulting services, $0.8 million was attributed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$0.8 million was attributed to patent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3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Three month period ended March 31,</w:t>
            </w:r>
          </w:p>
        </w:tc>
        <w:tc>
          <w:tcPr>
            <w:tcW w:w="60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6"/>
        </w:trPr>
        <w:tc>
          <w:tcPr>
            <w:tcW w:w="5780" w:type="dxa"/>
            <w:vAlign w:val="bottom"/>
          </w:tcPr>
          <w:p>
            <w:pPr>
              <w:spacing w:after="0"/>
              <w:rPr>
                <w:sz w:val="10"/>
                <w:szCs w:val="10"/>
                <w:color w:val="auto"/>
              </w:rPr>
            </w:pPr>
          </w:p>
        </w:tc>
        <w:tc>
          <w:tcPr>
            <w:tcW w:w="3020" w:type="dxa"/>
            <w:vAlign w:val="bottom"/>
            <w:tcBorders>
              <w:bottom w:val="single" w:sz="8" w:color="auto"/>
            </w:tcBorders>
            <w:gridSpan w:val="5"/>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481</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 period ended March 31, 2011, marketing expenses increased $140 thousand (or 29%), to $621 thousand, from $481 thousand in the three month period ended March 31, 2010.</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increase in our marketing expenses for the three month period ended March 31, 2011, was in part due to the hiring, in April 2010, of our President in the US, whose efforts are focused on marketing and business development. In addition, the increase relates to the 2011 and 2010 options grants for marketing employees, thereby increasing the respective compensation expense. Furthermore, we had an increase in public relations and advertising costs in connection with new commercial launches in 2011. A significant portion of our marketing activity relates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 We also expect that our share based compensation costs will increase significantly due to the recording of the expense related to the management options.</w:t>
      </w:r>
    </w:p>
    <w:p>
      <w:pPr>
        <w:spacing w:after="0" w:line="12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From inception through March 31, 2011, marketing expenses amounted to approximately $9.2 million. Of this amount, approximately $5.1 million was attributed to salaries and related expenses, $1.4 million was attributed to sub-contracting and consulting services, $0.8 million was attributed to public relations services and customer acquisition expenses, and $1.9 million was attributed to travel and tradeshows.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Three month period ended March 31,</w:t>
            </w:r>
          </w:p>
        </w:tc>
        <w:tc>
          <w:tcPr>
            <w:tcW w:w="60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6"/>
        </w:trPr>
        <w:tc>
          <w:tcPr>
            <w:tcW w:w="5820" w:type="dxa"/>
            <w:vAlign w:val="bottom"/>
          </w:tcPr>
          <w:p>
            <w:pPr>
              <w:spacing w:after="0"/>
              <w:rPr>
                <w:sz w:val="10"/>
                <w:szCs w:val="10"/>
                <w:color w:val="auto"/>
              </w:rPr>
            </w:pPr>
          </w:p>
        </w:tc>
        <w:tc>
          <w:tcPr>
            <w:tcW w:w="2980" w:type="dxa"/>
            <w:vAlign w:val="bottom"/>
            <w:tcBorders>
              <w:bottom w:val="single" w:sz="8" w:color="auto"/>
            </w:tcBorders>
            <w:gridSpan w:val="5"/>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three month period ended March 31, 2011, general and administrative expenses increased $471 thousand (or 242%), to $665 thousand, from $194 thousand in the three month period ended March 31, 2010.</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General and administrative expenses for the three month period ended March 31, 2011, increased from the general and administrative expenses recorded for the three month period ended March 31, 2010, mostly due to the increase in various professional fees in connection with becoming a public company. In addition, there was an increase due to additional insurance costs for our directors’ and officers’ liability insurance and an increase in share based compensation expenses due to new option grants in 2011 and 2010. We expect that our general and administrative expenses will increase due to the costs of being a public company. These costs will be reflected in increased accounting, legal and insurance costs as well as increased costs related to meeting our obligations under the Sarbanes-Oxley Act. We also expect that our compensation costs will increase significantly due to the recording of expense related to management options.</w:t>
      </w:r>
    </w:p>
    <w:p>
      <w:pPr>
        <w:spacing w:after="0" w:line="10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From inception through March 31, 2011, general and administrative expenses totaled approximately $7.2 million. Of this amount, approximately $2.8 million was attributed to salaries and related expenses, $0.5 million was attributed to rent, $1.8 million was attributed to various office management expenses, $1.6 million was attributed to professional fees and $0.5 million was attributed to depreciation and amortization.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0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8"/>
              </w:rPr>
              <w:t>Three month period ended March 31,</w:t>
            </w:r>
          </w:p>
        </w:tc>
        <w:tc>
          <w:tcPr>
            <w:tcW w:w="62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6"/>
        </w:trPr>
        <w:tc>
          <w:tcPr>
            <w:tcW w:w="5740" w:type="dxa"/>
            <w:vAlign w:val="bottom"/>
          </w:tcPr>
          <w:p>
            <w:pPr>
              <w:spacing w:after="0"/>
              <w:rPr>
                <w:sz w:val="10"/>
                <w:szCs w:val="10"/>
                <w:color w:val="auto"/>
              </w:rPr>
            </w:pPr>
          </w:p>
        </w:tc>
        <w:tc>
          <w:tcPr>
            <w:tcW w:w="3040" w:type="dxa"/>
            <w:vAlign w:val="bottom"/>
            <w:tcBorders>
              <w:bottom w:val="single" w:sz="8" w:color="auto"/>
            </w:tcBorders>
            <w:gridSpan w:val="6"/>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840" w:type="dxa"/>
            <w:vAlign w:val="bottom"/>
            <w:gridSpan w:val="2"/>
            <w:shd w:val="clear" w:color="auto" w:fill="CCEEFF"/>
          </w:tcPr>
          <w:p>
            <w:pPr>
              <w:jc w:val="center"/>
              <w:ind w:left="502"/>
              <w:spacing w:after="0"/>
              <w:rPr>
                <w:sz w:val="20"/>
                <w:szCs w:val="20"/>
                <w:color w:val="auto"/>
              </w:rPr>
            </w:pPr>
            <w:r>
              <w:rPr>
                <w:rFonts w:ascii="Arial" w:cs="Arial" w:eastAsia="Arial" w:hAnsi="Arial"/>
                <w:sz w:val="18"/>
                <w:szCs w:val="18"/>
                <w:color w:val="auto"/>
                <w:w w:val="86"/>
              </w:rPr>
              <w:t>711</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During the three month period ended March 31, 2011, non-operating expense changed $1.3 million (or -183%), to an income of $0.6 million, from an expense of $0.7 million in the three month period ended March 31, 2010. In the three month period ended March 31, 2011, we recorded non-operating income in the amount of $0.6 million, which was mainly comprised of an income of $0.7 million recorded due to decrease in the fair value of the Special Bridge Warrants and the Conversion Warrants and an expense on $0.1 million in connection with interest on venture loan. The non-operating expense in the first quarter of 2010 was mainly comprised of $0.5 million in connection with the Bridge Financing and an interest expense of $0.1 million relating to the Bridge Notes and the venture loan.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inception through March 31, 2011, non-operating expenses totaled approximately $3.6 million. Of this amount, we recorded income from interest on deposits of $0.4 million and interest expense on the venture loan of $1.5 million. In addition, we recorded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We also recorded an expense of $1.3 million as additional interest expense for the warrants granted to the lead investors of the Bridge Financing and recorded non-operating income of $1.5 million for the adjustment of the fair value of the Special Bridge Warrants and the Conversion Warrants. We expect that our non-operating expenses in the future will be affected by the adjustments to fair value of the derivative instruments and additional interest payments in respect of the venture loan.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 period ended March 31,</w:t>
            </w:r>
          </w:p>
        </w:tc>
        <w:tc>
          <w:tcPr>
            <w:tcW w:w="74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1"/>
        </w:trPr>
        <w:tc>
          <w:tcPr>
            <w:tcW w:w="54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gridSpan w:val="4"/>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0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to March 31,</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three month period ended March 31, 2011, we recorded an income tax expense in the total amount of $18 thousand, which reflects a decrease of $2 thousand compared to tax expense of $20 thousand recorded in the three month period ended March 31, 2010. Taxes on income are mainly due to taxable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and a taxable loss in 2009, for which a tax provision had been originally recorded.</w:t>
      </w:r>
    </w:p>
    <w:p>
      <w:pPr>
        <w:spacing w:after="0" w:line="14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From inception through March 31, 2011, income tax expense totaled $47 thousand. We expect tax expenses will increase as our subsidiary will continue to profit from the cost plus agreement. However, in the future, we may enjoy additional tax benefit, due to new legislation enacted amending the Investment Law.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March 31, 2011, we had a cash position of $3.6 million and net working capital of $1.7 million. We believe that our current cash levels will be sufficient to support our activity only into the third quarter of 2011. The decrease of $1.8 million in our cash for the three month period ended March 31, 2011, was mainly due to cash used by us in our business operations ($ 1.5 million). As of March 31, 2011, our total deficit in stockholders’ equity was $0.9 million due to continued operating deficits from inception to date, and in part due to the classification of the Special Bridge Warrants and the Conversion Warrants as derivative liabilities rather than equity securities.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(including the $2.1 million above)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In June 2010, we completed our IPO raising gross proceeds of approximately $11 million through the sale of 2,392,000 units consisting of one share of common stock and two warrants. We anticipate that we will continue to issue equity and/or debt securities as a source of liquidity, when needed, until we generate positive cash flow to support our operations. As an alternative source of liquidity, we are exploring acquisition opportunities. In addition, we may pursue a financing.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we had 28 full time employees and 5 part-time employees.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2011 and 2010</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900" w:type="dxa"/>
            <w:vAlign w:val="bottom"/>
            <w:gridSpan w:val="7"/>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Three month period ended March 31,</w:t>
            </w:r>
          </w:p>
        </w:tc>
        <w:tc>
          <w:tcPr>
            <w:tcW w:w="1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02"/>
        </w:trPr>
        <w:tc>
          <w:tcPr>
            <w:tcW w:w="6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2"/>
              </w:rPr>
              <w:t>($ - in thousands)</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(25,440)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2,559</w:t>
            </w:r>
          </w:p>
        </w:tc>
        <w:tc>
          <w:tcPr>
            <w:tcW w:w="4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(2,545)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three month period ended March 31, 2011, net cash used in operating activities totaled $1.5 million. During the quarter ended March 31, 2010, net cash used in operating activities totaled $1.7 million. The decrease of $0.2 million used in operating activities was mainly due to reduction in workforce related costs in connection with the cost reduction plan implemented in the first quarter of 2011.</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expect our net cash used in operating activities to increase due to costs related to being a public company. As we move towards greater revenue generation, we expect some of these amounts will be offset by revenue. Since we receive most of our revenues directly from carriers whose payment schedules are generally net 90 days or longer, and our suppliers’ payment schedules are generally net 30 days, we do not expect the increase in revenue will initially increase our net cash from operating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three month period ended March 31, 2011, net cash provided by investing activities totaled $14 thousand. During the three month period ended March 31, 2010, net cash used in investing activities totaled $2.6 million. This decrease of $2.5 million provided by investing activities is primarily due to the release of proceeds from the Bridge Financing from escrow, which was slightly offset by the purchase of fixed assets. Fixed asset purchases in the three month period ended March 31, 2011, amounted to $7 thousand compared to $23 thousand for the year ended March 31, 2010. The decrease in fixed asset purchases was due to the need to replace certain fixed assets that had fully depreciated and to improve the servers in the research and development facility of our Israeli subsidiary in 2010. We expect that net cash used in investing activities will increase as we intend to continue to upgrade our computers and software in 2011. Moreover, as our service continues to grow, we will need to increase our server capacity to meet the needs of our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three month period ended March 31, 2011, net cash used by financing activities totaled $0.3 million, which relates to the repayment of principal on the venture loan. We expect to continue to see a net cash outflow from financing activities as a result of the repayment of the venture loan and, dependent on our share price and other market conditions, possible inflows from the exercise of warrants and other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a result of our IPO in June 2010, we believe we have sufficient cash to meet our planned operating needs only into the third quarter of 2011, based on our current cash levels, including the cash raised from the offering. Following that date, we believe that we will need additional financing, in order to meet our longer-term cash flow needs. To the extent that we raise additional funds by issuing equity securities, our stockholders may experience significant dilution. In estimating our expected cash flow, we have considered the current economic climate and our revenue estimations as discussed above.</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considering acquisition opportunities at this time and there can be no assurance, however, that any such opportunities may arise, or that any such acquisitions may be consummated. In March 2011, we signed a Letter of Intent to acquire substantially all of the assets of m-Wise. Under the terms of the Letter of Intent, we will issue m-Wise 1.9 million shares of our common stock, provide m-Wise’s management with a retention package comprised of options to purchase 500,000 shares of common stock, assume and pay over a two year period certain of m-Wise’s expenses and related costs in the amount of $615,000 and assume certain other liabilities of m-Wise. We will also issue a five-year promissory note for $320,000 convertible into 200,000 shares of common stock for certain services providers, in connection with the transaction.</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m-Wise provides a platform used by leading content owners and service providers to manage, deliver and monetize mobile entertainment, content and applications. The m-Wise mobile software as a service (SaaS) platform powers over three million daily mobile service transactions world-wide, and m-Wise has performed over one billion mobile transactions in the aggregate since it was founded in March 2000.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m-Wise’s platform has been utilized in over 300 applications across more than 50 mobile networks by more than 50 international content and media providers. m-Wise’s current customers include leading companies such as Jesta Digital (formerly Fox Mobile), and Sendmemobile (formerly Thumbplay), Universal Music Group, Digicel and Snackable Media. These m-Wise-enabled applications for content and media partners include content delivery services, ringtones, music, video, games, information services, alerts and advertising and promotions, all of which were developed and delivered from the cloud on a hosted basis.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According to the unaudited financial statements filed in m-Wise’s Form 10-Q for the three month period ended March 31, 2011, m-Wise recorded revenues of $0.8 million, gross profit of $0.5 million and a net loss (including non-cash, stock-based expenses and options accounting) of $0.2 million. We anticipate cost savings and operational synergies from combining m-Wise’s business with our core business. As a result, we believe that the m-Wise acquisition will have a positive effect on our cash flow with the potential to reduce our overall burn rate in the first full year of combined operations.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proposed transaction is subject to the satisfactory completion of due diligence by us, the execution of a definitive agreement, regulatory approval, and the approval of both the boards of directors and stockholders of Vringo and m-Wise. The parties intend to complete the transaction as soon as practicable after receiving all necessary approvals.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believe that there are a number of acquisition opportunities. We will require additional financing if we decide to make acquisitions. Additional financing may not be available on satisfactory terms when required.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September 2008, we drew down on a loan facility for $5.0 million. The loan facility bears interest at a rate of 9.5% per annum and an effective interest rate of 18%. The contractual repayment schedule required a 36-month repayment schedule beginning on March 31, 2009 following a nine-month interest only period. In conjunction with the Bridge Financing, we entered into a loan modification agreement with our lenders whereby principal payments on the facility were deferred until consummation of the IPO. Following the recommencement of principal payments, on July 1, 2010, the remaining portion of the loan will be repaid through March 1, 2013. Future loan payments on the facility, including principal and interest will amount to approximately $142 thousand per month. Please see Note 9 of our consolidated financial statements for the year ended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our future contractual obligations and commercial commitments as of March 31, 2011, for each of the next five years and thereafter: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88"/>
              </w:rPr>
              <w:t>Payments due by period (in thousands of dollars)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left="180"/>
              <w:spacing w:after="0" w:line="149" w:lineRule="exact"/>
              <w:rPr>
                <w:sz w:val="20"/>
                <w:szCs w:val="20"/>
                <w:color w:val="auto"/>
              </w:rPr>
            </w:pPr>
            <w:r>
              <w:rPr>
                <w:rFonts w:ascii="Arial" w:cs="Arial" w:eastAsia="Arial" w:hAnsi="Arial"/>
                <w:sz w:val="14"/>
                <w:szCs w:val="14"/>
                <w:b w:val="1"/>
                <w:bCs w:val="1"/>
                <w:color w:val="auto"/>
                <w:w w:val="76"/>
              </w:rPr>
              <w:t>1</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4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1-3 years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Real estate leases (1)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Auto leases (2)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Venture loan (3)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1,622</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1,538</w:t>
            </w:r>
          </w:p>
        </w:tc>
        <w:tc>
          <w:tcPr>
            <w:tcW w:w="4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1,684</w:t>
            </w:r>
          </w:p>
        </w:tc>
        <w:tc>
          <w:tcPr>
            <w:tcW w:w="40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60" w:right="10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non-cancellable operating lease for our subsidiary’s offices in Israel for which we pay approximately $5 thousand monthly. This commitment is for the period ending May 31, 2012.</w:t>
      </w:r>
    </w:p>
    <w:p>
      <w:pPr>
        <w:ind w:left="460" w:right="2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subsidiary leases five motor vehicles for certain employees with variable commencement and expiration dates. All leases are for a total of 36 months whereby the final three months of the contract have been prepaid. Total monthly expenses for these leases amount to approximately $4 thousand. Expiration dates for the leases are on various dates from February 2011 through December 2013.</w:t>
      </w:r>
    </w:p>
    <w:p>
      <w:pPr>
        <w:spacing w:after="0" w:line="1" w:lineRule="exact"/>
        <w:rPr>
          <w:rFonts w:ascii="Arial" w:cs="Arial" w:eastAsia="Arial" w:hAnsi="Arial"/>
          <w:sz w:val="18"/>
          <w:szCs w:val="18"/>
          <w:color w:val="auto"/>
        </w:rPr>
      </w:pPr>
    </w:p>
    <w:p>
      <w:pPr>
        <w:ind w:left="460" w:right="80" w:hanging="452"/>
        <w:spacing w:after="0" w:line="36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total future principal repayments due, as per the venture loan agreement. The above stated loan balance, is presented in our financial statements net of discount, in the total amount of $218 thousand. Please see Note 9 of our consolidated financial statements for the year ended December 31, 2010.</w:t>
      </w:r>
    </w:p>
    <w:p>
      <w:pPr>
        <w:spacing w:after="0" w:line="6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the abovementioned venture loan, our long term GAAP liabilities include the derivative liabilities on account of warrants and long term provision for severance pay, in the total amount of $181 thousand, made in connection with extended contractual compensation to be paid to our Chief Executive Officer upon the termination of his employment (dependent on certain circumstances), as described in Note 8 to our consolidated financial statements for the year ended December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years ended December 31, 2010, we believe the following accounting policies to be the most critical in understanding the judgments and estimates we use in preparing our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determine the fair value of stock options granted to employees, directors and consultants using the Black-Scholes-Merton and the Lattice (for out-of-money option grants)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based on historical stock volatility from comparable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option pricing models utilize various inputs and assumptions, which are highly subjective. Had we used different assumptions, our results may have been significantly different. For further information on judgments and assessments used, please refer to Note 13 in our consolidated financial statements for the year ended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which are not expected to have a material impact, and their fair value is calculated using the Black-Scholes-Merton model at every reporting period. The assumptions used in the initial calculation were 53% expected volatility, a risk-free interest rate of 1.6%, estimated life of 4.5 years and no dividend yield. The fair value of the common stock was estimated at $2.57. Upon the consummation of the IPO, we issued a further 69,132 Special Bridge Warrants to the holders of the Bridge Notes to reflect the final offering price of the IPO units. These warrants were valued on the date of the IPO by using the Black-Scholes-Merton model. The assumptions used in this calculation were 53% expected volatility, a risk-free interest rate of 1.9%, estimated life of 4.5 years and no dividend yield. The fair value of the common stock was estimated at $2.79. The additional warrants are then adjusted according to the fair value above at the end of each reporting period.</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31, 2011, the Special Bridge Warrants were valued using the Black-Scholes-Merton and the Monte-Carlo models. As the terms of these warrants include a down-round protection clause, i.e. in a new issuance of common stock at a lower price than the current exercise price, the current exercise price will be adjusted to the new issuance price. We estimate a 40% probability of such protection being activated in the third quarter of 2011. We have estimated the value of the down-round protection using a Monte-Carlo simulation. The following assumptions were used: 46.16% expected volatility, a risk-free interest rate of 1.75%, estimated life of 3.75 years and no dividend yield. The fair value of the common stock was $1.7.</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consummation of the IPO, the Bridge Notes converted into 864,332 shares of common stock and 1,728,664 warrants (the “Conversion Warrants”). The Conversion Warrants granted to the Bridge Note holders were classified as a derivative long-term liability. The Conversion Warrants have down-round protection clauses, which are not expected to have a material impact, and their fair value is calculated using the Black-Scholes-Merton model at every reporting period. The assumptions used in this calculation for the date of the IPO were 54% expected volatility, a risk-free interest rate of 2.1%, estimated life of 5 years and no dividend yield. The fair value of the common stock was estimated at $2.79.</w:t>
      </w:r>
    </w:p>
    <w:p>
      <w:pPr>
        <w:spacing w:after="0" w:line="116"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As of March 31, 2011, the Conversion Warrants were 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a 40% probability of such protection being activated in the third quarter of 2011. We have estimated the value of the down-round protection using a Monte-Carlo simulation. The following assumptions were used: 48.38% expected volatility, a risk-free interest rate of 1.76%, estimated life of 4.23 years and no dividend yield. The fair value of the common stock was $1.7.</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55,664 warrants granted to the placement agent in the Bridge Financing have been recorded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$2.58.</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482,346 warrants granted to the lead investors in the Bridge Financing have been recorded as a non-operating expense at fair market value at the time of the IPO and calculated using the Black-Scholes-Merton model. The assumptions used in this calculation were 52.6%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expected volatility, risk-free interest rate of 1.68%, estimated life of 4 years and no dividend yield. The fair value of the common stock was estimated at $2.79. The total non-operating expense recorded was approximately $1.3 million. All of these warrants were exercised during the fourth quarter of 2010 and the first quarter of 2011.</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March 31, 2011,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15 of our consolidated financial statements for the year ended December 31,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ASC 740, “</w:t>
      </w:r>
      <w:r>
        <w:rPr>
          <w:rFonts w:ascii="Arial" w:cs="Arial" w:eastAsia="Arial" w:hAnsi="Arial"/>
          <w:sz w:val="16"/>
          <w:szCs w:val="16"/>
          <w:i w:val="1"/>
          <w:iCs w:val="1"/>
          <w:color w:val="auto"/>
        </w:rPr>
        <w:t>Income Taxes</w:t>
      </w:r>
      <w:r>
        <w:rPr>
          <w:rFonts w:ascii="Arial" w:cs="Arial" w:eastAsia="Arial" w:hAnsi="Arial"/>
          <w:sz w:val="16"/>
          <w:szCs w:val="16"/>
          <w:color w:val="auto"/>
        </w:rPr>
        <w:t>” (formerly FASB Interpretation No. 48, “</w:t>
      </w:r>
      <w:r>
        <w:rPr>
          <w:rFonts w:ascii="Arial" w:cs="Arial" w:eastAsia="Arial" w:hAnsi="Arial"/>
          <w:sz w:val="16"/>
          <w:szCs w:val="16"/>
          <w:i w:val="1"/>
          <w:iCs w:val="1"/>
          <w:color w:val="auto"/>
        </w:rPr>
        <w:t>Accounting for Uncertainty in Income Taxes—an Interpretation of FASB Statement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109</w:t>
      </w:r>
      <w:r>
        <w:rPr>
          <w:rFonts w:ascii="Arial" w:cs="Arial" w:eastAsia="Arial" w:hAnsi="Arial"/>
          <w:sz w:val="15"/>
          <w:szCs w:val="15"/>
          <w:color w:val="auto"/>
        </w:rPr>
        <w:t>”), prescribes how a company should recognize, measure, present and disclose in its financial statements uncertain tax positions that the company has taken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expects to take on a tax return. Additionally, for tax positions to qualify for deferred tax benefit recognition under ASC 740, the position must have at least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likely than not” chance of being sustained upon challenge by the respective taxing authorities, which criteria is a matter of significant judgment.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2010, the Financial Accounting Standards Board (“FASB”) issued Accounting Standards Updates (“ASU”) 2010-17, which amends ASC 605,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2010-17 provides guidance on applying the milestone method to milestone payments for achieving specified performance measure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those payments are related to uncertain future events limited to transactions involving research and development. Entities can make an accounting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election to recognize arrangement consideration received for achieving specified performance measure during the period in which the milestones are achieved,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certain criteria are met. We do not expect the adoption of ASU 2010-17 to have a material impact on its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10-Q.</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March 31,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Based on the evaluation of our disclosure controls and procedures as of March 31, 2011, our Principal Executive Officer and Principal Financial Officer concluded that, as of such date, our disclosure controls and procedures were not effective for the reasons set forth below.</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management has identified a material weakness in our disclosure controls and procedures. The weakness primarily relates to insufficient controls and policies in connection with financial reporting and segregation of duties. We are in the process of remediating this material weakness by adopting additional policies and improving the internal controls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March 31, 2011 that have materially affected, or are reasonably likely to materially affect, our internal control over financial reporting.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36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9"/>
              </w:rPr>
              <w:t>Certification of Principal Executive Officer Pursuant to Rule 13-14(a) of the Securities Exchange Act of 1934, pursuant to Section 302 of the</w:t>
            </w:r>
          </w:p>
        </w:tc>
      </w:tr>
      <w:tr>
        <w:trPr>
          <w:trHeight w:val="222"/>
        </w:trPr>
        <w:tc>
          <w:tcPr>
            <w:tcW w:w="46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9"/>
              </w:rPr>
              <w:t>Certification of Principal Financial Officer Pursuant to Rule 13-14(a) of the Securities Exchange Act of 1934, pursuant to Section 302 of the</w:t>
            </w:r>
          </w:p>
        </w:tc>
      </w:tr>
      <w:tr>
        <w:trPr>
          <w:trHeight w:val="222"/>
        </w:trPr>
        <w:tc>
          <w:tcPr>
            <w:tcW w:w="46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9"/>
              </w:rPr>
              <w:t>Certification of Principal Executive Officer Pursuant to 18 U.S.C. Section 1350, pursuant to Section 906 of the Sarbanes-Oxley Act of 2002.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0"/>
              </w:rPr>
              <w:t>Certification of Principal Financial Officer Pursuant to 18 U.S.C. Section 1350, pursuant to Section 906 of the Sarbanes-Oxley Act of 2002.</w:t>
            </w:r>
          </w:p>
        </w:tc>
      </w:tr>
      <w:tr>
        <w:trPr>
          <w:trHeight w:val="365"/>
        </w:trPr>
        <w:tc>
          <w:tcPr>
            <w:tcW w:w="460" w:type="dxa"/>
            <w:vAlign w:val="bottom"/>
          </w:tcPr>
          <w:p>
            <w:pPr>
              <w:spacing w:after="0"/>
              <w:rPr>
                <w:sz w:val="24"/>
                <w:szCs w:val="24"/>
                <w:color w:val="auto"/>
              </w:rPr>
            </w:pPr>
          </w:p>
        </w:tc>
        <w:tc>
          <w:tcPr>
            <w:tcW w:w="5400" w:type="dxa"/>
            <w:vAlign w:val="bottom"/>
          </w:tcPr>
          <w:p>
            <w:pPr>
              <w:ind w:left="516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0940"/>
          </w:cols>
          <w:pgMar w:left="240" w:top="459" w:right="7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16th day of May, 2011.</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tabs>
          <w:tab w:leader="none" w:pos="8520" w:val="left"/>
          <w:tab w:leader="none" w:pos="8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Ellen Cohl</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240" w:top="459" w:right="7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Jonathan Medved, certify that:</w:t>
      </w:r>
    </w:p>
    <w:p>
      <w:pPr>
        <w:spacing w:after="0" w:line="17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171" w:lineRule="exact"/>
        <w:rPr>
          <w:rFonts w:ascii="Arial" w:cs="Arial" w:eastAsia="Arial" w:hAnsi="Arial"/>
          <w:sz w:val="18"/>
          <w:szCs w:val="18"/>
          <w:color w:val="auto"/>
        </w:rPr>
      </w:pPr>
    </w:p>
    <w:p>
      <w:pPr>
        <w:ind w:right="40" w:firstLine="8"/>
        <w:spacing w:after="0" w:line="370" w:lineRule="auto"/>
        <w:tabs>
          <w:tab w:leader="none" w:pos="17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5"/>
          <w:szCs w:val="15"/>
          <w:color w:val="auto"/>
        </w:rPr>
      </w:pPr>
    </w:p>
    <w:p>
      <w:pPr>
        <w:ind w:right="30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5" w:lineRule="exact"/>
        <w:rPr>
          <w:rFonts w:ascii="Arial" w:cs="Arial" w:eastAsia="Arial" w:hAnsi="Arial"/>
          <w:sz w:val="16"/>
          <w:szCs w:val="16"/>
          <w:color w:val="auto"/>
        </w:rPr>
      </w:pPr>
    </w:p>
    <w:p>
      <w:pPr>
        <w:ind w:right="180" w:firstLine="8"/>
        <w:spacing w:after="0" w:line="268" w:lineRule="auto"/>
        <w:tabs>
          <w:tab w:leader="none" w:pos="1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32" w:lineRule="exact"/>
        <w:rPr>
          <w:sz w:val="20"/>
          <w:szCs w:val="20"/>
          <w:color w:val="auto"/>
        </w:rPr>
      </w:pPr>
    </w:p>
    <w:p>
      <w:pPr>
        <w:ind w:right="140" w:firstLine="8"/>
        <w:spacing w:after="0" w:line="259"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0" w:lineRule="exact"/>
        <w:rPr>
          <w:rFonts w:ascii="Arial" w:cs="Arial" w:eastAsia="Arial" w:hAnsi="Arial"/>
          <w:sz w:val="18"/>
          <w:szCs w:val="18"/>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[Omitted pursuant to the transition period exemption for newly public companies]</w:t>
      </w:r>
    </w:p>
    <w:p>
      <w:pPr>
        <w:spacing w:after="0" w:line="171" w:lineRule="exact"/>
        <w:rPr>
          <w:rFonts w:ascii="Arial" w:cs="Arial" w:eastAsia="Arial" w:hAnsi="Arial"/>
          <w:sz w:val="18"/>
          <w:szCs w:val="18"/>
          <w:color w:val="auto"/>
        </w:rPr>
      </w:pPr>
    </w:p>
    <w:p>
      <w:pPr>
        <w:ind w:right="140" w:firstLine="8"/>
        <w:spacing w:after="0" w:line="33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5" w:lineRule="exact"/>
        <w:rPr>
          <w:rFonts w:ascii="Arial" w:cs="Arial" w:eastAsia="Arial" w:hAnsi="Arial"/>
          <w:sz w:val="16"/>
          <w:szCs w:val="16"/>
          <w:color w:val="auto"/>
        </w:rPr>
      </w:pPr>
    </w:p>
    <w:p>
      <w:pPr>
        <w:ind w:right="20" w:firstLine="8"/>
        <w:spacing w:after="0" w:line="259" w:lineRule="auto"/>
        <w:tabs>
          <w:tab w:leader="none" w:pos="19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100" w:firstLine="8"/>
        <w:spacing w:after="0" w:line="268" w:lineRule="auto"/>
        <w:tabs>
          <w:tab w:leader="none" w:pos="17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60" w:firstLine="8"/>
        <w:spacing w:after="0" w:line="268" w:lineRule="auto"/>
        <w:tabs>
          <w:tab w:leader="none" w:pos="17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120" w:firstLine="8"/>
        <w:spacing w:after="0" w:line="268"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2011</w:t>
      </w:r>
    </w:p>
    <w:p>
      <w:pPr>
        <w:spacing w:after="0" w:line="212" w:lineRule="exact"/>
        <w:rPr>
          <w:sz w:val="20"/>
          <w:szCs w:val="20"/>
          <w:color w:val="auto"/>
        </w:rPr>
      </w:pPr>
    </w:p>
    <w:p>
      <w:pPr>
        <w:ind w:left="1240"/>
        <w:spacing w:after="0"/>
        <w:tabs>
          <w:tab w:leader="none" w:pos="1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171" w:lineRule="exact"/>
        <w:rPr>
          <w:rFonts w:ascii="Arial" w:cs="Arial" w:eastAsia="Arial" w:hAnsi="Arial"/>
          <w:sz w:val="18"/>
          <w:szCs w:val="18"/>
          <w:color w:val="auto"/>
        </w:rPr>
      </w:pPr>
    </w:p>
    <w:p>
      <w:pPr>
        <w:ind w:right="40" w:firstLine="8"/>
        <w:spacing w:after="0" w:line="370" w:lineRule="auto"/>
        <w:tabs>
          <w:tab w:leader="none" w:pos="176"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5"/>
          <w:szCs w:val="15"/>
          <w:color w:val="auto"/>
        </w:rPr>
      </w:pPr>
    </w:p>
    <w:p>
      <w:pPr>
        <w:ind w:right="300" w:firstLine="8"/>
        <w:spacing w:after="0" w:line="332" w:lineRule="auto"/>
        <w:tabs>
          <w:tab w:leader="none" w:pos="1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5" w:lineRule="exact"/>
        <w:rPr>
          <w:rFonts w:ascii="Arial" w:cs="Arial" w:eastAsia="Arial" w:hAnsi="Arial"/>
          <w:sz w:val="16"/>
          <w:szCs w:val="16"/>
          <w:color w:val="auto"/>
        </w:rPr>
      </w:pPr>
    </w:p>
    <w:p>
      <w:pPr>
        <w:ind w:right="180" w:firstLine="8"/>
        <w:spacing w:after="0" w:line="268" w:lineRule="auto"/>
        <w:tabs>
          <w:tab w:leader="none" w:pos="1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32" w:lineRule="exact"/>
        <w:rPr>
          <w:sz w:val="20"/>
          <w:szCs w:val="20"/>
          <w:color w:val="auto"/>
        </w:rPr>
      </w:pPr>
    </w:p>
    <w:p>
      <w:pPr>
        <w:ind w:right="140" w:firstLine="8"/>
        <w:spacing w:after="0" w:line="259"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0" w:lineRule="exact"/>
        <w:rPr>
          <w:rFonts w:ascii="Arial" w:cs="Arial" w:eastAsia="Arial" w:hAnsi="Arial"/>
          <w:sz w:val="18"/>
          <w:szCs w:val="18"/>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[Omitted pursuant to the transition period exemption for newly public companies]</w:t>
      </w:r>
    </w:p>
    <w:p>
      <w:pPr>
        <w:spacing w:after="0" w:line="171" w:lineRule="exact"/>
        <w:rPr>
          <w:rFonts w:ascii="Arial" w:cs="Arial" w:eastAsia="Arial" w:hAnsi="Arial"/>
          <w:sz w:val="18"/>
          <w:szCs w:val="18"/>
          <w:color w:val="auto"/>
        </w:rPr>
      </w:pPr>
    </w:p>
    <w:p>
      <w:pPr>
        <w:ind w:right="140" w:firstLine="8"/>
        <w:spacing w:after="0" w:line="33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5" w:lineRule="exact"/>
        <w:rPr>
          <w:rFonts w:ascii="Arial" w:cs="Arial" w:eastAsia="Arial" w:hAnsi="Arial"/>
          <w:sz w:val="16"/>
          <w:szCs w:val="16"/>
          <w:color w:val="auto"/>
        </w:rPr>
      </w:pPr>
    </w:p>
    <w:p>
      <w:pPr>
        <w:ind w:right="20" w:firstLine="8"/>
        <w:spacing w:after="0" w:line="259"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100" w:firstLine="8"/>
        <w:spacing w:after="0" w:line="268" w:lineRule="auto"/>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60" w:firstLine="8"/>
        <w:spacing w:after="0" w:line="268" w:lineRule="auto"/>
        <w:tabs>
          <w:tab w:leader="none" w:pos="1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120" w:firstLine="8"/>
        <w:spacing w:after="0" w:line="268"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2011</w:t>
      </w:r>
    </w:p>
    <w:p>
      <w:pPr>
        <w:spacing w:after="0" w:line="212"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March 31, 2011 as filed with the Securities and Exchange Commission on the date hereof (the “Report”) I, Jonathan Medved, Chief Executive Officer of the Company, certify, pursuant to § 906 of the Sarbanes-Oxley Act of 2002,18 U.S.C. § 1350, that to my knowledge:</w:t>
      </w:r>
    </w:p>
    <w:p>
      <w:pPr>
        <w:spacing w:after="0" w:line="14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171" w:lineRule="exact"/>
        <w:rPr>
          <w:rFonts w:ascii="Arial" w:cs="Arial" w:eastAsia="Arial" w:hAnsi="Arial"/>
          <w:sz w:val="18"/>
          <w:szCs w:val="18"/>
          <w:color w:val="auto"/>
        </w:rPr>
      </w:pPr>
    </w:p>
    <w:p>
      <w:pPr>
        <w:ind w:right="980" w:firstLine="8"/>
        <w:spacing w:after="0" w:line="456"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16, 2011</w:t>
      </w:r>
    </w:p>
    <w:p>
      <w:pPr>
        <w:spacing w:after="0" w:line="10" w:lineRule="exact"/>
        <w:rPr>
          <w:sz w:val="20"/>
          <w:szCs w:val="20"/>
          <w:color w:val="auto"/>
        </w:rPr>
      </w:pPr>
    </w:p>
    <w:p>
      <w:pPr>
        <w:ind w:left="1240"/>
        <w:spacing w:after="0"/>
        <w:tabs>
          <w:tab w:leader="none" w:pos="1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Jonathan Medved</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March 31, 2011 as filed with the Securities and Exchange Commission on the date hereof (the “Report”) I, Ellen Cohl, Chief Financial Officer of the Company, certify, pursuant to § 906 of the Sarbanes-Oxley Act of 2002, 18 U.S.C. § 1350, that to my knowledge:</w:t>
      </w:r>
    </w:p>
    <w:p>
      <w:pPr>
        <w:spacing w:after="0" w:line="14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1" w:lineRule="exact"/>
        <w:rPr>
          <w:rFonts w:ascii="Arial" w:cs="Arial" w:eastAsia="Arial" w:hAnsi="Arial"/>
          <w:sz w:val="18"/>
          <w:szCs w:val="18"/>
          <w:color w:val="auto"/>
        </w:rPr>
      </w:pPr>
    </w:p>
    <w:p>
      <w:pPr>
        <w:ind w:right="980" w:firstLine="8"/>
        <w:spacing w:after="0" w:line="456"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16, 2011</w:t>
      </w:r>
    </w:p>
    <w:p>
      <w:pPr>
        <w:spacing w:after="0" w:line="10"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Ellen Cohl</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2019-12-11T07:09:50Z</dcterms:created>
  <dcterms:modified xsi:type="dcterms:W3CDTF">2019-12-11T07:09:50Z</dcterms:modified>
</cp:coreProperties>
</file>