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333-180609</w:t>
      </w:r>
    </w:p>
    <w:p>
      <w:pPr>
        <w:spacing w:after="0" w:line="9" w:lineRule="exact"/>
        <w:rPr>
          <w:sz w:val="24"/>
          <w:szCs w:val="24"/>
          <w:color w:val="auto"/>
        </w:rPr>
      </w:pPr>
    </w:p>
    <w:p>
      <w:pPr>
        <w:sectPr>
          <w:pgSz w:w="11900" w:h="16838" w:orient="portrait"/>
          <w:cols w:equalWidth="0" w:num="2">
            <w:col w:w="8220" w:space="720"/>
            <w:col w:w="2480"/>
          </w:cols>
          <w:pgMar w:left="240" w:top="472" w:right="239" w:bottom="1440" w:gutter="0" w:footer="0" w:header="0"/>
        </w:sect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Up to 15,959,838 Shares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p>
      <w:pPr>
        <w:spacing w:after="0" w:line="200" w:lineRule="exact"/>
        <w:rPr>
          <w:sz w:val="24"/>
          <w:szCs w:val="24"/>
          <w:color w:val="auto"/>
        </w:rPr>
      </w:pPr>
    </w:p>
    <w:p>
      <w:pPr>
        <w:spacing w:after="0" w:line="362" w:lineRule="exact"/>
        <w:rPr>
          <w:sz w:val="24"/>
          <w:szCs w:val="24"/>
          <w:color w:val="auto"/>
        </w:rPr>
      </w:pPr>
    </w:p>
    <w:p>
      <w:pPr>
        <w:jc w:val="both"/>
        <w:ind w:right="440" w:firstLine="441"/>
        <w:spacing w:after="0" w:line="264" w:lineRule="auto"/>
        <w:rPr>
          <w:sz w:val="20"/>
          <w:szCs w:val="20"/>
          <w:color w:val="auto"/>
        </w:rPr>
      </w:pPr>
      <w:r>
        <w:rPr>
          <w:rFonts w:ascii="Arial" w:cs="Arial" w:eastAsia="Arial" w:hAnsi="Arial"/>
          <w:sz w:val="18"/>
          <w:szCs w:val="18"/>
          <w:color w:val="auto"/>
        </w:rPr>
        <w:t>This prospectus relates to up to 15,959,838 shares of our common stock, par value $0.01 per share. The shares of common stock are issuable upon exercise of outstanding Series 1 and Series 2 warrants that were issued in connection with our acquisition of Innovate/Protect, Inc. (“Innovate/Protect”), which was consummated on July 19, 2012.</w:t>
      </w:r>
    </w:p>
    <w:p>
      <w:pPr>
        <w:spacing w:after="0" w:line="181" w:lineRule="exact"/>
        <w:rPr>
          <w:sz w:val="24"/>
          <w:szCs w:val="24"/>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Each warrant entitles its holder to acquire one share of common stock at an exercise price of $1.76 per share, subject to specified adjustments, at any time on or before July 19, 2017. The exercise price may be paid in cash or, under certain circumstances, by means of a “cashless exercise,” as described in “Description of the Warrants.”</w:t>
      </w:r>
    </w:p>
    <w:p>
      <w:pPr>
        <w:spacing w:after="0" w:line="181" w:lineRule="exact"/>
        <w:rPr>
          <w:sz w:val="24"/>
          <w:szCs w:val="24"/>
          <w:color w:val="auto"/>
        </w:rPr>
      </w:pPr>
    </w:p>
    <w:p>
      <w:pPr>
        <w:ind w:right="520" w:firstLine="441"/>
        <w:spacing w:after="0" w:line="277" w:lineRule="auto"/>
        <w:rPr>
          <w:sz w:val="20"/>
          <w:szCs w:val="20"/>
          <w:color w:val="auto"/>
        </w:rPr>
      </w:pPr>
      <w:r>
        <w:rPr>
          <w:rFonts w:ascii="Arial" w:cs="Arial" w:eastAsia="Arial" w:hAnsi="Arial"/>
          <w:sz w:val="18"/>
          <w:szCs w:val="18"/>
          <w:color w:val="auto"/>
        </w:rPr>
        <w:t>To the extent any holder of our outstanding Series 1 and Series 2 Warrants determines to exercise its warrants, we will receive the payment of the exercise price in connection with such exercise.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151765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Our common stock is listed on the NYSE MKT under the symbol “VRNG.” On August 2, 2012, the last reported sale price of our common stock was $3.16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151765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right="220" w:firstLine="661"/>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6 of this prospectus under the caption “Risk Factors” and the risk factors that are incorporated by reference in this prospectus from our filings made with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148590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August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60" w:type="dxa"/>
            <w:vAlign w:val="bottom"/>
            <w:gridSpan w:val="3"/>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47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222"/>
        </w:trPr>
        <w:tc>
          <w:tcPr>
            <w:tcW w:w="8860" w:type="dxa"/>
            <w:vAlign w:val="bottom"/>
            <w:gridSpan w:val="3"/>
          </w:tcPr>
          <w:p>
            <w:pPr>
              <w:spacing w:after="0"/>
              <w:rPr>
                <w:sz w:val="20"/>
                <w:szCs w:val="20"/>
                <w:color w:val="auto"/>
              </w:rPr>
            </w:pPr>
            <w:r>
              <w:rPr>
                <w:rFonts w:ascii="Arial" w:cs="Arial" w:eastAsia="Arial" w:hAnsi="Arial"/>
                <w:sz w:val="18"/>
                <w:szCs w:val="18"/>
                <w:color w:val="auto"/>
              </w:rPr>
              <w:t>ABOUT THIS PROSPECTUS</w:t>
            </w:r>
          </w:p>
        </w:tc>
        <w:tc>
          <w:tcPr>
            <w:tcW w:w="22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PROSPECTUS SUMMARY</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RISK FACTORS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SPECIAL NOTE REGARDING FORWARD-LOOKING STATEMENTS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USE OF PROCEEDS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PLAN OF DISTRIBUTION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DESCRIPTION OF WARRANTS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DESCRIPTION OF CAPITAL STOCK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LEGAL MATTERS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EXPERTS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WHERE YOU CAN FIND MORE INFORMATION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860" w:type="dxa"/>
            <w:vAlign w:val="bottom"/>
            <w:gridSpan w:val="3"/>
          </w:tcPr>
          <w:p>
            <w:pPr>
              <w:spacing w:after="0"/>
              <w:rPr>
                <w:sz w:val="20"/>
                <w:szCs w:val="20"/>
                <w:color w:val="auto"/>
              </w:rPr>
            </w:pPr>
            <w:r>
              <w:rPr>
                <w:rFonts w:ascii="Arial" w:cs="Arial" w:eastAsia="Arial" w:hAnsi="Arial"/>
                <w:sz w:val="18"/>
                <w:szCs w:val="18"/>
                <w:color w:val="auto"/>
              </w:rPr>
              <w:t>INCORPORATION OF INFORMATION BY REFERENCE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648"/>
        </w:trPr>
        <w:tc>
          <w:tcPr>
            <w:tcW w:w="47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00" w:firstLine="661"/>
        <w:spacing w:after="0" w:line="293" w:lineRule="auto"/>
        <w:rPr>
          <w:sz w:val="20"/>
          <w:szCs w:val="20"/>
          <w:color w:val="auto"/>
        </w:rPr>
      </w:pPr>
      <w:r>
        <w:rPr>
          <w:rFonts w:ascii="Arial" w:cs="Arial" w:eastAsia="Arial" w:hAnsi="Arial"/>
          <w:sz w:val="16"/>
          <w:szCs w:val="16"/>
          <w:color w:val="auto"/>
        </w:rPr>
        <w:t>You should read this prospectus and the documents incorporated by reference carefully before you invest. Such documents contain important information you should consider when making your investment decision. See “Incorporation of Documents by Reference.” You should rely only on the information provided in this prospectus or documents incorporated by reference in this prospectus. We have not authorized anyone to provide you with different information. The information contained in this prospectus is accurate only as of the date of this prospectus and any information we have incorporated by reference is accurate only as of the date of the document incorporated by reference, regardless of the time of delivery of this prospectus or of any sale of our common stock. Our business, financial condition, results of operations and prospects may have changed since that date.</w:t>
      </w:r>
    </w:p>
    <w:p>
      <w:pPr>
        <w:spacing w:after="0" w:line="165" w:lineRule="exact"/>
        <w:rPr>
          <w:sz w:val="20"/>
          <w:szCs w:val="20"/>
          <w:color w:val="auto"/>
        </w:rPr>
      </w:pPr>
    </w:p>
    <w:p>
      <w:pPr>
        <w:jc w:val="both"/>
        <w:ind w:right="340" w:firstLine="661"/>
        <w:spacing w:after="0" w:line="286" w:lineRule="auto"/>
        <w:rPr>
          <w:sz w:val="20"/>
          <w:szCs w:val="20"/>
          <w:color w:val="auto"/>
        </w:rPr>
      </w:pPr>
      <w:r>
        <w:rPr>
          <w:rFonts w:ascii="Arial" w:cs="Arial" w:eastAsia="Arial" w:hAnsi="Arial"/>
          <w:sz w:val="17"/>
          <w:szCs w:val="17"/>
          <w:color w:val="auto"/>
        </w:rPr>
        <w:t>This prospectus is an offer to sell only the securities offered hereby, but only under circumstances and in jurisdictions where it is lawful to do so.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66" w:lineRule="exact"/>
        <w:rPr>
          <w:sz w:val="20"/>
          <w:szCs w:val="20"/>
          <w:color w:val="auto"/>
        </w:rPr>
      </w:pPr>
    </w:p>
    <w:p>
      <w:pPr>
        <w:ind w:firstLine="661"/>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in the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jc w:val="both"/>
        <w:ind w:right="80" w:firstLine="661"/>
        <w:spacing w:after="0" w:line="286" w:lineRule="auto"/>
        <w:rPr>
          <w:sz w:val="20"/>
          <w:szCs w:val="20"/>
          <w:color w:val="auto"/>
        </w:rPr>
      </w:pPr>
      <w:r>
        <w:rPr>
          <w:rFonts w:ascii="Arial" w:cs="Arial" w:eastAsia="Arial" w:hAnsi="Arial"/>
          <w:sz w:val="17"/>
          <w:szCs w:val="17"/>
          <w:color w:val="auto"/>
        </w:rPr>
        <w:t>Unless the context otherwise requires, “Vringo,” “the Company,” “we,” “us,” “our” and similar terms refer to Vringo, Inc. and our subsidiaries prior to the merger described below and also include Innovate/Protect, Inc. and its subsidiaries following the merger described below. Unless stated or the context otherwise requires, references in this prospectus to “Innovate/Protect” refer to Innovate/Protect, Inc. and its subsidiaries.</w:t>
      </w:r>
    </w:p>
    <w:p>
      <w:pPr>
        <w:spacing w:after="0" w:line="166" w:lineRule="exact"/>
        <w:rPr>
          <w:sz w:val="20"/>
          <w:szCs w:val="20"/>
          <w:color w:val="auto"/>
        </w:rPr>
      </w:pPr>
    </w:p>
    <w:p>
      <w:pPr>
        <w:ind w:right="60" w:firstLine="661"/>
        <w:spacing w:after="0" w:line="259" w:lineRule="auto"/>
        <w:rPr>
          <w:sz w:val="20"/>
          <w:szCs w:val="20"/>
          <w:color w:val="auto"/>
        </w:rPr>
      </w:pPr>
      <w:r>
        <w:rPr>
          <w:rFonts w:ascii="Arial" w:cs="Arial" w:eastAsia="Arial" w:hAnsi="Arial"/>
          <w:sz w:val="18"/>
          <w:szCs w:val="18"/>
          <w:color w:val="auto"/>
        </w:rPr>
        <w:t>References to “the merger” refer to the transaction consummated on July 19, 2012, by which Innovate/Protect merged with and into a wholly-owned subsidiary of Vringo. Information about the merger is included in our Current Report on Form 8-K filed with the Securities and Exchange Commission (“SEC” or “Commission”) on July 20, 2012 and incorporated by reference herein. See “Where You Can Find More Information” and “Incorporation of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20" w:firstLine="661"/>
        <w:spacing w:after="0" w:line="273"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under the caption “Risk Factors” and in our most recent filings with the SEC, as well as other information in this prospectus and the documents incorporated by reference 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intend to attempt to maximize the economic benefits of our intellectual property portfolio, add significant talent in technological innovation, and potentially enhance our opportunities for revenue generation through the monetization of our assets, including patents owned by Innovate/Protect and the outcome of the litigation against online search companies.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undergo changes in connection with the Merger with Innovate/Protect, Inc. as described below. Prior to the Merger, Vringo was engaged in developing software platforms and applications for mobile devices and Innovate/Protect’s business was to maximize, for inventors and investors, the economic benefits of intellectual property assets through acquiring or internally developing patents or other intellectual property assets. Following the Merger, we have enhanced technology capabilities to create, build and deliver mobile applications and services to our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have two key areas of operation:</w:t>
      </w:r>
    </w:p>
    <w:p>
      <w:pPr>
        <w:spacing w:after="0" w:line="22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 believe that our technology and business relationships will allow us to distribute new applications and services through:</w:t>
      </w:r>
    </w:p>
    <w:p>
      <w:pPr>
        <w:spacing w:after="0" w:line="170" w:lineRule="exact"/>
        <w:rPr>
          <w:sz w:val="20"/>
          <w:szCs w:val="20"/>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intend to expand our intellectual property portfolio through both internal development and acquisition. We believe that our experience and liquidity will enable us to expand our intellectual property portfolio as well as create additional intellectually property internally. We intend to monetize our intellectual property through:</w:t>
      </w:r>
    </w:p>
    <w:p>
      <w:pPr>
        <w:spacing w:after="0" w:line="181" w:lineRule="exact"/>
        <w:rPr>
          <w:sz w:val="20"/>
          <w:szCs w:val="20"/>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continue to actively seek to broaden our intellectual property portfolio. Our philosophy is to seek to acquire intellectual property and technology. We are reviewing portfolio opportunities with a view toward acquiring those which we believe have potential for monetization through licensing opportunities or enforcement. We are actively engaged in due diligence with respect to a number of patent and intellectual property portfolios and are in advanced discussions as to the acquisition of several such portfolios. We will likely need to raise additional capital to make any such acquisition. There is no assurance that we will succeed in acquiring any such portfolios, as to the terms of any such acquisition or that we will successfully monetize any portfolio that we acquire.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Innovate/Protect</w:t>
      </w:r>
    </w:p>
    <w:p>
      <w:pPr>
        <w:spacing w:after="0" w:line="229" w:lineRule="exact"/>
        <w:rPr>
          <w:sz w:val="20"/>
          <w:szCs w:val="20"/>
          <w:color w:val="auto"/>
        </w:rPr>
      </w:pPr>
    </w:p>
    <w:p>
      <w:pPr>
        <w:ind w:right="20" w:firstLine="580"/>
        <w:spacing w:after="0" w:line="273" w:lineRule="auto"/>
        <w:rPr>
          <w:sz w:val="20"/>
          <w:szCs w:val="20"/>
          <w:color w:val="auto"/>
        </w:rPr>
      </w:pPr>
      <w:r>
        <w:rPr>
          <w:rFonts w:ascii="Arial" w:cs="Arial" w:eastAsia="Arial" w:hAnsi="Arial"/>
          <w:sz w:val="17"/>
          <w:szCs w:val="17"/>
          <w:color w:val="auto"/>
        </w:rPr>
        <w:t>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merged with and into Merger Sub, with Merger Sub being the surviving corporation renamed Innovate/Protect, Inc. (the “Surviving Corporation”) through an exchange of capital stock of Innovate/Protect for capital stock of Vringo (the “Merger”). The Merger was approved by our stockholders at our annual meeting of stockholders held on July 19, 2012 and we consummated the Merger on July 19, 2012.</w:t>
      </w:r>
    </w:p>
    <w:p>
      <w:pPr>
        <w:spacing w:after="0" w:line="178" w:lineRule="exact"/>
        <w:rPr>
          <w:sz w:val="20"/>
          <w:szCs w:val="20"/>
          <w:color w:val="auto"/>
        </w:rPr>
      </w:pPr>
    </w:p>
    <w:p>
      <w:pPr>
        <w:ind w:right="60" w:firstLine="535"/>
        <w:spacing w:after="0" w:line="271" w:lineRule="auto"/>
        <w:rPr>
          <w:sz w:val="20"/>
          <w:szCs w:val="20"/>
          <w:color w:val="auto"/>
        </w:rPr>
      </w:pPr>
      <w:r>
        <w:rPr>
          <w:rFonts w:ascii="Arial" w:cs="Arial" w:eastAsia="Arial" w:hAnsi="Arial"/>
          <w:sz w:val="17"/>
          <w:szCs w:val="17"/>
          <w:color w:val="auto"/>
        </w:rPr>
        <w:t>In connection with the Merger, we caused to be issued, as of the closing date, our securities to Innovate/Protect’s stockholders in exchange for the capital stock owned by Innovate/Protect’s stockholders, as follows (the “Merger Consideration”): (i) an aggregate of 18,617,569 shares of our common stock, par value $0.01 per share, (ii) an aggregate of 6,673 shares of our Series A Preferred Stock, par value $0.01 per share, convertible into an aggregate of 20,136,445 shares of common stock, (iii) an aggregate of 8,299,116 Series 1 warrants to purchase up to an aggregate 8,299,116 shares of common stock, with an exercise price of $1.76 per share and expiring on July 19, 2017, and (iv) an aggregate of 7,660,722 Series 2 warrants to purchase up to an aggregate of 7,660,722 shares of common stock, with an exercise price of $1.76 per share and expiring on July 19, 2017. In addition, we assumed an option to purchase an aggregate of 41,178 shares of common stock at an exercise price of $0.994 per share, in exchange for the outstanding and unexercised stock option to purchase shares of Innovate/Protect’s common stock.</w:t>
      </w:r>
    </w:p>
    <w:p>
      <w:pPr>
        <w:sectPr>
          <w:pgSz w:w="11900" w:h="16838" w:orient="portrait"/>
          <w:cols w:equalWidth="0" w:num="1">
            <w:col w:w="11420"/>
          </w:cols>
          <w:pgMar w:left="240" w:top="904"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spacing w:after="0" w:line="72" w:lineRule="exact"/>
        <w:rPr>
          <w:sz w:val="20"/>
          <w:szCs w:val="20"/>
          <w:color w:val="auto"/>
        </w:rPr>
      </w:pPr>
    </w:p>
    <w:p>
      <w:pPr>
        <w:ind w:right="160" w:firstLine="535"/>
        <w:spacing w:after="0" w:line="259" w:lineRule="auto"/>
        <w:rPr>
          <w:sz w:val="20"/>
          <w:szCs w:val="20"/>
          <w:color w:val="auto"/>
        </w:rPr>
      </w:pPr>
      <w:r>
        <w:rPr>
          <w:rFonts w:ascii="Arial" w:cs="Arial" w:eastAsia="Arial" w:hAnsi="Arial"/>
          <w:sz w:val="18"/>
          <w:szCs w:val="18"/>
          <w:color w:val="auto"/>
        </w:rPr>
        <w:t>As a result of the consummation of the Merger, as of the closing date, the former stockholders of Innovate/Protect own approximately 55.04% of the outstanding shares of our common stock (or 67.61% of the outstanding shares of our common stock calculated on a fully diluted basis) and our stockholders prior to the Merger own approximately 44.96% of the outstanding shares of our common stock (or 32.39% of the outstanding shares of our common stock calculated on a fully diluted basis) and a change of control may be deemed to have occurred.</w:t>
      </w:r>
    </w:p>
    <w:p>
      <w:pPr>
        <w:spacing w:after="0" w:line="187"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For accounting purposes, the Merger is treated as a “reverse acquisition” and Innovate/Protect is considered the accounting acquirer. Accordingly, Innovate/Protect will be reflected as the predecessor and acquirer in our financial statements. Our financial statements will reflect the historical financial statements of Innovate/Protect as our historical financial statements, except for the legal capital which will reflect Vringo's legal capital (common stock).</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financial statements appearing in our Annual Report on Form 10-K, and which are incorporated by reference in this document do not reflect this adjustment, and include the historical financial information of Vringo. The Forms 8-K incorporated by reference herein include both financial information of Innovate/Protect as well as pro forma information intended to show how the Merger might have affected historical financial statements if the Merger had been completed on June 8, 2011, for the purposes of the statements of operations, and March 31, 2012, and December 31, 2011, for the purposes of the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29" w:lineRule="exact"/>
        <w:rPr>
          <w:sz w:val="20"/>
          <w:szCs w:val="20"/>
          <w:color w:val="auto"/>
        </w:rPr>
      </w:pPr>
    </w:p>
    <w:p>
      <w:pPr>
        <w:ind w:right="40" w:firstLine="661"/>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and relationships to promote apps and services for these two operating systems.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300" w:hanging="644"/>
        <w:spacing w:after="0" w:line="28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video ringtones for mobile phones;</w:t>
      </w:r>
    </w:p>
    <w:p>
      <w:pPr>
        <w:spacing w:after="0" w:line="5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117" w:lineRule="exact"/>
        <w:rPr>
          <w:rFonts w:ascii="Arial" w:cs="Arial" w:eastAsia="Arial" w:hAnsi="Arial"/>
          <w:sz w:val="18"/>
          <w:szCs w:val="18"/>
          <w:color w:val="auto"/>
        </w:rPr>
      </w:pPr>
    </w:p>
    <w:p>
      <w:pPr>
        <w:ind w:left="1300" w:right="20" w:hanging="644"/>
        <w:spacing w:after="0" w:line="28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53" w:lineRule="exact"/>
        <w:rPr>
          <w:rFonts w:ascii="Arial" w:cs="Arial" w:eastAsia="Arial" w:hAnsi="Arial"/>
          <w:sz w:val="18"/>
          <w:szCs w:val="18"/>
          <w:color w:val="auto"/>
        </w:rPr>
      </w:pPr>
    </w:p>
    <w:p>
      <w:pPr>
        <w:ind w:left="1300" w:right="20" w:hanging="644"/>
        <w:spacing w:after="0" w:line="28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stars and vote for contestants.</w:t>
      </w:r>
    </w:p>
    <w:p>
      <w:pPr>
        <w:spacing w:after="0" w:line="274" w:lineRule="exact"/>
        <w:rPr>
          <w:sz w:val="20"/>
          <w:szCs w:val="20"/>
          <w:color w:val="auto"/>
        </w:rPr>
      </w:pPr>
    </w:p>
    <w:p>
      <w:pPr>
        <w:ind w:right="560" w:firstLine="661"/>
        <w:spacing w:after="0" w:line="277" w:lineRule="auto"/>
        <w:rPr>
          <w:sz w:val="20"/>
          <w:szCs w:val="20"/>
          <w:color w:val="auto"/>
        </w:rPr>
      </w:pPr>
      <w:r>
        <w:rPr>
          <w:rFonts w:ascii="Arial" w:cs="Arial" w:eastAsia="Arial" w:hAnsi="Arial"/>
          <w:sz w:val="18"/>
          <w:szCs w:val="18"/>
          <w:color w:val="auto"/>
        </w:rPr>
        <w:t>To develop these platforms, we have leveraged our existing technology, intellectual property and our extensive experience with mobile video, personalization and social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ind w:right="120" w:firstLine="580"/>
        <w:spacing w:after="0" w:line="290" w:lineRule="auto"/>
        <w:rPr>
          <w:sz w:val="20"/>
          <w:szCs w:val="20"/>
          <w:color w:val="auto"/>
        </w:rPr>
      </w:pPr>
      <w:r>
        <w:rPr>
          <w:rFonts w:ascii="Arial" w:cs="Arial" w:eastAsia="Arial" w:hAnsi="Arial"/>
          <w:sz w:val="16"/>
          <w:szCs w:val="16"/>
          <w:color w:val="auto"/>
        </w:rPr>
        <w:t>Innovate/Protect is the owner of patent assets acquired from Lycos (the “Lycos Patents”),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Innovate/Protect’s Initial Litigation</w:t>
      </w:r>
    </w:p>
    <w:p>
      <w:pPr>
        <w:spacing w:after="0" w:line="229" w:lineRule="exact"/>
        <w:rPr>
          <w:sz w:val="20"/>
          <w:szCs w:val="20"/>
          <w:color w:val="auto"/>
        </w:rPr>
      </w:pPr>
    </w:p>
    <w:p>
      <w:pPr>
        <w:ind w:right="140" w:firstLine="535"/>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ind w:right="180" w:firstLine="387"/>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ind w:right="20" w:firstLine="535"/>
        <w:spacing w:after="0" w:line="257" w:lineRule="auto"/>
        <w:rPr>
          <w:sz w:val="20"/>
          <w:szCs w:val="20"/>
          <w:color w:val="auto"/>
        </w:rPr>
      </w:pPr>
      <w:r>
        <w:rPr>
          <w:rFonts w:ascii="Arial" w:cs="Arial" w:eastAsia="Arial" w:hAnsi="Arial"/>
          <w:sz w:val="18"/>
          <w:szCs w:val="18"/>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ectPr>
          <w:pgSz w:w="11900" w:h="16911" w:orient="portrait"/>
          <w:cols w:equalWidth="0" w:num="1">
            <w:col w:w="11420"/>
          </w:cols>
          <w:pgMar w:left="240" w:top="908" w:right="239" w:bottom="0" w:gutter="0" w:footer="0" w:header="0"/>
        </w:sectPr>
      </w:pPr>
    </w:p>
    <w:bookmarkStart w:id="6" w:name="page7"/>
    <w:bookmarkEnd w:id="6"/>
    <w:p>
      <w:pPr>
        <w:ind w:firstLine="535"/>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ind w:right="360" w:firstLine="387"/>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 w:name="page8"/>
    <w:bookmarkEnd w:id="7"/>
    <w:p>
      <w:pPr>
        <w:ind w:right="240" w:firstLine="387"/>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ind w:right="120" w:firstLine="387"/>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ind w:right="60" w:firstLine="387"/>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ind w:right="100" w:firstLine="387"/>
        <w:spacing w:after="0" w:line="272"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78" w:lineRule="exact"/>
        <w:rPr>
          <w:sz w:val="20"/>
          <w:szCs w:val="20"/>
          <w:color w:val="auto"/>
        </w:rPr>
      </w:pPr>
    </w:p>
    <w:p>
      <w:pPr>
        <w:jc w:val="both"/>
        <w:ind w:right="500" w:firstLine="387"/>
        <w:spacing w:after="0" w:line="264"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181" w:lineRule="exact"/>
        <w:rPr>
          <w:sz w:val="20"/>
          <w:szCs w:val="20"/>
          <w:color w:val="auto"/>
        </w:rPr>
      </w:pPr>
    </w:p>
    <w:p>
      <w:pPr>
        <w:ind w:firstLine="387"/>
        <w:spacing w:after="0" w:line="271"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 available on the Public Access to Court Electronic Records (PACER) electronic public access service at http://www.pacer.uscourts.gov/, and was also filed by Vringo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ind w:firstLine="661"/>
        <w:spacing w:after="0" w:line="227" w:lineRule="auto"/>
        <w:rPr>
          <w:sz w:val="20"/>
          <w:szCs w:val="20"/>
          <w:color w:val="auto"/>
        </w:rPr>
      </w:pPr>
      <w:r>
        <w:rPr>
          <w:rFonts w:ascii="Arial" w:cs="Arial" w:eastAsia="Arial" w:hAnsi="Arial"/>
          <w:sz w:val="18"/>
          <w:szCs w:val="18"/>
          <w:color w:val="auto"/>
        </w:rPr>
        <w:t>Vringo is headquartered in New York, New York and was incorporated in Delaware in 2006. Vringo’s principal offices are located at 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 New York, New York 10001 and its telephone number is (646) 525-4319. Vringo’s principal website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or that can be accessed through Vringo’s website is not part of this prospectus. Vringo’s common stock is listed on the NYSE MKT and trades under the symbol “VRNG.”</w:t>
      </w: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45"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i w:val="1"/>
          <w:iCs w:val="1"/>
          <w:color w:val="auto"/>
        </w:rPr>
        <w:t>Investing in our securities involves significant risk. Prior to making a decision about investing in our securities, you should carefully consider the specific factors set forth below, together with all of the other information contained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on file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Relating to the Merger</w:t>
      </w:r>
    </w:p>
    <w:p>
      <w:pPr>
        <w:spacing w:after="0" w:line="225" w:lineRule="exact"/>
        <w:rPr>
          <w:sz w:val="20"/>
          <w:szCs w:val="20"/>
          <w:color w:val="auto"/>
        </w:rPr>
      </w:pPr>
    </w:p>
    <w:p>
      <w:pPr>
        <w:ind w:left="500" w:right="620" w:firstLine="270"/>
        <w:spacing w:after="0" w:line="282" w:lineRule="auto"/>
        <w:rPr>
          <w:sz w:val="20"/>
          <w:szCs w:val="20"/>
          <w:color w:val="auto"/>
        </w:rPr>
      </w:pPr>
      <w:r>
        <w:rPr>
          <w:rFonts w:ascii="Arial" w:cs="Arial" w:eastAsia="Arial" w:hAnsi="Arial"/>
          <w:sz w:val="18"/>
          <w:szCs w:val="18"/>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166" w:lineRule="exact"/>
        <w:rPr>
          <w:sz w:val="20"/>
          <w:szCs w:val="20"/>
          <w:color w:val="auto"/>
        </w:rPr>
      </w:pPr>
    </w:p>
    <w:p>
      <w:pPr>
        <w:ind w:left="500" w:right="1140" w:firstLine="270"/>
        <w:spacing w:after="0" w:line="277" w:lineRule="auto"/>
        <w:rPr>
          <w:sz w:val="20"/>
          <w:szCs w:val="20"/>
          <w:color w:val="auto"/>
        </w:rPr>
      </w:pPr>
      <w:r>
        <w:rPr>
          <w:rFonts w:ascii="Arial" w:cs="Arial" w:eastAsia="Arial" w:hAnsi="Arial"/>
          <w:sz w:val="18"/>
          <w:szCs w:val="18"/>
          <w:color w:val="auto"/>
        </w:rPr>
        <w:t>The success of the Merger will depend, in large part, on the ability of the combined company to realize the anticipated benefits from combining the businesses of Vringo and Innovate/Protect.</w:t>
      </w:r>
    </w:p>
    <w:p>
      <w:pPr>
        <w:spacing w:after="0" w:line="170" w:lineRule="exact"/>
        <w:rPr>
          <w:sz w:val="20"/>
          <w:szCs w:val="20"/>
          <w:color w:val="auto"/>
        </w:rPr>
      </w:pPr>
    </w:p>
    <w:p>
      <w:pPr>
        <w:ind w:left="500" w:right="1100" w:firstLine="270"/>
        <w:spacing w:after="0" w:line="277"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225"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the combined company;</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117"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2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We may not realize the potential value and benefits created by the Merger.</w:t>
      </w:r>
    </w:p>
    <w:p>
      <w:pPr>
        <w:spacing w:after="0" w:line="229" w:lineRule="exact"/>
        <w:rPr>
          <w:sz w:val="20"/>
          <w:szCs w:val="20"/>
          <w:color w:val="auto"/>
        </w:rPr>
      </w:pPr>
    </w:p>
    <w:p>
      <w:pPr>
        <w:ind w:left="500" w:right="420" w:firstLine="270"/>
        <w:spacing w:after="0" w:line="259" w:lineRule="auto"/>
        <w:rPr>
          <w:sz w:val="20"/>
          <w:szCs w:val="20"/>
          <w:color w:val="auto"/>
        </w:rPr>
      </w:pPr>
      <w:r>
        <w:rPr>
          <w:rFonts w:ascii="Arial" w:cs="Arial" w:eastAsia="Arial" w:hAnsi="Arial"/>
          <w:sz w:val="18"/>
          <w:szCs w:val="18"/>
          <w:color w:val="auto"/>
        </w:rPr>
        <w:t>The success of the Merger will depend, in part, on our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187"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lost sales and customers if any customer of Vringo decides not to do business with us after the Merger;</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117" w:lineRule="exact"/>
        <w:rPr>
          <w:rFonts w:ascii="Arial" w:cs="Arial" w:eastAsia="Arial" w:hAnsi="Arial"/>
          <w:sz w:val="18"/>
          <w:szCs w:val="18"/>
          <w:color w:val="auto"/>
        </w:rPr>
      </w:pPr>
    </w:p>
    <w:p>
      <w:pPr>
        <w:ind w:left="1060" w:right="2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our ability to realize any expected benefits on a timely basis, or at all.</w:t>
      </w:r>
    </w:p>
    <w:p>
      <w:pPr>
        <w:spacing w:after="0" w:line="279" w:lineRule="exact"/>
        <w:rPr>
          <w:sz w:val="20"/>
          <w:szCs w:val="20"/>
          <w:color w:val="auto"/>
        </w:rPr>
      </w:pPr>
    </w:p>
    <w:p>
      <w:pPr>
        <w:ind w:left="500" w:right="400" w:firstLine="270"/>
        <w:spacing w:after="0" w:line="257" w:lineRule="auto"/>
        <w:rPr>
          <w:sz w:val="20"/>
          <w:szCs w:val="20"/>
          <w:color w:val="auto"/>
        </w:rPr>
      </w:pPr>
      <w:r>
        <w:rPr>
          <w:rFonts w:ascii="Arial" w:cs="Arial" w:eastAsia="Arial" w:hAnsi="Arial"/>
          <w:sz w:val="18"/>
          <w:szCs w:val="18"/>
          <w:color w:val="auto"/>
        </w:rPr>
        <w:t>We may not accomplish the integration of Vringo’s and Innovate/Protect’s businesses smoothly, successfully, or within the anticipated costs or time frame. The diversion of the attention of management from our current operations to the integration effort and any difficulties encountered in combining businesses could prevent us from realizing the full expected potential value and benefits to result from the Merger and could adversely affect our business. In addition, the integration efforts could divert the focus and resources of our management from other strategic opportunities and operational matters during the integration process.</w:t>
      </w:r>
    </w:p>
    <w:p>
      <w:pPr>
        <w:spacing w:after="0" w:line="184" w:lineRule="exact"/>
        <w:rPr>
          <w:sz w:val="20"/>
          <w:szCs w:val="20"/>
          <w:color w:val="auto"/>
        </w:rPr>
      </w:pPr>
    </w:p>
    <w:p>
      <w:pPr>
        <w:ind w:left="500" w:right="1000" w:firstLine="270"/>
        <w:spacing w:after="0" w:line="282" w:lineRule="auto"/>
        <w:rPr>
          <w:sz w:val="20"/>
          <w:szCs w:val="20"/>
          <w:color w:val="auto"/>
        </w:rPr>
      </w:pPr>
      <w:r>
        <w:rPr>
          <w:rFonts w:ascii="Arial" w:cs="Arial" w:eastAsia="Arial" w:hAnsi="Arial"/>
          <w:sz w:val="18"/>
          <w:szCs w:val="18"/>
          <w:b w:val="1"/>
          <w:bCs w:val="1"/>
          <w:color w:val="auto"/>
        </w:rPr>
        <w:t>We will be dependent on certain key personnel, and the loss of these key personnel could have a material adverse effect on our business, financial condition and results of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right="80" w:firstLine="270"/>
        <w:spacing w:after="0" w:line="259" w:lineRule="auto"/>
        <w:rPr>
          <w:sz w:val="20"/>
          <w:szCs w:val="20"/>
          <w:color w:val="auto"/>
        </w:rPr>
      </w:pPr>
      <w:r>
        <w:rPr>
          <w:rFonts w:ascii="Arial" w:cs="Arial" w:eastAsia="Arial" w:hAnsi="Arial"/>
          <w:sz w:val="18"/>
          <w:szCs w:val="18"/>
          <w:color w:val="auto"/>
        </w:rPr>
        <w:t>Our success and future prospects largely depend on the skills, experience and efforts of our key personnel, including Andrew D. Perlman, our Chief Executive Officer, and Andrew Kennedy Lang, our Chief Technology Officer and President. The loss of Messrs. Perlman or Lang or other executives of our company, or our failure to retain other key personnel, would jeopardize our ability to execute our strategic plan and materially harm our business.</w:t>
      </w:r>
    </w:p>
    <w:p>
      <w:pPr>
        <w:spacing w:after="0" w:line="183" w:lineRule="exact"/>
        <w:rPr>
          <w:sz w:val="20"/>
          <w:szCs w:val="20"/>
          <w:color w:val="auto"/>
        </w:rPr>
      </w:pPr>
    </w:p>
    <w:p>
      <w:pPr>
        <w:ind w:right="1200" w:firstLine="270"/>
        <w:spacing w:after="0" w:line="282" w:lineRule="auto"/>
        <w:rPr>
          <w:sz w:val="20"/>
          <w:szCs w:val="20"/>
          <w:color w:val="auto"/>
        </w:rPr>
      </w:pPr>
      <w:r>
        <w:rPr>
          <w:rFonts w:ascii="Arial" w:cs="Arial" w:eastAsia="Arial" w:hAnsi="Arial"/>
          <w:sz w:val="18"/>
          <w:szCs w:val="18"/>
          <w:b w:val="1"/>
          <w:bCs w:val="1"/>
          <w:color w:val="auto"/>
        </w:rPr>
        <w:t>The Merger resulted in changes to our board of directors and we may pursue different strategies than either Vringo or Innovate/Protect may have pursued independently.</w:t>
      </w:r>
    </w:p>
    <w:p>
      <w:pPr>
        <w:spacing w:after="0" w:line="166"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The composition of our board of directors has changed in accordance with the Merger Agreement. Following the completion of the Merger, our board of directors now consists of seven members, including Seth M. Siegel, as Chairman, Andrew D. Perlman, John Engelman, Andrew Kennedy Lang, Alexander R. Berger, Donald E. Stout and H. Van Sinclair. Currently, it is anticipated that we will maximize the economic benefits of our intellectual property portfolio, add significant talent in technological innovation and potentially enhance our opportunities for revenue generation through the monetization of our company’s assets. However, because the composition of our board of directors will consist of directors from both Vringo and Innovate/Protect, we may determine to pursue certain business strategies that neither Vringo nor Innovate/Protect would have pursued independently.</w:t>
      </w:r>
    </w:p>
    <w:p>
      <w:pPr>
        <w:spacing w:after="0" w:line="185" w:lineRule="exact"/>
        <w:rPr>
          <w:sz w:val="20"/>
          <w:szCs w:val="20"/>
          <w:color w:val="auto"/>
        </w:rPr>
      </w:pPr>
    </w:p>
    <w:p>
      <w:pPr>
        <w:ind w:right="600" w:firstLine="270"/>
        <w:spacing w:after="0" w:line="347" w:lineRule="auto"/>
        <w:rPr>
          <w:sz w:val="20"/>
          <w:szCs w:val="20"/>
          <w:color w:val="auto"/>
        </w:rPr>
      </w:pPr>
      <w:r>
        <w:rPr>
          <w:rFonts w:ascii="Arial" w:cs="Arial" w:eastAsia="Arial" w:hAnsi="Arial"/>
          <w:sz w:val="16"/>
          <w:szCs w:val="16"/>
          <w:b w:val="1"/>
          <w:bCs w:val="1"/>
          <w:color w:val="auto"/>
        </w:rPr>
        <w:t>Ownership of our common stock may be highly concentrated, and it may prevent you and other stockholders from influencing significant corporate decisions and may result in conflicts of interest that could cause our stock price to decline.</w:t>
      </w:r>
    </w:p>
    <w:p>
      <w:pPr>
        <w:spacing w:after="0" w:line="120"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After giving effect to the Merger, our executive officers and directors beneficially own or control approximately 38.4% of our company. Accordingly, these executive officers and directors, acting individually or as a group, will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our company,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61" w:lineRule="exact"/>
        <w:rPr>
          <w:sz w:val="20"/>
          <w:szCs w:val="20"/>
          <w:color w:val="auto"/>
        </w:rPr>
      </w:pPr>
    </w:p>
    <w:p>
      <w:pPr>
        <w:jc w:val="both"/>
        <w:ind w:right="80" w:firstLine="270"/>
        <w:spacing w:after="0" w:line="266" w:lineRule="auto"/>
        <w:rPr>
          <w:sz w:val="20"/>
          <w:szCs w:val="20"/>
          <w:color w:val="auto"/>
        </w:rPr>
      </w:pPr>
      <w:r>
        <w:rPr>
          <w:rFonts w:ascii="Arial" w:cs="Arial" w:eastAsia="Arial" w:hAnsi="Arial"/>
          <w:sz w:val="18"/>
          <w:szCs w:val="18"/>
          <w:b w:val="1"/>
          <w:bCs w:val="1"/>
          <w:color w:val="auto"/>
        </w:rPr>
        <w:t>Our success will depend in part on relationships with third parties, which relationships may be affected by third-party preferences or public attitudes about the Merger. Any adverse changes in these relationships could adversely affect our business, financial condition, or results of operations.</w:t>
      </w:r>
    </w:p>
    <w:p>
      <w:pPr>
        <w:spacing w:after="0" w:line="180"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Our success will be dependent on our ability to maintain and renew the business relationships of both Vringo and Innovate/Protect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67" w:lineRule="exact"/>
        <w:rPr>
          <w:sz w:val="20"/>
          <w:szCs w:val="20"/>
          <w:color w:val="auto"/>
        </w:rPr>
      </w:pPr>
    </w:p>
    <w:p>
      <w:pPr>
        <w:ind w:right="100" w:firstLine="270"/>
        <w:spacing w:after="0" w:line="347" w:lineRule="auto"/>
        <w:rPr>
          <w:sz w:val="20"/>
          <w:szCs w:val="20"/>
          <w:color w:val="auto"/>
        </w:rPr>
      </w:pPr>
      <w:r>
        <w:rPr>
          <w:rFonts w:ascii="Arial" w:cs="Arial" w:eastAsia="Arial" w:hAnsi="Arial"/>
          <w:sz w:val="16"/>
          <w:szCs w:val="16"/>
          <w:b w:val="1"/>
          <w:bCs w:val="1"/>
          <w:color w:val="auto"/>
        </w:rPr>
        <w:t>Our future results may differ materially from the unaudited pro forma financial statements presented in connection with the Merger and the financial forecasts prepared by Vringo and Innovate/Protect in connection with discussions concerning the Merger.</w:t>
      </w:r>
    </w:p>
    <w:p>
      <w:pPr>
        <w:spacing w:after="0" w:line="120"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Our future results may be materially different from those shown in the unaudited pro forma combined financial statements prepared in connection with the Merger, which show only a combination of the historical results of Vringo and Innovate/Protect prepared by Vringo and Innovate/Protect in connection with discussions concerning the Merger. We expect to incur significant costs associated with the completion of the Merger and combining the operations of the two companies. The exact magnitude of these costs are not yet known, but are estimated to be approximately $0.9 million. Furthermore, these costs may decrease the capital that we could use for continued development of our business in the future or may cause us to seek to raise new capital sooner than expected.</w:t>
      </w:r>
    </w:p>
    <w:p>
      <w:pPr>
        <w:spacing w:after="0" w:line="174" w:lineRule="exact"/>
        <w:rPr>
          <w:sz w:val="20"/>
          <w:szCs w:val="20"/>
          <w:color w:val="auto"/>
        </w:rPr>
      </w:pPr>
    </w:p>
    <w:p>
      <w:pPr>
        <w:ind w:right="20" w:firstLine="270"/>
        <w:spacing w:after="0" w:line="282" w:lineRule="auto"/>
        <w:rPr>
          <w:sz w:val="20"/>
          <w:szCs w:val="20"/>
          <w:color w:val="auto"/>
        </w:rPr>
      </w:pPr>
      <w:r>
        <w:rPr>
          <w:rFonts w:ascii="Arial" w:cs="Arial" w:eastAsia="Arial" w:hAnsi="Arial"/>
          <w:sz w:val="18"/>
          <w:szCs w:val="18"/>
          <w:b w:val="1"/>
          <w:bCs w:val="1"/>
          <w:color w:val="auto"/>
        </w:rPr>
        <w:t>We will require additional capital to support our present business plan and our anticipated business growth, and such capital may not be available on acceptable terms, or at all, which would adversely affect our ability to operate.</w:t>
      </w:r>
    </w:p>
    <w:p>
      <w:pPr>
        <w:spacing w:after="0" w:line="166"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color w:val="auto"/>
        </w:rPr>
        <w:t>Based on our current operating plans, the current resources of the combined company, together with existing funding commitments, are expected to be sufficient to fund its planned operations at least for the coming twelve months. We may need to raise additional funds in connection with any acquisitions of patent portfolios or other intellectual property assets that we pursue. Any such financing that we undertake will likely be dilutive to Vringo’s current stockholders.</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8" w:right="619" w:bottom="1440" w:gutter="0" w:footer="0" w:header="0"/>
        </w:sectPr>
      </w:pPr>
    </w:p>
    <w:bookmarkStart w:id="11" w:name="page12"/>
    <w:bookmarkEnd w:id="11"/>
    <w:p>
      <w:pPr>
        <w:ind w:right="40" w:firstLine="270"/>
        <w:spacing w:after="0" w:line="285"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when incurred, will be guaranteed by each of the Vringo entities and secured by a first priority lien on all assets of the Vringo entities. Although the combined company has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173"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intend to continue to make investments to support our business growth, including patent or other intellectual property asset creation. In addition, we may also need additional funds to respond to business opportunities and challenges, including our ongoing operating expenses, protecting our assets, satisfying debt payment obligations, developing new lines of business and enhancing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w:t>
      </w:r>
    </w:p>
    <w:p>
      <w:pPr>
        <w:spacing w:after="0" w:line="167"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In addition, the rights of the holders of Vringo preferred stock could adversely affect the combined company’s ability to raise additional funds, in particular, because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As of June 30,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business and financial condition could be constrained by the debt incurred in connection with the Merger.</w:t>
      </w:r>
    </w:p>
    <w:p>
      <w:pPr>
        <w:spacing w:after="0" w:line="229"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On July 19, 2012, in connection with the consummation of the Merger and in accordance with the Merger Agreement, Vringo entered into an Amended and Restated Pledge and Security Agreement and an Amended and Restated Guaranty with each of its subsidiaries to guaranty the obligations of Innovate/Protect under that certain Amended and Restated Senior Secured Promissory Note (the “Secured Note”), dated July 19, 2012, by and between Innovate/Protect and Hudson Bay. As of the Closing Date, the outstanding balance under the Secured Note was $3.2 million. The Secured Note accrues interest at 0.46% per annum and matures on June 22, 2013. From and after the date upon which (i) Vringo and its subsidiaries have more than $15,000,000 in the aggregate of cash and cash equivalents, Hudson Bay may require Vringo to redeem up to 50% of the outstanding principal amount of the Secured Note, (ii) Vringo and its subsidiaries have more than $20,000,000 in the aggregate of cash and cash equivalents, Hudson Bay may require Vringo to redeem up to 100% of the outstanding principal of the Secured Note, and (iii) Vringo and its subsidiaries receive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Secured Note provides that in the event of a change of control, Hudson Bay may require Vringo to redeem all or any portion of the Secured Note at a price in cash equal to 125% of the amount redeemed. Innovate/Protect has granted Hudson Bay a security interest in all of its tangible and intangible personal property (including the Lycos’s patents) to secure its obligations under the Secured Note. In connection with the Merger, Vringo assumed the Secured Note and guarantied the obligations thereunder.</w:t>
      </w: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8" w:right="619" w:bottom="1440" w:gutter="0" w:footer="0" w:header="0"/>
        </w:sectPr>
      </w:pPr>
    </w:p>
    <w:bookmarkStart w:id="12" w:name="page13"/>
    <w:bookmarkEnd w:id="12"/>
    <w:p>
      <w:pPr>
        <w:ind w:firstLine="270"/>
        <w:spacing w:after="0" w:line="267" w:lineRule="auto"/>
        <w:rPr>
          <w:sz w:val="20"/>
          <w:szCs w:val="20"/>
          <w:color w:val="auto"/>
        </w:rPr>
      </w:pPr>
      <w:r>
        <w:rPr>
          <w:rFonts w:ascii="Arial" w:cs="Arial" w:eastAsia="Arial" w:hAnsi="Arial"/>
          <w:sz w:val="17"/>
          <w:szCs w:val="17"/>
          <w:color w:val="auto"/>
        </w:rPr>
        <w:t>In addition, 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as described above.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193"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connection with the Merger, Vringo guaranteed the senior secured note and any financing drawn down under new facility. This could have a material adverse effect on our financial condition following the Merger, including limiting our ability to incur additional indebtedness, limiting our available funds for future operations and making us vulnerable to economic or industry downturns.</w:t>
      </w:r>
    </w:p>
    <w:p>
      <w:pPr>
        <w:spacing w:after="0" w:line="177"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The price of our common stock following the Merger may be affected by factors different from those previously affecting the shares of Vringo.</w:t>
      </w:r>
    </w:p>
    <w:p>
      <w:pPr>
        <w:spacing w:after="0" w:line="166" w:lineRule="exact"/>
        <w:rPr>
          <w:sz w:val="20"/>
          <w:szCs w:val="20"/>
          <w:color w:val="auto"/>
        </w:rPr>
      </w:pPr>
    </w:p>
    <w:p>
      <w:pPr>
        <w:jc w:val="both"/>
        <w:ind w:right="140" w:firstLine="270"/>
        <w:spacing w:after="0" w:line="257" w:lineRule="auto"/>
        <w:rPr>
          <w:sz w:val="20"/>
          <w:szCs w:val="20"/>
          <w:color w:val="auto"/>
        </w:rPr>
      </w:pPr>
      <w:r>
        <w:rPr>
          <w:rFonts w:ascii="Arial" w:cs="Arial" w:eastAsia="Arial" w:hAnsi="Arial"/>
          <w:sz w:val="18"/>
          <w:szCs w:val="18"/>
          <w:color w:val="auto"/>
        </w:rPr>
        <w:t>Upon completion of the Merger, holders of Innovate/Protect capital stock became holders of Vringo common stock and preferred stock. The business of Vringo differs from the business of Innovate/Protect and, accordingly, our results of operations and the trading price of our common stock following the completion of the Merger may be significantly affected by factors different from those previously affecting the independent results of operations of Vringo because the combined company will be conducting activities not undertaken by Vringo prior to the completion of the Merger.</w:t>
      </w:r>
    </w:p>
    <w:p>
      <w:pPr>
        <w:spacing w:after="0" w:line="184"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Material weaknesses may exist when we report on the effectiveness of our internal control over financial reporting for purposes of our reporting requirements.</w:t>
      </w:r>
    </w:p>
    <w:p>
      <w:pPr>
        <w:spacing w:after="0" w:line="166"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Prior to the Merger, Innovate/Protect was not subject to most provisions of Sarbanes-Oxley Act of 2002 (“Sarbanes-Oxley”).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we will be required to provide management’s report on internal control over financial reporting in our Annual Report on Form 10-K for the year ending December 31, 2012, as required by Section 404 of Sarbanes-Oxley. Material weaknesses may exist when we report on the effectiveness of our internal control over financial reporting for purposes of our reporting requirements under the Exchange Act or Section 404 of Sarbanes-Oxley. The existence of one or more material weaknesses would preclude a conclusion that we maintain effective internal control over financial reporting. Such a conclusion would be required to be disclosed in our future Annual Reports on Form 10-K and could impact the accuracy and timing of our financial reporting and the reliability of our internal control over financial reporting, which could harm our reputation and cause the market price of our common stock to drop.</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We do not expect to pay cash dividends on our common stock.</w:t>
      </w:r>
    </w:p>
    <w:p>
      <w:pPr>
        <w:spacing w:after="0" w:line="229" w:lineRule="exact"/>
        <w:rPr>
          <w:sz w:val="20"/>
          <w:szCs w:val="20"/>
          <w:color w:val="auto"/>
        </w:rPr>
      </w:pPr>
    </w:p>
    <w:p>
      <w:pPr>
        <w:ind w:right="640" w:firstLine="270"/>
        <w:spacing w:after="0" w:line="342" w:lineRule="auto"/>
        <w:rPr>
          <w:sz w:val="20"/>
          <w:szCs w:val="20"/>
          <w:color w:val="auto"/>
        </w:rPr>
      </w:pPr>
      <w:r>
        <w:rPr>
          <w:rFonts w:ascii="Arial" w:cs="Arial" w:eastAsia="Arial" w:hAnsi="Arial"/>
          <w:sz w:val="16"/>
          <w:szCs w:val="16"/>
          <w:color w:val="auto"/>
        </w:rPr>
        <w:t>We anticipate that the combined company will retain its earnings, if any, for future growth and therefore do not anticipate paying cash dividends on our common stock in the future. Investors seeking cash dividends should not invest in our common stock for that purpose.</w:t>
      </w:r>
    </w:p>
    <w:p>
      <w:pPr>
        <w:spacing w:after="0" w:line="120" w:lineRule="exact"/>
        <w:rPr>
          <w:sz w:val="20"/>
          <w:szCs w:val="20"/>
          <w:color w:val="auto"/>
        </w:rPr>
      </w:pPr>
    </w:p>
    <w:p>
      <w:pPr>
        <w:ind w:right="660" w:firstLine="270"/>
        <w:spacing w:after="0" w:line="282" w:lineRule="auto"/>
        <w:rPr>
          <w:sz w:val="20"/>
          <w:szCs w:val="20"/>
          <w:color w:val="auto"/>
        </w:rPr>
      </w:pPr>
      <w:r>
        <w:rPr>
          <w:rFonts w:ascii="Arial" w:cs="Arial" w:eastAsia="Arial" w:hAnsi="Arial"/>
          <w:sz w:val="18"/>
          <w:szCs w:val="18"/>
          <w:b w:val="1"/>
          <w:bCs w:val="1"/>
          <w:color w:val="auto"/>
        </w:rPr>
        <w:t>Anti-takeover provisions in our charter and bylaws may prevent or frustrate attempts by stockholders to change the board of directors or current management and could make a third-party acquisition of our company difficult.</w:t>
      </w:r>
    </w:p>
    <w:p>
      <w:pPr>
        <w:spacing w:after="0" w:line="166" w:lineRule="exact"/>
        <w:rPr>
          <w:sz w:val="20"/>
          <w:szCs w:val="20"/>
          <w:color w:val="auto"/>
        </w:rPr>
      </w:pPr>
    </w:p>
    <w:p>
      <w:pPr>
        <w:ind w:right="80" w:firstLine="270"/>
        <w:spacing w:after="0" w:line="312" w:lineRule="auto"/>
        <w:rPr>
          <w:sz w:val="20"/>
          <w:szCs w:val="20"/>
          <w:color w:val="auto"/>
        </w:rPr>
      </w:pPr>
      <w:r>
        <w:rPr>
          <w:rFonts w:ascii="Arial" w:cs="Arial" w:eastAsia="Arial" w:hAnsi="Arial"/>
          <w:sz w:val="16"/>
          <w:szCs w:val="16"/>
          <w:color w:val="auto"/>
        </w:rPr>
        <w:t>Our certificate of incorporation and bylaws contains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8" w:right="6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Innovate/Protect’s limited operating history makes it difficult to evaluate its current business and future prospects.</w:t>
      </w:r>
    </w:p>
    <w:p>
      <w:pPr>
        <w:spacing w:after="0" w:line="229"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178"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170" w:lineRule="exact"/>
        <w:rPr>
          <w:sz w:val="20"/>
          <w:szCs w:val="20"/>
          <w:color w:val="auto"/>
        </w:rPr>
      </w:pPr>
    </w:p>
    <w:p>
      <w:pPr>
        <w:ind w:left="560" w:hanging="323"/>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Innovate/Protect cannot execute any one of the foregoing or similar matters relating to its operations, its business may fail.</w:t>
      </w:r>
    </w:p>
    <w:p>
      <w:pPr>
        <w:spacing w:after="0" w:line="221" w:lineRule="exact"/>
        <w:rPr>
          <w:sz w:val="20"/>
          <w:szCs w:val="20"/>
          <w:color w:val="auto"/>
        </w:rPr>
      </w:pPr>
    </w:p>
    <w:p>
      <w:pPr>
        <w:ind w:right="240" w:firstLine="270"/>
        <w:spacing w:after="0" w:line="266"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180" w:lineRule="exact"/>
        <w:rPr>
          <w:sz w:val="20"/>
          <w:szCs w:val="20"/>
          <w:color w:val="auto"/>
        </w:rPr>
      </w:pPr>
    </w:p>
    <w:p>
      <w:pPr>
        <w:ind w:right="100" w:firstLine="270"/>
        <w:spacing w:after="0" w:line="286" w:lineRule="auto"/>
        <w:rPr>
          <w:sz w:val="20"/>
          <w:szCs w:val="20"/>
          <w:color w:val="auto"/>
        </w:rPr>
      </w:pPr>
      <w:r>
        <w:rPr>
          <w:rFonts w:ascii="Arial" w:cs="Arial" w:eastAsia="Arial" w:hAnsi="Arial"/>
          <w:sz w:val="17"/>
          <w:szCs w:val="17"/>
          <w:color w:val="auto"/>
        </w:rPr>
        <w:t>At Innovate/Protect’s formation in June 2011, Innovate/Protect acquired a portfolio of patent assets from Lycos that Innovate/Protect plans to license or otherwise monetize. If Innovate/Protect’s efforts to generate revenue from such assets fail, Innovate/Protect will have incurred significant losses and may be unable to acquire additional assets. If this occurs, Innovate/Protect’s business would likely fail.</w:t>
      </w:r>
    </w:p>
    <w:p>
      <w:pPr>
        <w:spacing w:after="0" w:line="162" w:lineRule="exact"/>
        <w:rPr>
          <w:sz w:val="20"/>
          <w:szCs w:val="20"/>
          <w:color w:val="auto"/>
        </w:rPr>
      </w:pPr>
    </w:p>
    <w:p>
      <w:pPr>
        <w:ind w:right="400" w:firstLine="270"/>
        <w:spacing w:after="0" w:line="266"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0"/>
          </w:cols>
          <w:pgMar w:left="740" w:top="904" w:right="639" w:bottom="1440" w:gutter="0" w:footer="0" w:header="0"/>
        </w:sectPr>
      </w:pPr>
    </w:p>
    <w:bookmarkStart w:id="14" w:name="page15"/>
    <w:bookmarkEnd w:id="14"/>
    <w:p>
      <w:pPr>
        <w:ind w:right="100" w:firstLine="270"/>
        <w:spacing w:after="0" w:line="272" w:lineRule="auto"/>
        <w:rPr>
          <w:sz w:val="20"/>
          <w:szCs w:val="20"/>
          <w:color w:val="auto"/>
        </w:rPr>
      </w:pPr>
      <w:r>
        <w:rPr>
          <w:rFonts w:ascii="Arial" w:cs="Arial" w:eastAsia="Arial" w:hAnsi="Arial"/>
          <w:sz w:val="17"/>
          <w:szCs w:val="17"/>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178"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165" w:lineRule="exact"/>
        <w:rPr>
          <w:sz w:val="20"/>
          <w:szCs w:val="20"/>
          <w:color w:val="auto"/>
        </w:rPr>
      </w:pPr>
    </w:p>
    <w:p>
      <w:pPr>
        <w:ind w:right="80" w:firstLine="270"/>
        <w:spacing w:after="0" w:line="295" w:lineRule="auto"/>
        <w:rPr>
          <w:sz w:val="20"/>
          <w:szCs w:val="20"/>
          <w:color w:val="auto"/>
        </w:rPr>
      </w:pPr>
      <w:r>
        <w:rPr>
          <w:rFonts w:ascii="Arial" w:cs="Arial" w:eastAsia="Arial" w:hAnsi="Arial"/>
          <w:sz w:val="16"/>
          <w:szCs w:val="16"/>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160"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167" w:lineRule="exact"/>
        <w:rPr>
          <w:sz w:val="20"/>
          <w:szCs w:val="20"/>
          <w:color w:val="auto"/>
        </w:rPr>
      </w:pPr>
    </w:p>
    <w:p>
      <w:pPr>
        <w:ind w:right="540" w:firstLine="270"/>
        <w:spacing w:after="0" w:line="308" w:lineRule="auto"/>
        <w:rPr>
          <w:sz w:val="20"/>
          <w:szCs w:val="20"/>
          <w:color w:val="auto"/>
        </w:rPr>
      </w:pPr>
      <w:r>
        <w:rPr>
          <w:rFonts w:ascii="Arial" w:cs="Arial" w:eastAsia="Arial" w:hAnsi="Arial"/>
          <w:sz w:val="17"/>
          <w:szCs w:val="17"/>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147"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178"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181"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0"/>
          </w:cols>
          <w:pgMar w:left="740" w:top="908" w:right="639" w:bottom="1440" w:gutter="0" w:footer="0" w:header="0"/>
        </w:sectPr>
      </w:pPr>
    </w:p>
    <w:bookmarkStart w:id="15" w:name="page16"/>
    <w:bookmarkEnd w:id="15"/>
    <w:p>
      <w:pPr>
        <w:jc w:val="both"/>
        <w:ind w:right="860" w:firstLine="270"/>
        <w:spacing w:after="0" w:line="266"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180" w:lineRule="exact"/>
        <w:rPr>
          <w:sz w:val="20"/>
          <w:szCs w:val="20"/>
          <w:color w:val="auto"/>
        </w:rPr>
      </w:pPr>
    </w:p>
    <w:p>
      <w:pPr>
        <w:ind w:right="500" w:firstLine="270"/>
        <w:spacing w:after="0" w:line="255" w:lineRule="auto"/>
        <w:rPr>
          <w:sz w:val="20"/>
          <w:szCs w:val="20"/>
          <w:color w:val="auto"/>
        </w:rPr>
      </w:pPr>
      <w:r>
        <w:rPr>
          <w:rFonts w:ascii="Arial" w:cs="Arial" w:eastAsia="Arial" w:hAnsi="Arial"/>
          <w:sz w:val="18"/>
          <w:szCs w:val="18"/>
          <w:color w:val="auto"/>
        </w:rPr>
        <w:t>Members of our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our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193" w:lineRule="exact"/>
        <w:rPr>
          <w:sz w:val="20"/>
          <w:szCs w:val="20"/>
          <w:color w:val="auto"/>
        </w:rPr>
      </w:pPr>
    </w:p>
    <w:p>
      <w:pPr>
        <w:ind w:right="720" w:firstLine="270"/>
        <w:spacing w:after="0" w:line="259"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187" w:lineRule="exact"/>
        <w:rPr>
          <w:sz w:val="20"/>
          <w:szCs w:val="20"/>
          <w:color w:val="auto"/>
        </w:rPr>
      </w:pPr>
    </w:p>
    <w:p>
      <w:pPr>
        <w:ind w:left="560" w:right="440" w:hanging="323"/>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170"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225" w:lineRule="exact"/>
        <w:rPr>
          <w:rFonts w:ascii="Arial" w:cs="Arial" w:eastAsia="Arial" w:hAnsi="Arial"/>
          <w:sz w:val="18"/>
          <w:szCs w:val="18"/>
          <w:color w:val="auto"/>
        </w:rPr>
      </w:pPr>
    </w:p>
    <w:p>
      <w:pPr>
        <w:ind w:left="560" w:hanging="323"/>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spacing w:after="0" w:line="170"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225" w:lineRule="exact"/>
        <w:rPr>
          <w:sz w:val="20"/>
          <w:szCs w:val="20"/>
          <w:color w:val="auto"/>
        </w:rPr>
      </w:pPr>
    </w:p>
    <w:p>
      <w:pPr>
        <w:ind w:right="400" w:firstLine="270"/>
        <w:spacing w:after="0" w:line="269" w:lineRule="auto"/>
        <w:rPr>
          <w:sz w:val="20"/>
          <w:szCs w:val="20"/>
          <w:color w:val="auto"/>
        </w:rPr>
      </w:pPr>
      <w:r>
        <w:rPr>
          <w:rFonts w:ascii="Arial" w:cs="Arial" w:eastAsia="Arial" w:hAnsi="Arial"/>
          <w:sz w:val="17"/>
          <w:szCs w:val="17"/>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183" w:lineRule="exact"/>
        <w:rPr>
          <w:sz w:val="20"/>
          <w:szCs w:val="20"/>
          <w:color w:val="auto"/>
        </w:rPr>
      </w:pPr>
    </w:p>
    <w:p>
      <w:pPr>
        <w:ind w:right="460" w:firstLine="270"/>
        <w:spacing w:after="0" w:line="342" w:lineRule="auto"/>
        <w:rPr>
          <w:sz w:val="20"/>
          <w:szCs w:val="20"/>
          <w:color w:val="auto"/>
        </w:rPr>
      </w:pPr>
      <w:r>
        <w:rPr>
          <w:rFonts w:ascii="Arial" w:cs="Arial" w:eastAsia="Arial" w:hAnsi="Arial"/>
          <w:sz w:val="16"/>
          <w:szCs w:val="16"/>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120" w:lineRule="exact"/>
        <w:rPr>
          <w:sz w:val="20"/>
          <w:szCs w:val="20"/>
          <w:color w:val="auto"/>
        </w:rPr>
      </w:pPr>
    </w:p>
    <w:p>
      <w:pPr>
        <w:ind w:right="940" w:firstLine="270"/>
        <w:spacing w:after="0" w:line="282" w:lineRule="auto"/>
        <w:rPr>
          <w:sz w:val="20"/>
          <w:szCs w:val="20"/>
          <w:color w:val="auto"/>
        </w:rPr>
      </w:pPr>
      <w:r>
        <w:rPr>
          <w:rFonts w:ascii="Arial" w:cs="Arial" w:eastAsia="Arial" w:hAnsi="Arial"/>
          <w:sz w:val="18"/>
          <w:szCs w:val="18"/>
          <w:b w:val="1"/>
          <w:bCs w:val="1"/>
          <w:color w:val="auto"/>
        </w:rPr>
        <w:t>New legislation, regulations or court rulings related to enforcing patents could harm Innovate/Protect’s business and operating results.</w:t>
      </w:r>
    </w:p>
    <w:p>
      <w:pPr>
        <w:spacing w:after="0" w:line="166" w:lineRule="exact"/>
        <w:rPr>
          <w:sz w:val="20"/>
          <w:szCs w:val="20"/>
          <w:color w:val="auto"/>
        </w:rPr>
      </w:pPr>
    </w:p>
    <w:p>
      <w:pPr>
        <w:ind w:right="460" w:firstLine="270"/>
        <w:spacing w:after="0" w:line="257" w:lineRule="auto"/>
        <w:rPr>
          <w:sz w:val="20"/>
          <w:szCs w:val="20"/>
          <w:color w:val="auto"/>
        </w:rPr>
      </w:pPr>
      <w:r>
        <w:rPr>
          <w:rFonts w:ascii="Arial" w:cs="Arial" w:eastAsia="Arial" w:hAnsi="Arial"/>
          <w:sz w:val="18"/>
          <w:szCs w:val="18"/>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188" w:lineRule="exact"/>
        <w:rPr>
          <w:sz w:val="20"/>
          <w:szCs w:val="20"/>
          <w:color w:val="auto"/>
        </w:rPr>
      </w:pPr>
    </w:p>
    <w:p>
      <w:pPr>
        <w:ind w:right="420" w:firstLine="270"/>
        <w:spacing w:after="0" w:line="271"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4" w:right="239" w:bottom="32" w:gutter="0" w:footer="0" w:header="0"/>
        </w:sectPr>
      </w:pPr>
    </w:p>
    <w:bookmarkStart w:id="16" w:name="page17"/>
    <w:bookmarkEnd w:id="16"/>
    <w:p>
      <w:pPr>
        <w:ind w:right="80" w:firstLine="270"/>
        <w:spacing w:after="0" w:line="259" w:lineRule="auto"/>
        <w:rPr>
          <w:sz w:val="20"/>
          <w:szCs w:val="20"/>
          <w:color w:val="auto"/>
        </w:rPr>
      </w:pPr>
      <w:r>
        <w:rPr>
          <w:rFonts w:ascii="Arial" w:cs="Arial" w:eastAsia="Arial" w:hAnsi="Arial"/>
          <w:sz w:val="18"/>
          <w:szCs w:val="18"/>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183" w:lineRule="exact"/>
        <w:rPr>
          <w:sz w:val="20"/>
          <w:szCs w:val="20"/>
          <w:color w:val="auto"/>
        </w:rPr>
      </w:pPr>
    </w:p>
    <w:p>
      <w:pPr>
        <w:ind w:right="1040" w:firstLine="270"/>
        <w:spacing w:after="0" w:line="282"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166"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 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167"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171" w:lineRule="exact"/>
        <w:rPr>
          <w:sz w:val="20"/>
          <w:szCs w:val="20"/>
          <w:color w:val="auto"/>
        </w:rPr>
      </w:pPr>
    </w:p>
    <w:p>
      <w:pPr>
        <w:ind w:right="120" w:firstLine="270"/>
        <w:spacing w:after="0" w:line="279" w:lineRule="auto"/>
        <w:rPr>
          <w:sz w:val="20"/>
          <w:szCs w:val="20"/>
          <w:color w:val="auto"/>
        </w:rPr>
      </w:pPr>
      <w:r>
        <w:rPr>
          <w:rFonts w:ascii="Arial" w:cs="Arial" w:eastAsia="Arial" w:hAnsi="Arial"/>
          <w:sz w:val="17"/>
          <w:szCs w:val="17"/>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167" w:lineRule="exact"/>
        <w:rPr>
          <w:sz w:val="20"/>
          <w:szCs w:val="20"/>
          <w:color w:val="auto"/>
        </w:rPr>
      </w:pPr>
    </w:p>
    <w:p>
      <w:pPr>
        <w:ind w:right="80" w:firstLine="270"/>
        <w:spacing w:after="0" w:line="347" w:lineRule="auto"/>
        <w:rPr>
          <w:sz w:val="20"/>
          <w:szCs w:val="20"/>
          <w:color w:val="auto"/>
        </w:rPr>
      </w:pPr>
      <w:r>
        <w:rPr>
          <w:rFonts w:ascii="Arial" w:cs="Arial" w:eastAsia="Arial" w:hAnsi="Arial"/>
          <w:sz w:val="16"/>
          <w:szCs w:val="16"/>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120"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189" w:lineRule="exact"/>
        <w:rPr>
          <w:sz w:val="20"/>
          <w:szCs w:val="20"/>
          <w:color w:val="auto"/>
        </w:rPr>
      </w:pPr>
    </w:p>
    <w:p>
      <w:pPr>
        <w:ind w:right="180" w:firstLine="270"/>
        <w:spacing w:after="0" w:line="313" w:lineRule="auto"/>
        <w:rPr>
          <w:sz w:val="20"/>
          <w:szCs w:val="20"/>
          <w:color w:val="auto"/>
        </w:rPr>
      </w:pPr>
      <w:r>
        <w:rPr>
          <w:rFonts w:ascii="Arial" w:cs="Arial" w:eastAsia="Arial" w:hAnsi="Arial"/>
          <w:sz w:val="17"/>
          <w:szCs w:val="17"/>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142"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173"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8" w:right="619" w:bottom="1440" w:gutter="0" w:footer="0" w:header="0"/>
        </w:sectPr>
      </w:pPr>
    </w:p>
    <w:bookmarkStart w:id="17" w:name="page18"/>
    <w:bookmarkEnd w:id="17"/>
    <w:p>
      <w:pPr>
        <w:ind w:right="440" w:firstLine="270"/>
        <w:spacing w:after="0" w:line="277" w:lineRule="auto"/>
        <w:rPr>
          <w:sz w:val="20"/>
          <w:szCs w:val="20"/>
          <w:color w:val="auto"/>
        </w:rPr>
      </w:pPr>
      <w:r>
        <w:rPr>
          <w:rFonts w:ascii="Arial" w:cs="Arial" w:eastAsia="Arial" w:hAnsi="Arial"/>
          <w:sz w:val="18"/>
          <w:szCs w:val="18"/>
          <w:color w:val="auto"/>
        </w:rPr>
        <w:t>Despite Innovate/Protect’s efforts to protect its intellectual property rights, any of the following or similar occurrences may reduce the value of Innovate/Protect’s intellectual property:</w:t>
      </w:r>
    </w:p>
    <w:p>
      <w:pPr>
        <w:spacing w:after="0" w:line="170" w:lineRule="exact"/>
        <w:rPr>
          <w:sz w:val="20"/>
          <w:szCs w:val="20"/>
          <w:color w:val="auto"/>
        </w:rPr>
      </w:pPr>
    </w:p>
    <w:p>
      <w:pPr>
        <w:ind w:left="560" w:hanging="32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Innovate/Protect’s applications for patents, trademarks and copyrights may not be granted and, if granted, may be challenged or invalidated;</w:t>
      </w:r>
    </w:p>
    <w:p>
      <w:pPr>
        <w:spacing w:after="0" w:line="248" w:lineRule="exact"/>
        <w:rPr>
          <w:rFonts w:ascii="Arial" w:cs="Arial" w:eastAsia="Arial" w:hAnsi="Arial"/>
          <w:sz w:val="16"/>
          <w:szCs w:val="16"/>
          <w:color w:val="auto"/>
        </w:rPr>
      </w:pPr>
    </w:p>
    <w:p>
      <w:pPr>
        <w:ind w:left="560" w:right="340" w:hanging="323"/>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spacing w:after="0" w:line="170" w:lineRule="exact"/>
        <w:rPr>
          <w:rFonts w:ascii="Arial" w:cs="Arial" w:eastAsia="Arial" w:hAnsi="Arial"/>
          <w:sz w:val="18"/>
          <w:szCs w:val="18"/>
          <w:color w:val="auto"/>
        </w:rPr>
      </w:pPr>
    </w:p>
    <w:p>
      <w:pPr>
        <w:ind w:left="560" w:right="180" w:hanging="323"/>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spacing w:after="0" w:line="170" w:lineRule="exact"/>
        <w:rPr>
          <w:rFonts w:ascii="Arial" w:cs="Arial" w:eastAsia="Arial" w:hAnsi="Arial"/>
          <w:sz w:val="18"/>
          <w:szCs w:val="18"/>
          <w:color w:val="auto"/>
        </w:rPr>
      </w:pPr>
    </w:p>
    <w:p>
      <w:pPr>
        <w:ind w:left="560" w:hanging="323"/>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170" w:lineRule="exact"/>
        <w:rPr>
          <w:sz w:val="20"/>
          <w:szCs w:val="20"/>
          <w:color w:val="auto"/>
        </w:rPr>
      </w:pPr>
    </w:p>
    <w:p>
      <w:pPr>
        <w:ind w:right="400" w:firstLine="270"/>
        <w:spacing w:after="0" w:line="312" w:lineRule="auto"/>
        <w:rPr>
          <w:sz w:val="20"/>
          <w:szCs w:val="20"/>
          <w:color w:val="auto"/>
        </w:rPr>
      </w:pPr>
      <w:r>
        <w:rPr>
          <w:rFonts w:ascii="Arial" w:cs="Arial" w:eastAsia="Arial" w:hAnsi="Arial"/>
          <w:sz w:val="16"/>
          <w:szCs w:val="16"/>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143" w:lineRule="exact"/>
        <w:rPr>
          <w:sz w:val="20"/>
          <w:szCs w:val="20"/>
          <w:color w:val="auto"/>
        </w:rPr>
      </w:pPr>
    </w:p>
    <w:p>
      <w:pPr>
        <w:ind w:right="780" w:firstLine="27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166" w:lineRule="exact"/>
        <w:rPr>
          <w:sz w:val="20"/>
          <w:szCs w:val="20"/>
          <w:color w:val="auto"/>
        </w:rPr>
      </w:pPr>
    </w:p>
    <w:p>
      <w:pPr>
        <w:ind w:right="300" w:firstLine="270"/>
        <w:spacing w:after="0" w:line="255" w:lineRule="auto"/>
        <w:rPr>
          <w:sz w:val="20"/>
          <w:szCs w:val="20"/>
          <w:color w:val="auto"/>
        </w:rPr>
      </w:pPr>
      <w:r>
        <w:rPr>
          <w:rFonts w:ascii="Arial" w:cs="Arial" w:eastAsia="Arial" w:hAnsi="Arial"/>
          <w:sz w:val="18"/>
          <w:szCs w:val="18"/>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200" w:lineRule="exact"/>
        <w:rPr>
          <w:sz w:val="20"/>
          <w:szCs w:val="20"/>
          <w:color w:val="auto"/>
        </w:r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740" w:top="90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Related to Vringo’s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Historically, Vringo’s business has generated only losses, which are expected to continue for the foreseeable future.</w:t>
      </w:r>
    </w:p>
    <w:p>
      <w:pPr>
        <w:spacing w:after="0" w:line="229" w:lineRule="exact"/>
        <w:rPr>
          <w:sz w:val="20"/>
          <w:szCs w:val="20"/>
          <w:color w:val="auto"/>
        </w:rPr>
      </w:pPr>
    </w:p>
    <w:p>
      <w:pPr>
        <w:ind w:right="200" w:firstLine="270"/>
        <w:spacing w:after="0" w:line="286" w:lineRule="auto"/>
        <w:rPr>
          <w:sz w:val="20"/>
          <w:szCs w:val="20"/>
          <w:color w:val="auto"/>
        </w:rPr>
      </w:pPr>
      <w:r>
        <w:rPr>
          <w:rFonts w:ascii="Arial" w:cs="Arial" w:eastAsia="Arial" w:hAnsi="Arial"/>
          <w:sz w:val="17"/>
          <w:szCs w:val="17"/>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166"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183"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b w:val="1"/>
          <w:bCs w:val="1"/>
          <w:color w:val="auto"/>
        </w:rPr>
        <w:t>Vringo is a development stage company with no historically significant income and there is a significant doubt about Vringo’s ability to continue its activities as a going concern.</w:t>
      </w:r>
    </w:p>
    <w:p>
      <w:pPr>
        <w:spacing w:after="0" w:line="166"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167" w:lineRule="exact"/>
        <w:rPr>
          <w:sz w:val="20"/>
          <w:szCs w:val="20"/>
          <w:color w:val="auto"/>
        </w:rPr>
      </w:pPr>
    </w:p>
    <w:p>
      <w:pPr>
        <w:ind w:right="160" w:firstLine="270"/>
        <w:spacing w:after="0" w:line="312" w:lineRule="auto"/>
        <w:rPr>
          <w:sz w:val="20"/>
          <w:szCs w:val="20"/>
          <w:color w:val="auto"/>
        </w:rPr>
      </w:pPr>
      <w:r>
        <w:rPr>
          <w:rFonts w:ascii="Arial" w:cs="Arial" w:eastAsia="Arial" w:hAnsi="Arial"/>
          <w:sz w:val="16"/>
          <w:szCs w:val="16"/>
          <w:color w:val="auto"/>
        </w:rPr>
        <w:t>Vringo believes that current cash levels, together with existing funding commitments, will be sufficient to support its activity at least for the coming twelve months. We may need to raise additional funds in connection with any acquisitions of patent portfolios or other intellectual property assets that we pursue. Any such financing that Vringo undertakes will likely be dilutive to Vringo’s current stockholders.</w:t>
      </w:r>
    </w:p>
    <w:p>
      <w:pPr>
        <w:spacing w:after="0" w:line="143" w:lineRule="exact"/>
        <w:rPr>
          <w:sz w:val="20"/>
          <w:szCs w:val="20"/>
          <w:color w:val="auto"/>
        </w:rPr>
      </w:pPr>
    </w:p>
    <w:p>
      <w:pPr>
        <w:ind w:right="220" w:firstLine="270"/>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166"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Should Vringo’s currently outstanding warrants be exercised (including the warrants issued in connection with the Merger), there will be an additional 22,695,411 shares of common stock eligible for trading in the public market. In addition, Vringo currently has options outstanding to purchase 4,332,348 shares of common stock granted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July 20, 2012, is $2.26 per share.</w:t>
      </w:r>
    </w:p>
    <w:p>
      <w:pPr>
        <w:spacing w:after="0" w:line="168" w:lineRule="exact"/>
        <w:rPr>
          <w:sz w:val="20"/>
          <w:szCs w:val="20"/>
          <w:color w:val="auto"/>
        </w:rPr>
      </w:pPr>
    </w:p>
    <w:p>
      <w:pPr>
        <w:ind w:right="280" w:firstLine="270"/>
        <w:spacing w:after="0" w:line="282"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166"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As of July 20, 2012, Vringo has 35,332,487 shares of common stock issued and outstanding and 6,173 shares of Vringo preferred stock, initially convertible into 18,627,645 of Vringo shares of common stock,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We filed with the SEC Registration Statements for the common shares underlying (a) the 2,526,289 of the new warrants issued in February 2012 (which registration was declared effective on June 20, 2012) (including 11,834 warrants issued to Vringo’s placement agent) and (b) 4,332,348 options currently outstanding under Vringo’s 2006 Stock Option Plan.</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00"/>
          </w:cols>
          <w:pgMar w:left="740" w:top="1121" w:right="65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b w:val="1"/>
          <w:bCs w:val="1"/>
          <w:color w:val="auto"/>
        </w:rPr>
        <w:t>If Vringo is unable to adequately protect its intellectual property, Vringo may not be able to compete effectively.</w:t>
      </w:r>
    </w:p>
    <w:p>
      <w:pPr>
        <w:spacing w:after="0" w:line="229" w:lineRule="exact"/>
        <w:rPr>
          <w:sz w:val="20"/>
          <w:szCs w:val="20"/>
          <w:color w:val="auto"/>
        </w:rPr>
      </w:pPr>
    </w:p>
    <w:p>
      <w:pPr>
        <w:ind w:right="60" w:firstLine="270"/>
        <w:spacing w:after="0" w:line="287" w:lineRule="auto"/>
        <w:rPr>
          <w:sz w:val="20"/>
          <w:szCs w:val="20"/>
          <w:color w:val="auto"/>
        </w:rPr>
      </w:pPr>
      <w:r>
        <w:rPr>
          <w:rFonts w:ascii="Arial" w:cs="Arial" w:eastAsia="Arial" w:hAnsi="Arial"/>
          <w:sz w:val="16"/>
          <w:szCs w:val="16"/>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 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173" w:lineRule="exact"/>
        <w:rPr>
          <w:sz w:val="20"/>
          <w:szCs w:val="20"/>
          <w:color w:val="auto"/>
        </w:rPr>
      </w:pPr>
    </w:p>
    <w:p>
      <w:pPr>
        <w:ind w:right="400" w:firstLine="270"/>
        <w:spacing w:after="0" w:line="293" w:lineRule="auto"/>
        <w:rPr>
          <w:sz w:val="20"/>
          <w:szCs w:val="20"/>
          <w:color w:val="auto"/>
        </w:rPr>
      </w:pPr>
      <w:r>
        <w:rPr>
          <w:rFonts w:ascii="Arial" w:cs="Arial" w:eastAsia="Arial" w:hAnsi="Arial"/>
          <w:sz w:val="16"/>
          <w:szCs w:val="16"/>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161" w:lineRule="exact"/>
        <w:rPr>
          <w:sz w:val="20"/>
          <w:szCs w:val="20"/>
          <w:color w:val="auto"/>
        </w:rPr>
      </w:pPr>
    </w:p>
    <w:p>
      <w:pPr>
        <w:ind w:right="20" w:firstLine="27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161" w:lineRule="exact"/>
        <w:rPr>
          <w:sz w:val="20"/>
          <w:szCs w:val="20"/>
          <w:color w:val="auto"/>
        </w:rPr>
      </w:pPr>
    </w:p>
    <w:p>
      <w:pPr>
        <w:ind w:right="60" w:firstLine="270"/>
        <w:spacing w:after="0" w:line="282"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166"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188"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4" w:right="619" w:bottom="1113" w:gutter="0" w:footer="0" w:header="0"/>
        </w:sectPr>
      </w:pPr>
    </w:p>
    <w:bookmarkStart w:id="20" w:name="page21"/>
    <w:bookmarkEnd w:id="20"/>
    <w:p>
      <w:pPr>
        <w:ind w:right="40" w:firstLine="270"/>
        <w:spacing w:after="0" w:line="266" w:lineRule="auto"/>
        <w:rPr>
          <w:sz w:val="20"/>
          <w:szCs w:val="20"/>
          <w:color w:val="auto"/>
        </w:rPr>
      </w:pPr>
      <w:r>
        <w:rPr>
          <w:rFonts w:ascii="Arial" w:cs="Arial" w:eastAsia="Arial" w:hAnsi="Arial"/>
          <w:sz w:val="18"/>
          <w:szCs w:val="18"/>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180" w:lineRule="exact"/>
        <w:rPr>
          <w:sz w:val="20"/>
          <w:szCs w:val="20"/>
          <w:color w:val="auto"/>
        </w:rPr>
      </w:pPr>
    </w:p>
    <w:p>
      <w:pPr>
        <w:ind w:right="20" w:firstLine="270"/>
        <w:spacing w:after="0" w:line="269" w:lineRule="auto"/>
        <w:rPr>
          <w:sz w:val="20"/>
          <w:szCs w:val="20"/>
          <w:color w:val="auto"/>
        </w:rPr>
      </w:pPr>
      <w:r>
        <w:rPr>
          <w:rFonts w:ascii="Arial" w:cs="Arial" w:eastAsia="Arial" w:hAnsi="Arial"/>
          <w:sz w:val="17"/>
          <w:szCs w:val="17"/>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If Vringo is unsuccessful in entering into and maintaining content license agreements, its revenues will be negatively affected.</w:t>
      </w:r>
    </w:p>
    <w:p>
      <w:pPr>
        <w:spacing w:after="0" w:line="241"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229" w:lineRule="exact"/>
        <w:rPr>
          <w:sz w:val="20"/>
          <w:szCs w:val="20"/>
          <w:color w:val="auto"/>
        </w:rPr>
      </w:pPr>
    </w:p>
    <w:p>
      <w:pPr>
        <w:jc w:val="both"/>
        <w:ind w:right="60" w:firstLine="270"/>
        <w:spacing w:after="0" w:line="286" w:lineRule="auto"/>
        <w:rPr>
          <w:sz w:val="20"/>
          <w:szCs w:val="20"/>
          <w:color w:val="auto"/>
        </w:rPr>
      </w:pPr>
      <w:r>
        <w:rPr>
          <w:rFonts w:ascii="Arial" w:cs="Arial" w:eastAsia="Arial" w:hAnsi="Arial"/>
          <w:sz w:val="17"/>
          <w:szCs w:val="17"/>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Vringo.</w:t>
      </w:r>
    </w:p>
    <w:p>
      <w:pPr>
        <w:spacing w:after="0" w:line="229"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continue to maintain its application on all of the operating systems that it currently supports.</w:t>
      </w:r>
    </w:p>
    <w:p>
      <w:pPr>
        <w:spacing w:after="0" w:line="229" w:lineRule="exact"/>
        <w:rPr>
          <w:sz w:val="20"/>
          <w:szCs w:val="20"/>
          <w:color w:val="auto"/>
        </w:rPr>
      </w:pPr>
    </w:p>
    <w:p>
      <w:pPr>
        <w:ind w:right="20" w:firstLine="270"/>
        <w:spacing w:after="0" w:line="286" w:lineRule="auto"/>
        <w:rPr>
          <w:sz w:val="20"/>
          <w:szCs w:val="20"/>
          <w:color w:val="auto"/>
        </w:rPr>
      </w:pPr>
      <w:r>
        <w:rPr>
          <w:rFonts w:ascii="Arial" w:cs="Arial" w:eastAsia="Arial" w:hAnsi="Arial"/>
          <w:sz w:val="16"/>
          <w:szCs w:val="16"/>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 xml:space="preserve">aforementioned operating system representing less than 5% of the total subscribers to Vringo’s video ringtone platform.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which represents less than 5% of Vringo’s revenue for the three months ended March 31, 2012, is heavily reliant upon Vringo’s Android</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 xml:space="preserve">devices users. Currently, over 96% of Vringo’s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4" w:right="61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229"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229"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165"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18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189"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166"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Vringo’s Facetones </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application depends upon Vringo’s continued access to Facebook® photos.</w:t>
      </w:r>
    </w:p>
    <w:p>
      <w:pPr>
        <w:spacing w:after="0" w:line="132" w:lineRule="exact"/>
        <w:rPr>
          <w:sz w:val="20"/>
          <w:szCs w:val="20"/>
          <w:color w:val="auto"/>
        </w:rPr>
      </w:pPr>
    </w:p>
    <w:p>
      <w:pPr>
        <w:ind w:right="120" w:firstLine="270"/>
        <w:spacing w:after="0" w:line="224" w:lineRule="auto"/>
        <w:rPr>
          <w:sz w:val="20"/>
          <w:szCs w:val="20"/>
          <w:color w:val="auto"/>
        </w:rPr>
      </w:pPr>
      <w:r>
        <w:rPr>
          <w:rFonts w:ascii="Arial" w:cs="Arial" w:eastAsia="Arial" w:hAnsi="Arial"/>
          <w:sz w:val="18"/>
          <w:szCs w:val="18"/>
          <w:color w:val="auto"/>
        </w:rPr>
        <w:t xml:space="preserve">Vringo’s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 creates automated video slideshow using friends’ photos from social media web sites, primarily from Facebook®, the world’s leading social media site.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 entered into an agreement with Facebook®, which clarifies Vringo’s permitted use of the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mark and domain name.</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If Vringo’s Facetones </w:t>
      </w:r>
      <w:r>
        <w:rPr>
          <w:rFonts w:ascii="Arial" w:cs="Arial" w:eastAsia="Arial" w:hAnsi="Arial"/>
          <w:sz w:val="26"/>
          <w:szCs w:val="26"/>
          <w:b w:val="1"/>
          <w:bCs w:val="1"/>
          <w:color w:val="auto"/>
          <w:vertAlign w:val="superscript"/>
        </w:rPr>
        <w:t>TM</w:t>
      </w:r>
      <w:r>
        <w:rPr>
          <w:rFonts w:ascii="Arial" w:cs="Arial" w:eastAsia="Arial" w:hAnsi="Arial"/>
          <w:sz w:val="16"/>
          <w:szCs w:val="16"/>
          <w:b w:val="1"/>
          <w:bCs w:val="1"/>
          <w:color w:val="auto"/>
        </w:rPr>
        <w:t xml:space="preserve"> trademark is challenged by another party, Vringo’s revenue from this application may be adversely affected.</w:t>
      </w:r>
    </w:p>
    <w:p>
      <w:pPr>
        <w:spacing w:after="0" w:line="174" w:lineRule="exact"/>
        <w:rPr>
          <w:sz w:val="20"/>
          <w:szCs w:val="20"/>
          <w:color w:val="auto"/>
        </w:rPr>
      </w:pPr>
    </w:p>
    <w:p>
      <w:pPr>
        <w:ind w:right="160" w:firstLine="270"/>
        <w:spacing w:after="0" w:line="268" w:lineRule="auto"/>
        <w:rPr>
          <w:sz w:val="20"/>
          <w:szCs w:val="20"/>
          <w:color w:val="auto"/>
        </w:rPr>
      </w:pPr>
      <w:r>
        <w:rPr>
          <w:rFonts w:ascii="Arial" w:cs="Arial" w:eastAsia="Arial" w:hAnsi="Arial"/>
          <w:sz w:val="16"/>
          <w:szCs w:val="16"/>
          <w:color w:val="auto"/>
        </w:rPr>
        <w:t xml:space="preserve">In February 2012, Vringo entered into an agreement with Facebook, Inc., an online social network, relating to the use of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4" w:right="61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229" w:lineRule="exact"/>
        <w:rPr>
          <w:sz w:val="20"/>
          <w:szCs w:val="20"/>
          <w:color w:val="auto"/>
        </w:rPr>
      </w:pPr>
    </w:p>
    <w:p>
      <w:pPr>
        <w:ind w:right="300" w:firstLine="270"/>
        <w:spacing w:after="0" w:line="286" w:lineRule="auto"/>
        <w:rPr>
          <w:sz w:val="20"/>
          <w:szCs w:val="20"/>
          <w:color w:val="auto"/>
        </w:rPr>
      </w:pPr>
      <w:r>
        <w:rPr>
          <w:rFonts w:ascii="Arial" w:cs="Arial" w:eastAsia="Arial" w:hAnsi="Arial"/>
          <w:sz w:val="16"/>
          <w:szCs w:val="16"/>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229"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In order for Vringo to raise capital privately through equity or equity-linked transactions, stockholder approval is required to enable Vringo to issue more than 19.99% of Vringo’s outstanding shares of common stock pursuant to the rules and regulations of the NYSE MKT (formerly, NYSE Amex). Should stockholders not approve such issuances, Vringo’s sole means to raise capital would be through debt, which could have a material adverse effect on Vringo’s balance sheet and overall financial condition.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liquidity is largely dependent on its common stock being traded on a major exchange.</w:t>
      </w:r>
    </w:p>
    <w:p>
      <w:pPr>
        <w:spacing w:after="0" w:line="229" w:lineRule="exact"/>
        <w:rPr>
          <w:sz w:val="20"/>
          <w:szCs w:val="20"/>
          <w:color w:val="auto"/>
        </w:rPr>
      </w:pPr>
    </w:p>
    <w:p>
      <w:pPr>
        <w:ind w:right="300" w:firstLine="270"/>
        <w:spacing w:after="0" w:line="273" w:lineRule="auto"/>
        <w:rPr>
          <w:sz w:val="20"/>
          <w:szCs w:val="20"/>
          <w:color w:val="auto"/>
        </w:rPr>
      </w:pPr>
      <w:r>
        <w:rPr>
          <w:rFonts w:ascii="Arial" w:cs="Arial" w:eastAsia="Arial" w:hAnsi="Arial"/>
          <w:sz w:val="17"/>
          <w:szCs w:val="17"/>
          <w:color w:val="auto"/>
        </w:rPr>
        <w:t>Vringo’s common stock and warrants are listed on the NYSE MKT, a national securities exchange, which imposes continued listing requirements with respect to listed shares. On April 26, 2012, the NYSE MKT notified Vringo that it had resolved the continued listing deficiency referenced in the NYSE MKT's letter dated May 24, 2011, which stated that Vringo was not in compliance with Section 1003(a) (iv) of the NYSE MKT's continued listing standards. The NYSE MKT's conclusion was based on a review of available information, including Vringo’s filings with the SEC. Vringo’s continued listing eligibility will be assessed on an ongoing basis. While the NYSE MKT has not initiated delisting proceedings in the past, there is no assurance that it will not do so in the future.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the NYSE MKT delists Vringo’s securities from trading, Vringo could face significant consequences, including:</w:t>
      </w:r>
    </w:p>
    <w:p>
      <w:pPr>
        <w:spacing w:after="0" w:line="225" w:lineRule="exact"/>
        <w:rPr>
          <w:sz w:val="20"/>
          <w:szCs w:val="20"/>
          <w:color w:val="auto"/>
        </w:rPr>
      </w:pPr>
    </w:p>
    <w:p>
      <w:pPr>
        <w:ind w:left="560" w:hanging="323"/>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225" w:lineRule="exact"/>
        <w:rPr>
          <w:rFonts w:ascii="Arial" w:cs="Arial" w:eastAsia="Arial" w:hAnsi="Arial"/>
          <w:sz w:val="18"/>
          <w:szCs w:val="18"/>
          <w:color w:val="auto"/>
        </w:rPr>
      </w:pPr>
    </w:p>
    <w:p>
      <w:pPr>
        <w:ind w:left="560" w:hanging="323"/>
        <w:spacing w:after="0" w:line="308" w:lineRule="auto"/>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spacing w:after="0" w:line="146" w:lineRule="exact"/>
        <w:rPr>
          <w:rFonts w:ascii="Arial" w:cs="Arial" w:eastAsia="Arial" w:hAnsi="Arial"/>
          <w:sz w:val="17"/>
          <w:szCs w:val="17"/>
          <w:color w:val="auto"/>
        </w:rPr>
      </w:pPr>
    </w:p>
    <w:p>
      <w:pPr>
        <w:ind w:left="560" w:hanging="323"/>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960" w:firstLine="270"/>
        <w:spacing w:after="0" w:line="277" w:lineRule="auto"/>
        <w:rPr>
          <w:sz w:val="20"/>
          <w:szCs w:val="20"/>
          <w:color w:val="auto"/>
        </w:rPr>
      </w:pPr>
      <w:r>
        <w:rPr>
          <w:rFonts w:ascii="Arial" w:cs="Arial" w:eastAsia="Arial" w:hAnsi="Arial"/>
          <w:sz w:val="18"/>
          <w:szCs w:val="18"/>
          <w:color w:val="auto"/>
        </w:rPr>
        <w:t>In addition, Vringo would no longer be subject to the NYSE MKT rules, including rules requiring Vringo to have a certain number of independent directors and to meet other corporate governance standards.</w:t>
      </w:r>
    </w:p>
    <w:p>
      <w:pPr>
        <w:spacing w:after="0" w:line="166" w:lineRule="exact"/>
        <w:rPr>
          <w:sz w:val="20"/>
          <w:szCs w:val="20"/>
          <w:color w:val="auto"/>
        </w:rPr>
      </w:pPr>
    </w:p>
    <w:p>
      <w:pPr>
        <w:ind w:right="660" w:firstLine="27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166" w:lineRule="exact"/>
        <w:rPr>
          <w:sz w:val="20"/>
          <w:szCs w:val="20"/>
          <w:color w:val="auto"/>
        </w:rPr>
      </w:pPr>
    </w:p>
    <w:p>
      <w:pPr>
        <w:ind w:right="460" w:firstLine="270"/>
        <w:spacing w:after="0" w:line="297" w:lineRule="auto"/>
        <w:rPr>
          <w:sz w:val="20"/>
          <w:szCs w:val="20"/>
          <w:color w:val="auto"/>
        </w:rPr>
      </w:pPr>
      <w:r>
        <w:rPr>
          <w:rFonts w:ascii="Arial" w:cs="Arial" w:eastAsia="Arial" w:hAnsi="Arial"/>
          <w:sz w:val="16"/>
          <w:szCs w:val="16"/>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Vringo may not be able to enforce covenants not-to-compete under current Israeli law, which may result in added competition.</w:t>
      </w:r>
    </w:p>
    <w:p>
      <w:pPr>
        <w:spacing w:after="0" w:line="200" w:lineRule="exact"/>
        <w:rPr>
          <w:sz w:val="20"/>
          <w:szCs w:val="20"/>
          <w:color w:val="auto"/>
        </w:rPr>
      </w:pPr>
    </w:p>
    <w:p>
      <w:pPr>
        <w:spacing w:after="0" w:line="2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740" w:top="904" w:right="339" w:bottom="1440" w:gutter="0" w:footer="0" w:header="0"/>
        </w:sectPr>
      </w:pPr>
    </w:p>
    <w:bookmarkStart w:id="23" w:name="page24"/>
    <w:bookmarkEnd w:id="23"/>
    <w:p>
      <w:pPr>
        <w:ind w:left="500" w:right="380" w:firstLine="270"/>
        <w:spacing w:after="0" w:line="293" w:lineRule="auto"/>
        <w:rPr>
          <w:sz w:val="20"/>
          <w:szCs w:val="20"/>
          <w:color w:val="auto"/>
        </w:rPr>
      </w:pPr>
      <w:r>
        <w:rPr>
          <w:rFonts w:ascii="Arial" w:cs="Arial" w:eastAsia="Arial" w:hAnsi="Arial"/>
          <w:sz w:val="16"/>
          <w:szCs w:val="16"/>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161" w:lineRule="exact"/>
        <w:rPr>
          <w:sz w:val="20"/>
          <w:szCs w:val="20"/>
          <w:color w:val="auto"/>
        </w:rPr>
      </w:pPr>
    </w:p>
    <w:p>
      <w:pPr>
        <w:ind w:left="500" w:right="360" w:firstLine="270"/>
        <w:spacing w:after="0" w:line="347" w:lineRule="auto"/>
        <w:rPr>
          <w:sz w:val="20"/>
          <w:szCs w:val="20"/>
          <w:color w:val="auto"/>
        </w:rPr>
      </w:pPr>
      <w:r>
        <w:rPr>
          <w:rFonts w:ascii="Arial" w:cs="Arial" w:eastAsia="Arial" w:hAnsi="Arial"/>
          <w:sz w:val="16"/>
          <w:szCs w:val="16"/>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120" w:lineRule="exact"/>
        <w:rPr>
          <w:sz w:val="20"/>
          <w:szCs w:val="20"/>
          <w:color w:val="auto"/>
        </w:rPr>
      </w:pPr>
    </w:p>
    <w:p>
      <w:pPr>
        <w:ind w:left="500" w:right="360" w:firstLine="270"/>
        <w:spacing w:after="0" w:line="290" w:lineRule="auto"/>
        <w:rPr>
          <w:sz w:val="20"/>
          <w:szCs w:val="20"/>
          <w:color w:val="auto"/>
        </w:rPr>
      </w:pPr>
      <w:r>
        <w:rPr>
          <w:rFonts w:ascii="Arial" w:cs="Arial" w:eastAsia="Arial" w:hAnsi="Arial"/>
          <w:sz w:val="16"/>
          <w:szCs w:val="16"/>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162" w:lineRule="exact"/>
        <w:rPr>
          <w:sz w:val="20"/>
          <w:szCs w:val="20"/>
          <w:color w:val="auto"/>
        </w:rPr>
      </w:pPr>
    </w:p>
    <w:p>
      <w:pPr>
        <w:ind w:left="500" w:right="1040" w:firstLine="270"/>
        <w:spacing w:after="0" w:line="313" w:lineRule="auto"/>
        <w:rPr>
          <w:sz w:val="20"/>
          <w:szCs w:val="20"/>
          <w:color w:val="auto"/>
        </w:rPr>
      </w:pPr>
      <w:r>
        <w:rPr>
          <w:rFonts w:ascii="Arial" w:cs="Arial" w:eastAsia="Arial" w:hAnsi="Arial"/>
          <w:sz w:val="17"/>
          <w:szCs w:val="17"/>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42" w:lineRule="exact"/>
        <w:rPr>
          <w:sz w:val="20"/>
          <w:szCs w:val="20"/>
          <w:color w:val="auto"/>
        </w:rPr>
      </w:pPr>
    </w:p>
    <w:p>
      <w:pPr>
        <w:ind w:left="500" w:right="420" w:firstLine="270"/>
        <w:spacing w:after="0" w:line="255"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estimates of future performance; the potential value created by the Merger for our stockholders; the potential of the combined company’s technology platform; the ability to raise capital to fund our operations and business plan; the continued listing of our securities on the NYSE MKT; market acceptance of our products; our ability to protect intellectual property rights; competition from other providers and products; the ability to license and monetize the patents owned by Innovate/Protect, including the outcome of the Litigation against online search firms and other companies; our financial condition, financing requirements, prospects and cash flow; and expectations regarding potential growth.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warrant entitles its holder to acquire one share of common stock at an exercise price of $1.76 per share, subject to specified adjustments, at any time before July 19, 2017. Warrants may be exercised by paying the exercise price in cash or, in certain circumstances, pursuant to a “cashless exercise.” See “Description of Warrants” for further information.</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We will receive all of the proceeds from any cash exercise of the warrants. If all of the warrants were exercised in full for cash, we would receive gross proceeds of approximately $28.1 million. However, there can be no assurance that any warrants will be exercised, or if warrants are exercised, how many will be exercised for cash.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use any proceeds from cash exercises of warrants for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Pursuant to the terms of the warrants, shares of our common stock will be issued to those warrant holders who, directly or through their broker, banker, trustee or other nominee, exercise their warrants and provide payment of the exercise price, or, if applicable, select the cashless exercise option. See “Description of Warrants.” We do not know if or when any warrants will be exercised. We also do not know whether or in what manner any of the shares of common stock acquired upon exercise will be sold.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will bear all costs, expenses and fees in connection with the registration and issuance of the common stock issuable upon exercise of the warrants.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will not bear any of the brokerage commissions, selling expenses or similar costs related to any resales of the common stock.</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July 20, 2012, there were warrants to purchase 22,695,411 shares of Vringo common stock outstanding at a weighted-average exercise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$2.45 per share, including 4,784,000 public warrants. The public warrants were issued in our initial public offering and are exercisable for five years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public offering at an exercise price of $5.06 per share. In connection with the Merger with Innovate/Protect, we issued an aggregate of 15,959,838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shares of Vringo common stock with an exercise price of $1.76 per share, including Series 1 Warrants and Series 2 Warrants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aggregate of 8,299,116 and 7,660,722 shares of our common stock, respectively.</w:t>
      </w:r>
    </w:p>
    <w:p>
      <w:pPr>
        <w:spacing w:after="0" w:line="211"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Each Series 1 Warrant and Series 2 Warrant (collectively, the “Warrants”) has an exercise price of $1.76 per share and is exercisable at any time after the date of issuance (the “Issuance Date”) until July 19, 2017 (the “Expiration Date”), in whole or in part, by paying the exercise price to us in cash or by check or wire transfer. Notwithstanding, if at any time between the three month anniversary of the Issuance Date and the Expiration Date, there is not an effective registration statement registering the resale of the shares issuable under the Warrants (the “Warrant Stock”) then the holder may elect to exercise the Warrant, or a portion thereof, and to pay for the Warrant Stock by way of cashless exercise.</w:t>
      </w:r>
    </w:p>
    <w:p>
      <w:pPr>
        <w:spacing w:after="0" w:line="173"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No holder of either Warrant may exercise such Warrant if such exercise would result in the holder beneficially owning in excess of 4.99% of the number of shares of our common stock outstanding immediately after giving effect to the issuance of shares of common stock upon exercise of such Warrant (the “Beneficial Ownership Limitation”). The Beneficial Ownership Limitation may be waived by the holder upon not less than 61 days’ prior notice to us to change the beneficial ownership limitation to 9.99%. If the Beneficial Ownership Limitation is increased to 9.99% it may not be further waived.</w:t>
      </w:r>
    </w:p>
    <w:p>
      <w:pPr>
        <w:spacing w:after="0" w:line="15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us,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w:t>
      </w:r>
    </w:p>
    <w:p>
      <w:pPr>
        <w:spacing w:after="0" w:line="19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Warrants are redeemable, at our option, at any time after they become exercisable and prior to their expiration, upon notice to the registered holders, at the price of $0.01 per share in the event that (i) the last closing sale price of our common stock has been equal to or greater than $5.00 per share (subject to adjustments for splits, dividends, recapitalizations and similar events) on each of 20 trading days within any 30-day trading period ending on the third business day prior to the date on which notice of redemption is given to the holder, and (ii) during each day of the foregoing 20-day trading period and through the date we exercises our redemption rights, we must have an effective registration statement with a current prospectus pursuant to which the underlying common stock may be sold. The Series 1 Warrant provides that from the Issuance Date through December 31, 2014, in the event we issue or sell a warrant to purchase shares of common stock with an exercise price below $1.76 per share or which contains terms that, taken as a whole, are more favorable then the terms of the Series 1 Warrant (a “Superior Warrant”), as determined in good faith by our board of directors, in connection with a financing or a material transaction, then we are required to amend the terms of the Series 1 Warrant to give the holder the benefit of the more favorable terms or conditions of the Superior Warrant (excluding the expiration date of the Superior Warrant). All other material terms of the Series 1 Warrant and the Series 2 Warrant are identical.</w:t>
      </w:r>
    </w:p>
    <w:p>
      <w:pPr>
        <w:spacing w:after="0" w:line="18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For a complete description, please see the Series 1 Warrant and the Series 2 Warrant, which are filed with the Securities and Exchange Commission as exhibits to the registration statement of which this prospectus forms a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warrant agent for our public warrants and warrants issued in the Merger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MKT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public warrants are listed for trading on the NYSE MKT under the symbol “VRNG-WT.” None of our other warrants are listed for trading.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right="80"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6" w:name="page27"/>
    <w:bookmarkEnd w:id="26"/>
    <w:p>
      <w:pPr>
        <w:ind w:left="660"/>
        <w:spacing w:after="0"/>
        <w:rPr>
          <w:sz w:val="20"/>
          <w:szCs w:val="20"/>
          <w:color w:val="auto"/>
        </w:rPr>
      </w:pPr>
      <w:r>
        <w:rPr>
          <w:rFonts w:ascii="Arial" w:cs="Arial" w:eastAsia="Arial" w:hAnsi="Arial"/>
          <w:sz w:val="16"/>
          <w:szCs w:val="16"/>
          <w:color w:val="auto"/>
        </w:rPr>
        <w:t>We are authorized to issue 150,000,000 shares of common stock, par value $0.01 per share, and 5,000,000 shares of preferred stock, par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per share. As of July 20, 2012, we had 35,332,487 shares of common stock outstanding held of record by 67 stockholders. As of July 20, 2012,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6,173 shares of Series A Convertible Preferred Stock, or Series A preferred stock, outstanding, which are initially convertible into an aggregate of 18,627,645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40" w:firstLine="441"/>
        <w:spacing w:after="0" w:line="288" w:lineRule="auto"/>
        <w:rPr>
          <w:sz w:val="20"/>
          <w:szCs w:val="20"/>
          <w:color w:val="auto"/>
        </w:rPr>
      </w:pPr>
      <w:r>
        <w:rPr>
          <w:rFonts w:ascii="Arial" w:cs="Arial" w:eastAsia="Arial" w:hAnsi="Arial"/>
          <w:sz w:val="16"/>
          <w:szCs w:val="16"/>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w:t>
      </w:r>
    </w:p>
    <w:p>
      <w:pPr>
        <w:ind w:right="80"/>
        <w:spacing w:after="0" w:line="253" w:lineRule="auto"/>
        <w:rPr>
          <w:sz w:val="20"/>
          <w:szCs w:val="20"/>
          <w:color w:val="auto"/>
        </w:rPr>
      </w:pPr>
      <w:r>
        <w:rPr>
          <w:rFonts w:ascii="Arial" w:cs="Arial" w:eastAsia="Arial" w:hAnsi="Arial"/>
          <w:sz w:val="18"/>
          <w:szCs w:val="18"/>
          <w:color w:val="auto"/>
        </w:rPr>
        <w:t>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Series A preferred stock has the powers, designations, preferences and other rights as set forth in the Certificate of Designations, Preferences and Rights of Series A Convertible Preferred Stock, which rights include, among other things, a liquidation preference of $1,000 per share and the right to participate in any dividends and distributions paid to common stockholders on an as-converted basis. We may not create a class of capital stock senior or pari passu to the Series A preferred stock.</w:t>
      </w:r>
    </w:p>
    <w:p>
      <w:pPr>
        <w:spacing w:after="0" w:line="18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 6,673 shares of Series A preferred stock are initially convertible into an aggregate of 20,136,445 shares of common stock (or at a current conversion rate of 3,017.6) (subject to a provision that restricts conversion in the event the holder will acquire beneficial ownership of more than 9.99% of our common stock after such conversion) but are non-voting, except as required by law and in certain defined instances, including a change of control. In addition, except for certain excluded issuances, the conversion price of the Series A preferred stock is subject to full ratchet anti-dilution protection for issuances of equity or equity-linked securities below the initial conversion price (as adjusted for stock splits, stock dividends and similar events) until the date an aggregate of 100,000,000 shares of our common stock have traded at above $3.00 per share (as adjusted for stock splits, stock dividends and similar events). As of July 20, 2012, we had 6,173 shares of Series A preferred stock outstanding, which are convertible into an aggregate of 18,627,645 shares of our common stock.</w:t>
      </w:r>
    </w:p>
    <w:p>
      <w:pPr>
        <w:spacing w:after="0" w:line="19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a change of control, except for a change of control where the holder receives all publicly traded stock, the holder of our Series A preferred stock is able to require us to redeem the shares of Series A preferred stock at the greater of the stated value and the value of the equity underlying the Series A preferred stock. The Series A preferred stock also contains a covenant prohibiting us, for a period of 18 months following the closing, from incurring indebtedness senior to the Series A preferred stock in excess of $6 million in the aggregate (including the then outstanding principal amount of existing Innovate/Protect indebtedness); provided, that, this covenant shall not apply to indebtedness secured by assets acquired after the closing in which the lender expressly subordinates to the holder of the Series A preferred stock. The holder of the Series A preferred stock shall be indemnified against losses due to a buy-in following any failure to timely deliver common stock upon a conversion failure and we shall pay the holders of the Series A preferred stock liquidated damages of one-quarter of one percent (0.25%) for each full 15 day period during which our common stock is suspended from trading or if our common stock is delisted. You should refer to our restated certificate of incorporation, which are filed with the Securities and Exchange Commission as exhibits to the registration statement of which this prospectus forms a 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1620" w:right="20" w:hanging="315"/>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ind w:left="1620" w:right="100" w:hanging="315"/>
        <w:spacing w:after="0" w:line="297"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58" w:lineRule="exact"/>
        <w:rPr>
          <w:rFonts w:ascii="Arial" w:cs="Arial" w:eastAsia="Arial" w:hAnsi="Arial"/>
          <w:sz w:val="16"/>
          <w:szCs w:val="16"/>
          <w:color w:val="auto"/>
        </w:rPr>
      </w:pPr>
    </w:p>
    <w:p>
      <w:pPr>
        <w:ind w:left="1620" w:hanging="315"/>
        <w:spacing w:after="0" w:line="264"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MKT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for trading on the NYSE MKT under the symbol “VRNG.”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common stock issuable upon the exercise of the warrants.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audited consolidated financial statements of Innovate/Protect,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in giving said report.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http://www.sec.gov</w:t>
      </w:r>
      <w:r>
        <w:rPr>
          <w:rFonts w:ascii="Arial" w:cs="Arial" w:eastAsia="Arial" w:hAnsi="Arial"/>
          <w:sz w:val="18"/>
          <w:szCs w:val="18"/>
          <w:i w:val="1"/>
          <w:iCs w:val="1"/>
          <w:color w:val="auto"/>
        </w:rPr>
        <w:t>.</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78" w:lineRule="exact"/>
        <w:rPr>
          <w:sz w:val="20"/>
          <w:szCs w:val="20"/>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on March 30, 2012;</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Report on Form 10-Q, filed on May 15, 2012;</w:t>
      </w:r>
    </w:p>
    <w:p>
      <w:pPr>
        <w:spacing w:after="0" w:line="225" w:lineRule="exact"/>
        <w:rPr>
          <w:rFonts w:ascii="Arial" w:cs="Arial" w:eastAsia="Arial" w:hAnsi="Arial"/>
          <w:sz w:val="18"/>
          <w:szCs w:val="18"/>
          <w:color w:val="auto"/>
        </w:rPr>
      </w:pPr>
    </w:p>
    <w:p>
      <w:pPr>
        <w:ind w:left="1620" w:right="220" w:hanging="315"/>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June 19, 2012 and July 20, 2012 (2 current reports);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ind w:left="1620" w:right="100" w:hanging="315"/>
        <w:spacing w:after="0" w:line="302"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description of our common stock and public warrants contained in our Registration Statement on Form 8-A, filed on June 16, 2010 (File No. 001-34785), which incorporates by reference the description of the shares of our common stock and public warrants contained in our Registration Statement on Form S-1 (File No. 333-164575) filed on January 29, 2010 and declared effective by the SEC on June 21, 2010, and any amendment or reports filed with the SEC for purposes of updating such description; and</w:t>
      </w:r>
    </w:p>
    <w:p>
      <w:pPr>
        <w:spacing w:after="0" w:line="154" w:lineRule="exact"/>
        <w:rPr>
          <w:rFonts w:ascii="Arial" w:cs="Arial" w:eastAsia="Arial" w:hAnsi="Arial"/>
          <w:sz w:val="16"/>
          <w:szCs w:val="16"/>
          <w:color w:val="auto"/>
        </w:rPr>
      </w:pPr>
    </w:p>
    <w:p>
      <w:pPr>
        <w:jc w:val="both"/>
        <w:ind w:left="1620" w:right="140" w:hanging="315"/>
        <w:spacing w:after="0" w:line="312"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44 W. 28th Street, New York, New York 10001 or call (646) 525-4319.</w:t>
      </w:r>
    </w:p>
    <w:p>
      <w:pPr>
        <w:spacing w:after="0" w:line="14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2019-12-09T18:38:39Z</dcterms:created>
  <dcterms:modified xsi:type="dcterms:W3CDTF">2019-12-09T18:38:39Z</dcterms:modified>
</cp:coreProperties>
</file>