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01/28/2013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7,813</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3.2169</w:t>
            </w:r>
          </w:p>
        </w:tc>
        <w:tc>
          <w:tcPr>
            <w:tcW w:w="12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rPr>
              <w:t>2,773,213</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2,931,752</w:t>
            </w:r>
          </w:p>
        </w:tc>
        <w:tc>
          <w:tcPr>
            <w:tcW w:w="30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8"/>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109,375 shares of common stock are represented by unvested restricted stock units.</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The transactions reported in this Form 4 were effected pursuant to a Rule 10b5-1 trading plan adopted by the reporting person on August 31, 2012.</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01/29/2013</w:t>
            </w:r>
          </w:p>
        </w:tc>
      </w:tr>
      <w:tr>
        <w:trPr>
          <w:trHeight w:val="20"/>
        </w:trPr>
        <w:tc>
          <w:tcPr>
            <w:tcW w:w="6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2019-12-17T07:19:37Z</dcterms:created>
  <dcterms:modified xsi:type="dcterms:W3CDTF">2019-12-17T07:19:37Z</dcterms:modified>
</cp:coreProperties>
</file>