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June 27, 2019</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513" w:right="239" w:bottom="1440"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6"/>
          <w:szCs w:val="16"/>
          <w:b w:val="1"/>
          <w:bCs w:val="1"/>
          <w:color w:val="auto"/>
        </w:rPr>
        <w:t>(I.R.S. Employer Identification No.)</w:t>
      </w:r>
    </w:p>
    <w:p>
      <w:pPr>
        <w:spacing w:after="0" w:line="161" w:lineRule="exact"/>
        <w:rPr>
          <w:sz w:val="24"/>
          <w:szCs w:val="24"/>
          <w:color w:val="auto"/>
        </w:rPr>
      </w:pPr>
    </w:p>
    <w:p>
      <w:pPr>
        <w:sectPr>
          <w:pgSz w:w="11900" w:h="16838" w:orient="portrait"/>
          <w:cols w:equalWidth="0" w:num="3">
            <w:col w:w="3960" w:space="720"/>
            <w:col w:w="2760" w:space="720"/>
            <w:col w:w="3260"/>
          </w:cols>
          <w:pgMar w:left="240" w:top="513"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04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51"/>
        </w:trPr>
        <w:tc>
          <w:tcPr>
            <w:tcW w:w="46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25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43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each exchange on which registered</w:t>
            </w:r>
          </w:p>
        </w:tc>
      </w:tr>
      <w:tr>
        <w:trPr>
          <w:trHeight w:val="41"/>
        </w:trPr>
        <w:tc>
          <w:tcPr>
            <w:tcW w:w="46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4320" w:type="dxa"/>
            <w:vAlign w:val="bottom"/>
            <w:tcBorders>
              <w:bottom w:val="single" w:sz="8" w:color="auto"/>
              <w:right w:val="single" w:sz="8" w:color="auto"/>
            </w:tcBorders>
          </w:tcPr>
          <w:p>
            <w:pPr>
              <w:spacing w:after="0"/>
              <w:rPr>
                <w:sz w:val="3"/>
                <w:szCs w:val="3"/>
                <w:color w:val="auto"/>
              </w:rPr>
            </w:pPr>
          </w:p>
        </w:tc>
      </w:tr>
      <w:tr>
        <w:trPr>
          <w:trHeight w:val="236"/>
        </w:trPr>
        <w:tc>
          <w:tcPr>
            <w:tcW w:w="4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w:t>
            </w:r>
          </w:p>
        </w:tc>
        <w:tc>
          <w:tcPr>
            <w:tcW w:w="2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4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230"/>
        </w:trPr>
        <w:tc>
          <w:tcPr>
            <w:tcW w:w="4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par value $0.01 per share</w:t>
            </w:r>
          </w:p>
        </w:tc>
        <w:tc>
          <w:tcPr>
            <w:tcW w:w="2500" w:type="dxa"/>
            <w:vAlign w:val="bottom"/>
            <w:tcBorders>
              <w:right w:val="single" w:sz="8" w:color="auto"/>
            </w:tcBorders>
          </w:tcPr>
          <w:p>
            <w:pPr>
              <w:spacing w:after="0"/>
              <w:rPr>
                <w:sz w:val="20"/>
                <w:szCs w:val="20"/>
                <w:color w:val="auto"/>
              </w:rPr>
            </w:pPr>
          </w:p>
        </w:tc>
        <w:tc>
          <w:tcPr>
            <w:tcW w:w="4320" w:type="dxa"/>
            <w:vAlign w:val="bottom"/>
            <w:tcBorders>
              <w:right w:val="single" w:sz="8" w:color="auto"/>
            </w:tcBorders>
          </w:tcPr>
          <w:p>
            <w:pPr>
              <w:spacing w:after="0"/>
              <w:rPr>
                <w:sz w:val="20"/>
                <w:szCs w:val="20"/>
                <w:color w:val="auto"/>
              </w:rPr>
            </w:pPr>
          </w:p>
        </w:tc>
      </w:tr>
      <w:tr>
        <w:trPr>
          <w:trHeight w:val="41"/>
        </w:trPr>
        <w:tc>
          <w:tcPr>
            <w:tcW w:w="46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432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Secured Convertible Notes Amendment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27, 2019, XpresSpa Group, Inc. (the “Company”) entered into a third amendment (the “Secured Convertible Notes Amendment”) to its outstanding Secured Convertible Notes due November 17, 2019 (the “Secured Convertible Notes”). Pursuant to the terms of the Secured Convertible Notes Amendment, the holders of the Secured Convertible Notes agreed to voluntarily convert all outstanding principal and interest on the Secured Convertible Notes no later than June 28, 2019 at a reduced conversion price equal to $2.48 per share of the Company common stock, par value $0.01 per share (the “Common Stock”). As a result of such conversion, an additional 941,410 shares of Common Stock are expected to become outstanding. In addition, if, as of 4PM on June 28, 2019, any holder of the Secured Convertible Notes would otherwise beneficially own in excess of 4.99% of the number of shares of Common Stock outstanding immediately after giving effect to the conversion of such holder's then unconverted outstanding principal and interest, such holder's Secured Convertible Note will convert automatically into warrants to purchase a number of shares of Common Stock equal to such holder's then outstanding principal amount plus accrued interest divided by $2.48. Such warrants will have an exercise price of $0.01 and otherwise be identical in form and substance to the Company's existing Class A Warrant issued on May 18, 2018.</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foregoing description of the Secured Convertible Notes Amendment does not purport to be complete and is subject to and qualified in its entirety by reference to the full text of such document, which is attached as Exhibit 4.1 to this Current Report on Form 8-K and incorporated by reference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description regarding the Secured Convertible Notes Amendment described in Item 1.01 of this Current Report on Form 8-K is incorporated by reference into this Item 3.02.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description regarding the Secured Convertible Notes Amendment described in Item 1.01 of this Current Report on Form 8-K is incorporated by reference into this Item 3.03.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Calm Private Placement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in advanced discussions with Calm.com, Inc. (“Calm”) pursuant to which the Company contemplates selling (i) an aggregate principal amount of $2,500,000 in 5.00% unsecured convertible Notes due 2022 (the “Calm Notes”), which will be convertible into shares of Series E Convertible Preferred Stock (the “Series E Preferred Stock”) and (ii) a number of warrants to purchase shares of Common Stock that will be equal to 75% of the aggregate principal amount of the Calm Note, at an exercise price per share to be determined between the Company and Calm (the “Calm Warrants”) (collectively, the “Calm Private Placement”). The Calm Warrants are expected to be exercisable beginning six months from the date of issuance, have a term of five years and feature an exercise price per share to be determined between the Company and Calm.</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It is expected that the Calm Notes will be convertible at any time until the Calm Notes are no longer outstanding, in whole or in part, at the option of Calm into shares of Series E Preferred Stock at a conversion price equal to $3.10 per share, except that no shares of Series E Preferred Stock may be issued as payment of interest or in connection with anti-dilution protection or voluntary reduction of the conversion price until receipt of approval of the Company’s shareholders (“Shareholder Approval”). It is expected that interest on the Calm Notes will be payable in arrears beginning on the last day of each February, May, August and November during the period beginning on the original issuance date and ending on, and including, the maturity date, when all amounts outstanding under the Calm Notes will become due and payable in cash. It is expected that the Company will have the option to elect to pay interest in cash, shares of Series E Preferred Stock or a combination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both"/>
        <w:ind w:right="20"/>
        <w:spacing w:after="0" w:line="277" w:lineRule="auto"/>
        <w:rPr>
          <w:sz w:val="20"/>
          <w:szCs w:val="20"/>
          <w:color w:val="auto"/>
        </w:rPr>
      </w:pPr>
      <w:r>
        <w:rPr>
          <w:rFonts w:ascii="Arial" w:cs="Arial" w:eastAsia="Arial" w:hAnsi="Arial"/>
          <w:sz w:val="18"/>
          <w:szCs w:val="18"/>
          <w:color w:val="auto"/>
        </w:rPr>
        <w:t>The following description of the Calm Private Placement and the Calm Notes reflects the current understanding of the parties and is subject to ongoing negotiation. There can be no assurance that the Calm Private Placement will be completed on the terms described above or at all.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Calm Collaboration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also in advanced discussions to enter into an Amended and Restated Product Sale and Marketing Agreement with Calm (the “Amended and Restated Collaboration Agreement”), which would replace the parties’ previous Product Sale and Marketing Agreement, dated as of November 12, 2018. The Amended and Restated Collaboration Agreement is expected to primarily relate to the display, marketing, promotion, offer for sale and sale of Calm’s products in each of the Company’s branded stores throughout the United States. The Amended and Restated Collaboration Agreement is expected to remain in effect until July 31, 2021, unless terminated earlier in accordance with the Amended and Restated Collaboration Agreement, and will automatically renew for successive terms of six months unless either party provides written notice of termination no later than thirty days prior to any such automatic renewal of the Amended and Restated Collaboration Agreement.</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following description of the Amended and Restated Collaboration Agreement reflects the current understanding of the parties and is subject to ongoing negotiation. There can be no assurance that the Amended and Restated Collaboration Agreement will be completed on the terms described above or at all.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Certificate of Designations of Series E Convertible Preferred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Calm Private Placement, the Company anticipates amending the Certificate of Designations of Series E Convertible Preferred Stock (the “Series E COD Amendment”) to (i) increase the number of authorized shares of Series E Preferred Stock and (ii) upon receipt of Shareholder Approval, reduce the conversion price to a price to be determined between the Company and Calm. The Company intends to seek Shareholder Approval of the Series E COD Amendment.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description of the Series E COD Amendment reflects the current understanding of the parties and is subject to ongoing negotiation. There can be no assurance that the Series E COD Amendment will be completed on the terms described above or at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B3D Transaction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also in advanced discussions to enter into an amendment to its existing Credit Agreement with B3D, LLC (“B3D”) (the “Credit Agreement Amendment”) in order to, among other provisions, (i) extend the maturity date to May 31, 2021, (ii) increase the outstanding principal amount in exchange for a deferral of the payment of interest for a certain period of time, (iii) provide that $1.5 million of the outstanding principal amount and the deferred interest payment will be convertible into Common Stock subject to receipt of Shareholder Approval (the “B3D Note”) and (iv) provide for the issuance of warrants to purchase 300,000 shares of Common Stock (the “B3D Warrants”) (collectively, the “B3D Transaction”). It is contemplated that the B3D Warrants would be exercisable beginning six months from the date of issuance, have a term of five years and feature an exercise price equal to the market value of the Common Stock immediately prior to the time of entry into the transaction documents. The following description of the B3D Transaction reflects the current understanding of the parties and is subject to ongoing negotiation. There can be no assurance that the B3D Transaction will be completed on the terms described above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both"/>
        <w:spacing w:after="0" w:line="264" w:lineRule="auto"/>
        <w:rPr>
          <w:sz w:val="20"/>
          <w:szCs w:val="20"/>
          <w:color w:val="auto"/>
        </w:rPr>
      </w:pPr>
      <w:r>
        <w:rPr>
          <w:rFonts w:ascii="Arial" w:cs="Arial" w:eastAsia="Arial" w:hAnsi="Arial"/>
          <w:sz w:val="18"/>
          <w:szCs w:val="18"/>
          <w:color w:val="auto"/>
        </w:rPr>
        <w:t>In addition, at the option of B3D following receipt of Shareholder Approval, an amount of up to $1,500,000 of the outstanding principal amount of the B3D Notes, plus any accrued and unpaid interest on such amount that is outstanding on the conversion date, will be convertible, in whole or in part, into shares of Common Stock.</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Current Report on Form 8-K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included in our Annual Report on Form 10-K for the year ended December 31, 2018 filed on April 1, 2019, as subsequently amended on April 30, 2019 and any future reports we file with the Securities and Exchange Commission. The forward-looking statements set forth herein speak only as of the date of this report. Except as required by law, we undertake no obligation to update any forward-looking statements to reflect events or circumstances after the date of such statements,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(d)</w:t>
        <w:tab/>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Exhibit</w:t>
      </w:r>
    </w:p>
    <w:p>
      <w:pPr>
        <w:spacing w:after="0" w:line="2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i w:val="1"/>
          <w:iCs w:val="1"/>
          <w:u w:val="single" w:color="auto"/>
          <w:color w:val="auto"/>
        </w:rPr>
        <w:t>Number</w:t>
      </w:r>
      <w:r>
        <w:rPr>
          <w:sz w:val="20"/>
          <w:szCs w:val="20"/>
          <w:color w:val="auto"/>
        </w:rPr>
        <w:tab/>
      </w:r>
      <w:r>
        <w:rPr>
          <w:rFonts w:ascii="Arial" w:cs="Arial" w:eastAsia="Arial" w:hAnsi="Arial"/>
          <w:sz w:val="18"/>
          <w:szCs w:val="18"/>
          <w:i w:val="1"/>
          <w:iCs w:val="1"/>
          <w:u w:val="single" w:color="auto"/>
          <w:color w:val="auto"/>
        </w:rPr>
        <w:t>Description</w:t>
      </w:r>
    </w:p>
    <w:p>
      <w:pPr>
        <w:spacing w:after="0" w:line="238" w:lineRule="exact"/>
        <w:rPr>
          <w:sz w:val="20"/>
          <w:szCs w:val="20"/>
          <w:color w:val="auto"/>
        </w:rPr>
      </w:pPr>
    </w:p>
    <w:p>
      <w:pPr>
        <w:spacing w:after="0"/>
        <w:tabs>
          <w:tab w:leader="none" w:pos="1360" w:val="left"/>
        </w:tabs>
        <w:rPr>
          <w:rFonts w:ascii="Arial" w:cs="Arial" w:eastAsia="Arial" w:hAnsi="Arial"/>
          <w:sz w:val="16"/>
          <w:szCs w:val="16"/>
          <w:u w:val="single" w:color="auto"/>
          <w:color w:val="0000EE"/>
        </w:rPr>
      </w:pPr>
      <w:hyperlink w:anchor="page6">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w:anchor="page6">
        <w:r>
          <w:rPr>
            <w:rFonts w:ascii="Arial" w:cs="Arial" w:eastAsia="Arial" w:hAnsi="Arial"/>
            <w:sz w:val="16"/>
            <w:szCs w:val="16"/>
            <w:u w:val="single" w:color="auto"/>
            <w:color w:val="0000EE"/>
          </w:rPr>
          <w:t>Form of Third Amendment to Secured Convertible Notes, dated as of June 27,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6940" w:type="dxa"/>
            <w:vAlign w:val="bottom"/>
            <w:gridSpan w:val="2"/>
          </w:tcPr>
          <w:p>
            <w:pPr>
              <w:ind w:left="294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4480" w:type="dxa"/>
            <w:vAlign w:val="bottom"/>
          </w:tcPr>
          <w:p>
            <w:pPr>
              <w:spacing w:after="0"/>
              <w:rPr>
                <w:sz w:val="20"/>
                <w:szCs w:val="20"/>
                <w:color w:val="auto"/>
              </w:rPr>
            </w:pPr>
            <w:r>
              <w:rPr>
                <w:rFonts w:ascii="Arial" w:cs="Arial" w:eastAsia="Arial" w:hAnsi="Arial"/>
                <w:sz w:val="18"/>
                <w:szCs w:val="18"/>
                <w:color w:val="auto"/>
              </w:rPr>
              <w:t>Dated: June 27, 2019</w:t>
            </w:r>
          </w:p>
        </w:tc>
        <w:tc>
          <w:tcPr>
            <w:tcW w:w="6940" w:type="dxa"/>
            <w:vAlign w:val="bottom"/>
            <w:gridSpan w:val="2"/>
          </w:tcPr>
          <w:p>
            <w:pPr>
              <w:ind w:left="2940"/>
              <w:spacing w:after="0"/>
              <w:rPr>
                <w:sz w:val="20"/>
                <w:szCs w:val="20"/>
                <w:color w:val="auto"/>
              </w:rPr>
            </w:pPr>
            <w:r>
              <w:rPr>
                <w:rFonts w:ascii="Arial" w:cs="Arial" w:eastAsia="Arial" w:hAnsi="Arial"/>
                <w:sz w:val="18"/>
                <w:szCs w:val="18"/>
                <w:color w:val="auto"/>
              </w:rPr>
              <w:t>By: /s/ Douglas Satzman</w:t>
            </w:r>
          </w:p>
        </w:tc>
      </w:tr>
      <w:tr>
        <w:trPr>
          <w:trHeight w:val="195"/>
        </w:trPr>
        <w:tc>
          <w:tcPr>
            <w:tcW w:w="44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44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44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4.1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AGREEMENT TO SECURED CONVERTIBLE NOTE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DUE NOVEMBER 17, 2019</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Third Amendment Agreement (this “</w:t>
      </w:r>
      <w:r>
        <w:rPr>
          <w:rFonts w:ascii="Arial" w:cs="Arial" w:eastAsia="Arial" w:hAnsi="Arial"/>
          <w:sz w:val="18"/>
          <w:szCs w:val="18"/>
          <w:u w:val="single" w:color="auto"/>
          <w:color w:val="auto"/>
        </w:rPr>
        <w:t>Third Amendment</w:t>
      </w:r>
      <w:r>
        <w:rPr>
          <w:rFonts w:ascii="Arial" w:cs="Arial" w:eastAsia="Arial" w:hAnsi="Arial"/>
          <w:sz w:val="18"/>
          <w:szCs w:val="18"/>
          <w:color w:val="auto"/>
        </w:rPr>
        <w:t>”) to the Secured Convertible Note due November 17, 2019 (the “</w:t>
      </w:r>
      <w:r>
        <w:rPr>
          <w:rFonts w:ascii="Arial" w:cs="Arial" w:eastAsia="Arial" w:hAnsi="Arial"/>
          <w:sz w:val="18"/>
          <w:szCs w:val="18"/>
          <w:u w:val="single" w:color="auto"/>
          <w:color w:val="auto"/>
        </w:rPr>
        <w:t>Note</w:t>
      </w:r>
      <w:r>
        <w:rPr>
          <w:rFonts w:ascii="Arial" w:cs="Arial" w:eastAsia="Arial" w:hAnsi="Arial"/>
          <w:sz w:val="18"/>
          <w:szCs w:val="18"/>
          <w:color w:val="auto"/>
        </w:rPr>
        <w:t>”), is made and entered into as of June 27, 2019, among XpresSpa Group,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Holders (as identified on the signature pages hereto), constituting a Majority in Interest (the “</w:t>
      </w:r>
      <w:r>
        <w:rPr>
          <w:rFonts w:ascii="Arial" w:cs="Arial" w:eastAsia="Arial" w:hAnsi="Arial"/>
          <w:sz w:val="18"/>
          <w:szCs w:val="18"/>
          <w:u w:val="single" w:color="auto"/>
          <w:color w:val="auto"/>
        </w:rPr>
        <w:t>Specified Holders</w:t>
      </w:r>
      <w:r>
        <w:rPr>
          <w:rFonts w:ascii="Arial" w:cs="Arial" w:eastAsia="Arial" w:hAnsi="Arial"/>
          <w:sz w:val="18"/>
          <w:szCs w:val="18"/>
          <w:color w:val="auto"/>
        </w:rPr>
        <w:t>”). Capitalized terms used herein but not defined shall have the meaning ascribed to such terms in the Note.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the Specified Holders and certain other parties thereto entered into a Securities Purchase Agreement dated as of May 15,</w:t>
      </w:r>
      <w:r>
        <w:rPr>
          <w:rFonts w:ascii="Arial" w:cs="Arial" w:eastAsia="Arial" w:hAnsi="Arial"/>
          <w:sz w:val="18"/>
          <w:szCs w:val="18"/>
          <w:b w:val="1"/>
          <w:bCs w:val="1"/>
          <w:color w:val="auto"/>
        </w:rPr>
        <w:t xml:space="preserve"> </w:t>
      </w:r>
      <w:r>
        <w:rPr>
          <w:rFonts w:ascii="Arial" w:cs="Arial" w:eastAsia="Arial" w:hAnsi="Arial"/>
          <w:sz w:val="18"/>
          <w:szCs w:val="18"/>
          <w:color w:val="auto"/>
        </w:rPr>
        <w:t>2018 (the “</w:t>
      </w:r>
      <w:r>
        <w:rPr>
          <w:rFonts w:ascii="Arial" w:cs="Arial" w:eastAsia="Arial" w:hAnsi="Arial"/>
          <w:sz w:val="18"/>
          <w:szCs w:val="18"/>
          <w:u w:val="single" w:color="auto"/>
          <w:color w:val="auto"/>
        </w:rPr>
        <w:t>SPA</w:t>
      </w:r>
      <w:r>
        <w:rPr>
          <w:rFonts w:ascii="Arial" w:cs="Arial" w:eastAsia="Arial" w:hAnsi="Arial"/>
          <w:sz w:val="18"/>
          <w:szCs w:val="18"/>
          <w:color w:val="auto"/>
        </w:rPr>
        <w:t>”) pursuant to which the Specified Holders were issued Notes as set forth on the signature pages hereto;</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4(b) of the Note, the conversion price for the principal and interest, if any, in connection with voluntary</w:t>
      </w:r>
      <w:r>
        <w:rPr>
          <w:rFonts w:ascii="Arial" w:cs="Arial" w:eastAsia="Arial" w:hAnsi="Arial"/>
          <w:sz w:val="18"/>
          <w:szCs w:val="18"/>
          <w:b w:val="1"/>
          <w:bCs w:val="1"/>
          <w:color w:val="auto"/>
        </w:rPr>
        <w:t xml:space="preserve"> </w:t>
      </w:r>
      <w:r>
        <w:rPr>
          <w:rFonts w:ascii="Arial" w:cs="Arial" w:eastAsia="Arial" w:hAnsi="Arial"/>
          <w:sz w:val="18"/>
          <w:szCs w:val="18"/>
          <w:color w:val="auto"/>
        </w:rPr>
        <w:t>conversions by the Holder is $12.40 per share of Common Stock (after giving effect to the Company’s 1-for-20 reverse stock split that was effective on February 22, 2019), subject to adjustment herein (the “</w:t>
      </w:r>
      <w:r>
        <w:rPr>
          <w:rFonts w:ascii="Arial" w:cs="Arial" w:eastAsia="Arial" w:hAnsi="Arial"/>
          <w:sz w:val="18"/>
          <w:szCs w:val="18"/>
          <w:u w:val="single" w:color="auto"/>
          <w:color w:val="auto"/>
        </w:rPr>
        <w:t>Conversion Price</w:t>
      </w:r>
      <w:r>
        <w:rPr>
          <w:rFonts w:ascii="Arial" w:cs="Arial" w:eastAsia="Arial" w:hAnsi="Arial"/>
          <w:sz w:val="18"/>
          <w:szCs w:val="18"/>
          <w:color w:val="auto"/>
        </w:rPr>
        <w:t>”); and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Specified Holders desire to amend certain terms of the Note to reduce the Conversion Price in consideration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Specified Holders agreeing to voluntarily convert their Notes pursuant to Section 4(a) of the Notes.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covenants contained herein, the parties agree as follows:</w:t>
      </w:r>
    </w:p>
    <w:p>
      <w:pPr>
        <w:spacing w:after="0" w:line="229" w:lineRule="exact"/>
        <w:rPr>
          <w:sz w:val="20"/>
          <w:szCs w:val="20"/>
          <w:color w:val="auto"/>
        </w:rPr>
      </w:pPr>
    </w:p>
    <w:p>
      <w:pPr>
        <w:ind w:left="1640" w:hanging="984"/>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Section 4(b) of the Note is hereby amended and restated in its entirety as follows:</w:t>
      </w:r>
    </w:p>
    <w:p>
      <w:pPr>
        <w:spacing w:after="0" w:line="22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u w:val="single" w:color="auto"/>
          <w:color w:val="auto"/>
        </w:rPr>
        <w:t>“Conversion Price</w:t>
      </w:r>
      <w:r>
        <w:rPr>
          <w:rFonts w:ascii="Arial" w:cs="Arial" w:eastAsia="Arial" w:hAnsi="Arial"/>
          <w:sz w:val="18"/>
          <w:szCs w:val="18"/>
          <w:color w:val="auto"/>
        </w:rPr>
        <w:t>. The conversion price for the principal and interest, if any, in connection with voluntary conversions by the Holder shall be $2.48 per share of Common Stock, subject to adjustment herein (the “</w:t>
      </w:r>
      <w:r>
        <w:rPr>
          <w:rFonts w:ascii="Arial" w:cs="Arial" w:eastAsia="Arial" w:hAnsi="Arial"/>
          <w:sz w:val="18"/>
          <w:szCs w:val="18"/>
          <w:u w:val="single" w:color="auto"/>
          <w:color w:val="auto"/>
        </w:rPr>
        <w:t>Conversion Price</w:t>
      </w:r>
      <w:r>
        <w:rPr>
          <w:rFonts w:ascii="Arial" w:cs="Arial" w:eastAsia="Arial" w:hAnsi="Arial"/>
          <w:sz w:val="18"/>
          <w:szCs w:val="18"/>
          <w:color w:val="auto"/>
        </w:rPr>
        <w:t>”).”</w:t>
      </w:r>
    </w:p>
    <w:p>
      <w:pPr>
        <w:spacing w:after="0" w:line="170" w:lineRule="exact"/>
        <w:rPr>
          <w:sz w:val="20"/>
          <w:szCs w:val="20"/>
          <w:color w:val="auto"/>
        </w:rPr>
      </w:pPr>
    </w:p>
    <w:p>
      <w:pPr>
        <w:jc w:val="both"/>
        <w:ind w:firstLine="656"/>
        <w:spacing w:after="0" w:line="254" w:lineRule="auto"/>
        <w:tabs>
          <w:tab w:leader="none" w:pos="1676"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consideration for the reduction in the Conversion Price, each Specified Holder hereby agrees to voluntarily convert the full amount of principal outstanding on its Notes pursuant to Section 4(a) of the Note, including all interest accrued thereon, into shares of Common Stock no later than June 28, 2019 at the Conversion Price as amended pursuant to this Third Amendment. If, as of 4PM on June 28, 2019, any Holder would otherwise beneficially own (as determined under Section 13(d) of the 1934 Act) in excess of 4.99% of the number of shares of Common Stock outstanding immediately after giving effect to the conversion of such Holder's then unconverted outstanding principal and interest, the Note shall convert automatically into warrants to purchase a number of shares of Common Stock equal to such Holder's then outstanding principal amount plus accrued interest divided by $2.48. Such warrants will have an exercise price of $0.01 and otherwise be identical in form and substance to the Company's existing Class A Warrant issued on May 18, 2018.</w:t>
      </w:r>
    </w:p>
    <w:p>
      <w:pPr>
        <w:spacing w:after="0" w:line="192" w:lineRule="exact"/>
        <w:rPr>
          <w:rFonts w:ascii="Arial" w:cs="Arial" w:eastAsia="Arial" w:hAnsi="Arial"/>
          <w:sz w:val="18"/>
          <w:szCs w:val="18"/>
          <w:color w:val="auto"/>
        </w:rPr>
      </w:pPr>
    </w:p>
    <w:p>
      <w:pPr>
        <w:jc w:val="both"/>
        <w:ind w:firstLine="656"/>
        <w:spacing w:after="0" w:line="257" w:lineRule="auto"/>
        <w:tabs>
          <w:tab w:leader="none" w:pos="1839"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avoidance of doubt, the Specified Holders hereby waive the Events of Default have occurred under the SPA and Note as a result of the Company’s failure to comply with Section 8(a)(i) of the Note with respect to the periods ending April 30, 2019 and May 31, 2019 (together with any other default or Event of Default directly relating thereto as of the date hereof, the “Existing Defaults”) and any interest under the Note payable at a default rate pursuant to Section 8(b) thereof, including any such default rate interest accrued in respect of the Existing Defaults from each date of an Existing Default through the date hereof.</w:t>
      </w:r>
    </w:p>
    <w:p>
      <w:pPr>
        <w:spacing w:after="0" w:line="188" w:lineRule="exact"/>
        <w:rPr>
          <w:rFonts w:ascii="Arial" w:cs="Arial" w:eastAsia="Arial" w:hAnsi="Arial"/>
          <w:sz w:val="18"/>
          <w:szCs w:val="18"/>
          <w:color w:val="auto"/>
        </w:rPr>
      </w:pPr>
    </w:p>
    <w:p>
      <w:pPr>
        <w:ind w:firstLine="656"/>
        <w:spacing w:after="0" w:line="277" w:lineRule="auto"/>
        <w:tabs>
          <w:tab w:leader="none" w:pos="171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represents that the holding period of the Notes and Conversion Shares as determined under Rule 144 is not affected by the terms of this Third Amendment and tack back to the original issue date of the Note.</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67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and the Specified Holders hereby acknowledge and agree that the additional shares of Common Stock issuable pursuant to, and as a result of, the terms of this Third Amendment shall be deemed to be an “Exempt Issuance” pursuant to the definition of “Exempt Issuance” as defined in the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ind w:left="1640" w:hanging="984"/>
        <w:spacing w:after="0"/>
        <w:tabs>
          <w:tab w:leader="none" w:pos="1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Except as explicitly modified herein, the Transaction Documents (as defined in the SPA) shall remain in full force and effect.</w:t>
      </w:r>
    </w:p>
    <w:p>
      <w:pPr>
        <w:spacing w:after="0" w:line="236" w:lineRule="exact"/>
        <w:rPr>
          <w:rFonts w:ascii="Arial" w:cs="Arial" w:eastAsia="Arial" w:hAnsi="Arial"/>
          <w:sz w:val="17"/>
          <w:szCs w:val="17"/>
          <w:color w:val="auto"/>
        </w:rPr>
      </w:pPr>
    </w:p>
    <w:p>
      <w:pPr>
        <w:ind w:left="1640" w:hanging="984"/>
        <w:spacing w:after="0"/>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Third Amendment shall be governed in accordance with terms of the Note.</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64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Third Amendment may be executed in two or more counterparts, all of which when taken together shall be considered one and the same agreement and shall become effective when counterparts have been signed by the Company and the Holder,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 OF THIS PAGE LEFT INTENTIONALLY BLANK]</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and the Holder have executed this Third Amendment Agreement as of the date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XpresSpa Group,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8180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[Holder signature page follows]</w:t>
      </w:r>
    </w:p>
    <w:p>
      <w:pPr>
        <w:spacing w:after="0" w:line="200" w:lineRule="exact"/>
        <w:rPr>
          <w:sz w:val="20"/>
          <w:szCs w:val="20"/>
          <w:color w:val="auto"/>
        </w:rPr>
      </w:pPr>
    </w:p>
    <w:p>
      <w:pPr>
        <w:spacing w:after="0" w:line="24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904" w:right="779" w:bottom="1440" w:gutter="0" w:footer="0" w:header="0"/>
        </w:sectPr>
      </w:pPr>
    </w:p>
    <w:bookmarkStart w:id="8" w:name="page9"/>
    <w:bookmarkEnd w:id="8"/>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and the Holder have executed this Third Amendment Agreement as of the date first above written.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Alpha Capital Anstalt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 Name of Holder]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904" w:right="77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Anson Investments Master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 Name of Holder]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Brio Capital Master Fund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 Name of Holder]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The Hewlett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 Name of Holder]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Intracoastal Capital,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 Name of Holder]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L1 Capital Global Opportunities Master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 Name of Holder]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Palladium Capital Advisors,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 Name of Holder]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2019-12-28T10:37:42Z</dcterms:created>
  <dcterms:modified xsi:type="dcterms:W3CDTF">2019-12-28T10:37:42Z</dcterms:modified>
</cp:coreProperties>
</file>