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98420U703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2" w:lineRule="exact"/>
        <w:rPr>
          <w:sz w:val="24"/>
          <w:szCs w:val="24"/>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57"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9"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22"/>
          <w:szCs w:val="22"/>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98420U703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right="8220" w:hanging="588"/>
        <w:spacing w:after="0" w:line="414"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Mitchell P. Kopin</w:t>
      </w:r>
    </w:p>
    <w:p>
      <w:pPr>
        <w:ind w:left="920" w:hanging="58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60" w:hanging="248"/>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60" w:hanging="248"/>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920" w:hanging="58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4.</w:t>
            </w:r>
          </w:p>
        </w:tc>
        <w:tc>
          <w:tcPr>
            <w:tcW w:w="4160" w:type="dxa"/>
            <w:vAlign w:val="bottom"/>
            <w:tcBorders>
              <w:top w:val="single" w:sz="8" w:color="auto"/>
            </w:tcBorders>
            <w:gridSpan w:val="4"/>
          </w:tcPr>
          <w:p>
            <w:pPr>
              <w:ind w:left="3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3720" w:type="dxa"/>
            <w:vAlign w:val="bottom"/>
            <w:tcBorders>
              <w:top w:val="single" w:sz="8" w:color="auto"/>
            </w:tcBorders>
          </w:tcPr>
          <w:p>
            <w:pPr>
              <w:spacing w:after="0"/>
              <w:rPr>
                <w:sz w:val="22"/>
                <w:szCs w:val="22"/>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21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37,000</w:t>
            </w:r>
          </w:p>
        </w:tc>
        <w:tc>
          <w:tcPr>
            <w:tcW w:w="3720" w:type="dxa"/>
            <w:vAlign w:val="bottom"/>
          </w:tcPr>
          <w:p>
            <w:pPr>
              <w:spacing w:after="0"/>
              <w:rPr>
                <w:sz w:val="20"/>
                <w:szCs w:val="20"/>
                <w:color w:val="auto"/>
              </w:rPr>
            </w:pPr>
          </w:p>
        </w:tc>
      </w:tr>
      <w:tr>
        <w:trPr>
          <w:trHeight w:val="209"/>
        </w:trPr>
        <w:tc>
          <w:tcPr>
            <w:tcW w:w="560" w:type="dxa"/>
            <w:vAlign w:val="bottom"/>
          </w:tcPr>
          <w:p>
            <w:pPr>
              <w:spacing w:after="0"/>
              <w:rPr>
                <w:sz w:val="18"/>
                <w:szCs w:val="18"/>
                <w:color w:val="auto"/>
              </w:rPr>
            </w:pPr>
          </w:p>
        </w:tc>
        <w:tc>
          <w:tcPr>
            <w:tcW w:w="148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15"/>
        </w:trPr>
        <w:tc>
          <w:tcPr>
            <w:tcW w:w="204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Shares Beneficially</w:t>
            </w:r>
          </w:p>
        </w:tc>
        <w:tc>
          <w:tcPr>
            <w:tcW w:w="22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21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4,001,516</w:t>
            </w:r>
          </w:p>
        </w:tc>
        <w:tc>
          <w:tcPr>
            <w:tcW w:w="3720" w:type="dxa"/>
            <w:vAlign w:val="bottom"/>
          </w:tcPr>
          <w:p>
            <w:pPr>
              <w:spacing w:after="0"/>
              <w:rPr>
                <w:sz w:val="18"/>
                <w:szCs w:val="18"/>
                <w:color w:val="auto"/>
              </w:rPr>
            </w:pPr>
          </w:p>
        </w:tc>
      </w:tr>
      <w:tr>
        <w:trPr>
          <w:trHeight w:val="224"/>
        </w:trPr>
        <w:tc>
          <w:tcPr>
            <w:tcW w:w="560" w:type="dxa"/>
            <w:vAlign w:val="bottom"/>
          </w:tcPr>
          <w:p>
            <w:pPr>
              <w:spacing w:after="0"/>
              <w:rPr>
                <w:sz w:val="19"/>
                <w:szCs w:val="19"/>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89"/>
              </w:rPr>
              <w:t>Owned by Each</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188"/>
        </w:trPr>
        <w:tc>
          <w:tcPr>
            <w:tcW w:w="560" w:type="dxa"/>
            <w:vAlign w:val="bottom"/>
          </w:tcPr>
          <w:p>
            <w:pPr>
              <w:spacing w:after="0"/>
              <w:rPr>
                <w:sz w:val="16"/>
                <w:szCs w:val="16"/>
                <w:color w:val="auto"/>
              </w:rPr>
            </w:pPr>
          </w:p>
        </w:tc>
        <w:tc>
          <w:tcPr>
            <w:tcW w:w="148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6"/>
                <w:szCs w:val="16"/>
                <w:color w:val="auto"/>
              </w:rPr>
            </w:pPr>
          </w:p>
        </w:tc>
        <w:tc>
          <w:tcPr>
            <w:tcW w:w="30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7.</w:t>
            </w:r>
          </w:p>
        </w:tc>
        <w:tc>
          <w:tcPr>
            <w:tcW w:w="2160" w:type="dxa"/>
            <w:vAlign w:val="bottom"/>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2800" w:type="dxa"/>
            <w:vAlign w:val="bottom"/>
          </w:tcPr>
          <w:p>
            <w:pPr>
              <w:ind w:left="800"/>
              <w:spacing w:after="0" w:line="189" w:lineRule="exact"/>
              <w:rPr>
                <w:sz w:val="20"/>
                <w:szCs w:val="20"/>
                <w:color w:val="auto"/>
              </w:rPr>
            </w:pPr>
            <w:r>
              <w:rPr>
                <w:rFonts w:ascii="Arial" w:cs="Arial" w:eastAsia="Arial" w:hAnsi="Arial"/>
                <w:sz w:val="18"/>
                <w:szCs w:val="18"/>
                <w:color w:val="auto"/>
              </w:rPr>
              <w:t>37,000</w:t>
            </w:r>
          </w:p>
        </w:tc>
        <w:tc>
          <w:tcPr>
            <w:tcW w:w="3720" w:type="dxa"/>
            <w:vAlign w:val="bottom"/>
          </w:tcPr>
          <w:p>
            <w:pPr>
              <w:spacing w:after="0"/>
              <w:rPr>
                <w:sz w:val="16"/>
                <w:szCs w:val="16"/>
                <w:color w:val="auto"/>
              </w:rPr>
            </w:pPr>
          </w:p>
        </w:tc>
      </w:tr>
      <w:tr>
        <w:trPr>
          <w:trHeight w:val="251"/>
        </w:trPr>
        <w:tc>
          <w:tcPr>
            <w:tcW w:w="560" w:type="dxa"/>
            <w:vAlign w:val="bottom"/>
          </w:tcPr>
          <w:p>
            <w:pPr>
              <w:spacing w:after="0"/>
              <w:rPr>
                <w:sz w:val="21"/>
                <w:szCs w:val="21"/>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91"/>
              </w:rPr>
              <w:t>Person With:</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r>
      <w:tr>
        <w:trPr>
          <w:trHeight w:val="230"/>
        </w:trPr>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2160" w:type="dxa"/>
            <w:vAlign w:val="bottom"/>
          </w:tcPr>
          <w:p>
            <w:pPr>
              <w:ind w:left="140"/>
              <w:spacing w:after="0"/>
              <w:rPr>
                <w:sz w:val="20"/>
                <w:szCs w:val="20"/>
                <w:color w:val="auto"/>
              </w:rPr>
            </w:pPr>
            <w:r>
              <w:rPr>
                <w:rFonts w:ascii="Arial" w:cs="Arial" w:eastAsia="Arial" w:hAnsi="Arial"/>
                <w:sz w:val="18"/>
                <w:szCs w:val="18"/>
                <w:color w:val="auto"/>
                <w:w w:val="97"/>
              </w:rPr>
              <w:t>Shared Dispositive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4,001,516</w:t>
            </w:r>
          </w:p>
        </w:tc>
        <w:tc>
          <w:tcPr>
            <w:tcW w:w="3720" w:type="dxa"/>
            <w:vAlign w:val="bottom"/>
          </w:tcPr>
          <w:p>
            <w:pPr>
              <w:spacing w:after="0"/>
              <w:rPr>
                <w:sz w:val="20"/>
                <w:szCs w:val="20"/>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5260" w:type="dxa"/>
            <w:vAlign w:val="bottom"/>
            <w:tcBorders>
              <w:bottom w:val="single" w:sz="8" w:color="auto"/>
            </w:tcBorders>
            <w:gridSpan w:val="3"/>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rPr>
              <w:t>9.</w:t>
            </w:r>
          </w:p>
        </w:tc>
        <w:tc>
          <w:tcPr>
            <w:tcW w:w="6960" w:type="dxa"/>
            <w:vAlign w:val="bottom"/>
            <w:gridSpan w:val="5"/>
          </w:tcPr>
          <w:p>
            <w:pPr>
              <w:ind w:left="360"/>
              <w:spacing w:after="0"/>
              <w:rPr>
                <w:sz w:val="20"/>
                <w:szCs w:val="20"/>
                <w:color w:val="auto"/>
              </w:rPr>
            </w:pPr>
            <w:r>
              <w:rPr>
                <w:rFonts w:ascii="Arial" w:cs="Arial" w:eastAsia="Arial" w:hAnsi="Arial"/>
                <w:sz w:val="18"/>
                <w:szCs w:val="18"/>
                <w:color w:val="auto"/>
              </w:rPr>
              <w:t>Aggregate Amount Beneficially Owned by Each Reporting Person</w:t>
            </w:r>
          </w:p>
        </w:tc>
        <w:tc>
          <w:tcPr>
            <w:tcW w:w="3720" w:type="dxa"/>
            <w:vAlign w:val="bottom"/>
          </w:tcPr>
          <w:p>
            <w:pPr>
              <w:ind w:left="120"/>
              <w:spacing w:after="0"/>
              <w:rPr>
                <w:sz w:val="20"/>
                <w:szCs w:val="20"/>
                <w:color w:val="auto"/>
              </w:rPr>
            </w:pPr>
            <w:r>
              <w:rPr>
                <w:rFonts w:ascii="Arial" w:cs="Arial" w:eastAsia="Arial" w:hAnsi="Arial"/>
                <w:sz w:val="18"/>
                <w:szCs w:val="18"/>
                <w:color w:val="auto"/>
              </w:rPr>
              <w:t>4,038,516 (see Item 4)</w:t>
            </w:r>
          </w:p>
        </w:tc>
      </w:tr>
      <w:tr>
        <w:trPr>
          <w:trHeight w:val="209"/>
        </w:trPr>
        <w:tc>
          <w:tcPr>
            <w:tcW w:w="56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gridSpan w:val="5"/>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83"/>
        </w:trPr>
        <w:tc>
          <w:tcPr>
            <w:tcW w:w="560" w:type="dxa"/>
            <w:vAlign w:val="bottom"/>
          </w:tcPr>
          <w:p>
            <w:pPr>
              <w:ind w:left="340"/>
              <w:spacing w:after="0"/>
              <w:rPr>
                <w:sz w:val="20"/>
                <w:szCs w:val="20"/>
                <w:color w:val="auto"/>
              </w:rPr>
            </w:pPr>
            <w:r>
              <w:rPr>
                <w:rFonts w:ascii="Arial" w:cs="Arial" w:eastAsia="Arial" w:hAnsi="Arial"/>
                <w:sz w:val="18"/>
                <w:szCs w:val="18"/>
                <w:color w:val="auto"/>
                <w:w w:val="79"/>
              </w:rPr>
              <w:t>10.</w:t>
            </w:r>
          </w:p>
        </w:tc>
        <w:tc>
          <w:tcPr>
            <w:tcW w:w="6960" w:type="dxa"/>
            <w:vAlign w:val="bottom"/>
            <w:gridSpan w:val="5"/>
          </w:tcPr>
          <w:p>
            <w:pPr>
              <w:ind w:left="36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c>
          <w:tcPr>
            <w:tcW w:w="3720" w:type="dxa"/>
            <w:vAlign w:val="bottom"/>
          </w:tcPr>
          <w:p>
            <w:pPr>
              <w:spacing w:after="0"/>
              <w:rPr>
                <w:sz w:val="24"/>
                <w:szCs w:val="24"/>
                <w:color w:val="auto"/>
              </w:rPr>
            </w:pPr>
          </w:p>
        </w:tc>
      </w:tr>
      <w:tr>
        <w:trPr>
          <w:trHeight w:val="156"/>
        </w:trPr>
        <w:tc>
          <w:tcPr>
            <w:tcW w:w="56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gridSpan w:val="4"/>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w w:val="79"/>
              </w:rPr>
              <w:t>11.</w:t>
            </w:r>
          </w:p>
        </w:tc>
        <w:tc>
          <w:tcPr>
            <w:tcW w:w="4160" w:type="dxa"/>
            <w:vAlign w:val="bottom"/>
            <w:gridSpan w:val="4"/>
          </w:tcPr>
          <w:p>
            <w:pPr>
              <w:ind w:left="360"/>
              <w:spacing w:after="0"/>
              <w:rPr>
                <w:sz w:val="20"/>
                <w:szCs w:val="20"/>
                <w:color w:val="auto"/>
              </w:rPr>
            </w:pPr>
            <w:r>
              <w:rPr>
                <w:rFonts w:ascii="Arial" w:cs="Arial" w:eastAsia="Arial" w:hAnsi="Arial"/>
                <w:sz w:val="18"/>
                <w:szCs w:val="18"/>
                <w:color w:val="auto"/>
                <w:w w:val="90"/>
              </w:rPr>
              <w:t>Percent of Class Represented by Amount in Row (9)</w:t>
            </w:r>
          </w:p>
        </w:tc>
        <w:tc>
          <w:tcPr>
            <w:tcW w:w="280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3.7% (see Item 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p>
      <w:pPr>
        <w:ind w:left="920" w:right="7160" w:hanging="588"/>
        <w:spacing w:after="0" w:line="52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98420U703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right="8220" w:hanging="588"/>
        <w:spacing w:after="0" w:line="391"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Daniel B. Asher</w:t>
      </w:r>
    </w:p>
    <w:p>
      <w:pPr>
        <w:ind w:left="920" w:hanging="58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60" w:hanging="248"/>
        <w:spacing w:after="0" w:line="207" w:lineRule="exact"/>
        <w:tabs>
          <w:tab w:leader="none" w:pos="11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60" w:hanging="248"/>
        <w:spacing w:after="0" w:line="207" w:lineRule="exact"/>
        <w:tabs>
          <w:tab w:leader="none" w:pos="11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920" w:hanging="58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4.</w:t>
            </w:r>
          </w:p>
        </w:tc>
        <w:tc>
          <w:tcPr>
            <w:tcW w:w="4160" w:type="dxa"/>
            <w:vAlign w:val="bottom"/>
            <w:tcBorders>
              <w:top w:val="single" w:sz="8" w:color="auto"/>
            </w:tcBorders>
            <w:gridSpan w:val="4"/>
          </w:tcPr>
          <w:p>
            <w:pPr>
              <w:ind w:left="3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3720" w:type="dxa"/>
            <w:vAlign w:val="bottom"/>
            <w:tcBorders>
              <w:top w:val="single" w:sz="8" w:color="auto"/>
            </w:tcBorders>
          </w:tcPr>
          <w:p>
            <w:pPr>
              <w:spacing w:after="0"/>
              <w:rPr>
                <w:sz w:val="22"/>
                <w:szCs w:val="22"/>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21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0</w:t>
            </w:r>
          </w:p>
        </w:tc>
        <w:tc>
          <w:tcPr>
            <w:tcW w:w="3720" w:type="dxa"/>
            <w:vAlign w:val="bottom"/>
          </w:tcPr>
          <w:p>
            <w:pPr>
              <w:spacing w:after="0"/>
              <w:rPr>
                <w:sz w:val="20"/>
                <w:szCs w:val="20"/>
                <w:color w:val="auto"/>
              </w:rPr>
            </w:pPr>
          </w:p>
        </w:tc>
      </w:tr>
      <w:tr>
        <w:trPr>
          <w:trHeight w:val="209"/>
        </w:trPr>
        <w:tc>
          <w:tcPr>
            <w:tcW w:w="560" w:type="dxa"/>
            <w:vAlign w:val="bottom"/>
          </w:tcPr>
          <w:p>
            <w:pPr>
              <w:spacing w:after="0"/>
              <w:rPr>
                <w:sz w:val="18"/>
                <w:szCs w:val="18"/>
                <w:color w:val="auto"/>
              </w:rPr>
            </w:pPr>
          </w:p>
        </w:tc>
        <w:tc>
          <w:tcPr>
            <w:tcW w:w="148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15"/>
        </w:trPr>
        <w:tc>
          <w:tcPr>
            <w:tcW w:w="204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Shares Beneficially</w:t>
            </w:r>
          </w:p>
        </w:tc>
        <w:tc>
          <w:tcPr>
            <w:tcW w:w="22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21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4,001,516</w:t>
            </w:r>
          </w:p>
        </w:tc>
        <w:tc>
          <w:tcPr>
            <w:tcW w:w="3720" w:type="dxa"/>
            <w:vAlign w:val="bottom"/>
          </w:tcPr>
          <w:p>
            <w:pPr>
              <w:spacing w:after="0"/>
              <w:rPr>
                <w:sz w:val="18"/>
                <w:szCs w:val="18"/>
                <w:color w:val="auto"/>
              </w:rPr>
            </w:pPr>
          </w:p>
        </w:tc>
      </w:tr>
      <w:tr>
        <w:trPr>
          <w:trHeight w:val="224"/>
        </w:trPr>
        <w:tc>
          <w:tcPr>
            <w:tcW w:w="560" w:type="dxa"/>
            <w:vAlign w:val="bottom"/>
          </w:tcPr>
          <w:p>
            <w:pPr>
              <w:spacing w:after="0"/>
              <w:rPr>
                <w:sz w:val="19"/>
                <w:szCs w:val="19"/>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89"/>
              </w:rPr>
              <w:t>Owned by Each</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188"/>
        </w:trPr>
        <w:tc>
          <w:tcPr>
            <w:tcW w:w="560" w:type="dxa"/>
            <w:vAlign w:val="bottom"/>
          </w:tcPr>
          <w:p>
            <w:pPr>
              <w:spacing w:after="0"/>
              <w:rPr>
                <w:sz w:val="16"/>
                <w:szCs w:val="16"/>
                <w:color w:val="auto"/>
              </w:rPr>
            </w:pPr>
          </w:p>
        </w:tc>
        <w:tc>
          <w:tcPr>
            <w:tcW w:w="148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6"/>
                <w:szCs w:val="16"/>
                <w:color w:val="auto"/>
              </w:rPr>
            </w:pPr>
          </w:p>
        </w:tc>
        <w:tc>
          <w:tcPr>
            <w:tcW w:w="30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7.</w:t>
            </w:r>
          </w:p>
        </w:tc>
        <w:tc>
          <w:tcPr>
            <w:tcW w:w="2160" w:type="dxa"/>
            <w:vAlign w:val="bottom"/>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2800" w:type="dxa"/>
            <w:vAlign w:val="bottom"/>
          </w:tcPr>
          <w:p>
            <w:pPr>
              <w:ind w:left="800"/>
              <w:spacing w:after="0" w:line="189" w:lineRule="exact"/>
              <w:rPr>
                <w:sz w:val="20"/>
                <w:szCs w:val="20"/>
                <w:color w:val="auto"/>
              </w:rPr>
            </w:pPr>
            <w:r>
              <w:rPr>
                <w:rFonts w:ascii="Arial" w:cs="Arial" w:eastAsia="Arial" w:hAnsi="Arial"/>
                <w:sz w:val="18"/>
                <w:szCs w:val="18"/>
                <w:color w:val="auto"/>
              </w:rPr>
              <w:t>0</w:t>
            </w:r>
          </w:p>
        </w:tc>
        <w:tc>
          <w:tcPr>
            <w:tcW w:w="3720" w:type="dxa"/>
            <w:vAlign w:val="bottom"/>
          </w:tcPr>
          <w:p>
            <w:pPr>
              <w:spacing w:after="0"/>
              <w:rPr>
                <w:sz w:val="16"/>
                <w:szCs w:val="16"/>
                <w:color w:val="auto"/>
              </w:rPr>
            </w:pPr>
          </w:p>
        </w:tc>
      </w:tr>
      <w:tr>
        <w:trPr>
          <w:trHeight w:val="251"/>
        </w:trPr>
        <w:tc>
          <w:tcPr>
            <w:tcW w:w="560" w:type="dxa"/>
            <w:vAlign w:val="bottom"/>
          </w:tcPr>
          <w:p>
            <w:pPr>
              <w:spacing w:after="0"/>
              <w:rPr>
                <w:sz w:val="21"/>
                <w:szCs w:val="21"/>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91"/>
              </w:rPr>
              <w:t>Person With:</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r>
      <w:tr>
        <w:trPr>
          <w:trHeight w:val="230"/>
        </w:trPr>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2160" w:type="dxa"/>
            <w:vAlign w:val="bottom"/>
          </w:tcPr>
          <w:p>
            <w:pPr>
              <w:ind w:left="140"/>
              <w:spacing w:after="0"/>
              <w:rPr>
                <w:sz w:val="20"/>
                <w:szCs w:val="20"/>
                <w:color w:val="auto"/>
              </w:rPr>
            </w:pPr>
            <w:r>
              <w:rPr>
                <w:rFonts w:ascii="Arial" w:cs="Arial" w:eastAsia="Arial" w:hAnsi="Arial"/>
                <w:sz w:val="18"/>
                <w:szCs w:val="18"/>
                <w:color w:val="auto"/>
                <w:w w:val="97"/>
              </w:rPr>
              <w:t>Shared Dispositive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4,001,516</w:t>
            </w:r>
          </w:p>
        </w:tc>
        <w:tc>
          <w:tcPr>
            <w:tcW w:w="3720" w:type="dxa"/>
            <w:vAlign w:val="bottom"/>
          </w:tcPr>
          <w:p>
            <w:pPr>
              <w:spacing w:after="0"/>
              <w:rPr>
                <w:sz w:val="20"/>
                <w:szCs w:val="20"/>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5260" w:type="dxa"/>
            <w:vAlign w:val="bottom"/>
            <w:tcBorders>
              <w:bottom w:val="single" w:sz="8" w:color="auto"/>
            </w:tcBorders>
            <w:gridSpan w:val="3"/>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rPr>
              <w:t>9.</w:t>
            </w:r>
          </w:p>
        </w:tc>
        <w:tc>
          <w:tcPr>
            <w:tcW w:w="6960" w:type="dxa"/>
            <w:vAlign w:val="bottom"/>
            <w:gridSpan w:val="5"/>
          </w:tcPr>
          <w:p>
            <w:pPr>
              <w:ind w:left="360"/>
              <w:spacing w:after="0"/>
              <w:rPr>
                <w:sz w:val="20"/>
                <w:szCs w:val="20"/>
                <w:color w:val="auto"/>
              </w:rPr>
            </w:pPr>
            <w:r>
              <w:rPr>
                <w:rFonts w:ascii="Arial" w:cs="Arial" w:eastAsia="Arial" w:hAnsi="Arial"/>
                <w:sz w:val="18"/>
                <w:szCs w:val="18"/>
                <w:color w:val="auto"/>
              </w:rPr>
              <w:t>Aggregate Amount Beneficially Owned by Each Reporting Person</w:t>
            </w:r>
          </w:p>
        </w:tc>
        <w:tc>
          <w:tcPr>
            <w:tcW w:w="3720" w:type="dxa"/>
            <w:vAlign w:val="bottom"/>
          </w:tcPr>
          <w:p>
            <w:pPr>
              <w:ind w:left="120"/>
              <w:spacing w:after="0"/>
              <w:rPr>
                <w:sz w:val="20"/>
                <w:szCs w:val="20"/>
                <w:color w:val="auto"/>
              </w:rPr>
            </w:pPr>
            <w:r>
              <w:rPr>
                <w:rFonts w:ascii="Arial" w:cs="Arial" w:eastAsia="Arial" w:hAnsi="Arial"/>
                <w:sz w:val="18"/>
                <w:szCs w:val="18"/>
                <w:color w:val="auto"/>
              </w:rPr>
              <w:t>4,001,516 (see Item 4)</w:t>
            </w:r>
          </w:p>
        </w:tc>
      </w:tr>
      <w:tr>
        <w:trPr>
          <w:trHeight w:val="209"/>
        </w:trPr>
        <w:tc>
          <w:tcPr>
            <w:tcW w:w="56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gridSpan w:val="5"/>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83"/>
        </w:trPr>
        <w:tc>
          <w:tcPr>
            <w:tcW w:w="560" w:type="dxa"/>
            <w:vAlign w:val="bottom"/>
          </w:tcPr>
          <w:p>
            <w:pPr>
              <w:ind w:left="340"/>
              <w:spacing w:after="0"/>
              <w:rPr>
                <w:sz w:val="20"/>
                <w:szCs w:val="20"/>
                <w:color w:val="auto"/>
              </w:rPr>
            </w:pPr>
            <w:r>
              <w:rPr>
                <w:rFonts w:ascii="Arial" w:cs="Arial" w:eastAsia="Arial" w:hAnsi="Arial"/>
                <w:sz w:val="18"/>
                <w:szCs w:val="18"/>
                <w:color w:val="auto"/>
                <w:w w:val="79"/>
              </w:rPr>
              <w:t>10.</w:t>
            </w:r>
          </w:p>
        </w:tc>
        <w:tc>
          <w:tcPr>
            <w:tcW w:w="6960" w:type="dxa"/>
            <w:vAlign w:val="bottom"/>
            <w:gridSpan w:val="5"/>
          </w:tcPr>
          <w:p>
            <w:pPr>
              <w:ind w:left="36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c>
          <w:tcPr>
            <w:tcW w:w="3720" w:type="dxa"/>
            <w:vAlign w:val="bottom"/>
          </w:tcPr>
          <w:p>
            <w:pPr>
              <w:spacing w:after="0"/>
              <w:rPr>
                <w:sz w:val="24"/>
                <w:szCs w:val="24"/>
                <w:color w:val="auto"/>
              </w:rPr>
            </w:pPr>
          </w:p>
        </w:tc>
      </w:tr>
      <w:tr>
        <w:trPr>
          <w:trHeight w:val="156"/>
        </w:trPr>
        <w:tc>
          <w:tcPr>
            <w:tcW w:w="56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gridSpan w:val="4"/>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w w:val="79"/>
              </w:rPr>
              <w:t>11.</w:t>
            </w:r>
          </w:p>
        </w:tc>
        <w:tc>
          <w:tcPr>
            <w:tcW w:w="4160" w:type="dxa"/>
            <w:vAlign w:val="bottom"/>
            <w:gridSpan w:val="4"/>
          </w:tcPr>
          <w:p>
            <w:pPr>
              <w:ind w:left="360"/>
              <w:spacing w:after="0"/>
              <w:rPr>
                <w:sz w:val="20"/>
                <w:szCs w:val="20"/>
                <w:color w:val="auto"/>
              </w:rPr>
            </w:pPr>
            <w:r>
              <w:rPr>
                <w:rFonts w:ascii="Arial" w:cs="Arial" w:eastAsia="Arial" w:hAnsi="Arial"/>
                <w:sz w:val="18"/>
                <w:szCs w:val="18"/>
                <w:color w:val="auto"/>
                <w:w w:val="90"/>
              </w:rPr>
              <w:t>Percent of Class Represented by Amount in Row (9)</w:t>
            </w:r>
          </w:p>
        </w:tc>
        <w:tc>
          <w:tcPr>
            <w:tcW w:w="280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3.7% (see Item 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p>
      <w:pPr>
        <w:ind w:left="920" w:right="7160" w:hanging="588"/>
        <w:spacing w:after="0" w:line="52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98420U703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right="8220" w:hanging="588"/>
        <w:spacing w:after="0" w:line="440"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Intracoastal Capital LLC</w:t>
      </w:r>
    </w:p>
    <w:p>
      <w:pPr>
        <w:ind w:left="920" w:hanging="588"/>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60" w:hanging="248"/>
        <w:spacing w:after="0" w:line="207" w:lineRule="exact"/>
        <w:tabs>
          <w:tab w:leader="none" w:pos="11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60" w:hanging="248"/>
        <w:spacing w:after="0" w:line="207" w:lineRule="exact"/>
        <w:tabs>
          <w:tab w:leader="none" w:pos="11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920" w:hanging="588"/>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4.</w:t>
            </w:r>
          </w:p>
        </w:tc>
        <w:tc>
          <w:tcPr>
            <w:tcW w:w="4160" w:type="dxa"/>
            <w:vAlign w:val="bottom"/>
            <w:tcBorders>
              <w:top w:val="single" w:sz="8" w:color="auto"/>
            </w:tcBorders>
            <w:gridSpan w:val="4"/>
          </w:tcPr>
          <w:p>
            <w:pPr>
              <w:ind w:left="3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3720" w:type="dxa"/>
            <w:vAlign w:val="bottom"/>
            <w:tcBorders>
              <w:top w:val="single" w:sz="8" w:color="auto"/>
            </w:tcBorders>
          </w:tcPr>
          <w:p>
            <w:pPr>
              <w:spacing w:after="0"/>
              <w:rPr>
                <w:sz w:val="22"/>
                <w:szCs w:val="22"/>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21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0</w:t>
            </w:r>
          </w:p>
        </w:tc>
        <w:tc>
          <w:tcPr>
            <w:tcW w:w="3720" w:type="dxa"/>
            <w:vAlign w:val="bottom"/>
          </w:tcPr>
          <w:p>
            <w:pPr>
              <w:spacing w:after="0"/>
              <w:rPr>
                <w:sz w:val="20"/>
                <w:szCs w:val="20"/>
                <w:color w:val="auto"/>
              </w:rPr>
            </w:pPr>
          </w:p>
        </w:tc>
      </w:tr>
      <w:tr>
        <w:trPr>
          <w:trHeight w:val="209"/>
        </w:trPr>
        <w:tc>
          <w:tcPr>
            <w:tcW w:w="560" w:type="dxa"/>
            <w:vAlign w:val="bottom"/>
          </w:tcPr>
          <w:p>
            <w:pPr>
              <w:spacing w:after="0"/>
              <w:rPr>
                <w:sz w:val="18"/>
                <w:szCs w:val="18"/>
                <w:color w:val="auto"/>
              </w:rPr>
            </w:pPr>
          </w:p>
        </w:tc>
        <w:tc>
          <w:tcPr>
            <w:tcW w:w="148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15"/>
        </w:trPr>
        <w:tc>
          <w:tcPr>
            <w:tcW w:w="204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Shares Beneficially</w:t>
            </w:r>
          </w:p>
        </w:tc>
        <w:tc>
          <w:tcPr>
            <w:tcW w:w="22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21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4,001,516</w:t>
            </w:r>
          </w:p>
        </w:tc>
        <w:tc>
          <w:tcPr>
            <w:tcW w:w="3720" w:type="dxa"/>
            <w:vAlign w:val="bottom"/>
          </w:tcPr>
          <w:p>
            <w:pPr>
              <w:spacing w:after="0"/>
              <w:rPr>
                <w:sz w:val="18"/>
                <w:szCs w:val="18"/>
                <w:color w:val="auto"/>
              </w:rPr>
            </w:pPr>
          </w:p>
        </w:tc>
      </w:tr>
      <w:tr>
        <w:trPr>
          <w:trHeight w:val="224"/>
        </w:trPr>
        <w:tc>
          <w:tcPr>
            <w:tcW w:w="560" w:type="dxa"/>
            <w:vAlign w:val="bottom"/>
          </w:tcPr>
          <w:p>
            <w:pPr>
              <w:spacing w:after="0"/>
              <w:rPr>
                <w:sz w:val="19"/>
                <w:szCs w:val="19"/>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89"/>
              </w:rPr>
              <w:t>Owned by Each</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188"/>
        </w:trPr>
        <w:tc>
          <w:tcPr>
            <w:tcW w:w="560" w:type="dxa"/>
            <w:vAlign w:val="bottom"/>
          </w:tcPr>
          <w:p>
            <w:pPr>
              <w:spacing w:after="0"/>
              <w:rPr>
                <w:sz w:val="16"/>
                <w:szCs w:val="16"/>
                <w:color w:val="auto"/>
              </w:rPr>
            </w:pPr>
          </w:p>
        </w:tc>
        <w:tc>
          <w:tcPr>
            <w:tcW w:w="148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6"/>
                <w:szCs w:val="16"/>
                <w:color w:val="auto"/>
              </w:rPr>
            </w:pPr>
          </w:p>
        </w:tc>
        <w:tc>
          <w:tcPr>
            <w:tcW w:w="30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7.</w:t>
            </w:r>
          </w:p>
        </w:tc>
        <w:tc>
          <w:tcPr>
            <w:tcW w:w="2160" w:type="dxa"/>
            <w:vAlign w:val="bottom"/>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2800" w:type="dxa"/>
            <w:vAlign w:val="bottom"/>
          </w:tcPr>
          <w:p>
            <w:pPr>
              <w:ind w:left="800"/>
              <w:spacing w:after="0" w:line="189" w:lineRule="exact"/>
              <w:rPr>
                <w:sz w:val="20"/>
                <w:szCs w:val="20"/>
                <w:color w:val="auto"/>
              </w:rPr>
            </w:pPr>
            <w:r>
              <w:rPr>
                <w:rFonts w:ascii="Arial" w:cs="Arial" w:eastAsia="Arial" w:hAnsi="Arial"/>
                <w:sz w:val="18"/>
                <w:szCs w:val="18"/>
                <w:color w:val="auto"/>
              </w:rPr>
              <w:t>0</w:t>
            </w:r>
          </w:p>
        </w:tc>
        <w:tc>
          <w:tcPr>
            <w:tcW w:w="3720" w:type="dxa"/>
            <w:vAlign w:val="bottom"/>
          </w:tcPr>
          <w:p>
            <w:pPr>
              <w:spacing w:after="0"/>
              <w:rPr>
                <w:sz w:val="16"/>
                <w:szCs w:val="16"/>
                <w:color w:val="auto"/>
              </w:rPr>
            </w:pPr>
          </w:p>
        </w:tc>
      </w:tr>
      <w:tr>
        <w:trPr>
          <w:trHeight w:val="251"/>
        </w:trPr>
        <w:tc>
          <w:tcPr>
            <w:tcW w:w="560" w:type="dxa"/>
            <w:vAlign w:val="bottom"/>
          </w:tcPr>
          <w:p>
            <w:pPr>
              <w:spacing w:after="0"/>
              <w:rPr>
                <w:sz w:val="21"/>
                <w:szCs w:val="21"/>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91"/>
              </w:rPr>
              <w:t>Person With:</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r>
      <w:tr>
        <w:trPr>
          <w:trHeight w:val="230"/>
        </w:trPr>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2160" w:type="dxa"/>
            <w:vAlign w:val="bottom"/>
          </w:tcPr>
          <w:p>
            <w:pPr>
              <w:ind w:left="140"/>
              <w:spacing w:after="0"/>
              <w:rPr>
                <w:sz w:val="20"/>
                <w:szCs w:val="20"/>
                <w:color w:val="auto"/>
              </w:rPr>
            </w:pPr>
            <w:r>
              <w:rPr>
                <w:rFonts w:ascii="Arial" w:cs="Arial" w:eastAsia="Arial" w:hAnsi="Arial"/>
                <w:sz w:val="18"/>
                <w:szCs w:val="18"/>
                <w:color w:val="auto"/>
                <w:w w:val="97"/>
              </w:rPr>
              <w:t>Shared Dispositive Power</w:t>
            </w:r>
          </w:p>
        </w:tc>
        <w:tc>
          <w:tcPr>
            <w:tcW w:w="2800" w:type="dxa"/>
            <w:vAlign w:val="bottom"/>
          </w:tcPr>
          <w:p>
            <w:pPr>
              <w:ind w:left="800"/>
              <w:spacing w:after="0"/>
              <w:rPr>
                <w:sz w:val="20"/>
                <w:szCs w:val="20"/>
                <w:color w:val="auto"/>
              </w:rPr>
            </w:pPr>
            <w:r>
              <w:rPr>
                <w:rFonts w:ascii="Arial" w:cs="Arial" w:eastAsia="Arial" w:hAnsi="Arial"/>
                <w:sz w:val="18"/>
                <w:szCs w:val="18"/>
                <w:color w:val="auto"/>
              </w:rPr>
              <w:t>4,001,516</w:t>
            </w:r>
          </w:p>
        </w:tc>
        <w:tc>
          <w:tcPr>
            <w:tcW w:w="3720" w:type="dxa"/>
            <w:vAlign w:val="bottom"/>
          </w:tcPr>
          <w:p>
            <w:pPr>
              <w:spacing w:after="0"/>
              <w:rPr>
                <w:sz w:val="20"/>
                <w:szCs w:val="20"/>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5260" w:type="dxa"/>
            <w:vAlign w:val="bottom"/>
            <w:tcBorders>
              <w:bottom w:val="single" w:sz="8" w:color="auto"/>
            </w:tcBorders>
            <w:gridSpan w:val="3"/>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rPr>
              <w:t>9.</w:t>
            </w:r>
          </w:p>
        </w:tc>
        <w:tc>
          <w:tcPr>
            <w:tcW w:w="6960" w:type="dxa"/>
            <w:vAlign w:val="bottom"/>
            <w:gridSpan w:val="5"/>
          </w:tcPr>
          <w:p>
            <w:pPr>
              <w:ind w:left="360"/>
              <w:spacing w:after="0"/>
              <w:rPr>
                <w:sz w:val="20"/>
                <w:szCs w:val="20"/>
                <w:color w:val="auto"/>
              </w:rPr>
            </w:pPr>
            <w:r>
              <w:rPr>
                <w:rFonts w:ascii="Arial" w:cs="Arial" w:eastAsia="Arial" w:hAnsi="Arial"/>
                <w:sz w:val="18"/>
                <w:szCs w:val="18"/>
                <w:color w:val="auto"/>
              </w:rPr>
              <w:t>Aggregate Amount Beneficially Owned by Each Reporting Person</w:t>
            </w:r>
          </w:p>
        </w:tc>
        <w:tc>
          <w:tcPr>
            <w:tcW w:w="3720" w:type="dxa"/>
            <w:vAlign w:val="bottom"/>
          </w:tcPr>
          <w:p>
            <w:pPr>
              <w:ind w:left="120"/>
              <w:spacing w:after="0"/>
              <w:rPr>
                <w:sz w:val="20"/>
                <w:szCs w:val="20"/>
                <w:color w:val="auto"/>
              </w:rPr>
            </w:pPr>
            <w:r>
              <w:rPr>
                <w:rFonts w:ascii="Arial" w:cs="Arial" w:eastAsia="Arial" w:hAnsi="Arial"/>
                <w:sz w:val="18"/>
                <w:szCs w:val="18"/>
                <w:color w:val="auto"/>
              </w:rPr>
              <w:t>4,001,516 (see Item 4)</w:t>
            </w:r>
          </w:p>
        </w:tc>
      </w:tr>
      <w:tr>
        <w:trPr>
          <w:trHeight w:val="209"/>
        </w:trPr>
        <w:tc>
          <w:tcPr>
            <w:tcW w:w="56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gridSpan w:val="5"/>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283"/>
        </w:trPr>
        <w:tc>
          <w:tcPr>
            <w:tcW w:w="560" w:type="dxa"/>
            <w:vAlign w:val="bottom"/>
          </w:tcPr>
          <w:p>
            <w:pPr>
              <w:ind w:left="340"/>
              <w:spacing w:after="0"/>
              <w:rPr>
                <w:sz w:val="20"/>
                <w:szCs w:val="20"/>
                <w:color w:val="auto"/>
              </w:rPr>
            </w:pPr>
            <w:r>
              <w:rPr>
                <w:rFonts w:ascii="Arial" w:cs="Arial" w:eastAsia="Arial" w:hAnsi="Arial"/>
                <w:sz w:val="18"/>
                <w:szCs w:val="18"/>
                <w:color w:val="auto"/>
                <w:w w:val="79"/>
              </w:rPr>
              <w:t>10.</w:t>
            </w:r>
          </w:p>
        </w:tc>
        <w:tc>
          <w:tcPr>
            <w:tcW w:w="6960" w:type="dxa"/>
            <w:vAlign w:val="bottom"/>
            <w:gridSpan w:val="5"/>
          </w:tcPr>
          <w:p>
            <w:pPr>
              <w:ind w:left="36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c>
          <w:tcPr>
            <w:tcW w:w="3720" w:type="dxa"/>
            <w:vAlign w:val="bottom"/>
          </w:tcPr>
          <w:p>
            <w:pPr>
              <w:spacing w:after="0"/>
              <w:rPr>
                <w:sz w:val="24"/>
                <w:szCs w:val="24"/>
                <w:color w:val="auto"/>
              </w:rPr>
            </w:pPr>
          </w:p>
        </w:tc>
      </w:tr>
      <w:tr>
        <w:trPr>
          <w:trHeight w:val="156"/>
        </w:trPr>
        <w:tc>
          <w:tcPr>
            <w:tcW w:w="56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gridSpan w:val="4"/>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30"/>
        </w:trPr>
        <w:tc>
          <w:tcPr>
            <w:tcW w:w="560" w:type="dxa"/>
            <w:vAlign w:val="bottom"/>
          </w:tcPr>
          <w:p>
            <w:pPr>
              <w:ind w:left="340"/>
              <w:spacing w:after="0"/>
              <w:rPr>
                <w:sz w:val="20"/>
                <w:szCs w:val="20"/>
                <w:color w:val="auto"/>
              </w:rPr>
            </w:pPr>
            <w:r>
              <w:rPr>
                <w:rFonts w:ascii="Arial" w:cs="Arial" w:eastAsia="Arial" w:hAnsi="Arial"/>
                <w:sz w:val="18"/>
                <w:szCs w:val="18"/>
                <w:color w:val="auto"/>
                <w:w w:val="79"/>
              </w:rPr>
              <w:t>11.</w:t>
            </w:r>
          </w:p>
        </w:tc>
        <w:tc>
          <w:tcPr>
            <w:tcW w:w="4160" w:type="dxa"/>
            <w:vAlign w:val="bottom"/>
            <w:gridSpan w:val="4"/>
          </w:tcPr>
          <w:p>
            <w:pPr>
              <w:ind w:left="360"/>
              <w:spacing w:after="0"/>
              <w:rPr>
                <w:sz w:val="20"/>
                <w:szCs w:val="20"/>
                <w:color w:val="auto"/>
              </w:rPr>
            </w:pPr>
            <w:r>
              <w:rPr>
                <w:rFonts w:ascii="Arial" w:cs="Arial" w:eastAsia="Arial" w:hAnsi="Arial"/>
                <w:sz w:val="18"/>
                <w:szCs w:val="18"/>
                <w:color w:val="auto"/>
                <w:w w:val="90"/>
              </w:rPr>
              <w:t>Percent of Class Represented by Amount in Row (9)</w:t>
            </w:r>
          </w:p>
        </w:tc>
        <w:tc>
          <w:tcPr>
            <w:tcW w:w="280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3.7% (see Item 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p>
      <w:pPr>
        <w:ind w:left="920" w:hanging="58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This Amendment No. 2 is being filed jointly by the Reporting Persons and amends the Schedule 13G initially filed by the Reporting Persons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December 28, 2020, as amended by Amendment No. 1 thereto filed by the Reporting Persons with the SEC on January 29, 2021 (the “</w:t>
      </w:r>
      <w:r>
        <w:rPr>
          <w:rFonts w:ascii="Arial" w:cs="Arial" w:eastAsia="Arial" w:hAnsi="Arial"/>
          <w:sz w:val="18"/>
          <w:szCs w:val="18"/>
          <w:b w:val="1"/>
          <w:bCs w:val="1"/>
          <w:color w:val="auto"/>
        </w:rPr>
        <w:t>Schedule 13G</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below, all Items of the Schedule 13G remain unchanged. All capitalized terms not otherwise defined herein shall have the meanings ascribed to such terms in the Schedule 13G.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and (b):</w:t>
      </w:r>
    </w:p>
    <w:p>
      <w:pPr>
        <w:spacing w:after="0" w:line="144" w:lineRule="exact"/>
        <w:rPr>
          <w:sz w:val="20"/>
          <w:szCs w:val="20"/>
          <w:color w:val="auto"/>
        </w:rPr>
      </w:pPr>
    </w:p>
    <w:p>
      <w:pPr>
        <w:jc w:val="both"/>
        <w:ind w:left="660" w:firstLine="644"/>
        <w:spacing w:after="0" w:line="253" w:lineRule="auto"/>
        <w:tabs>
          <w:tab w:leader="none" w:pos="1543"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close of business on December 31, 2021, each of Mr. Asher and Intracoastal may have been deemed to have beneficial ownership of 4,001,516 shares of Common Stock, which consisted of (i) 300 shares of Common Stock held by Intracoastal, (ii) 1,991,177 shares of Common Stock issuable upon exercise of a warrant held by Intracoastal (“</w:t>
      </w:r>
      <w:r>
        <w:rPr>
          <w:rFonts w:ascii="Arial" w:cs="Arial" w:eastAsia="Arial" w:hAnsi="Arial"/>
          <w:sz w:val="18"/>
          <w:szCs w:val="18"/>
          <w:b w:val="1"/>
          <w:bCs w:val="1"/>
          <w:color w:val="auto"/>
        </w:rPr>
        <w:t>Intracoastal Warrant 1</w:t>
      </w:r>
      <w:r>
        <w:rPr>
          <w:rFonts w:ascii="Arial" w:cs="Arial" w:eastAsia="Arial" w:hAnsi="Arial"/>
          <w:sz w:val="18"/>
          <w:szCs w:val="18"/>
          <w:color w:val="auto"/>
        </w:rPr>
        <w:t>”), (iii) 1,058,201 shares of Common Stock issuable upon exercise of a second warrant held by Intracoastal (“</w:t>
      </w:r>
      <w:r>
        <w:rPr>
          <w:rFonts w:ascii="Arial" w:cs="Arial" w:eastAsia="Arial" w:hAnsi="Arial"/>
          <w:sz w:val="18"/>
          <w:szCs w:val="18"/>
          <w:b w:val="1"/>
          <w:bCs w:val="1"/>
          <w:color w:val="auto"/>
        </w:rPr>
        <w:t>Intracoastal Warrant 2</w:t>
      </w:r>
      <w:r>
        <w:rPr>
          <w:rFonts w:ascii="Arial" w:cs="Arial" w:eastAsia="Arial" w:hAnsi="Arial"/>
          <w:sz w:val="18"/>
          <w:szCs w:val="18"/>
          <w:color w:val="auto"/>
        </w:rPr>
        <w:t>”) and (iv) 951,838 shares of Common Stock issuable upon exercise of a third warrant held by Intracoastal (“</w:t>
      </w:r>
      <w:r>
        <w:rPr>
          <w:rFonts w:ascii="Arial" w:cs="Arial" w:eastAsia="Arial" w:hAnsi="Arial"/>
          <w:sz w:val="18"/>
          <w:szCs w:val="18"/>
          <w:b w:val="1"/>
          <w:bCs w:val="1"/>
          <w:color w:val="auto"/>
        </w:rPr>
        <w:t>Intracoastal Warrant 3</w:t>
      </w:r>
      <w:r>
        <w:rPr>
          <w:rFonts w:ascii="Arial" w:cs="Arial" w:eastAsia="Arial" w:hAnsi="Arial"/>
          <w:sz w:val="18"/>
          <w:szCs w:val="18"/>
          <w:color w:val="auto"/>
        </w:rPr>
        <w:t>”), and all such shares of Common Stock represented beneficial ownership of approximately 3.7% of the Common Stock, based on (1) 105,662,421 shares of Common Stock outstanding as of November 5, 2021 as reported by the Issuer, plus (2) 1,991,177 shares of Common Stock issuable upon exercise of Intracoastal Warrant 1, (3) 1,058,201 shares of Common Stock issuable upon exercise of Intracoastal Warrant 2 and (4) 951,838 shares of Common Stock issuable upon exercise of Intracoastal Warrant 3.</w:t>
      </w:r>
    </w:p>
    <w:p>
      <w:pPr>
        <w:spacing w:after="0" w:line="196" w:lineRule="exact"/>
        <w:rPr>
          <w:rFonts w:ascii="Arial" w:cs="Arial" w:eastAsia="Arial" w:hAnsi="Arial"/>
          <w:sz w:val="18"/>
          <w:szCs w:val="18"/>
          <w:color w:val="auto"/>
        </w:rPr>
      </w:pPr>
    </w:p>
    <w:p>
      <w:pPr>
        <w:jc w:val="both"/>
        <w:ind w:left="660" w:firstLine="644"/>
        <w:spacing w:after="0" w:line="271" w:lineRule="auto"/>
        <w:tabs>
          <w:tab w:leader="none" w:pos="1582"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the close of business on December 31, 2021, Mr. Kopin may have been deemed to have beneficial ownership of 4,038,516 shares of Common Stock, which consisted of (i) 300 shares of Common Stock held by Intracoastal, (ii) 37,000 shares of Common Stock held by Mr. Kopin, (iii) 1,991,177 shares of Common Stock issuable upon exercise of Intracoastal Warrant 1, (iv) 1,058,201 shares of Common Stock issuable upon exercise of Intracoastal Warrant 2 and (v) 951,838 shares of Common Stock issuable upon exercise of Intracoastal Warrant 3, and all such shares of Common Stock represented beneficial ownership of approximately 3.7% of the Common Stock, based on (1) 105,662,421 shares of Common Stock outstanding as of November 5, 2021 as reported by the Issuer, plus (2) 1,991,177 shares of Common Stock issuable upon exercise of Intracoastal Warrant 1, (3) 1,058,201 shares of Common Stock issuable upon exercise of Intracoastal Warrant 2 and (4) 951,838 shares of Common Stock issuable upon exercise of Intracoastal Warrant 3.</w:t>
      </w:r>
    </w:p>
    <w:p>
      <w:pPr>
        <w:spacing w:after="0" w:line="3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(c)(i) Number of shares as to which each of Mr. Asher and Intracoastal has:</w:t>
      </w:r>
    </w:p>
    <w:p>
      <w:pPr>
        <w:spacing w:after="0" w:line="225" w:lineRule="exact"/>
        <w:rPr>
          <w:sz w:val="20"/>
          <w:szCs w:val="20"/>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4,001,516.</w:t>
      </w:r>
    </w:p>
    <w:p>
      <w:pPr>
        <w:spacing w:after="0" w:line="225" w:lineRule="exact"/>
        <w:rPr>
          <w:rFonts w:ascii="Arial" w:cs="Arial" w:eastAsia="Arial" w:hAnsi="Arial"/>
          <w:sz w:val="18"/>
          <w:szCs w:val="18"/>
          <w:color w:val="auto"/>
        </w:rPr>
      </w:pPr>
    </w:p>
    <w:p>
      <w:pPr>
        <w:ind w:left="1220" w:hanging="317"/>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420" w:right="5340" w:firstLine="483"/>
        <w:spacing w:after="0" w:line="500" w:lineRule="auto"/>
        <w:tabs>
          <w:tab w:leader="none" w:pos="1214"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4,001,516. (c)(ii) Number of shares as to which Mr. Kopin has:</w:t>
      </w:r>
    </w:p>
    <w:p>
      <w:pPr>
        <w:spacing w:after="0" w:line="1" w:lineRule="exact"/>
        <w:rPr>
          <w:rFonts w:ascii="Arial" w:cs="Arial" w:eastAsia="Arial" w:hAnsi="Arial"/>
          <w:sz w:val="18"/>
          <w:szCs w:val="18"/>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37,000.</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4,001,516.</w:t>
      </w:r>
    </w:p>
    <w:p>
      <w:pPr>
        <w:spacing w:after="0" w:line="225" w:lineRule="exact"/>
        <w:rPr>
          <w:sz w:val="20"/>
          <w:szCs w:val="20"/>
          <w:color w:val="auto"/>
        </w:rPr>
      </w:pPr>
    </w:p>
    <w:p>
      <w:pPr>
        <w:ind w:left="1220" w:hanging="317"/>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37,000.</w:t>
      </w:r>
    </w:p>
    <w:p>
      <w:pPr>
        <w:spacing w:after="0" w:line="225" w:lineRule="exact"/>
        <w:rPr>
          <w:rFonts w:ascii="Arial" w:cs="Arial" w:eastAsia="Arial" w:hAnsi="Arial"/>
          <w:sz w:val="18"/>
          <w:szCs w:val="18"/>
          <w:color w:val="auto"/>
        </w:rPr>
      </w:pPr>
    </w:p>
    <w:p>
      <w:pPr>
        <w:ind w:left="1200" w:hanging="297"/>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4,001,516.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þ.</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11, 2022</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Mitchell P. Kopin</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B. Asher</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2"/>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2022-02-12T01:07:25Z</dcterms:created>
  <dcterms:modified xsi:type="dcterms:W3CDTF">2022-02-12T01:07:25Z</dcterms:modified>
</cp:coreProperties>
</file>