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Lang Andrew Kennedy</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C/O VRINGO,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780 THIRD AVENUE,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Vringo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VRNG</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11/21/2012</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tbl>
      <w:tblPr>
        <w:tblLayout w:type="fixed"/>
        <w:tblInd w:w="203" w:type="dxa"/>
        <w:tblCellMar>
          <w:top w:w="0" w:type="dxa"/>
          <w:left w:w="0" w:type="dxa"/>
          <w:bottom w:w="0" w:type="dxa"/>
          <w:right w:w="0" w:type="dxa"/>
        </w:tblCellMar>
      </w:tblPr>
      <w:tr>
        <w:trPr>
          <w:trHeight w:val="22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023"/>
        <w:spacing w:after="0"/>
        <w:rPr>
          <w:sz w:val="20"/>
          <w:szCs w:val="20"/>
          <w:color w:val="auto"/>
        </w:rPr>
      </w:pPr>
      <w:r>
        <w:rPr>
          <w:rFonts w:ascii="Times New Roman" w:cs="Times New Roman" w:eastAsia="Times New Roman" w:hAnsi="Times New Roman"/>
          <w:sz w:val="18"/>
          <w:szCs w:val="18"/>
          <w:color w:val="0000FF"/>
        </w:rPr>
        <w:t>President &amp; CTO</w:t>
      </w:r>
    </w:p>
    <w:p>
      <w:pPr>
        <w:spacing w:after="0" w:line="411"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0000FF"/>
              </w:rPr>
              <w:t>NEW YORK</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NY</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59" w:lineRule="exact"/>
        <w:rPr>
          <w:sz w:val="24"/>
          <w:szCs w:val="24"/>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10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vMerge w:val="continue"/>
          </w:tcPr>
          <w:p>
            <w:pPr>
              <w:spacing w:after="0"/>
              <w:rPr>
                <w:sz w:val="11"/>
                <w:szCs w:val="11"/>
                <w:color w:val="auto"/>
              </w:rPr>
            </w:pPr>
          </w:p>
        </w:tc>
        <w:tc>
          <w:tcPr>
            <w:tcW w:w="4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 $0.01 par value per share</w:t>
            </w:r>
          </w:p>
        </w:tc>
        <w:tc>
          <w:tcPr>
            <w:tcW w:w="128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8"/>
                <w:szCs w:val="18"/>
                <w:color w:val="0000FF"/>
              </w:rPr>
              <w:t>11/21/2012</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0000FF"/>
              </w:rPr>
              <w:t>S</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0000FF"/>
              </w:rPr>
              <w:t>500</w:t>
            </w:r>
          </w:p>
        </w:tc>
        <w:tc>
          <w:tcPr>
            <w:tcW w:w="5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0000FF"/>
                <w:w w:val="91"/>
              </w:rPr>
              <w:t>D</w:t>
            </w:r>
          </w:p>
        </w:tc>
        <w:tc>
          <w:tcPr>
            <w:tcW w:w="220" w:type="dxa"/>
            <w:vAlign w:val="bottom"/>
          </w:tcPr>
          <w:p>
            <w:pPr>
              <w:spacing w:after="0"/>
              <w:rPr>
                <w:sz w:val="18"/>
                <w:szCs w:val="18"/>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4</w:t>
            </w:r>
          </w:p>
        </w:tc>
        <w:tc>
          <w:tcPr>
            <w:tcW w:w="60" w:type="dxa"/>
            <w:vAlign w:val="bottom"/>
          </w:tcPr>
          <w:p>
            <w:pPr>
              <w:spacing w:after="0"/>
              <w:rPr>
                <w:sz w:val="18"/>
                <w:szCs w:val="18"/>
                <w:color w:val="auto"/>
              </w:rPr>
            </w:pPr>
          </w:p>
        </w:tc>
        <w:tc>
          <w:tcPr>
            <w:tcW w:w="1340" w:type="dxa"/>
            <w:vAlign w:val="bottom"/>
            <w:gridSpan w:val="3"/>
            <w:vMerge w:val="restart"/>
          </w:tcPr>
          <w:p>
            <w:pPr>
              <w:jc w:val="right"/>
              <w:ind w:right="199"/>
              <w:spacing w:after="0"/>
              <w:rPr>
                <w:sz w:val="20"/>
                <w:szCs w:val="20"/>
                <w:color w:val="auto"/>
              </w:rPr>
            </w:pPr>
            <w:r>
              <w:rPr>
                <w:rFonts w:ascii="Times New Roman" w:cs="Times New Roman" w:eastAsia="Times New Roman" w:hAnsi="Times New Roman"/>
                <w:sz w:val="18"/>
                <w:szCs w:val="18"/>
                <w:color w:val="0000FF"/>
              </w:rPr>
              <w:t>2,931,752</w:t>
            </w:r>
          </w:p>
        </w:tc>
        <w:tc>
          <w:tcPr>
            <w:tcW w:w="300" w:type="dxa"/>
            <w:vAlign w:val="bottom"/>
          </w:tcPr>
          <w:p>
            <w:pPr>
              <w:spacing w:after="0"/>
              <w:rPr>
                <w:sz w:val="18"/>
                <w:szCs w:val="18"/>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0000FF"/>
              </w:rPr>
              <w:t>I</w:t>
            </w: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Innovation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180" w:type="dxa"/>
            <w:vAlign w:val="bottom"/>
            <w:gridSpan w:val="4"/>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Spring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180" w:type="dxa"/>
            <w:vAlign w:val="bottom"/>
            <w:tcBorders>
              <w:top w:val="single" w:sz="8" w:color="2C2C2C"/>
              <w:bottom w:val="single" w:sz="8" w:color="2C2C2C"/>
            </w:tcBorders>
            <w:gridSpan w:val="4"/>
          </w:tcPr>
          <w:p>
            <w:pPr>
              <w:ind w:left="60"/>
              <w:spacing w:after="0"/>
              <w:rPr>
                <w:sz w:val="20"/>
                <w:szCs w:val="20"/>
                <w:color w:val="auto"/>
              </w:rPr>
            </w:pPr>
            <w:r>
              <w:rPr>
                <w:rFonts w:ascii="Times New Roman" w:cs="Times New Roman" w:eastAsia="Times New Roman" w:hAnsi="Times New Roman"/>
                <w:sz w:val="18"/>
                <w:szCs w:val="18"/>
                <w:color w:val="0000FF"/>
              </w:rPr>
              <w:t>Common Stock, $0.01 par value per share</w:t>
            </w:r>
          </w:p>
        </w:tc>
        <w:tc>
          <w:tcPr>
            <w:tcW w:w="66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2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22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gridSpan w:val="3"/>
          </w:tcPr>
          <w:p>
            <w:pPr>
              <w:jc w:val="center"/>
              <w:ind w:right="119"/>
              <w:spacing w:after="0"/>
              <w:rPr>
                <w:sz w:val="20"/>
                <w:szCs w:val="20"/>
                <w:color w:val="auto"/>
              </w:rPr>
            </w:pPr>
            <w:r>
              <w:rPr>
                <w:rFonts w:ascii="Times New Roman" w:cs="Times New Roman" w:eastAsia="Times New Roman" w:hAnsi="Times New Roman"/>
                <w:sz w:val="18"/>
                <w:szCs w:val="18"/>
                <w:color w:val="0000FF"/>
              </w:rPr>
              <w:t>2,765,400</w:t>
            </w:r>
            <w:r>
              <w:rPr>
                <w:rFonts w:ascii="Times New Roman" w:cs="Times New Roman" w:eastAsia="Times New Roman" w:hAnsi="Times New Roman"/>
                <w:sz w:val="22"/>
                <w:szCs w:val="22"/>
                <w:color w:val="008000"/>
                <w:vertAlign w:val="superscript"/>
              </w:rPr>
              <w:t>(1)</w:t>
            </w:r>
          </w:p>
        </w:tc>
        <w:tc>
          <w:tcPr>
            <w:tcW w:w="30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ind w:left="100"/>
              <w:spacing w:after="0"/>
              <w:rPr>
                <w:sz w:val="20"/>
                <w:szCs w:val="20"/>
                <w:color w:val="auto"/>
              </w:rPr>
            </w:pPr>
            <w:r>
              <w:rPr>
                <w:rFonts w:ascii="Times New Roman" w:cs="Times New Roman" w:eastAsia="Times New Roman" w:hAnsi="Times New Roman"/>
                <w:sz w:val="18"/>
                <w:szCs w:val="18"/>
                <w:color w:val="0000FF"/>
              </w:rPr>
              <w:t>D</w:t>
            </w:r>
          </w:p>
        </w:tc>
        <w:tc>
          <w:tcPr>
            <w:tcW w:w="84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20" w:type="dxa"/>
            <w:vAlign w:val="bottom"/>
            <w:gridSpan w:val="11"/>
          </w:tcPr>
          <w:p>
            <w:pPr>
              <w:jc w:val="right"/>
              <w:ind w:right="8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vMerge w:val="continue"/>
          </w:tcPr>
          <w:p>
            <w:pPr>
              <w:spacing w:after="0"/>
              <w:rPr>
                <w:sz w:val="14"/>
                <w:szCs w:val="14"/>
                <w:color w:val="auto"/>
              </w:rPr>
            </w:pP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125,000 shares of common stock that are represented by restricted stock units which vest over a four-year period, with 1/8 of the restricted stock units vesting on January 26, 2013 and 1/16 of the restricted stock units vesting ratably on a quarterly basis thereafter.</w:t>
      </w:r>
    </w:p>
    <w:p>
      <w:pPr>
        <w:spacing w:after="0" w:line="27" w:lineRule="exact"/>
        <w:rPr>
          <w:rFonts w:ascii="Times New Roman" w:cs="Times New Roman" w:eastAsia="Times New Roman" w:hAnsi="Times New Roman"/>
          <w:sz w:val="14"/>
          <w:szCs w:val="14"/>
          <w:color w:val="008000"/>
        </w:rPr>
      </w:pPr>
    </w:p>
    <w:p>
      <w:pPr>
        <w:ind w:left="40" w:right="8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Mr. Lang is the manager of Innovation Spring LLC ("Innovation Spring") and has the sole power to dispose or direct the disposition of the securities held by Innovation Spring. Innovation Spring Trust is the sole member and 100% owner of Innovation Spring and has the sole power to vote or direct the vote over the securities held by Innovation Spring. Mr. Lang does not have power to vote or direct the vote over the securities held by Innovation Spring.</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The transactions reported in this Form 4 were effected pursuant to a Rule 10b5-1 trading plan adopted by the reporting person on August 31, 2012.</w:t>
      </w:r>
    </w:p>
    <w:p>
      <w:pPr>
        <w:spacing w:after="0" w:line="50"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 Andrew Kennedy Lang</w:t>
            </w: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2"/>
              </w:rPr>
              <w:t>11/26/2012</w:t>
            </w:r>
          </w:p>
        </w:tc>
      </w:tr>
      <w:tr>
        <w:trPr>
          <w:trHeight w:val="20"/>
        </w:trPr>
        <w:tc>
          <w:tcPr>
            <w:tcW w:w="68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8"/>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pacing w:after="0" w:line="2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4675"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2019-12-17T06:22:11Z</dcterms:created>
  <dcterms:modified xsi:type="dcterms:W3CDTF">2019-12-17T06:22:11Z</dcterms:modified>
</cp:coreProperties>
</file>