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16"/>
          <w:szCs w:val="16"/>
          <w:b w:val="1"/>
          <w:bCs w:val="1"/>
          <w:color w:val="FF0000"/>
        </w:rPr>
        <w:drawing>
          <wp:anchor simplePos="0" relativeHeight="251657728" behindDoc="1" locked="0" layoutInCell="0" allowOverlap="1">
            <wp:simplePos x="0" y="0"/>
            <wp:positionH relativeFrom="page">
              <wp:posOffset>203835</wp:posOffset>
            </wp:positionH>
            <wp:positionV relativeFrom="page">
              <wp:posOffset>297180</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329565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PRELIMINARY PROXY STATEMENT – SUBJECT TO COMPLETION</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FF0000"/>
        </w:rPr>
        <w:t>DATED AUGUST 2, 2024</w:t>
      </w:r>
    </w:p>
    <w:p>
      <w:pPr>
        <w:spacing w:after="0" w:line="1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SCHEDULE 14A INFORMATION</w:t>
      </w:r>
    </w:p>
    <w:p>
      <w:pPr>
        <w:spacing w:after="0" w:line="21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color w:val="auto"/>
        </w:rPr>
        <w:t>Proxy Statement Pursuant to Section 14(a) of</w:t>
      </w:r>
    </w:p>
    <w:p>
      <w:pPr>
        <w:spacing w:after="0" w:line="2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7"/>
          <w:szCs w:val="17"/>
          <w:color w:val="auto"/>
        </w:rPr>
        <w:t>the Securities Exchange Act of 1934</w:t>
      </w:r>
    </w:p>
    <w:p>
      <w:pPr>
        <w:spacing w:after="0" w:line="6" w:lineRule="exact"/>
        <w:rPr>
          <w:sz w:val="24"/>
          <w:szCs w:val="24"/>
          <w:color w:val="auto"/>
        </w:rPr>
      </w:pPr>
    </w:p>
    <w:p>
      <w:pPr>
        <w:ind w:left="4820"/>
        <w:spacing w:after="0"/>
        <w:tabs>
          <w:tab w:leader="none" w:pos="6360" w:val="left"/>
        </w:tabs>
        <w:rPr>
          <w:sz w:val="20"/>
          <w:szCs w:val="20"/>
          <w:color w:val="auto"/>
        </w:rPr>
      </w:pPr>
      <w:r>
        <w:rPr>
          <w:rFonts w:ascii="Times New Roman" w:cs="Times New Roman" w:eastAsia="Times New Roman" w:hAnsi="Times New Roman"/>
          <w:sz w:val="17"/>
          <w:szCs w:val="17"/>
          <w:color w:val="auto"/>
        </w:rPr>
        <w:t>(Amendment No.</w:t>
      </w:r>
      <w:r>
        <w:rPr>
          <w:sz w:val="20"/>
          <w:szCs w:val="20"/>
          <w:color w:val="auto"/>
        </w:rPr>
        <w:tab/>
      </w:r>
      <w:r>
        <w:rPr>
          <w:rFonts w:ascii="Times New Roman" w:cs="Times New Roman" w:eastAsia="Times New Roman" w:hAnsi="Times New Roman"/>
          <w:sz w:val="12"/>
          <w:szCs w:val="12"/>
          <w:color w:val="auto"/>
        </w:rPr>
        <w:t>)</w:t>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8" w:lineRule="exact"/>
        <w:rPr>
          <w:sz w:val="24"/>
          <w:szCs w:val="24"/>
          <w:color w:val="auto"/>
        </w:rPr>
      </w:pPr>
    </w:p>
    <w:p>
      <w:pPr>
        <w:ind w:left="200" w:hanging="199"/>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8" w:lineRule="exact"/>
        <w:rPr>
          <w:sz w:val="24"/>
          <w:szCs w:val="24"/>
          <w:color w:val="auto"/>
        </w:rPr>
      </w:pPr>
    </w:p>
    <w:p>
      <w:pPr>
        <w:ind w:left="200" w:hanging="199"/>
        <w:spacing w:after="0"/>
        <w:tabs>
          <w:tab w:leader="none" w:pos="2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2" w:lineRule="exact"/>
        <w:rPr>
          <w:rFonts w:ascii="MS PGothic" w:cs="MS PGothic" w:eastAsia="MS PGothic" w:hAnsi="MS PGothic"/>
          <w:sz w:val="17"/>
          <w:szCs w:val="17"/>
          <w:color w:val="auto"/>
        </w:rPr>
      </w:pPr>
    </w:p>
    <w:p>
      <w:pPr>
        <w:ind w:left="200" w:hanging="199"/>
        <w:spacing w:after="0"/>
        <w:tabs>
          <w:tab w:leader="none" w:pos="2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6" w:lineRule="exact"/>
        <w:rPr>
          <w:rFonts w:ascii="MS PGothic" w:cs="MS PGothic" w:eastAsia="MS PGothic" w:hAnsi="MS PGothic"/>
          <w:sz w:val="17"/>
          <w:szCs w:val="17"/>
          <w:color w:val="auto"/>
        </w:rPr>
      </w:pPr>
    </w:p>
    <w:p>
      <w:pPr>
        <w:ind w:left="200" w:hanging="199"/>
        <w:spacing w:after="0"/>
        <w:tabs>
          <w:tab w:leader="none" w:pos="2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6" w:lineRule="exact"/>
        <w:rPr>
          <w:rFonts w:ascii="MS PGothic" w:cs="MS PGothic" w:eastAsia="MS PGothic" w:hAnsi="MS PGothic"/>
          <w:sz w:val="17"/>
          <w:szCs w:val="17"/>
          <w:color w:val="auto"/>
        </w:rPr>
      </w:pPr>
    </w:p>
    <w:p>
      <w:pPr>
        <w:ind w:left="200" w:hanging="199"/>
        <w:spacing w:after="0"/>
        <w:tabs>
          <w:tab w:leader="none" w:pos="2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Rule 14a-12</w:t>
      </w:r>
    </w:p>
    <w:p>
      <w:pPr>
        <w:spacing w:after="0" w:line="16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30"/>
          <w:szCs w:val="30"/>
          <w:b w:val="1"/>
          <w:bCs w:val="1"/>
          <w:color w:val="auto"/>
        </w:rPr>
        <w:t>XWELL, INC.</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9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08" w:lineRule="exact"/>
        <w:rPr>
          <w:sz w:val="24"/>
          <w:szCs w:val="24"/>
          <w:color w:val="auto"/>
        </w:rPr>
      </w:pPr>
    </w:p>
    <w:p>
      <w:pPr>
        <w:ind w:left="200" w:hanging="199"/>
        <w:spacing w:after="0"/>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8" w:lineRule="exact"/>
        <w:rPr>
          <w:sz w:val="24"/>
          <w:szCs w:val="24"/>
          <w:color w:val="auto"/>
        </w:rPr>
      </w:pPr>
    </w:p>
    <w:p>
      <w:pPr>
        <w:ind w:left="200" w:hanging="199"/>
        <w:spacing w:after="0"/>
        <w:tabs>
          <w:tab w:leader="none" w:pos="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2" w:lineRule="exact"/>
        <w:rPr>
          <w:rFonts w:ascii="MS PGothic" w:cs="MS PGothic" w:eastAsia="MS PGothic" w:hAnsi="MS PGothic"/>
          <w:sz w:val="17"/>
          <w:szCs w:val="17"/>
          <w:color w:val="auto"/>
        </w:rPr>
      </w:pPr>
    </w:p>
    <w:p>
      <w:pPr>
        <w:ind w:left="200" w:hanging="199"/>
        <w:spacing w:after="0"/>
        <w:tabs>
          <w:tab w:leader="none" w:pos="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131445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155575</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572135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7"/>
          <w:szCs w:val="17"/>
          <w:b w:val="1"/>
          <w:bCs w:val="1"/>
          <w:color w:val="FF0000"/>
        </w:rPr>
        <w:t>PRELIMINARY PROXY STATEMENT – SUBJECT TO COMPLETION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DATED 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132715</wp:posOffset>
            </wp:positionV>
            <wp:extent cx="2099945" cy="368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994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254 West 31st Street, 11th Floor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10001</w:t>
      </w:r>
    </w:p>
    <w:p>
      <w:pPr>
        <w:spacing w:after="0" w:line="188"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6"/>
          <w:szCs w:val="16"/>
          <w:b w:val="1"/>
          <w:bCs w:val="1"/>
          <w:color w:val="auto"/>
        </w:rPr>
        <w:t>[●],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You are cordially invited to attend the 2024 annual meeting of stockholders (including any adjournment, postponement or rescheduling thereof, the “Annual Meeting”) of XWELL, Inc. (the “Company”) to be held at [●] [a.m. / p.m.] Eastern Time on [●], 2024.</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 w:cs="Times New Roman" w:eastAsia="Times New Roman" w:hAnsi="Times New Roman"/>
          <w:sz w:val="17"/>
          <w:szCs w:val="17"/>
          <w:i w:val="1"/>
          <w:iCs w:val="1"/>
          <w:color w:val="auto"/>
        </w:rPr>
        <w:t>http://viewproxy.com/XWELL/2024</w:t>
      </w:r>
      <w:r>
        <w:rPr>
          <w:rFonts w:ascii="Times New Roman" w:cs="Times New Roman" w:eastAsia="Times New Roman" w:hAnsi="Times New Roman"/>
          <w:sz w:val="17"/>
          <w:szCs w:val="17"/>
          <w:color w:val="auto"/>
        </w:rPr>
        <w:t xml:space="preserve"> by [●] [a.m. / p.m.] Eastern Time on [●], 2024. You will receive a meeting invitation by email with your unique link, along with a password, prior to the meeting date. If you have any questions or require any assistance with pre-registering, please contact the Company’s proxy solicitor, Alliance Advisors, LLC, by calling 866-612-8937 or by email at </w:t>
      </w:r>
      <w:r>
        <w:rPr>
          <w:rFonts w:ascii="Times New Roman" w:cs="Times New Roman" w:eastAsia="Times New Roman" w:hAnsi="Times New Roman"/>
          <w:sz w:val="17"/>
          <w:szCs w:val="17"/>
          <w:u w:val="single" w:color="auto"/>
          <w:color w:val="auto"/>
        </w:rPr>
        <w:t>VirtualMeeting@viewproxy.com</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Details regarding the Annual Meeting, the business to be conducted at the Annual Meeting and information about the Company that you should consider when you vote your shares at the Annual Meeting are described in the accompanying Proxy Statement. The Proxy Statement and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are first being made available to stockholders on or about [●], 2024.</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Your vote is being solicited on behalf of the Company’s board of directors (the “Board”). At the Annual Meeting, we will ask stockholders to consider the following proposals:</w:t>
      </w:r>
    </w:p>
    <w:p>
      <w:pPr>
        <w:spacing w:after="0" w:line="158" w:lineRule="exact"/>
        <w:rPr>
          <w:sz w:val="20"/>
          <w:szCs w:val="20"/>
          <w:color w:val="auto"/>
        </w:rPr>
      </w:pPr>
    </w:p>
    <w:p>
      <w:pPr>
        <w:ind w:left="600" w:hanging="296"/>
        <w:spacing w:after="0" w:line="275"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Scott R. Milford, Bruce T. Bernstein, Robert Weinstein, Michael Lebowitz and Gaëlle Wizenberg to our Board, each to serve until the 2025 annual meeting of stockholders or until his or her respective successor is duly elected and qualified (</w:t>
      </w: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w:t>
      </w:r>
    </w:p>
    <w:p>
      <w:pPr>
        <w:spacing w:after="0" w:line="153"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Marcum LLP as our independent registered public accounting firm for the fiscal year ending December 31, 2024 (</w:t>
      </w:r>
      <w:r>
        <w:rPr>
          <w:rFonts w:ascii="Times New Roman" w:cs="Times New Roman" w:eastAsia="Times New Roman" w:hAnsi="Times New Roman"/>
          <w:sz w:val="16"/>
          <w:szCs w:val="16"/>
          <w:b w:val="1"/>
          <w:bCs w:val="1"/>
          <w:color w:val="auto"/>
        </w:rPr>
        <w:t>Proposal 2</w:t>
      </w:r>
      <w:r>
        <w:rPr>
          <w:rFonts w:ascii="Times New Roman" w:cs="Times New Roman" w:eastAsia="Times New Roman" w:hAnsi="Times New Roman"/>
          <w:sz w:val="16"/>
          <w:szCs w:val="16"/>
          <w:color w:val="auto"/>
        </w:rPr>
        <w:t>); and</w:t>
      </w:r>
    </w:p>
    <w:p>
      <w:pPr>
        <w:spacing w:after="0" w:line="219" w:lineRule="exact"/>
        <w:rPr>
          <w:rFonts w:ascii="Times New Roman" w:cs="Times New Roman" w:eastAsia="Times New Roman" w:hAnsi="Times New Roman"/>
          <w:sz w:val="16"/>
          <w:szCs w:val="16"/>
          <w:color w:val="auto"/>
        </w:rPr>
      </w:pPr>
    </w:p>
    <w:p>
      <w:pPr>
        <w:ind w:left="600" w:hanging="296"/>
        <w:spacing w:after="0" w:line="280"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by a non-binding advisory vote, the compensation of our named executive officers, as disclosed in the accompanying Proxy Statement (</w:t>
      </w:r>
      <w:r>
        <w:rPr>
          <w:rFonts w:ascii="Times New Roman" w:cs="Times New Roman" w:eastAsia="Times New Roman" w:hAnsi="Times New Roman"/>
          <w:sz w:val="17"/>
          <w:szCs w:val="17"/>
          <w:b w:val="1"/>
          <w:b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may also consider and act upon such other matters as may properly come before the Annual Meeting.</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The Board unanimously recommends that stockholders vote “FOR” Scott R. Milford, Bruce T. Bernstein, Robert Weinstein, Michael Lebowitz and Gaëlle Wizenberg and “FOR” each of Proposal 2 and Proposal 3. </w:t>
      </w:r>
      <w:r>
        <w:rPr>
          <w:rFonts w:ascii="Times New Roman" w:cs="Times New Roman" w:eastAsia="Times New Roman" w:hAnsi="Times New Roman"/>
          <w:sz w:val="17"/>
          <w:szCs w:val="17"/>
          <w:color w:val="auto"/>
        </w:rPr>
        <w:t>It is very important that you vote, regardless of the number of shares you own or whether you are 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attend the Annual Meeting virtually. After reading the Notice of Annual Meeting of Stockholders and the Proxy Statement, please complete, sign, date and promptly return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in the postage-paid envelope provided, even if you plan to attend the Annual Meeting virtually. You may also vote over the Internet by following the instructions on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or by calling the toll-free number found on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This will not prevent you from voting at the Annual Meeting but will ensure that your vote is counted even if you are unable to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394970</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7"/>
          <w:szCs w:val="17"/>
          <w:b w:val="1"/>
          <w:bCs w:val="1"/>
          <w:color w:val="auto"/>
        </w:rPr>
        <w:t>Your vote will be especially important this year</w:t>
      </w:r>
      <w:r>
        <w:rPr>
          <w:rFonts w:ascii="Times New Roman" w:cs="Times New Roman" w:eastAsia="Times New Roman" w:hAnsi="Times New Roman"/>
          <w:sz w:val="17"/>
          <w:szCs w:val="17"/>
          <w:color w:val="auto"/>
        </w:rPr>
        <w:t>. As you may know, CPC Pain &amp; Wellness SPV, LLC (“CPC SPV”) submitted documents to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purporting to provide qualifying and timely notice (the “Purported Nomination Notice”) of an intent to nominate four director candidates (collectively, the “Purported CPC SPV Nominees”) for election to the Board at the Annual Meeting. The Company has informed CPC SPV that the Purported Nomination Notice is invalid due to its failure to comply with the Company’s Third Amended and Restated Bylaws as a result of material omissions and other material deficiencies. On July 19, 2024, CPC SPV filed a complaint in the Chancery Court of the State of Delaware (the “Chancery Court”) against the Company and the Board seeking, among other things, declaratory relief that the Purported CPC SPV Nominees can stand for election at the Annual Meeting. The litigation is pending and set for trial on September 18-19, 2024. Unless the result of the litigation is that the Purported Nomination Notice is deemed valid, any director nominations made by CPC SPV will be disregarded, and no proxies voted in favor of the Purported CPC SPV Nominees will be recognized or tabulated at the Annual Meeting.</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As the Purported Nomination Notice will not be recognized as valid under Delaware law unless otherwise so determined by a court,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accompanying the Proxy Statement does not include the names of the Purported CPC SPV Nominees on a “universal proxy card.” However, if the result of the litigation is that the Chancery Court finds the Purported Nomination Notice was valid and orders inclusion of the Purported CPC SPV Nominees, then the Company will amend the Proxy Statement and the accompanying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to reflect that development, to comply with the applicable aspects of Schedule 14A and Rule 14a-19 of the Securities Exchange Act of 1934, as amended, and the rules and regulations promulgated thereunder, and to include the names of the Purported CPC SPV Nominees on a universal proxy card and will mail the revised Proxy Statement and a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Universal Proxy Card to stockholders. In addition, in this scenario, no proxies or votes received on the Company’s previously circulated proxy card will be recognized or tabulated at the Annual Meeting. These proxies will be disregarded. Accordingly, if you vote on the Company’s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accompanying this Proxy Statement and the Purported Nomination Notice is subsequently deemed valid, your votes will not be recognized or tabulated, and you will have to vote again for your vote to be counted. The Company may also need to delay the Annual Meeting to allow time for stockholders to receive and consider the new proxy materials.</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Despite the Board’s determination that the Purported Nomination Notice is invalid, you may receive solicitation materials from CPC SPV, including proxy statements and proxy cards. </w:t>
      </w:r>
      <w:r>
        <w:rPr>
          <w:rFonts w:ascii="Times New Roman" w:cs="Times New Roman" w:eastAsia="Times New Roman" w:hAnsi="Times New Roman"/>
          <w:sz w:val="16"/>
          <w:szCs w:val="16"/>
          <w:b w:val="1"/>
          <w:bCs w:val="1"/>
          <w:color w:val="auto"/>
        </w:rPr>
        <w:t>WE URGE YOU TO VOTE ONLY 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WHITE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PROXY CARD FOR OUR BOARD’S NOMINEES—SCOTT R. MILFORD, BRUCE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color w:val="auto"/>
        </w:rPr>
        <w:t>T. BERNSTEIN, ROBERT WEINSTEIN, MICHAEL LEBOWITZ AND GAËLLE WIZENBERG—AND TO DISREGARD ANY MATERIALS SENT TO YOU BY, OR ON BEHALF OF, CPC SPV</w:t>
      </w:r>
      <w:r>
        <w:rPr>
          <w:rFonts w:ascii="Times New Roman" w:cs="Times New Roman" w:eastAsia="Times New Roman" w:hAnsi="Times New Roman"/>
          <w:sz w:val="17"/>
          <w:szCs w:val="17"/>
          <w:color w:val="auto"/>
        </w:rPr>
        <w:t>. The Company is not responsible for the accuracy of any information provided by, or relating to, CPC SPV that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contained in any proxy solicitation materials, if and when filed or disseminated by, or on behalf of, CPC SPV or any other statements that CPC SPV or its representatives have made or may otherwise make, including statements relating to the Purported CPC SPV Nominees. The Board strongly urges you </w:t>
      </w:r>
      <w:r>
        <w:rPr>
          <w:rFonts w:ascii="Times New Roman" w:cs="Times New Roman" w:eastAsia="Times New Roman" w:hAnsi="Times New Roman"/>
          <w:sz w:val="17"/>
          <w:szCs w:val="17"/>
          <w:b w:val="1"/>
          <w:bCs w:val="1"/>
          <w:color w:val="auto"/>
        </w:rPr>
        <w:t>NOT</w:t>
      </w:r>
      <w:r>
        <w:rPr>
          <w:rFonts w:ascii="Times New Roman" w:cs="Times New Roman" w:eastAsia="Times New Roman" w:hAnsi="Times New Roman"/>
          <w:sz w:val="17"/>
          <w:szCs w:val="17"/>
          <w:color w:val="auto"/>
        </w:rPr>
        <w:t xml:space="preserve"> to sign or return any proxy card sent to you by, or on behalf of, CPC SPV.</w:t>
      </w:r>
    </w:p>
    <w:p>
      <w:pPr>
        <w:spacing w:after="0" w:line="17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auto"/>
        </w:rPr>
        <w:t>THE BOARD UNANIMOUSLY RECOMMENDS VOTING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EACH OF THE BOARD’S</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NOMINEES—SCOTT R. MILFORD, BRUCE T. BERNSTEIN, ROBERT WEINSTEIN, MICHAEL</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 xml:space="preserve">LEBOWITZ AND GAËLLE WIZENBERG—USING THE ENCLOSED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Stockholders of record may vote (i) by completing, signing, dating and promptly returning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in the postage-paid envelope provided,</w:t>
      </w:r>
    </w:p>
    <w:p>
      <w:pPr>
        <w:spacing w:after="0" w:line="26" w:lineRule="exact"/>
        <w:rPr>
          <w:sz w:val="20"/>
          <w:szCs w:val="20"/>
          <w:color w:val="auto"/>
        </w:rPr>
      </w:pPr>
    </w:p>
    <w:p>
      <w:pPr>
        <w:jc w:val="both"/>
        <w:ind w:firstLine="1"/>
        <w:spacing w:after="0" w:line="251" w:lineRule="auto"/>
        <w:tabs>
          <w:tab w:leader="none" w:pos="26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 the Internet by following the instructions on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or (iii) by calling the toll-free number found on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Stockholders of record may also vote at the Annual Meeting. Instructions regarding these methods of voting are contained in the Proxy Statement and on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Please vote by whichever method is most convenient for you to ensure that your shares are represented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396240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7"/>
          <w:szCs w:val="17"/>
          <w:color w:val="auto"/>
        </w:rPr>
        <w:t>If you are a beneficial owner of shares and you hold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of Scott R. Milford, Bruce T. Bernstein, Robert Weinstein, Michael Lebowitz and Gaëlle Wizenberg,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Proposal 2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Proposal 3.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appreciate and encourage stockholder participation in the Company’s affairs. We are confident that our Board nominees possess the right professional background, skills, expertise and reputation to serve effectively as directors. We believe we are in the best position to oversee the execution of our long-term strategic plan to grow and realize stockholder value.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your continued support of XWELL,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Scott R. Milford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If you have any questions or require any assistance in voting your shares, or if you would like additional</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copies of the proxy materials, please contact our proxy solicitor, Alliance Advisors, LLC:</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Phone Number: 1-888-490-5110</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Email: XWEL@allianceadvisors.com</w:t>
      </w:r>
    </w:p>
    <w:p>
      <w:pPr>
        <w:jc w:val="right"/>
        <w:ind w:right="4560"/>
        <w:spacing w:after="0" w:line="185" w:lineRule="auto"/>
        <w:rPr>
          <w:sz w:val="20"/>
          <w:szCs w:val="20"/>
          <w:color w:val="auto"/>
        </w:rPr>
      </w:pPr>
      <w:r>
        <w:rPr>
          <w:rFonts w:ascii="Times New Roman" w:cs="Times New Roman" w:eastAsia="Times New Roman" w:hAnsi="Times New Roman"/>
          <w:sz w:val="17"/>
          <w:szCs w:val="17"/>
          <w:color w:val="auto"/>
        </w:rPr>
        <w:t>200 Broadacres Drive,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w:t>
      </w:r>
    </w:p>
    <w:p>
      <w:pPr>
        <w:jc w:val="right"/>
        <w:ind w:right="4560"/>
        <w:spacing w:after="0"/>
        <w:rPr>
          <w:sz w:val="20"/>
          <w:szCs w:val="20"/>
          <w:color w:val="auto"/>
        </w:rPr>
      </w:pPr>
      <w:r>
        <w:rPr>
          <w:rFonts w:ascii="Times New Roman" w:cs="Times New Roman" w:eastAsia="Times New Roman" w:hAnsi="Times New Roman"/>
          <w:sz w:val="17"/>
          <w:szCs w:val="17"/>
          <w:color w:val="auto"/>
        </w:rPr>
        <w:t>Bloomfield, New Jersey 07003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403860</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7"/>
          <w:szCs w:val="17"/>
          <w:b w:val="1"/>
          <w:bCs w:val="1"/>
          <w:color w:val="FF0000"/>
        </w:rPr>
        <w:t>PRELIMINARY PROXY STATEMENT – SUBJECT TO COMPLETION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DATED 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132715</wp:posOffset>
            </wp:positionV>
            <wp:extent cx="2099945"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994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254 West 31st Street, 11th Floor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10001</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2024 ANNUAL MEETING OF STOCKHOLDERS</w:t>
      </w:r>
    </w:p>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Notice is hereby given to the holders of the shares of common stock, par value $0.01 per share (the “Common Stock”) of XWELL, Inc. (the “Company”) of the Company’s 2024 annual meeting of stockholders (including any adjournment, postponement or rescheduling thereof, the “Annual Meeting”).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8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2024</w:t>
            </w:r>
          </w:p>
        </w:tc>
      </w:tr>
    </w:tbl>
    <w:p>
      <w:pPr>
        <w:spacing w:after="0" w:line="18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TIME:</w:t>
      </w:r>
      <w:r>
        <w:rPr>
          <w:sz w:val="20"/>
          <w:szCs w:val="20"/>
          <w:color w:val="auto"/>
        </w:rPr>
        <w:tab/>
      </w:r>
      <w:r>
        <w:rPr>
          <w:rFonts w:ascii="Times New Roman" w:cs="Times New Roman" w:eastAsia="Times New Roman" w:hAnsi="Times New Roman"/>
          <w:sz w:val="17"/>
          <w:szCs w:val="17"/>
          <w:color w:val="auto"/>
        </w:rPr>
        <w:t>[●] [a.m. / p.m.] Eastern Time</w:t>
      </w:r>
    </w:p>
    <w:p>
      <w:pPr>
        <w:spacing w:after="0" w:line="208" w:lineRule="exact"/>
        <w:rPr>
          <w:sz w:val="20"/>
          <w:szCs w:val="20"/>
          <w:color w:val="auto"/>
        </w:rPr>
      </w:pPr>
    </w:p>
    <w:p>
      <w:pPr>
        <w:jc w:val="both"/>
        <w:ind w:left="1220" w:hanging="1219"/>
        <w:spacing w:after="0" w:line="276" w:lineRule="auto"/>
        <w:tabs>
          <w:tab w:leader="none" w:pos="1200" w:val="left"/>
        </w:tabs>
        <w:rPr>
          <w:sz w:val="20"/>
          <w:szCs w:val="20"/>
          <w:color w:val="auto"/>
        </w:rPr>
      </w:pPr>
      <w:r>
        <w:rPr>
          <w:rFonts w:ascii="Times New Roman" w:cs="Times New Roman" w:eastAsia="Times New Roman" w:hAnsi="Times New Roman"/>
          <w:sz w:val="16"/>
          <w:szCs w:val="16"/>
          <w:b w:val="1"/>
          <w:bCs w:val="1"/>
          <w:color w:val="auto"/>
        </w:rPr>
        <w:t>ACCESS:</w:t>
      </w:r>
      <w:r>
        <w:rPr>
          <w:sz w:val="20"/>
          <w:szCs w:val="20"/>
          <w:color w:val="auto"/>
        </w:rPr>
        <w:tab/>
      </w:r>
      <w:r>
        <w:rPr>
          <w:rFonts w:ascii="Times New Roman" w:cs="Times New Roman" w:eastAsia="Times New Roman" w:hAnsi="Times New Roman"/>
          <w:sz w:val="16"/>
          <w:szCs w:val="16"/>
          <w:color w:val="auto"/>
        </w:rPr>
        <w:t xml:space="preserve">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 w:cs="Times New Roman" w:eastAsia="Times New Roman" w:hAnsi="Times New Roman"/>
          <w:sz w:val="16"/>
          <w:szCs w:val="16"/>
          <w:i w:val="1"/>
          <w:iCs w:val="1"/>
          <w:color w:val="auto"/>
        </w:rPr>
        <w:t>http://viewproxy.com/XWELL/2024</w:t>
      </w:r>
      <w:r>
        <w:rPr>
          <w:rFonts w:ascii="Times New Roman" w:cs="Times New Roman" w:eastAsia="Times New Roman" w:hAnsi="Times New Roman"/>
          <w:sz w:val="16"/>
          <w:szCs w:val="16"/>
          <w:color w:val="auto"/>
        </w:rPr>
        <w:t xml:space="preserve"> by</w:t>
      </w:r>
    </w:p>
    <w:p>
      <w:pPr>
        <w:spacing w:after="0" w:line="1" w:lineRule="exact"/>
        <w:rPr>
          <w:sz w:val="20"/>
          <w:szCs w:val="20"/>
          <w:color w:val="auto"/>
        </w:rPr>
      </w:pPr>
    </w:p>
    <w:p>
      <w:pPr>
        <w:jc w:val="both"/>
        <w:ind w:left="1220" w:hanging="7"/>
        <w:spacing w:after="0" w:line="251" w:lineRule="auto"/>
        <w:tabs>
          <w:tab w:leader="none" w:pos="147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 / p.m.] Eastern Time on [●], 2024. You will receive a meeting invitation by email with your unique link, along with a password, prior to the meeting date. If you have any questions or require any assistance with pre-registering, please contact the Company’s proxy solicitor, Alliance Advisors, LLC (“Alliance”), by calling 866-612-8937 or by email at </w:t>
      </w:r>
      <w:r>
        <w:rPr>
          <w:rFonts w:ascii="Times New Roman" w:cs="Times New Roman" w:eastAsia="Times New Roman" w:hAnsi="Times New Roman"/>
          <w:sz w:val="17"/>
          <w:szCs w:val="17"/>
          <w:u w:val="single" w:color="auto"/>
          <w:color w:val="auto"/>
        </w:rPr>
        <w:t>VirtualMeeting@viewproxy.com</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w:t>
      </w:r>
      <w:r>
        <w:rPr>
          <w:rFonts w:ascii="Times New Roman" w:cs="Times New Roman" w:eastAsia="Times New Roman" w:hAnsi="Times New Roman"/>
          <w:sz w:val="17"/>
          <w:szCs w:val="17"/>
          <w:color w:val="auto"/>
        </w:rPr>
        <w:t>: At the Annual Meeting, we will ask stockholders to consider the following proposals:</w:t>
      </w:r>
    </w:p>
    <w:p>
      <w:pPr>
        <w:spacing w:after="0" w:line="212" w:lineRule="exact"/>
        <w:rPr>
          <w:sz w:val="20"/>
          <w:szCs w:val="20"/>
          <w:color w:val="auto"/>
        </w:rPr>
      </w:pPr>
    </w:p>
    <w:p>
      <w:pPr>
        <w:ind w:left="600" w:hanging="296"/>
        <w:spacing w:after="0" w:line="275"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Scott R. Milford, Bruce T. Bernstein, Robert Weinstein, Michael Lebowitz and Gaëlle Wizenberg to our Board of Directors (the “Board”), each to serve until the 2025 annual meeting of stockholders or until his or her respective successor is duly elected and qualified (</w:t>
      </w: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w:t>
      </w:r>
    </w:p>
    <w:p>
      <w:pPr>
        <w:spacing w:after="0" w:line="153"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Marcum LLP as our independent registered public accounting firm for the fiscal year ending December 31, 2024 (</w:t>
      </w:r>
      <w:r>
        <w:rPr>
          <w:rFonts w:ascii="Times New Roman" w:cs="Times New Roman" w:eastAsia="Times New Roman" w:hAnsi="Times New Roman"/>
          <w:sz w:val="16"/>
          <w:szCs w:val="16"/>
          <w:b w:val="1"/>
          <w:bCs w:val="1"/>
          <w:color w:val="auto"/>
        </w:rPr>
        <w:t>Proposal 2</w:t>
      </w:r>
      <w:r>
        <w:rPr>
          <w:rFonts w:ascii="Times New Roman" w:cs="Times New Roman" w:eastAsia="Times New Roman" w:hAnsi="Times New Roman"/>
          <w:sz w:val="16"/>
          <w:szCs w:val="16"/>
          <w:color w:val="auto"/>
        </w:rPr>
        <w:t>); and</w:t>
      </w:r>
    </w:p>
    <w:p>
      <w:pPr>
        <w:spacing w:after="0" w:line="219" w:lineRule="exact"/>
        <w:rPr>
          <w:rFonts w:ascii="Times New Roman" w:cs="Times New Roman" w:eastAsia="Times New Roman" w:hAnsi="Times New Roman"/>
          <w:sz w:val="16"/>
          <w:szCs w:val="16"/>
          <w:color w:val="auto"/>
        </w:rPr>
      </w:pPr>
    </w:p>
    <w:p>
      <w:pPr>
        <w:ind w:left="600" w:hanging="296"/>
        <w:spacing w:after="0" w:line="280"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by a non-binding advisory vote, the compensation of our named executive officers, as disclosed in the accompanying Proxy Statement (</w:t>
      </w:r>
      <w:r>
        <w:rPr>
          <w:rFonts w:ascii="Times New Roman" w:cs="Times New Roman" w:eastAsia="Times New Roman" w:hAnsi="Times New Roman"/>
          <w:sz w:val="17"/>
          <w:szCs w:val="17"/>
          <w:b w:val="1"/>
          <w:b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may also consider and act upon such other matters as may properly come before the Annual Meeting.</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foregoing items of business are more fully described in the Proxy Statement accompanying this Notice of Annual Meeting of Stockholders. Your vote is being solicited on behalf of the Board. The Board unanimously recommends stockholders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Scott R. Milford, Bruce T. Bernstein, Robert Weinstein, Michael Lebowitz and Gaëlle Wizenberg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each of Proposal 2 and Proposal 3 on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The Proxy Statement and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are first being made available to stockholders on or about [●], 2024.</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Only stockholders of record at the close of business on [●], 2024 (the “Record Date”) are entitled to notice of the Annual Meeting and to vote at the Annual Meeting or any adjournment, postponement or rescheduling thereof. At any adjourned, postponed or rescheduled meeting, action with respect to matters specified in this Notice of Annual Meeting of Stockholders may be taken without further notice to stockholders, unless required by law or the Company’s Third Amended and Restated Bylaws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392430</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5" w:name="page6"/>
    <w:bookmarkEnd w:id="5"/>
    <w:p>
      <w:pPr>
        <w:jc w:val="both"/>
        <w:spacing w:after="0" w:line="257" w:lineRule="auto"/>
        <w:rPr>
          <w:sz w:val="20"/>
          <w:szCs w:val="20"/>
          <w:color w:val="auto"/>
        </w:rPr>
      </w:pPr>
      <w:r>
        <w:rPr>
          <w:rFonts w:ascii="Times New Roman" w:cs="Times New Roman" w:eastAsia="Times New Roman" w:hAnsi="Times New Roman"/>
          <w:sz w:val="17"/>
          <w:szCs w:val="17"/>
          <w:color w:val="auto"/>
        </w:rPr>
        <w:t>A list of stockholders of record will be available starting on [●], 2024, ten days prior to the Annual Meeting, at our headquarters, 254 West 31st Street, 11th Floor, New York, New York 10001. If you would like to view the stockholder list, please contact [●] at [●] to schedule an appointment or for alternative arrangements to the extent office access is impracticable. In addition, a list of stockholders of record will be available during the Annual Meeting for inspection by stockholders of record for any legally valid purpose related to the Annual Meeting.</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Board is pleased to nominate each of </w:t>
      </w:r>
      <w:r>
        <w:rPr>
          <w:rFonts w:ascii="Times New Roman" w:cs="Times New Roman" w:eastAsia="Times New Roman" w:hAnsi="Times New Roman"/>
          <w:sz w:val="17"/>
          <w:szCs w:val="17"/>
          <w:b w:val="1"/>
          <w:bCs w:val="1"/>
          <w:color w:val="auto"/>
        </w:rPr>
        <w:t>Scott R. Milford, Bruce T. Bernstein, Robert Weinstein, Michael Lebowitz</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Gaëlle Wizenberg</w:t>
      </w:r>
      <w:r>
        <w:rPr>
          <w:rFonts w:ascii="Times New Roman" w:cs="Times New Roman" w:eastAsia="Times New Roman" w:hAnsi="Times New Roman"/>
          <w:sz w:val="17"/>
          <w:szCs w:val="17"/>
          <w:color w:val="auto"/>
        </w:rPr>
        <w:t xml:space="preserve"> to serve on the Board. It is very important that you vote, regardless of the number of shares you own or whether you are able to attend the Annual Meeting virtually. Please vote as soon as possible, even if you plan to attend the Annual Meeting virtually, to ensure that your shares will be represented. You do not need to attend the Annual Meeting to vote if you vote your shares before the Annual Meeting.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Stockholders of record may vote (i) by completing, signing, dating and promptly returning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in the postage-paid envelope provided,</w:t>
      </w:r>
    </w:p>
    <w:p>
      <w:pPr>
        <w:spacing w:after="0" w:line="26" w:lineRule="exact"/>
        <w:rPr>
          <w:sz w:val="20"/>
          <w:szCs w:val="20"/>
          <w:color w:val="auto"/>
        </w:rPr>
      </w:pPr>
    </w:p>
    <w:p>
      <w:pPr>
        <w:jc w:val="both"/>
        <w:ind w:firstLine="1"/>
        <w:spacing w:after="0" w:line="251" w:lineRule="auto"/>
        <w:tabs>
          <w:tab w:leader="none" w:pos="26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 the Internet by following the instructions on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or (iii) by calling the toll-free number found on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Stockholders of record may also vote at the Annual Meeting. Instructions regarding these methods of voting are contained in the Proxy Statement and on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Please vote by whichever method is most convenient for you to ensure that your shares are represented at the Annual Meeting.</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If you are a beneficial owner of shares and you hold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of Scott R. Milford, Bruce T. Bernstein, Robert Weinstein, Michael Lebowitz and Gaëlle Wizenberg,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Proposal 2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Proposal 3.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spacing w:after="0" w:line="17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auto"/>
        </w:rPr>
        <w:t>THE BOARD UNANIMOUSLY RECOMMENDS VOTING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EACH OF THE BOARD’S</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NOMINEES—SCOTT R. MILFORD, BRUCE T. BERNSTEIN, ROBERT WEINSTEIN, MICHAEL</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 xml:space="preserve">LEBOWITZ AND GAËLLE WIZENBERG—USING THE ENCLOSED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color w:val="auto"/>
        </w:rPr>
        <w:t>Your vote will be especially important this year</w:t>
      </w:r>
      <w:r>
        <w:rPr>
          <w:rFonts w:ascii="Times New Roman" w:cs="Times New Roman" w:eastAsia="Times New Roman" w:hAnsi="Times New Roman"/>
          <w:sz w:val="17"/>
          <w:szCs w:val="17"/>
          <w:color w:val="auto"/>
        </w:rPr>
        <w:t>. As you may know, CPC Pain &amp; Wellness SPV, LLC (“CPC SPV”) submitted documents to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purporting to provide qualifying and timely notice (the “Purported Nomination Notice”) of an intent to nominate four director candidates (collectively, the “Purported CPC SPV Nominees”) for election to the Board at the Annual Meeting. The Company has informed CPC SPV that the Purported Nomination Notice is invalid due to its failure to comply with the Bylaws as a result of material omissions and other material deficiencies. On July 19, 2024, CPC SPV filed a complaint in the Chancery Court of the State of Delaware (the “Chancery Court”) against the Company and the Board seeking, among other things, declaratory relief that the Purported CPC SPV Nominees can stand for election at the Annual Meeting. The litigation is pending and set for trial on September 18-19, 2024. Unless the result of the litigation is that the Purported Nomination Notice is deemed valid, any director nominations made by CPC SPV will be disregarded, and no proxies voted in favor of the Purported CPC SPV Nominees will be recognized or tabulated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396875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As the Purported Nomination Notice will not be recognized as valid under Delaware law unless otherwise so determined by a court,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accompanying the Proxy Statement does not include the names of the Purported CPC SPV Nominees on a “universal proxy card.” However, if the result of the litigation is that the Chancery Court finds the Purported Nomination Notice was valid and orders inclusion of the Purported CPC SPV Nominees, then the Company will amend the Proxy Statement and the accompanying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to reflect that development, to comply with the applicable aspects of Schedule 14A and Rule 14a-19 of the Securities Exchange Act of 1934, as amended, and the rules and regulations promulgated thereunder, and to include the names of the Purported CPC SPV Nominees on a universal proxy card and will mail the revised Proxy Statement and a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Universal Proxy Card to stockholders. In addition, in this scenario, no proxies or votes received on the Company’s previously circulated proxy card will be recognized or tabulated at the Annual Meeting. These proxies will be disregarded. Accordingly, if you vote on the Company’s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accompanying this Proxy Statement and the Purported Nomination Notice is subsequently deemed valid, your votes will not be recognized or tabulated, and you will have to vote again for your vote to be counted. The Company may also need to delay the Annual Meeting to allow time for stockholders to receive and consider the new proxy materials.</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Despite the Board’s determination that the Purported Nomination Notice is invalid, you may receive solicitation materials from CPC SPV, including proxy statements and proxy cards. </w:t>
      </w:r>
      <w:r>
        <w:rPr>
          <w:rFonts w:ascii="Times New Roman" w:cs="Times New Roman" w:eastAsia="Times New Roman" w:hAnsi="Times New Roman"/>
          <w:sz w:val="16"/>
          <w:szCs w:val="16"/>
          <w:b w:val="1"/>
          <w:bCs w:val="1"/>
          <w:color w:val="auto"/>
        </w:rPr>
        <w:t>WE URGE YOU TO VOTE ONLY 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WHITE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PROXY CARD FOR OUR BOARD’S NOMINEES—SCOTT R. MILFORD, BRUCE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color w:val="auto"/>
        </w:rPr>
        <w:t>T. BERNSTEIN, ROBERT WEINSTEIN, MICHAEL LEBOWITZ AND GAËLLE WIZENBERG—AND TO DISREGARD ANY MATERIALS SENT TO YOU BY, OR ON BEHALF OF, CPC SPV</w:t>
      </w:r>
      <w:r>
        <w:rPr>
          <w:rFonts w:ascii="Times New Roman" w:cs="Times New Roman" w:eastAsia="Times New Roman" w:hAnsi="Times New Roman"/>
          <w:sz w:val="17"/>
          <w:szCs w:val="17"/>
          <w:color w:val="auto"/>
        </w:rPr>
        <w:t>. The Company is not responsible for the accuracy of any information provided by, or relating to, CPC SPV that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contained in any proxy solicitation materials, if and when filed or disseminated by, or on behalf of, CPC SPV or any other statements that CPC SPV or its representatives have made or may otherwise make, including statements relating to the Purported CPC SPV Nominees. The Board strongly urges you </w:t>
      </w:r>
      <w:r>
        <w:rPr>
          <w:rFonts w:ascii="Times New Roman" w:cs="Times New Roman" w:eastAsia="Times New Roman" w:hAnsi="Times New Roman"/>
          <w:sz w:val="17"/>
          <w:szCs w:val="17"/>
          <w:b w:val="1"/>
          <w:bCs w:val="1"/>
          <w:color w:val="auto"/>
        </w:rPr>
        <w:t>NOT</w:t>
      </w:r>
      <w:r>
        <w:rPr>
          <w:rFonts w:ascii="Times New Roman" w:cs="Times New Roman" w:eastAsia="Times New Roman" w:hAnsi="Times New Roman"/>
          <w:sz w:val="17"/>
          <w:szCs w:val="17"/>
          <w:color w:val="auto"/>
        </w:rPr>
        <w:t xml:space="preserve"> to sign or return any proxy card sent to you by, or on behalf of, CPC SPV.</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We strongly recommend that you discard any proxy card or solicitation materials that may be sent to you by CPC SPV</w:t>
      </w:r>
      <w:r>
        <w:rPr>
          <w:rFonts w:ascii="Times New Roman" w:cs="Times New Roman" w:eastAsia="Times New Roman" w:hAnsi="Times New Roman"/>
          <w:sz w:val="17"/>
          <w:szCs w:val="17"/>
          <w:color w:val="auto"/>
        </w:rPr>
        <w:t>. If you have already voted using CPC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SPV’s proxy card, you have every right to change your vote by (i) voting a later dated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or (ii) attending the Annual Meeting and voting your shares. Only the latest-dated validly executed proxy that you submit will be counted. Please contact our proxy solicitor, Alliance, by calling toll free at 1-888-490-5110, or by email at </w:t>
      </w:r>
      <w:r>
        <w:rPr>
          <w:rFonts w:ascii="Times New Roman" w:cs="Times New Roman" w:eastAsia="Times New Roman" w:hAnsi="Times New Roman"/>
          <w:sz w:val="17"/>
          <w:szCs w:val="17"/>
          <w:u w:val="single" w:color="auto"/>
          <w:color w:val="auto"/>
        </w:rPr>
        <w:t>XWEL@allianceadvisors.com</w:t>
      </w:r>
      <w:r>
        <w:rPr>
          <w:rFonts w:ascii="Times New Roman" w:cs="Times New Roman" w:eastAsia="Times New Roman" w:hAnsi="Times New Roman"/>
          <w:sz w:val="17"/>
          <w:szCs w:val="17"/>
          <w:color w:val="auto"/>
        </w:rPr>
        <w:t xml:space="preserve"> if you have questions or require assistance in voting your shares.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The Board strongly and unanimously recommends that you vote on the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 or voting instruction form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 election of Scott R. Milford, Bruce T. Bernstein, Robert Weinstein, Michael Lebowitz and Gaëlle Wizenberg. IT IS IMPORTANT THAT YOUR SHARES ARE REPRESENTED AT THE ANNUAL MEETING, REGARDLESS OF WHETHER YOU PLAN TO ATTEND VIRTUALLY. ACCORDINGLY, WE ENCOURAGE YOU, AS PROMPTLY AS POSSIBLE, TO COMPLETE, SIGN, DATE AND PROMPTLY RETURN THE ENCLOSED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 IN ORDER TO ENSURE YOUR REPRESENTATION AT THE ANNUAL MEETING. GIVING YOUR PROXY WILL NOT AFFECT YOUR RIGHT TO VOTE IN PERSON IF YOU ATTEND THE ANNUAL MEETING, BUT WILL HELP ASSURE A QUORUM. ATTENDANCE AT THE ANNUAL MEETING IS LIMITED TO STOCKHOLDERS, THEIR PROXIES AND INVITED GUESTS OF THE COMPANY. FOR IDENTIFICATION PURPOSES, “STREET NAME” STOCKHOLDERS WILL NEED TO OBTAIN A LEGAL PROXY FROM THEIR BROKER, BANK OR OTHER NOMINEE AS OF THE RECORD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any questions, please contact our proxy solicitor, Alliance:</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Phone Number: 1-888-490-5110</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Email: XWEL@allianceadvisors.com</w:t>
      </w:r>
    </w:p>
    <w:p>
      <w:pPr>
        <w:jc w:val="right"/>
        <w:ind w:right="4560"/>
        <w:spacing w:after="0" w:line="185" w:lineRule="auto"/>
        <w:rPr>
          <w:sz w:val="20"/>
          <w:szCs w:val="20"/>
          <w:color w:val="auto"/>
        </w:rPr>
      </w:pPr>
      <w:r>
        <w:rPr>
          <w:rFonts w:ascii="Times New Roman" w:cs="Times New Roman" w:eastAsia="Times New Roman" w:hAnsi="Times New Roman"/>
          <w:sz w:val="17"/>
          <w:szCs w:val="17"/>
          <w:color w:val="auto"/>
        </w:rPr>
        <w:t>200 Broadacres Drive,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w:t>
      </w:r>
    </w:p>
    <w:p>
      <w:pPr>
        <w:jc w:val="right"/>
        <w:ind w:right="4560"/>
        <w:spacing w:after="0"/>
        <w:rPr>
          <w:sz w:val="20"/>
          <w:szCs w:val="20"/>
          <w:color w:val="auto"/>
        </w:rPr>
      </w:pPr>
      <w:r>
        <w:rPr>
          <w:rFonts w:ascii="Times New Roman" w:cs="Times New Roman" w:eastAsia="Times New Roman" w:hAnsi="Times New Roman"/>
          <w:sz w:val="17"/>
          <w:szCs w:val="17"/>
          <w:color w:val="auto"/>
        </w:rPr>
        <w:t>Bloomfield, New Jersey 07003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Scott R. Milford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405130</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 THE STOCKHOLDER MEETING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VIRTUALLY ON [●], 2024</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Notice of Annual Meeting of Stockholders, the accompanying Proxy Statement and our Annual Report on Form 10-K for the year ended December 31, 2023, as amended (the “2023 Annual Report”) are available free of charge for viewing, printing and downloading at </w:t>
      </w:r>
      <w:r>
        <w:rPr>
          <w:rFonts w:ascii="Times New Roman" w:cs="Times New Roman" w:eastAsia="Times New Roman" w:hAnsi="Times New Roman"/>
          <w:sz w:val="17"/>
          <w:szCs w:val="17"/>
          <w:i w:val="1"/>
          <w:iCs w:val="1"/>
          <w:color w:val="auto"/>
        </w:rPr>
        <w:t>http://viewproxy.com/XWELL/2024</w:t>
      </w:r>
      <w:r>
        <w:rPr>
          <w:rFonts w:ascii="Times New Roman" w:cs="Times New Roman" w:eastAsia="Times New Roman" w:hAnsi="Times New Roman"/>
          <w:sz w:val="17"/>
          <w:szCs w:val="17"/>
          <w:color w:val="auto"/>
        </w:rPr>
        <w:t>. Information on this website, other than the Proxy Statement, is not part of the Proxy Statement.</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Additionally, you can find a copy of the Proxy Statement and our 2023 Annual Report on the U.S. Securities and Exchange Commission’s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or in the “SEC Filings” section of the “Investors” section of our website at </w:t>
      </w:r>
      <w:r>
        <w:rPr>
          <w:rFonts w:ascii="Times New Roman" w:cs="Times New Roman" w:eastAsia="Times New Roman" w:hAnsi="Times New Roman"/>
          <w:sz w:val="17"/>
          <w:szCs w:val="17"/>
          <w:i w:val="1"/>
          <w:iCs w:val="1"/>
          <w:color w:val="auto"/>
        </w:rPr>
        <w:t>www.xwell.com</w:t>
      </w:r>
      <w:r>
        <w:rPr>
          <w:rFonts w:ascii="Times New Roman" w:cs="Times New Roman" w:eastAsia="Times New Roman" w:hAnsi="Times New Roman"/>
          <w:sz w:val="17"/>
          <w:szCs w:val="17"/>
          <w:color w:val="auto"/>
        </w:rPr>
        <w:t>. Information on these websites, other than the Proxy Statement, is not part of the Proxy Statement. You may also obtain a printed copy of our 2023 Annual Report, including our financial statements, free of charge, from us by sending a written request to: XWELL, Inc., 254 West 31st Street, 11th Floor, New York, New York 10001, Attention: Corporate Secretary. Exhibits will be provided upon written request and payment of an appropriate processing fee.</w:t>
      </w:r>
    </w:p>
    <w:p>
      <w:pPr>
        <w:spacing w:after="0" w:line="16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 xml:space="preserve">Please complete, sign, date and promptly return the enclosed </w:t>
      </w:r>
      <w:r>
        <w:rPr>
          <w:rFonts w:ascii="Times New Roman" w:cs="Times New Roman" w:eastAsia="Times New Roman" w:hAnsi="Times New Roman"/>
          <w:sz w:val="16"/>
          <w:szCs w:val="16"/>
          <w:b w:val="1"/>
          <w:bCs w:val="1"/>
          <w:color w:val="auto"/>
        </w:rPr>
        <w:t>WHITE</w:t>
      </w:r>
      <w:r>
        <w:rPr>
          <w:rFonts w:ascii="Times New Roman" w:cs="Times New Roman" w:eastAsia="Times New Roman" w:hAnsi="Times New Roman"/>
          <w:sz w:val="16"/>
          <w:szCs w:val="16"/>
          <w:color w:val="auto"/>
        </w:rPr>
        <w:t xml:space="preserve"> Proxy Card in the postage-paid envelope provided or vote your shares promptly via the Internet or by telephone by following the instructions on the </w:t>
      </w:r>
      <w:r>
        <w:rPr>
          <w:rFonts w:ascii="Times New Roman" w:cs="Times New Roman" w:eastAsia="Times New Roman" w:hAnsi="Times New Roman"/>
          <w:sz w:val="16"/>
          <w:szCs w:val="16"/>
          <w:b w:val="1"/>
          <w:bCs w:val="1"/>
          <w:color w:val="auto"/>
        </w:rPr>
        <w:t>WHITE</w:t>
      </w:r>
      <w:r>
        <w:rPr>
          <w:rFonts w:ascii="Times New Roman" w:cs="Times New Roman" w:eastAsia="Times New Roman" w:hAnsi="Times New Roman"/>
          <w:sz w:val="16"/>
          <w:szCs w:val="16"/>
          <w:color w:val="auto"/>
        </w:rPr>
        <w:t xml:space="preserve"> Proxy Card, so that you may be represented at the Annual Meeting. Instructions are in the Proxy Statement, on the </w:t>
      </w:r>
      <w:r>
        <w:rPr>
          <w:rFonts w:ascii="Times New Roman" w:cs="Times New Roman" w:eastAsia="Times New Roman" w:hAnsi="Times New Roman"/>
          <w:sz w:val="16"/>
          <w:szCs w:val="16"/>
          <w:b w:val="1"/>
          <w:bCs w:val="1"/>
          <w:color w:val="auto"/>
        </w:rPr>
        <w:t>WHITE</w:t>
      </w:r>
      <w:r>
        <w:rPr>
          <w:rFonts w:ascii="Times New Roman" w:cs="Times New Roman" w:eastAsia="Times New Roman" w:hAnsi="Times New Roman"/>
          <w:sz w:val="16"/>
          <w:szCs w:val="16"/>
          <w:color w:val="auto"/>
        </w:rPr>
        <w:t xml:space="preserve"> Proxy Card or, if your shares are held in “street name,” on the voting instruction form provided by your broker, bank, or other nominee.</w:t>
      </w:r>
    </w:p>
    <w:p>
      <w:pPr>
        <w:spacing w:after="0" w:line="14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accompanying Proxy Statement provides a detailed description of the business to be conducted at the Annual Meeting. We urge you to read the accompanying Proxy Statement carefully and in its entirety.</w:t>
      </w:r>
    </w:p>
    <w:p>
      <w:pPr>
        <w:spacing w:after="0" w:line="1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If you have any questions or require any assistance in voting your shares, or if you would like additional copies of the proxy materials, please contact our proxy solicitor, Alliance:</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Phone Number: 1-888-490-5110</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Email: XWEL@allianceadvisors.com</w:t>
      </w:r>
    </w:p>
    <w:p>
      <w:pPr>
        <w:jc w:val="right"/>
        <w:ind w:right="4560"/>
        <w:spacing w:after="0" w:line="185" w:lineRule="auto"/>
        <w:rPr>
          <w:sz w:val="20"/>
          <w:szCs w:val="20"/>
          <w:color w:val="auto"/>
        </w:rPr>
      </w:pPr>
      <w:r>
        <w:rPr>
          <w:rFonts w:ascii="Times New Roman" w:cs="Times New Roman" w:eastAsia="Times New Roman" w:hAnsi="Times New Roman"/>
          <w:sz w:val="17"/>
          <w:szCs w:val="17"/>
          <w:color w:val="auto"/>
        </w:rPr>
        <w:t>200 Broadacres Drive,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w:t>
      </w:r>
    </w:p>
    <w:p>
      <w:pPr>
        <w:jc w:val="right"/>
        <w:ind w:right="4560"/>
        <w:spacing w:after="0"/>
        <w:rPr>
          <w:sz w:val="20"/>
          <w:szCs w:val="20"/>
          <w:color w:val="auto"/>
        </w:rPr>
      </w:pPr>
      <w:r>
        <w:rPr>
          <w:rFonts w:ascii="Times New Roman" w:cs="Times New Roman" w:eastAsia="Times New Roman" w:hAnsi="Times New Roman"/>
          <w:sz w:val="17"/>
          <w:szCs w:val="17"/>
          <w:color w:val="auto"/>
        </w:rPr>
        <w:t>Bloomfield, New Jersey 07003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403860</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920" w:type="dxa"/>
            <w:vAlign w:val="bottom"/>
            <w:gridSpan w:val="9"/>
          </w:tcPr>
          <w:p>
            <w:pPr>
              <w:ind w:left="5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04"/>
        </w:trPr>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57"/>
        </w:trPr>
        <w:tc>
          <w:tcPr>
            <w:tcW w:w="5800" w:type="dxa"/>
            <w:vAlign w:val="bottom"/>
            <w:gridSpan w:val="25"/>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0000EE"/>
                <w:w w:val="98"/>
              </w:rPr>
              <w:t>IMPORTANT INFORMATION ABOUT THE ANNUAL MEETING AND VOTING</w:t>
            </w:r>
          </w:p>
        </w:tc>
        <w:tc>
          <w:tcPr>
            <w:tcW w:w="4320" w:type="dxa"/>
            <w:vAlign w:val="bottom"/>
            <w:gridSpan w:val="6"/>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center"/>
              <w:spacing w:after="0" w:line="157" w:lineRule="exact"/>
              <w:rPr>
                <w:sz w:val="20"/>
                <w:szCs w:val="20"/>
                <w:color w:val="auto"/>
              </w:rPr>
            </w:pPr>
            <w:r>
              <w:rPr>
                <w:rFonts w:ascii="Times New Roman" w:cs="Times New Roman" w:eastAsia="Times New Roman" w:hAnsi="Times New Roman"/>
                <w:sz w:val="17"/>
                <w:szCs w:val="17"/>
                <w:color w:val="0000EE"/>
                <w:w w:val="93"/>
              </w:rPr>
              <w:t>2</w:t>
            </w:r>
          </w:p>
        </w:tc>
        <w:tc>
          <w:tcPr>
            <w:tcW w:w="480" w:type="dxa"/>
            <w:vAlign w:val="bottom"/>
            <w:shd w:val="clear" w:color="auto" w:fill="CCEEFF"/>
          </w:tcPr>
          <w:p>
            <w:pPr>
              <w:spacing w:after="0"/>
              <w:rPr>
                <w:sz w:val="13"/>
                <w:szCs w:val="13"/>
                <w:color w:val="auto"/>
              </w:rPr>
            </w:pPr>
          </w:p>
        </w:tc>
      </w:tr>
      <w:tr>
        <w:trPr>
          <w:trHeight w:val="38"/>
        </w:trPr>
        <w:tc>
          <w:tcPr>
            <w:tcW w:w="1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5800" w:type="dxa"/>
            <w:vAlign w:val="bottom"/>
            <w:gridSpan w:val="25"/>
          </w:tcPr>
          <w:p>
            <w:pPr>
              <w:spacing w:after="0" w:line="164" w:lineRule="exact"/>
              <w:rPr>
                <w:sz w:val="20"/>
                <w:szCs w:val="20"/>
                <w:color w:val="auto"/>
              </w:rPr>
            </w:pPr>
            <w:r>
              <w:rPr>
                <w:rFonts w:ascii="Times New Roman" w:cs="Times New Roman" w:eastAsia="Times New Roman" w:hAnsi="Times New Roman"/>
                <w:sz w:val="17"/>
                <w:szCs w:val="17"/>
                <w:color w:val="0000EE"/>
              </w:rPr>
              <w:t>PROPOSAL 1: ELECTION OF DIRECTORS</w:t>
            </w:r>
          </w:p>
        </w:tc>
        <w:tc>
          <w:tcPr>
            <w:tcW w:w="4320" w:type="dxa"/>
            <w:vAlign w:val="bottom"/>
            <w:gridSpan w:val="6"/>
          </w:tcPr>
          <w:p>
            <w:pPr>
              <w:spacing w:after="0"/>
              <w:rPr>
                <w:sz w:val="14"/>
                <w:szCs w:val="14"/>
                <w:color w:val="auto"/>
              </w:rPr>
            </w:pPr>
          </w:p>
        </w:tc>
        <w:tc>
          <w:tcPr>
            <w:tcW w:w="640" w:type="dxa"/>
            <w:vAlign w:val="bottom"/>
            <w:gridSpan w:val="2"/>
          </w:tcPr>
          <w:p>
            <w:pPr>
              <w:jc w:val="center"/>
              <w:ind w:left="396"/>
              <w:spacing w:after="0" w:line="164" w:lineRule="exact"/>
              <w:rPr>
                <w:sz w:val="20"/>
                <w:szCs w:val="20"/>
                <w:color w:val="auto"/>
              </w:rPr>
            </w:pPr>
            <w:r>
              <w:rPr>
                <w:rFonts w:ascii="Times New Roman" w:cs="Times New Roman" w:eastAsia="Times New Roman" w:hAnsi="Times New Roman"/>
                <w:sz w:val="17"/>
                <w:szCs w:val="17"/>
                <w:color w:val="0000EE"/>
                <w:w w:val="93"/>
              </w:rPr>
              <w:t>11</w:t>
            </w:r>
          </w:p>
        </w:tc>
        <w:tc>
          <w:tcPr>
            <w:tcW w:w="480" w:type="dxa"/>
            <w:vAlign w:val="bottom"/>
          </w:tcPr>
          <w:p>
            <w:pPr>
              <w:spacing w:after="0"/>
              <w:rPr>
                <w:sz w:val="14"/>
                <w:szCs w:val="14"/>
                <w:color w:val="auto"/>
              </w:rPr>
            </w:pPr>
          </w:p>
        </w:tc>
      </w:tr>
      <w:tr>
        <w:trPr>
          <w:trHeight w:val="29"/>
        </w:trPr>
        <w:tc>
          <w:tcPr>
            <w:tcW w:w="1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PROPOSAL 2: RATIFICATION OF APPOINTMENT OF INDEPENDENT REGISTERED PUBLIC ACCOUNTING FIRM</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12</w:t>
            </w:r>
          </w:p>
        </w:tc>
      </w:tr>
      <w:tr>
        <w:trPr>
          <w:trHeight w:val="38"/>
        </w:trPr>
        <w:tc>
          <w:tcPr>
            <w:tcW w:w="1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spacing w:after="0" w:line="164" w:lineRule="exact"/>
              <w:rPr>
                <w:sz w:val="20"/>
                <w:szCs w:val="20"/>
                <w:color w:val="auto"/>
              </w:rPr>
            </w:pPr>
            <w:r>
              <w:rPr>
                <w:rFonts w:ascii="Times New Roman" w:cs="Times New Roman" w:eastAsia="Times New Roman" w:hAnsi="Times New Roman"/>
                <w:sz w:val="17"/>
                <w:szCs w:val="17"/>
                <w:color w:val="0000EE"/>
              </w:rPr>
              <w:t>PROPOSAL 3: ADVISORY VOTE ON APPROVAL OF EXECUTIVE COMPENSATION AS DISCLOSED IN THIS PROXY STATEMENT</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14</w:t>
            </w:r>
          </w:p>
        </w:tc>
      </w:tr>
      <w:tr>
        <w:trPr>
          <w:trHeight w:val="29"/>
        </w:trPr>
        <w:tc>
          <w:tcPr>
            <w:tcW w:w="1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3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9680" w:type="dxa"/>
            <w:vAlign w:val="bottom"/>
            <w:gridSpan w:val="30"/>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MANAGEMENT AND CORPORATE GOVERNANCE</w:t>
            </w:r>
          </w:p>
        </w:tc>
        <w:tc>
          <w:tcPr>
            <w:tcW w:w="44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center"/>
              <w:ind w:right="480"/>
              <w:spacing w:after="0" w:line="173" w:lineRule="exact"/>
              <w:rPr>
                <w:sz w:val="20"/>
                <w:szCs w:val="20"/>
                <w:color w:val="auto"/>
              </w:rPr>
            </w:pPr>
            <w:r>
              <w:rPr>
                <w:rFonts w:ascii="Times New Roman" w:cs="Times New Roman" w:eastAsia="Times New Roman" w:hAnsi="Times New Roman"/>
                <w:sz w:val="17"/>
                <w:szCs w:val="17"/>
                <w:color w:val="0000EE"/>
                <w:w w:val="70"/>
              </w:rPr>
              <w:t>16</w:t>
            </w:r>
          </w:p>
        </w:tc>
      </w:tr>
      <w:tr>
        <w:trPr>
          <w:trHeight w:val="38"/>
        </w:trPr>
        <w:tc>
          <w:tcPr>
            <w:tcW w:w="1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3880" w:type="dxa"/>
            <w:vAlign w:val="bottom"/>
            <w:gridSpan w:val="20"/>
          </w:tcPr>
          <w:p>
            <w:pPr>
              <w:ind w:left="160"/>
              <w:spacing w:after="0" w:line="164" w:lineRule="exact"/>
              <w:rPr>
                <w:sz w:val="20"/>
                <w:szCs w:val="20"/>
                <w:color w:val="auto"/>
              </w:rPr>
            </w:pPr>
            <w:r>
              <w:rPr>
                <w:rFonts w:ascii="Times New Roman" w:cs="Times New Roman" w:eastAsia="Times New Roman" w:hAnsi="Times New Roman"/>
                <w:sz w:val="17"/>
                <w:szCs w:val="17"/>
                <w:color w:val="0000EE"/>
              </w:rPr>
              <w:t>Stockholder Feedback</w:t>
            </w:r>
          </w:p>
        </w:tc>
        <w:tc>
          <w:tcPr>
            <w:tcW w:w="6240" w:type="dxa"/>
            <w:vAlign w:val="bottom"/>
            <w:gridSpan w:val="11"/>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jc w:val="center"/>
              <w:ind w:right="480"/>
              <w:spacing w:after="0" w:line="164" w:lineRule="exact"/>
              <w:rPr>
                <w:sz w:val="20"/>
                <w:szCs w:val="20"/>
                <w:color w:val="auto"/>
              </w:rPr>
            </w:pPr>
            <w:r>
              <w:rPr>
                <w:rFonts w:ascii="Times New Roman" w:cs="Times New Roman" w:eastAsia="Times New Roman" w:hAnsi="Times New Roman"/>
                <w:sz w:val="17"/>
                <w:szCs w:val="17"/>
                <w:color w:val="0000EE"/>
                <w:w w:val="70"/>
              </w:rPr>
              <w:t>16</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ind w:left="160"/>
              <w:spacing w:after="0" w:line="173" w:lineRule="exact"/>
              <w:rPr>
                <w:sz w:val="20"/>
                <w:szCs w:val="20"/>
                <w:color w:val="auto"/>
              </w:rPr>
            </w:pPr>
            <w:r>
              <w:rPr>
                <w:rFonts w:ascii="Times New Roman" w:cs="Times New Roman" w:eastAsia="Times New Roman" w:hAnsi="Times New Roman"/>
                <w:sz w:val="17"/>
                <w:szCs w:val="17"/>
                <w:color w:val="0000EE"/>
              </w:rPr>
              <w:t>Directors</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16</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ind w:left="160"/>
              <w:spacing w:after="0" w:line="164" w:lineRule="exact"/>
              <w:rPr>
                <w:sz w:val="20"/>
                <w:szCs w:val="20"/>
                <w:color w:val="auto"/>
              </w:rPr>
            </w:pPr>
            <w:r>
              <w:rPr>
                <w:rFonts w:ascii="Times New Roman" w:cs="Times New Roman" w:eastAsia="Times New Roman" w:hAnsi="Times New Roman"/>
                <w:sz w:val="17"/>
                <w:szCs w:val="17"/>
                <w:color w:val="0000EE"/>
              </w:rPr>
              <w:t>Executive Officers</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18</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ind w:left="160"/>
              <w:spacing w:after="0" w:line="173" w:lineRule="exact"/>
              <w:rPr>
                <w:sz w:val="20"/>
                <w:szCs w:val="20"/>
                <w:color w:val="auto"/>
              </w:rPr>
            </w:pPr>
            <w:r>
              <w:rPr>
                <w:rFonts w:ascii="Times New Roman" w:cs="Times New Roman" w:eastAsia="Times New Roman" w:hAnsi="Times New Roman"/>
                <w:sz w:val="17"/>
                <w:szCs w:val="17"/>
                <w:color w:val="0000EE"/>
              </w:rPr>
              <w:t>Director Independence and Committee Qualifications</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18</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ind w:left="160"/>
              <w:spacing w:after="0" w:line="164" w:lineRule="exact"/>
              <w:rPr>
                <w:sz w:val="20"/>
                <w:szCs w:val="20"/>
                <w:color w:val="auto"/>
              </w:rPr>
            </w:pPr>
            <w:r>
              <w:rPr>
                <w:rFonts w:ascii="Times New Roman" w:cs="Times New Roman" w:eastAsia="Times New Roman" w:hAnsi="Times New Roman"/>
                <w:sz w:val="17"/>
                <w:szCs w:val="17"/>
                <w:color w:val="0000EE"/>
              </w:rPr>
              <w:t>Committees of the Board and Meetings</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19</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ind w:left="160"/>
              <w:spacing w:after="0" w:line="173" w:lineRule="exact"/>
              <w:rPr>
                <w:sz w:val="20"/>
                <w:szCs w:val="20"/>
                <w:color w:val="auto"/>
              </w:rPr>
            </w:pPr>
            <w:r>
              <w:rPr>
                <w:rFonts w:ascii="Times New Roman" w:cs="Times New Roman" w:eastAsia="Times New Roman" w:hAnsi="Times New Roman"/>
                <w:sz w:val="17"/>
                <w:szCs w:val="17"/>
                <w:color w:val="0000EE"/>
              </w:rPr>
              <w:t>Board Leadership Structure and Role in Risk Oversight</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21</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ind w:left="160"/>
              <w:spacing w:after="0" w:line="164" w:lineRule="exact"/>
              <w:rPr>
                <w:sz w:val="20"/>
                <w:szCs w:val="20"/>
                <w:color w:val="auto"/>
              </w:rPr>
            </w:pPr>
            <w:r>
              <w:rPr>
                <w:rFonts w:ascii="Times New Roman" w:cs="Times New Roman" w:eastAsia="Times New Roman" w:hAnsi="Times New Roman"/>
                <w:sz w:val="17"/>
                <w:szCs w:val="17"/>
                <w:color w:val="0000EE"/>
              </w:rPr>
              <w:t>Involvement in Certain Legal Proceedings</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21</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ind w:left="160"/>
              <w:spacing w:after="0" w:line="173" w:lineRule="exact"/>
              <w:rPr>
                <w:sz w:val="20"/>
                <w:szCs w:val="20"/>
                <w:color w:val="auto"/>
              </w:rPr>
            </w:pPr>
            <w:r>
              <w:rPr>
                <w:rFonts w:ascii="Times New Roman" w:cs="Times New Roman" w:eastAsia="Times New Roman" w:hAnsi="Times New Roman"/>
                <w:sz w:val="17"/>
                <w:szCs w:val="17"/>
                <w:color w:val="0000EE"/>
              </w:rPr>
              <w:t>Arrangements Between Directors and Executive Officers</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22</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ind w:left="160"/>
              <w:spacing w:after="0" w:line="164" w:lineRule="exact"/>
              <w:rPr>
                <w:sz w:val="20"/>
                <w:szCs w:val="20"/>
                <w:color w:val="auto"/>
              </w:rPr>
            </w:pPr>
            <w:r>
              <w:rPr>
                <w:rFonts w:ascii="Times New Roman" w:cs="Times New Roman" w:eastAsia="Times New Roman" w:hAnsi="Times New Roman"/>
                <w:sz w:val="17"/>
                <w:szCs w:val="17"/>
                <w:color w:val="0000EE"/>
              </w:rPr>
              <w:t>Family Relationships</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22</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ind w:left="160"/>
              <w:spacing w:after="0" w:line="173" w:lineRule="exact"/>
              <w:rPr>
                <w:sz w:val="20"/>
                <w:szCs w:val="20"/>
                <w:color w:val="auto"/>
              </w:rPr>
            </w:pPr>
            <w:r>
              <w:rPr>
                <w:rFonts w:ascii="Times New Roman" w:cs="Times New Roman" w:eastAsia="Times New Roman" w:hAnsi="Times New Roman"/>
                <w:sz w:val="17"/>
                <w:szCs w:val="17"/>
                <w:color w:val="0000EE"/>
              </w:rPr>
              <w:t>Board Diversity Matrix</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22</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CCEEFF"/>
            </w:tcBorders>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ind w:left="160"/>
              <w:spacing w:after="0" w:line="164" w:lineRule="exact"/>
              <w:rPr>
                <w:sz w:val="20"/>
                <w:szCs w:val="20"/>
                <w:color w:val="auto"/>
              </w:rPr>
            </w:pPr>
            <w:r>
              <w:rPr>
                <w:rFonts w:ascii="Times New Roman" w:cs="Times New Roman" w:eastAsia="Times New Roman" w:hAnsi="Times New Roman"/>
                <w:sz w:val="17"/>
                <w:szCs w:val="17"/>
                <w:color w:val="0000EE"/>
              </w:rPr>
              <w:t>Delinquent Section 16(a) Reports</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22</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ind w:left="160"/>
              <w:spacing w:after="0" w:line="173" w:lineRule="exact"/>
              <w:rPr>
                <w:sz w:val="20"/>
                <w:szCs w:val="20"/>
                <w:color w:val="auto"/>
              </w:rPr>
            </w:pPr>
            <w:r>
              <w:rPr>
                <w:rFonts w:ascii="Times New Roman" w:cs="Times New Roman" w:eastAsia="Times New Roman" w:hAnsi="Times New Roman"/>
                <w:sz w:val="17"/>
                <w:szCs w:val="17"/>
                <w:color w:val="0000EE"/>
              </w:rPr>
              <w:t>Code of Conduct and Ethics</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22</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ind w:left="160"/>
              <w:spacing w:after="0" w:line="164" w:lineRule="exact"/>
              <w:rPr>
                <w:sz w:val="20"/>
                <w:szCs w:val="20"/>
                <w:color w:val="auto"/>
              </w:rPr>
            </w:pPr>
            <w:r>
              <w:rPr>
                <w:rFonts w:ascii="Times New Roman" w:cs="Times New Roman" w:eastAsia="Times New Roman" w:hAnsi="Times New Roman"/>
                <w:sz w:val="17"/>
                <w:szCs w:val="17"/>
                <w:color w:val="0000EE"/>
              </w:rPr>
              <w:t>Insider Trading Policy and Hedging Prohibition</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22</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COMPENSATION</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23</w:t>
            </w:r>
          </w:p>
        </w:tc>
      </w:tr>
      <w:tr>
        <w:trPr>
          <w:trHeight w:val="38"/>
        </w:trPr>
        <w:tc>
          <w:tcPr>
            <w:tcW w:w="1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ind w:left="160"/>
              <w:spacing w:after="0" w:line="164" w:lineRule="exact"/>
              <w:rPr>
                <w:sz w:val="20"/>
                <w:szCs w:val="20"/>
                <w:color w:val="auto"/>
              </w:rPr>
            </w:pPr>
            <w:r>
              <w:rPr>
                <w:rFonts w:ascii="Times New Roman" w:cs="Times New Roman" w:eastAsia="Times New Roman" w:hAnsi="Times New Roman"/>
                <w:sz w:val="17"/>
                <w:szCs w:val="17"/>
                <w:color w:val="0000EE"/>
              </w:rPr>
              <w:t>Summary Compensation Table</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23</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ind w:left="160"/>
              <w:spacing w:after="0" w:line="173" w:lineRule="exact"/>
              <w:rPr>
                <w:sz w:val="20"/>
                <w:szCs w:val="20"/>
                <w:color w:val="auto"/>
              </w:rPr>
            </w:pPr>
            <w:r>
              <w:rPr>
                <w:rFonts w:ascii="Times New Roman" w:cs="Times New Roman" w:eastAsia="Times New Roman" w:hAnsi="Times New Roman"/>
                <w:sz w:val="17"/>
                <w:szCs w:val="17"/>
                <w:color w:val="0000EE"/>
              </w:rPr>
              <w:t>Narrative Disclosure to Summary Compensation Table</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23</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ind w:left="160"/>
              <w:spacing w:after="0" w:line="164" w:lineRule="exact"/>
              <w:rPr>
                <w:sz w:val="20"/>
                <w:szCs w:val="20"/>
                <w:color w:val="auto"/>
              </w:rPr>
            </w:pPr>
            <w:r>
              <w:rPr>
                <w:rFonts w:ascii="Times New Roman" w:cs="Times New Roman" w:eastAsia="Times New Roman" w:hAnsi="Times New Roman"/>
                <w:sz w:val="17"/>
                <w:szCs w:val="17"/>
                <w:color w:val="0000EE"/>
              </w:rPr>
              <w:t>Director Compensation</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25</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ind w:left="160"/>
              <w:spacing w:after="0" w:line="173" w:lineRule="exact"/>
              <w:rPr>
                <w:sz w:val="20"/>
                <w:szCs w:val="20"/>
                <w:color w:val="auto"/>
              </w:rPr>
            </w:pPr>
            <w:r>
              <w:rPr>
                <w:rFonts w:ascii="Times New Roman" w:cs="Times New Roman" w:eastAsia="Times New Roman" w:hAnsi="Times New Roman"/>
                <w:sz w:val="17"/>
                <w:szCs w:val="17"/>
                <w:color w:val="0000EE"/>
              </w:rPr>
              <w:t>Equity Compensation Plan Information</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26</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ind w:left="160"/>
              <w:spacing w:after="0" w:line="164" w:lineRule="exact"/>
              <w:rPr>
                <w:sz w:val="20"/>
                <w:szCs w:val="20"/>
                <w:color w:val="auto"/>
              </w:rPr>
            </w:pPr>
            <w:r>
              <w:rPr>
                <w:rFonts w:ascii="Times New Roman" w:cs="Times New Roman" w:eastAsia="Times New Roman" w:hAnsi="Times New Roman"/>
                <w:sz w:val="17"/>
                <w:szCs w:val="17"/>
                <w:color w:val="0000EE"/>
              </w:rPr>
              <w:t>Outstanding Equity Awards at 2023 Fiscal Year End</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27</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ind w:left="160"/>
              <w:spacing w:after="0" w:line="173" w:lineRule="exact"/>
              <w:rPr>
                <w:sz w:val="20"/>
                <w:szCs w:val="20"/>
                <w:color w:val="auto"/>
              </w:rPr>
            </w:pPr>
            <w:r>
              <w:rPr>
                <w:rFonts w:ascii="Times New Roman" w:cs="Times New Roman" w:eastAsia="Times New Roman" w:hAnsi="Times New Roman"/>
                <w:sz w:val="17"/>
                <w:szCs w:val="17"/>
                <w:color w:val="0000EE"/>
              </w:rPr>
              <w:t>Pension Benefits</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27</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CCEEFF"/>
            </w:tcBorders>
            <w:shd w:val="clear" w:color="auto" w:fill="0000EE"/>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ind w:left="160"/>
              <w:spacing w:after="0" w:line="164" w:lineRule="exact"/>
              <w:rPr>
                <w:sz w:val="20"/>
                <w:szCs w:val="20"/>
                <w:color w:val="auto"/>
              </w:rPr>
            </w:pPr>
            <w:r>
              <w:rPr>
                <w:rFonts w:ascii="Times New Roman" w:cs="Times New Roman" w:eastAsia="Times New Roman" w:hAnsi="Times New Roman"/>
                <w:sz w:val="17"/>
                <w:szCs w:val="17"/>
                <w:color w:val="0000EE"/>
              </w:rPr>
              <w:t>Nonqualified Deferred Compensation</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27</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ind w:left="160"/>
              <w:spacing w:after="0" w:line="173" w:lineRule="exact"/>
              <w:rPr>
                <w:sz w:val="20"/>
                <w:szCs w:val="20"/>
                <w:color w:val="auto"/>
              </w:rPr>
            </w:pPr>
            <w:r>
              <w:rPr>
                <w:rFonts w:ascii="Times New Roman" w:cs="Times New Roman" w:eastAsia="Times New Roman" w:hAnsi="Times New Roman"/>
                <w:sz w:val="17"/>
                <w:szCs w:val="17"/>
                <w:color w:val="0000EE"/>
              </w:rPr>
              <w:t>Potential Payments upon Termination or Change-In-Control</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27</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ind w:left="160"/>
              <w:spacing w:after="0" w:line="164" w:lineRule="exact"/>
              <w:rPr>
                <w:sz w:val="20"/>
                <w:szCs w:val="20"/>
                <w:color w:val="auto"/>
              </w:rPr>
            </w:pPr>
            <w:r>
              <w:rPr>
                <w:rFonts w:ascii="Times New Roman" w:cs="Times New Roman" w:eastAsia="Times New Roman" w:hAnsi="Times New Roman"/>
                <w:sz w:val="17"/>
                <w:szCs w:val="17"/>
                <w:color w:val="0000EE"/>
              </w:rPr>
              <w:t>Pay Versus Performance</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29</w:t>
            </w:r>
          </w:p>
        </w:tc>
      </w:tr>
      <w:tr>
        <w:trPr>
          <w:trHeight w:val="29"/>
        </w:trPr>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120" w:type="dxa"/>
            <w:vAlign w:val="bottom"/>
            <w:gridSpan w:val="31"/>
            <w:shd w:val="clear" w:color="auto" w:fill="CCEEFF"/>
          </w:tcPr>
          <w:p>
            <w:pPr>
              <w:ind w:left="160"/>
              <w:spacing w:after="0" w:line="173" w:lineRule="exact"/>
              <w:rPr>
                <w:sz w:val="20"/>
                <w:szCs w:val="20"/>
                <w:color w:val="auto"/>
              </w:rPr>
            </w:pPr>
            <w:r>
              <w:rPr>
                <w:rFonts w:ascii="Times New Roman" w:cs="Times New Roman" w:eastAsia="Times New Roman" w:hAnsi="Times New Roman"/>
                <w:sz w:val="17"/>
                <w:szCs w:val="17"/>
                <w:color w:val="0000EE"/>
              </w:rPr>
              <w:t>Relationship Between Financial Performance Measures</w:t>
            </w:r>
          </w:p>
        </w:tc>
        <w:tc>
          <w:tcPr>
            <w:tcW w:w="1120" w:type="dxa"/>
            <w:vAlign w:val="bottom"/>
            <w:gridSpan w:val="3"/>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0000EE"/>
                <w:w w:val="93"/>
              </w:rPr>
              <w:t>29</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6300" w:type="dxa"/>
            <w:vAlign w:val="bottom"/>
            <w:gridSpan w:val="26"/>
          </w:tcPr>
          <w:p>
            <w:pPr>
              <w:spacing w:after="0" w:line="164" w:lineRule="exact"/>
              <w:rPr>
                <w:sz w:val="20"/>
                <w:szCs w:val="20"/>
                <w:color w:val="auto"/>
              </w:rPr>
            </w:pPr>
            <w:r>
              <w:rPr>
                <w:rFonts w:ascii="Times New Roman" w:cs="Times New Roman" w:eastAsia="Times New Roman" w:hAnsi="Times New Roman"/>
                <w:sz w:val="17"/>
                <w:szCs w:val="17"/>
                <w:color w:val="0000EE"/>
                <w:w w:val="98"/>
              </w:rPr>
              <w:t>SECURITY OWNERSHIP OF CERTAIN BENEFICIAL OWNERS AND MANAGEMENT</w:t>
            </w:r>
          </w:p>
        </w:tc>
        <w:tc>
          <w:tcPr>
            <w:tcW w:w="3820" w:type="dxa"/>
            <w:vAlign w:val="bottom"/>
            <w:gridSpan w:val="5"/>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jc w:val="center"/>
              <w:ind w:right="480"/>
              <w:spacing w:after="0" w:line="164" w:lineRule="exact"/>
              <w:rPr>
                <w:sz w:val="20"/>
                <w:szCs w:val="20"/>
                <w:color w:val="auto"/>
              </w:rPr>
            </w:pPr>
            <w:r>
              <w:rPr>
                <w:rFonts w:ascii="Times New Roman" w:cs="Times New Roman" w:eastAsia="Times New Roman" w:hAnsi="Times New Roman"/>
                <w:sz w:val="17"/>
                <w:szCs w:val="17"/>
                <w:color w:val="0000EE"/>
                <w:w w:val="70"/>
              </w:rPr>
              <w:t>31</w:t>
            </w:r>
          </w:p>
        </w:tc>
      </w:tr>
      <w:tr>
        <w:trPr>
          <w:trHeight w:val="29"/>
        </w:trPr>
        <w:tc>
          <w:tcPr>
            <w:tcW w:w="1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6300" w:type="dxa"/>
            <w:vAlign w:val="bottom"/>
            <w:gridSpan w:val="26"/>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REPORT OF AUDIT COMMITTEE</w:t>
            </w:r>
          </w:p>
        </w:tc>
        <w:tc>
          <w:tcPr>
            <w:tcW w:w="3820" w:type="dxa"/>
            <w:vAlign w:val="bottom"/>
            <w:gridSpan w:val="5"/>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center"/>
              <w:ind w:right="480"/>
              <w:spacing w:after="0" w:line="173" w:lineRule="exact"/>
              <w:rPr>
                <w:sz w:val="20"/>
                <w:szCs w:val="20"/>
                <w:color w:val="auto"/>
              </w:rPr>
            </w:pPr>
            <w:r>
              <w:rPr>
                <w:rFonts w:ascii="Times New Roman" w:cs="Times New Roman" w:eastAsia="Times New Roman" w:hAnsi="Times New Roman"/>
                <w:sz w:val="17"/>
                <w:szCs w:val="17"/>
                <w:color w:val="0000EE"/>
                <w:w w:val="70"/>
              </w:rPr>
              <w:t>32</w:t>
            </w:r>
          </w:p>
        </w:tc>
      </w:tr>
      <w:tr>
        <w:trPr>
          <w:trHeight w:val="38"/>
        </w:trPr>
        <w:tc>
          <w:tcPr>
            <w:tcW w:w="1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524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w w:val="97"/>
              </w:rPr>
              <w:t>CERTAIN RELATIONSHIPS AND RELATED PERSON TRANSACTIONS</w:t>
            </w:r>
          </w:p>
        </w:tc>
        <w:tc>
          <w:tcPr>
            <w:tcW w:w="4880" w:type="dxa"/>
            <w:vAlign w:val="bottom"/>
            <w:gridSpan w:val="8"/>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jc w:val="center"/>
              <w:ind w:right="480"/>
              <w:spacing w:after="0" w:line="164" w:lineRule="exact"/>
              <w:rPr>
                <w:sz w:val="20"/>
                <w:szCs w:val="20"/>
                <w:color w:val="auto"/>
              </w:rPr>
            </w:pPr>
            <w:r>
              <w:rPr>
                <w:rFonts w:ascii="Times New Roman" w:cs="Times New Roman" w:eastAsia="Times New Roman" w:hAnsi="Times New Roman"/>
                <w:sz w:val="17"/>
                <w:szCs w:val="17"/>
                <w:color w:val="0000EE"/>
                <w:w w:val="70"/>
              </w:rPr>
              <w:t>33</w:t>
            </w:r>
          </w:p>
        </w:tc>
      </w:tr>
      <w:tr>
        <w:trPr>
          <w:trHeight w:val="29"/>
        </w:trPr>
        <w:tc>
          <w:tcPr>
            <w:tcW w:w="1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420" w:type="dxa"/>
            <w:vAlign w:val="bottom"/>
            <w:tcBorders>
              <w:right w:val="single" w:sz="8" w:color="CCEEFF"/>
            </w:tcBorders>
            <w:gridSpan w:val="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OTHER MATTERS</w:t>
            </w:r>
          </w:p>
        </w:tc>
        <w:tc>
          <w:tcPr>
            <w:tcW w:w="3820" w:type="dxa"/>
            <w:vAlign w:val="bottom"/>
            <w:gridSpan w:val="19"/>
            <w:shd w:val="clear" w:color="auto" w:fill="CCEEFF"/>
          </w:tcPr>
          <w:p>
            <w:pPr>
              <w:spacing w:after="0"/>
              <w:rPr>
                <w:sz w:val="15"/>
                <w:szCs w:val="15"/>
                <w:color w:val="auto"/>
              </w:rPr>
            </w:pPr>
          </w:p>
        </w:tc>
        <w:tc>
          <w:tcPr>
            <w:tcW w:w="4880" w:type="dxa"/>
            <w:vAlign w:val="bottom"/>
            <w:gridSpan w:val="8"/>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center"/>
              <w:ind w:right="480"/>
              <w:spacing w:after="0" w:line="173" w:lineRule="exact"/>
              <w:rPr>
                <w:sz w:val="20"/>
                <w:szCs w:val="20"/>
                <w:color w:val="auto"/>
              </w:rPr>
            </w:pPr>
            <w:r>
              <w:rPr>
                <w:rFonts w:ascii="Times New Roman" w:cs="Times New Roman" w:eastAsia="Times New Roman" w:hAnsi="Times New Roman"/>
                <w:sz w:val="17"/>
                <w:szCs w:val="17"/>
                <w:color w:val="0000EE"/>
                <w:w w:val="70"/>
              </w:rPr>
              <w:t>34</w:t>
            </w:r>
          </w:p>
        </w:tc>
      </w:tr>
      <w:tr>
        <w:trPr>
          <w:trHeight w:val="38"/>
        </w:trPr>
        <w:tc>
          <w:tcPr>
            <w:tcW w:w="1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spacing w:after="0" w:line="164"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34</w:t>
            </w:r>
          </w:p>
        </w:tc>
      </w:tr>
      <w:tr>
        <w:trPr>
          <w:trHeight w:val="29"/>
        </w:trPr>
        <w:tc>
          <w:tcPr>
            <w:tcW w:w="1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57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DELIVERY OF DOCUMENTS TO STOCKHOLDERS SHARING AN ADDRESS</w:t>
            </w:r>
          </w:p>
        </w:tc>
        <w:tc>
          <w:tcPr>
            <w:tcW w:w="4420" w:type="dxa"/>
            <w:vAlign w:val="bottom"/>
            <w:gridSpan w:val="7"/>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center"/>
              <w:ind w:right="480"/>
              <w:spacing w:after="0" w:line="173" w:lineRule="exact"/>
              <w:rPr>
                <w:sz w:val="20"/>
                <w:szCs w:val="20"/>
                <w:color w:val="auto"/>
              </w:rPr>
            </w:pPr>
            <w:r>
              <w:rPr>
                <w:rFonts w:ascii="Times New Roman" w:cs="Times New Roman" w:eastAsia="Times New Roman" w:hAnsi="Times New Roman"/>
                <w:sz w:val="17"/>
                <w:szCs w:val="17"/>
                <w:color w:val="0000EE"/>
                <w:w w:val="70"/>
              </w:rPr>
              <w:t>34</w:t>
            </w:r>
          </w:p>
        </w:tc>
      </w:tr>
      <w:tr>
        <w:trPr>
          <w:trHeight w:val="38"/>
        </w:trPr>
        <w:tc>
          <w:tcPr>
            <w:tcW w:w="1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2800" w:type="dxa"/>
            <w:vAlign w:val="bottom"/>
            <w:gridSpan w:val="13"/>
          </w:tcPr>
          <w:p>
            <w:pPr>
              <w:spacing w:after="0" w:line="164" w:lineRule="exact"/>
              <w:rPr>
                <w:sz w:val="20"/>
                <w:szCs w:val="20"/>
                <w:color w:val="auto"/>
              </w:rPr>
            </w:pPr>
            <w:r>
              <w:rPr>
                <w:rFonts w:ascii="Times New Roman" w:cs="Times New Roman" w:eastAsia="Times New Roman" w:hAnsi="Times New Roman"/>
                <w:sz w:val="17"/>
                <w:szCs w:val="17"/>
                <w:color w:val="0000EE"/>
                <w:w w:val="96"/>
              </w:rPr>
              <w:t>STOCKHOLDER COMMUNICATIONS</w:t>
            </w:r>
          </w:p>
        </w:tc>
        <w:tc>
          <w:tcPr>
            <w:tcW w:w="2900" w:type="dxa"/>
            <w:vAlign w:val="bottom"/>
            <w:gridSpan w:val="11"/>
          </w:tcPr>
          <w:p>
            <w:pPr>
              <w:spacing w:after="0"/>
              <w:rPr>
                <w:sz w:val="14"/>
                <w:szCs w:val="14"/>
                <w:color w:val="auto"/>
              </w:rPr>
            </w:pPr>
          </w:p>
        </w:tc>
        <w:tc>
          <w:tcPr>
            <w:tcW w:w="4420" w:type="dxa"/>
            <w:vAlign w:val="bottom"/>
            <w:gridSpan w:val="7"/>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jc w:val="center"/>
              <w:ind w:right="480"/>
              <w:spacing w:after="0" w:line="164" w:lineRule="exact"/>
              <w:rPr>
                <w:sz w:val="20"/>
                <w:szCs w:val="20"/>
                <w:color w:val="auto"/>
              </w:rPr>
            </w:pPr>
            <w:r>
              <w:rPr>
                <w:rFonts w:ascii="Times New Roman" w:cs="Times New Roman" w:eastAsia="Times New Roman" w:hAnsi="Times New Roman"/>
                <w:sz w:val="17"/>
                <w:szCs w:val="17"/>
                <w:color w:val="0000EE"/>
                <w:w w:val="70"/>
              </w:rPr>
              <w:t>34</w:t>
            </w:r>
          </w:p>
        </w:tc>
      </w:tr>
      <w:tr>
        <w:trPr>
          <w:trHeight w:val="29"/>
        </w:trPr>
        <w:tc>
          <w:tcPr>
            <w:tcW w:w="1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800" w:type="dxa"/>
            <w:vAlign w:val="bottom"/>
            <w:tcBorders>
              <w:right w:val="single" w:sz="8" w:color="CCEEFF"/>
            </w:tcBorders>
            <w:gridSpan w:val="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9"/>
              </w:rPr>
              <w:t>LEGAL PROCEEDINGS</w:t>
            </w:r>
          </w:p>
        </w:tc>
        <w:tc>
          <w:tcPr>
            <w:tcW w:w="1000" w:type="dxa"/>
            <w:vAlign w:val="bottom"/>
            <w:gridSpan w:val="6"/>
            <w:shd w:val="clear" w:color="auto" w:fill="CCEEFF"/>
          </w:tcPr>
          <w:p>
            <w:pPr>
              <w:spacing w:after="0"/>
              <w:rPr>
                <w:sz w:val="15"/>
                <w:szCs w:val="15"/>
                <w:color w:val="auto"/>
              </w:rPr>
            </w:pPr>
          </w:p>
        </w:tc>
        <w:tc>
          <w:tcPr>
            <w:tcW w:w="7320" w:type="dxa"/>
            <w:vAlign w:val="bottom"/>
            <w:tcBorders>
              <w:left w:val="single" w:sz="8" w:color="CCEEFF"/>
            </w:tcBorders>
            <w:gridSpan w:val="18"/>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center"/>
              <w:ind w:right="480"/>
              <w:spacing w:after="0" w:line="173" w:lineRule="exact"/>
              <w:rPr>
                <w:sz w:val="20"/>
                <w:szCs w:val="20"/>
                <w:color w:val="auto"/>
              </w:rPr>
            </w:pPr>
            <w:r>
              <w:rPr>
                <w:rFonts w:ascii="Times New Roman" w:cs="Times New Roman" w:eastAsia="Times New Roman" w:hAnsi="Times New Roman"/>
                <w:sz w:val="17"/>
                <w:szCs w:val="17"/>
                <w:color w:val="0000EE"/>
                <w:w w:val="70"/>
              </w:rPr>
              <w:t>34</w:t>
            </w:r>
          </w:p>
        </w:tc>
      </w:tr>
      <w:tr>
        <w:trPr>
          <w:trHeight w:val="38"/>
        </w:trPr>
        <w:tc>
          <w:tcPr>
            <w:tcW w:w="1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r>
        <w:trPr>
          <w:trHeight w:val="164"/>
        </w:trPr>
        <w:tc>
          <w:tcPr>
            <w:tcW w:w="10120" w:type="dxa"/>
            <w:vAlign w:val="bottom"/>
            <w:gridSpan w:val="31"/>
          </w:tcPr>
          <w:p>
            <w:pPr>
              <w:spacing w:after="0" w:line="164" w:lineRule="exact"/>
              <w:rPr>
                <w:sz w:val="20"/>
                <w:szCs w:val="20"/>
                <w:color w:val="auto"/>
              </w:rPr>
            </w:pPr>
            <w:r>
              <w:rPr>
                <w:rFonts w:ascii="Times New Roman" w:cs="Times New Roman" w:eastAsia="Times New Roman" w:hAnsi="Times New Roman"/>
                <w:sz w:val="17"/>
                <w:szCs w:val="17"/>
                <w:color w:val="0000EE"/>
              </w:rPr>
              <w:t>SUBMISSION OF STOCKHOLDER PROPOSALS AND DIRECTOR NOMINATIONS AT THE 2025 ANNUAL MEETING</w:t>
            </w:r>
          </w:p>
        </w:tc>
        <w:tc>
          <w:tcPr>
            <w:tcW w:w="112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color w:val="0000EE"/>
                <w:w w:val="93"/>
              </w:rPr>
              <w:t>34</w:t>
            </w:r>
          </w:p>
        </w:tc>
      </w:tr>
      <w:tr>
        <w:trPr>
          <w:trHeight w:val="29"/>
        </w:trPr>
        <w:tc>
          <w:tcPr>
            <w:tcW w:w="1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3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7160" w:type="dxa"/>
            <w:vAlign w:val="bottom"/>
            <w:gridSpan w:val="2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7"/>
              </w:rPr>
              <w:t>ANNEX A – ADDITIONAL INFORMATION REGARDING PARTICIPANTS IN THE SOLICITATION</w:t>
            </w:r>
          </w:p>
        </w:tc>
        <w:tc>
          <w:tcPr>
            <w:tcW w:w="1420" w:type="dxa"/>
            <w:vAlign w:val="bottom"/>
            <w:gridSpan w:val="2"/>
            <w:shd w:val="clear" w:color="auto" w:fill="CCEEFF"/>
          </w:tcPr>
          <w:p>
            <w:pPr>
              <w:spacing w:after="0"/>
              <w:rPr>
                <w:sz w:val="15"/>
                <w:szCs w:val="15"/>
                <w:color w:val="auto"/>
              </w:rPr>
            </w:pPr>
          </w:p>
        </w:tc>
        <w:tc>
          <w:tcPr>
            <w:tcW w:w="1540" w:type="dxa"/>
            <w:vAlign w:val="bottom"/>
            <w:gridSpan w:val="2"/>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center"/>
              <w:ind w:right="480"/>
              <w:spacing w:after="0" w:line="173" w:lineRule="exact"/>
              <w:rPr>
                <w:sz w:val="20"/>
                <w:szCs w:val="20"/>
                <w:color w:val="auto"/>
              </w:rPr>
            </w:pPr>
            <w:r>
              <w:rPr>
                <w:rFonts w:ascii="Times New Roman" w:cs="Times New Roman" w:eastAsia="Times New Roman" w:hAnsi="Times New Roman"/>
                <w:sz w:val="17"/>
                <w:szCs w:val="17"/>
                <w:color w:val="0000EE"/>
                <w:w w:val="70"/>
              </w:rPr>
              <w:t>36</w:t>
            </w:r>
          </w:p>
        </w:tc>
      </w:tr>
      <w:tr>
        <w:trPr>
          <w:trHeight w:val="38"/>
        </w:trPr>
        <w:tc>
          <w:tcPr>
            <w:tcW w:w="1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-5008880</wp:posOffset>
            </wp:positionV>
            <wp:extent cx="6428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28105" cy="8255"/>
                    </a:xfrm>
                    <a:prstGeom prst="rect">
                      <a:avLst/>
                    </a:prstGeom>
                    <a:noFill/>
                  </pic:spPr>
                </pic:pic>
              </a:graphicData>
            </a:graphic>
          </wp:anchor>
        </w:drawing>
      </w: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7"/>
          <w:szCs w:val="17"/>
          <w:b w:val="1"/>
          <w:bCs w:val="1"/>
          <w:color w:val="FF0000"/>
        </w:rPr>
        <w:t>PRELIMINARY PROXY STATEMENT – SUBJECT TO COMPLETION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DATED AUGUST 2, 2024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XWELL, INC.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254 West 31st Street, 11th Floor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10001</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 2024</w:t>
      </w:r>
    </w:p>
    <w:p>
      <w:pPr>
        <w:spacing w:after="0" w:line="19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This Proxy Statement, along with the accompanying Notice of the Annual Meeting of Stockholders, contains information about the 2024 annual meeting of stockholders (including any adjournment, postponement or rescheduling thereof, the “Annual Meeting”) of XWELL, Inc. (“XWELL,” the “Company,” “we,” or “us”).</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The Annual Meeting will be held at [●] [a.m. / p.m.] Eastern Time on [●], 2024. 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 w:cs="Times New Roman" w:eastAsia="Times New Roman" w:hAnsi="Times New Roman"/>
          <w:sz w:val="17"/>
          <w:szCs w:val="17"/>
          <w:i w:val="1"/>
          <w:iCs w:val="1"/>
          <w:color w:val="auto"/>
        </w:rPr>
        <w:t>http://viewproxy.com/XWELL/2024</w:t>
      </w:r>
      <w:r>
        <w:rPr>
          <w:rFonts w:ascii="Times New Roman" w:cs="Times New Roman" w:eastAsia="Times New Roman" w:hAnsi="Times New Roman"/>
          <w:sz w:val="17"/>
          <w:szCs w:val="17"/>
          <w:color w:val="auto"/>
        </w:rPr>
        <w:t xml:space="preserve"> by [●] [a.m. / p.m.] Eastern Time on [●], 2024. You will receive a meeting invitation by email with your unique link, along with a password, prior to the meeting date.</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Only stockholders of record of common stock, par value $0.01 (the “Common Stock”) at the close of business on [●], 2024 (the “Record Date”) are entitled to notice of the Annual Meeting and to vote at the Annual Meeting. The Proxy Statement and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are first being made available to stockholders on or about [●], 2024.</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Your vote is being solicited on behalf of the Company’s board of directors (the “Board”). At the Annual Meeting, we will ask stockholders to consider the following proposals:</w:t>
      </w:r>
    </w:p>
    <w:p>
      <w:pPr>
        <w:spacing w:after="0" w:line="158" w:lineRule="exact"/>
        <w:rPr>
          <w:sz w:val="20"/>
          <w:szCs w:val="20"/>
          <w:color w:val="auto"/>
        </w:rPr>
      </w:pPr>
    </w:p>
    <w:p>
      <w:pPr>
        <w:ind w:left="600" w:hanging="296"/>
        <w:spacing w:after="0" w:line="275"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Scott R. Milford, Bruce T. Bernstein, Robert Weinstein, Michael Lebowitz and Gaëlle Wizenberg to our Board, each to serve until the 2025 annual meeting of stockholders (the “2025 Annual Meeting”) or until his or her respective successor is duly elected and qualified (</w:t>
      </w: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left="600" w:hanging="296"/>
        <w:spacing w:after="0" w:line="275"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of Marcum LLP (“Marcum”) as our independent registered public accounting firm for the fiscal year ending December 31, 2024 (</w:t>
      </w:r>
      <w:r>
        <w:rPr>
          <w:rFonts w:ascii="Times New Roman" w:cs="Times New Roman" w:eastAsia="Times New Roman" w:hAnsi="Times New Roman"/>
          <w:sz w:val="17"/>
          <w:szCs w:val="17"/>
          <w:b w:val="1"/>
          <w:bCs w:val="1"/>
          <w:color w:val="auto"/>
        </w:rPr>
        <w:t>Proposal 2</w:t>
      </w:r>
      <w:r>
        <w:rPr>
          <w:rFonts w:ascii="Times New Roman" w:cs="Times New Roman" w:eastAsia="Times New Roman" w:hAnsi="Times New Roman"/>
          <w:sz w:val="17"/>
          <w:szCs w:val="17"/>
          <w:color w:val="auto"/>
        </w:rPr>
        <w:t>); and</w:t>
      </w:r>
    </w:p>
    <w:p>
      <w:pPr>
        <w:spacing w:after="0" w:line="153" w:lineRule="exact"/>
        <w:rPr>
          <w:rFonts w:ascii="Times New Roman" w:cs="Times New Roman" w:eastAsia="Times New Roman" w:hAnsi="Times New Roman"/>
          <w:sz w:val="17"/>
          <w:szCs w:val="17"/>
          <w:color w:val="auto"/>
        </w:rPr>
      </w:pPr>
    </w:p>
    <w:p>
      <w:pPr>
        <w:ind w:right="780" w:firstLine="304"/>
        <w:spacing w:after="0" w:line="495" w:lineRule="auto"/>
        <w:tabs>
          <w:tab w:leader="none" w:pos="60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by a non-binding advisory vote, the compensation of our named executive officers, as disclosed in this Proxy Statement (</w:t>
      </w:r>
      <w:r>
        <w:rPr>
          <w:rFonts w:ascii="Times New Roman" w:cs="Times New Roman" w:eastAsia="Times New Roman" w:hAnsi="Times New Roman"/>
          <w:sz w:val="17"/>
          <w:szCs w:val="17"/>
          <w:b w:val="1"/>
          <w:bCs w:val="1"/>
          <w:color w:val="auto"/>
        </w:rPr>
        <w:t>Proposal 3</w:t>
      </w:r>
      <w:r>
        <w:rPr>
          <w:rFonts w:ascii="Times New Roman" w:cs="Times New Roman" w:eastAsia="Times New Roman" w:hAnsi="Times New Roman"/>
          <w:sz w:val="17"/>
          <w:szCs w:val="17"/>
          <w:color w:val="auto"/>
        </w:rPr>
        <w:t>). Stockholders may also consider and act upon such other matters as may properly come before the Annual Meeting.</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b w:val="1"/>
          <w:bCs w:val="1"/>
          <w:color w:val="auto"/>
        </w:rPr>
        <w:t xml:space="preserve">YOUR VOTE IS IMPORTANT. WE URGE YOU TO COMPLETE, SIGN, DATE AND PROMPTLY RETURN THE ENCLOSED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 FOR ADDITIONAL INSTRUCTIONS, PLEASE REFER TO THE ENCLOSED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any questions, please contact our proxy solicitor, Alliance Advisors, LLC (“Alliance”):</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Phone Number: 1-888-490-5110</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Email: XWEL@allianceadvisors.com</w:t>
      </w:r>
    </w:p>
    <w:p>
      <w:pPr>
        <w:jc w:val="right"/>
        <w:ind w:right="4560"/>
        <w:spacing w:after="0" w:line="185" w:lineRule="auto"/>
        <w:rPr>
          <w:sz w:val="20"/>
          <w:szCs w:val="20"/>
          <w:color w:val="auto"/>
        </w:rPr>
      </w:pPr>
      <w:r>
        <w:rPr>
          <w:rFonts w:ascii="Times New Roman" w:cs="Times New Roman" w:eastAsia="Times New Roman" w:hAnsi="Times New Roman"/>
          <w:sz w:val="17"/>
          <w:szCs w:val="17"/>
          <w:color w:val="auto"/>
        </w:rPr>
        <w:t>200 Broadacres Drive,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w:t>
      </w:r>
    </w:p>
    <w:p>
      <w:pPr>
        <w:jc w:val="right"/>
        <w:ind w:right="4560"/>
        <w:spacing w:after="0"/>
        <w:rPr>
          <w:sz w:val="20"/>
          <w:szCs w:val="20"/>
          <w:color w:val="auto"/>
        </w:rPr>
      </w:pPr>
      <w:r>
        <w:rPr>
          <w:rFonts w:ascii="Times New Roman" w:cs="Times New Roman" w:eastAsia="Times New Roman" w:hAnsi="Times New Roman"/>
          <w:sz w:val="17"/>
          <w:szCs w:val="17"/>
          <w:color w:val="auto"/>
        </w:rPr>
        <w:t>Bloomfield, New Jersey 07003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0" w:name="page11"/>
    <w:bookmarkEnd w:id="10"/>
    <w:p>
      <w:pPr>
        <w:ind w:left="2580"/>
        <w:spacing w:after="0"/>
        <w:rPr>
          <w:sz w:val="20"/>
          <w:szCs w:val="20"/>
          <w:color w:val="auto"/>
        </w:rPr>
      </w:pPr>
      <w:r>
        <w:rPr>
          <w:rFonts w:ascii="Times New Roman" w:cs="Times New Roman" w:eastAsia="Times New Roman" w:hAnsi="Times New Roman"/>
          <w:sz w:val="17"/>
          <w:szCs w:val="17"/>
          <w:b w:val="1"/>
          <w:bCs w:val="1"/>
          <w:color w:val="auto"/>
        </w:rPr>
        <w:t>IMPORTANT INFORMATION ABOUT THE ANNUAL MEETING AND VOTING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Did I Receive These Proxy Materials?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You are receiving this Proxy Statement as a stockholder of the Company as of the Record Date for purposes of determining the stockholders entitled to receive notice of and vote at the Annual Meeting and in connection with the solicitation by the Board of proxies to be voted at the Annual Meeting. As a stockholder of the Company as of the Record Date, you are entitled to vote at the Annual Meeting on the following proposals:</w:t>
      </w:r>
    </w:p>
    <w:p>
      <w:pPr>
        <w:spacing w:after="0" w:line="170" w:lineRule="exact"/>
        <w:rPr>
          <w:sz w:val="20"/>
          <w:szCs w:val="20"/>
          <w:color w:val="auto"/>
        </w:rPr>
      </w:pPr>
    </w:p>
    <w:p>
      <w:pPr>
        <w:ind w:left="600" w:hanging="296"/>
        <w:spacing w:after="0" w:line="275"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Scott R. Milford, Bruce T. Bernstein, Robert Weinstein, Michael Lebowitz and Gaëlle Wizenberg to our Board, each to serve until the 2025 Annual Meeting or until his or her respective successor is duly elected and qualified (</w:t>
      </w: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w:t>
      </w:r>
    </w:p>
    <w:p>
      <w:pPr>
        <w:spacing w:after="0" w:line="153"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of Marcum as our independent registered public accounting firm for the fiscal year ending December 31, 2024 (</w:t>
      </w:r>
      <w:r>
        <w:rPr>
          <w:rFonts w:ascii="Times New Roman" w:cs="Times New Roman" w:eastAsia="Times New Roman" w:hAnsi="Times New Roman"/>
          <w:sz w:val="17"/>
          <w:szCs w:val="17"/>
          <w:b w:val="1"/>
          <w:bCs w:val="1"/>
          <w:color w:val="auto"/>
        </w:rPr>
        <w:t>Proposal 2</w:t>
      </w:r>
      <w:r>
        <w:rPr>
          <w:rFonts w:ascii="Times New Roman" w:cs="Times New Roman" w:eastAsia="Times New Roman" w:hAnsi="Times New Roman"/>
          <w:sz w:val="17"/>
          <w:szCs w:val="17"/>
          <w:color w:val="auto"/>
        </w:rPr>
        <w:t>); and</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by a non-binding advisory vote, the compensation of our named executive officers, as disclosed in this Proxy Statement (</w:t>
      </w:r>
      <w:r>
        <w:rPr>
          <w:rFonts w:ascii="Times New Roman" w:cs="Times New Roman" w:eastAsia="Times New Roman" w:hAnsi="Times New Roman"/>
          <w:sz w:val="17"/>
          <w:szCs w:val="17"/>
          <w:b w:val="1"/>
          <w:bCs w:val="1"/>
          <w:color w:val="auto"/>
        </w:rPr>
        <w:t>Proposal 3</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Stockholders may also consider and act upon such other matters as may properly come before the Annual Meeting. We are not aware of any such other matters that may properly come before the Annual Meeting at the present time. If any other matters are properly brought before the Annual Meeting, the persons named in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or voting instruction form will vote the shares they represent in accordance with their best judgment and in the manner they believe to be in the best interest of the Company to the extent permitted by Rule 14a-4(c) of the Securities Exchange Act of 1934, as amended, and the rules and regulations promulgated thereunder (the “Exchange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Does the Board Recommend That I Vote on the Proposals?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unanimously recommends that you vote as follows:</w:t>
      </w:r>
    </w:p>
    <w:p>
      <w:pPr>
        <w:spacing w:after="0" w:line="204" w:lineRule="exact"/>
        <w:rPr>
          <w:sz w:val="20"/>
          <w:szCs w:val="20"/>
          <w:color w:val="auto"/>
        </w:rPr>
      </w:pPr>
    </w:p>
    <w:p>
      <w:pPr>
        <w:ind w:left="600" w:hanging="296"/>
        <w:spacing w:after="0" w:line="280"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Scott R. Milford, Bruce T. Bernstein, Robert Weinstein, Michael Lebowitz and Gaëlle Wizenberg to our Board, each to serve until the 2025 Annual Meeting or until his or her respective successor is duly elected and qualified;</w:t>
      </w:r>
    </w:p>
    <w:p>
      <w:pPr>
        <w:spacing w:after="0" w:line="149"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the selection of Marcum as our independent registered public accounting firm for our fiscal year ending December 31, 2024; and</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approval, on a non-binding advisory basis, the compensation of our named executive officers, as disclosed in this Proxy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Vote?</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Only stockholders who owned the Common Stock at the close of business on [●], 2024, the Record Date, are entitled to vote at the Annual Meeting. On the Record Date, there were [●] shares of Common Stock issued and outstanding and entitled to vote. The Common Stock is the only class of voting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 My Vote Important?</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Yes, your vote is very important. </w:t>
      </w:r>
      <w:r>
        <w:rPr>
          <w:rFonts w:ascii="Times New Roman" w:cs="Times New Roman" w:eastAsia="Times New Roman" w:hAnsi="Times New Roman"/>
          <w:sz w:val="17"/>
          <w:szCs w:val="17"/>
          <w:color w:val="auto"/>
        </w:rPr>
        <w:t>As you may know, CPC Pain &amp; Wellness SPV, LLC (“CPC SPV”) submitted documents to the Company purporting to provide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qualifying and timely notice (the “Purported Nomination Notice”) of an intent to nominate four director candidates (collectively, the “Purported CPC SPV Nominees”) for election to the Board at the Annual Meeting in opposition to four of the five director candidates nominated by the Board.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has informed CPC SPV that the Purported Nomination Notice is invalid due to its failure to comply with the Company’s Third Amended and Restated Bylaws (the “Bylaws”) as a result of material omissions and other material deficiencies. On July 19, 2024, CPC SPV filed a complaint in the Chancery Court of the State of Delaware (the “Chancery Court”) against the Company and the Board seeking, among other things, declaratory relief that the Purported CPC SPV Nominees can stand for election at the Annual Meeting. The litigation is pending and set for trial on September 18-19, 2024. Unless the result of the litigation is that the Purported Nomination Notice is deemed valid, any director nominations made by CPC SPV will be disregarded, and no proxies voted in favor of the Purported CPC SPV Nominees will be recognized or tabulated at the Annual Meeting.</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As the Purported Nomination Notice will not be recognized as valid under Delaware law unless otherwise so determined by a court,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accompanying the Proxy Statement does not include the names of the Purported CPC SPV Nominees on a “universal proxy card.” However, if the result of the litigation is that the Chancery Court finds the Purported Nomination Notice was valid and orders inclusion of the Purported CPC SPV Nominees, then the Company will amend the Proxy Statement and the accompanying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to reflect that development, to comply with the applicable aspects of Schedule 14A and Rule 14a-19 of the Exchange Act, and to include the names of the Purported CPC SPV Nominees on a universal proxy card and will mail the revised Proxy Statement and a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Universal Proxy Card to stockholders. In addition, in this scenario, no proxies or votes received on the Company’s previously circulated proxy card will be recognized or tabulated at the Annual Meeting. These proxies will be disregarded. Accordingly, if you vote on the Company’s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accompanying this Proxy Statement and the Purported Nomination Notice is subsequently deemed valid, your votes will not be recognized or tabulated, and you will have to vote again for your vote to be counted. The Company may also need to delay the Annual Meeting to allow time for stockholders to receive and consider the new proxy materials, including a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Universal Proxy Card. To ensure the Chancery Court has sufficient time to rule on CPC SPV’s claims before stockholders vote on the election of directors at the Annual Meeting, the Company has agreed that, if the Chancery Court has not issued a ruling on CPC SPV’s claims in the action before the Annual Meeting is convened (or re-convened following an adjournment), then the Company will convene the Annual Meeting solely for the purpose of adjourning it, and will adjourn the Annual Meeting to a date not more than 45 days in the future. CPC SPV will not argue that any adjournment or postponement of the Annual Meeting will commence a new time period (or extend any existing time period) for the submission of CPC SPV’s (or any related entity’s) notice of nomination of candidates for election as directors at the Annual Meeting.</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Despite the Board’s determination that the Purported Nomination Notice is invalid, you may receive solicitation materials from CPC SPV, including proxy statements and proxy cards. </w:t>
      </w:r>
      <w:r>
        <w:rPr>
          <w:rFonts w:ascii="Times New Roman" w:cs="Times New Roman" w:eastAsia="Times New Roman" w:hAnsi="Times New Roman"/>
          <w:sz w:val="16"/>
          <w:szCs w:val="16"/>
          <w:b w:val="1"/>
          <w:bCs w:val="1"/>
          <w:color w:val="auto"/>
        </w:rPr>
        <w:t>WE URGE YOU TO VOTE ONLY 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WHITE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PROXY CARD FOR OUR BOARD’S NOMINEES—SCOTT R. MILFORD, BRUCE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color w:val="auto"/>
        </w:rPr>
        <w:t>T. BERNSTEIN, ROBERT WEINSTEIN, MICHAEL LEBOWITZ AND GAËLLE WIZENBERG—AND TO DISREGARD ANY MATERIALS SENT TO YOU BY, OR ON BEHALF OF, CPC SPV</w:t>
      </w:r>
      <w:r>
        <w:rPr>
          <w:rFonts w:ascii="Times New Roman" w:cs="Times New Roman" w:eastAsia="Times New Roman" w:hAnsi="Times New Roman"/>
          <w:sz w:val="17"/>
          <w:szCs w:val="17"/>
          <w:color w:val="auto"/>
        </w:rPr>
        <w:t>. The Company is not responsible for the accuracy of any information provided by, or relating to, CPC SPV that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contained in any proxy solicitation materials, if and when filed or disseminated by, or on behalf of, CPC SPV or any other statements that CPC SPV or its representatives have made or may otherwise make, including statements relating to the Purported CPC SPV Nominees. The Board strongly urges you </w:t>
      </w:r>
      <w:r>
        <w:rPr>
          <w:rFonts w:ascii="Times New Roman" w:cs="Times New Roman" w:eastAsia="Times New Roman" w:hAnsi="Times New Roman"/>
          <w:sz w:val="17"/>
          <w:szCs w:val="17"/>
          <w:b w:val="1"/>
          <w:bCs w:val="1"/>
          <w:color w:val="auto"/>
        </w:rPr>
        <w:t>NOT</w:t>
      </w:r>
      <w:r>
        <w:rPr>
          <w:rFonts w:ascii="Times New Roman" w:cs="Times New Roman" w:eastAsia="Times New Roman" w:hAnsi="Times New Roman"/>
          <w:sz w:val="17"/>
          <w:szCs w:val="17"/>
          <w:color w:val="auto"/>
        </w:rPr>
        <w:t xml:space="preserve"> to sign or return any proxy card sent to you by, or on behalf of, CPC SPV.</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YOUR VOTE IS VERY IMPORTANT.</w:t>
      </w:r>
    </w:p>
    <w:p>
      <w:pPr>
        <w:spacing w:after="0" w:line="20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auto"/>
        </w:rPr>
        <w:t>THE BOARD UNANIMOUSLY RECOMMENDS VOTING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EACH OF THE BOARD’S</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NOMINEES—SCOTT R. MILFORD, BRUCE T. BERNSTEIN, ROBERT WEINSTEIN, MICHAEL</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 xml:space="preserve">LEBOWITZ AND GAËLLE WIZENBERG—USING THE ENCLOSED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Who Is Soliciting My Vote?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 Board, on behalf of the Company, is soliciting your proxy to vote your shares of our Common Stock on all matters scheduled to come before the Annual Meeting, whether or not you attend the Annual Meeting virtually. By submitting your proxy and voting instructions via the Internet, by telephone or by completing, signing, dating and promptly returning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you are authorizing the persons named as proxies to vote your shares of Common Stock at the Annual Meeting as you have instructed. Proxies will be solicited on behalf of the Board by the Company’s directors and certain executive officers of the Company. Such persons are listed in Annex A to this Proxy Statement.</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Additionally, the Company has retained Alliance, a proxy solicitation firm, which may solicit proxies on the Board’s behalf. You may also be solicited by press releases issued by us, postings on our website or other websites or otherwise. Unless expressly indicated otherwise, information contained on our website is not part of this Proxy Statement. In addition, none of the information on the other websites, if any, listed in this Proxy Statement is part of this Proxy Statement. Such website addresses are intended to be inactive textual references only.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Should I Do If I Receive a Proxy Card from CPC SPV?</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 xml:space="preserve">You may receive proxy solicitation materials from CPC SPV. </w:t>
      </w:r>
      <w:r>
        <w:rPr>
          <w:rFonts w:ascii="Times New Roman" w:cs="Times New Roman" w:eastAsia="Times New Roman" w:hAnsi="Times New Roman"/>
          <w:sz w:val="16"/>
          <w:szCs w:val="16"/>
          <w:b w:val="1"/>
          <w:bCs w:val="1"/>
          <w:color w:val="auto"/>
        </w:rPr>
        <w:t>We strongly recommend that you discard any proxy card or solicitation materials that may be 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to you by CPC SPV</w:t>
      </w:r>
      <w:r>
        <w:rPr>
          <w:rFonts w:ascii="Times New Roman" w:cs="Times New Roman" w:eastAsia="Times New Roman" w:hAnsi="Times New Roman"/>
          <w:sz w:val="16"/>
          <w:szCs w:val="16"/>
          <w:color w:val="auto"/>
        </w:rPr>
        <w:t>. If you have already voted using CPC SPV’s proxy card, you have every right to change your vote by (i) voting a later dated</w:t>
      </w:r>
      <w:r>
        <w:rPr>
          <w:rFonts w:ascii="Times New Roman" w:cs="Times New Roman" w:eastAsia="Times New Roman" w:hAnsi="Times New Roman"/>
          <w:sz w:val="16"/>
          <w:szCs w:val="16"/>
          <w:b w:val="1"/>
          <w:bCs w:val="1"/>
          <w:color w:val="auto"/>
        </w:rPr>
        <w:t xml:space="preserve"> WHITE </w:t>
      </w:r>
      <w:r>
        <w:rPr>
          <w:rFonts w:ascii="Times New Roman" w:cs="Times New Roman" w:eastAsia="Times New Roman" w:hAnsi="Times New Roman"/>
          <w:sz w:val="16"/>
          <w:szCs w:val="16"/>
          <w:color w:val="auto"/>
        </w:rPr>
        <w:t>Proxy Card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(ii) attending the Annual Meeting and voting your shares. Only the latest-dated validly executed proxy that you submit will be counted; any proxy may be revoked at any time prior to its exercise at the Annual Meeting by following the instructions below under “</w:t>
      </w:r>
      <w:r>
        <w:rPr>
          <w:rFonts w:ascii="Times New Roman" w:cs="Times New Roman" w:eastAsia="Times New Roman" w:hAnsi="Times New Roman"/>
          <w:sz w:val="16"/>
          <w:szCs w:val="16"/>
          <w:i w:val="1"/>
          <w:iCs w:val="1"/>
          <w:color w:val="auto"/>
        </w:rPr>
        <w:t>May I Change or Revoke My Proxy</w:t>
      </w:r>
      <w:r>
        <w:rPr>
          <w:rFonts w:ascii="Times New Roman" w:cs="Times New Roman" w:eastAsia="Times New Roman" w:hAnsi="Times New Roman"/>
          <w:sz w:val="16"/>
          <w:szCs w:val="16"/>
          <w:color w:val="auto"/>
        </w:rPr>
        <w:t xml:space="preserve">?” Please contact our proxy solicitor, Alliance, by calling 1-888-490-5110, or by email at </w:t>
      </w:r>
      <w:r>
        <w:rPr>
          <w:rFonts w:ascii="Times New Roman" w:cs="Times New Roman" w:eastAsia="Times New Roman" w:hAnsi="Times New Roman"/>
          <w:sz w:val="16"/>
          <w:szCs w:val="16"/>
          <w:u w:val="single" w:color="auto"/>
          <w:color w:val="auto"/>
        </w:rPr>
        <w:t>XWEL@allianceadvisors.com</w:t>
      </w:r>
      <w:r>
        <w:rPr>
          <w:rFonts w:ascii="Times New Roman" w:cs="Times New Roman" w:eastAsia="Times New Roman" w:hAnsi="Times New Roman"/>
          <w:sz w:val="16"/>
          <w:szCs w:val="16"/>
          <w:color w:val="auto"/>
        </w:rPr>
        <w:t xml:space="preserve"> if you have questions or require assistance in voting your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I Access the Proxy Materials on the Internet?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Yes. The Company’s Proxy Statement and the Annual Report on Form 10-K for the year ended December 31, 2023, as amended (the “2023 Annual Report”) are available free of charge at </w:t>
      </w:r>
      <w:r>
        <w:rPr>
          <w:rFonts w:ascii="Times New Roman" w:cs="Times New Roman" w:eastAsia="Times New Roman" w:hAnsi="Times New Roman"/>
          <w:sz w:val="17"/>
          <w:szCs w:val="17"/>
          <w:i w:val="1"/>
          <w:iCs w:val="1"/>
          <w:color w:val="auto"/>
        </w:rPr>
        <w:t>http://viewproxy.com/XWELL/2024</w:t>
      </w:r>
      <w:r>
        <w:rPr>
          <w:rFonts w:ascii="Times New Roman" w:cs="Times New Roman" w:eastAsia="Times New Roman" w:hAnsi="Times New Roman"/>
          <w:sz w:val="17"/>
          <w:szCs w:val="17"/>
          <w:color w:val="auto"/>
        </w:rPr>
        <w:t xml:space="preserve">. You may also obtain these materials at the U.S. Securities and Exchange Commission (the “SEC”)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b w:val="1"/>
          <w:bCs w:val="1"/>
          <w:color w:val="auto"/>
        </w:rPr>
        <w:t>How Can Stockholders Attend the Annual Meeting? Am I Entitled to Attend the Annual Meeting in Person? Why Are You Holding a Virtual Annual Meeting?</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Annual Meeting will be held in a virtual meeting format only, and it is open to all of our stockholders. We are excited to embrace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Registering to Attend the Annual Meeting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Stockholders of Record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If, as of the Record Date, your shares are registered in your own name, you may register to attend the Annual Meeting by going to </w:t>
      </w:r>
      <w:r>
        <w:rPr>
          <w:rFonts w:ascii="Times New Roman" w:cs="Times New Roman" w:eastAsia="Times New Roman" w:hAnsi="Times New Roman"/>
          <w:sz w:val="17"/>
          <w:szCs w:val="17"/>
          <w:i w:val="1"/>
          <w:iCs w:val="1"/>
          <w:color w:val="auto"/>
        </w:rPr>
        <w:t>http://viewproxy.com/XWELL/2024</w:t>
      </w:r>
      <w:r>
        <w:rPr>
          <w:rFonts w:ascii="Times New Roman" w:cs="Times New Roman" w:eastAsia="Times New Roman" w:hAnsi="Times New Roman"/>
          <w:sz w:val="17"/>
          <w:szCs w:val="17"/>
          <w:color w:val="auto"/>
        </w:rPr>
        <w:t xml:space="preserve"> no later than [●] [a.m. / p.m.] Eastern Time on [●], 2024 and registering for the meeting exactly as your registration appears on your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You must provide a valid email address to register and to vote at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Registering to Attend the Annual Meeting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Beneficial Stockholders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 xml:space="preserve">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Annual Meeting by going to </w:t>
      </w:r>
      <w:r>
        <w:rPr>
          <w:rFonts w:ascii="Times New Roman" w:cs="Times New Roman" w:eastAsia="Times New Roman" w:hAnsi="Times New Roman"/>
          <w:sz w:val="16"/>
          <w:szCs w:val="16"/>
          <w:i w:val="1"/>
          <w:iCs w:val="1"/>
          <w:color w:val="auto"/>
        </w:rPr>
        <w:t>http://viewproxy.com/XWELL/2024</w:t>
      </w:r>
      <w:r>
        <w:rPr>
          <w:rFonts w:ascii="Times New Roman" w:cs="Times New Roman" w:eastAsia="Times New Roman" w:hAnsi="Times New Roman"/>
          <w:sz w:val="16"/>
          <w:szCs w:val="16"/>
          <w:color w:val="auto"/>
        </w:rPr>
        <w:t xml:space="preserve"> no later than [●] [a.m. / p.m.] Eastern Time on [●], 2024 and following the instructions on the website. After registering, you may be asked to provide proof of ownership and, if applicable, a legal proxy, before being approved for attendance at the meeting. You must provide a valid email address to register and to vote at the Annual Meeting.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3" w:name="page14"/>
    <w:bookmarkEnd w:id="13"/>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After successfully registering, stockholders will receive a meeting invitation by email with your unique link, along with a password, prior to the meeting date. We recommend that stockholders carefully review in advance the procedures needed to gain admission virtually to the Annual Meeting. If you do not comply with the procedures outlined above, you will not be admitted to the Annual Meeting. If you have any questions or require any assistance with pre-registering, please contact the Company’s proxy solicitor, Alliance, by calling 866-612-8937 or by email at </w:t>
      </w:r>
      <w:r>
        <w:rPr>
          <w:rFonts w:ascii="Times New Roman" w:cs="Times New Roman" w:eastAsia="Times New Roman" w:hAnsi="Times New Roman"/>
          <w:sz w:val="17"/>
          <w:szCs w:val="17"/>
          <w:u w:val="single" w:color="auto"/>
          <w:color w:val="auto"/>
        </w:rPr>
        <w:t>VirtualMeeting@viewproxy.com</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Happens if There Are Technical Difficulties during the Annual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There will be technicians ready to assist you with any technical difficulties you may have accessing the Annual Meeting live audio webcast. Please be sure to check in 15 minutes prior to the start of the Annual Meeting, so that any technical difficulties may be addressed before the Annual Meeting live audio webcast begins. If you encounter any difficulties accessing the webcast during the check-in or meeting time, please email </w:t>
      </w:r>
      <w:r>
        <w:rPr>
          <w:rFonts w:ascii="Times New Roman" w:cs="Times New Roman" w:eastAsia="Times New Roman" w:hAnsi="Times New Roman"/>
          <w:sz w:val="17"/>
          <w:szCs w:val="17"/>
          <w:u w:val="single" w:color="auto"/>
          <w:color w:val="auto"/>
        </w:rPr>
        <w:t>VirtualMeeting@viewproxy.com</w:t>
      </w:r>
      <w:r>
        <w:rPr>
          <w:rFonts w:ascii="Times New Roman" w:cs="Times New Roman" w:eastAsia="Times New Roman" w:hAnsi="Times New Roman"/>
          <w:sz w:val="17"/>
          <w:szCs w:val="17"/>
          <w:color w:val="auto"/>
        </w:rPr>
        <w:t xml:space="preserve"> or call 866-612-8937.</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Votes Do I Have?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share of our Common Stock that you own entitles you to one vote. There is no cumulative voting in the election of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Whether or not you plan to attend the Annual Meeting, we urge you to vote by proxy. All shares represented by valid proxies that we receive through this solicitation, and that are not revoked, will be voted in accordance with your instructions. If you properly submit a proxy without giving specific voting instructions, your shares will be voted in accordance with the Board’s recommendations, as described below under “</w:t>
      </w:r>
      <w:r>
        <w:rPr>
          <w:rFonts w:ascii="Times New Roman" w:cs="Times New Roman" w:eastAsia="Times New Roman" w:hAnsi="Times New Roman"/>
          <w:sz w:val="17"/>
          <w:szCs w:val="17"/>
          <w:i w:val="1"/>
          <w:iCs w:val="1"/>
          <w:color w:val="auto"/>
        </w:rPr>
        <w:t>How Will My Proxy Be Voted?”</w:t>
      </w:r>
      <w:r>
        <w:rPr>
          <w:rFonts w:ascii="Times New Roman" w:cs="Times New Roman" w:eastAsia="Times New Roman" w:hAnsi="Times New Roman"/>
          <w:sz w:val="17"/>
          <w:szCs w:val="17"/>
          <w:color w:val="auto"/>
        </w:rPr>
        <w:t xml:space="preserve"> Voting by proxy will not affect your right to attend the Annual Meeting virtually.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Stockholder of Record: Shares Registered in Your Name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as of the Record Date, your shares are registered directly in your name, you may vote your shares in one of the following ways:</w:t>
      </w:r>
    </w:p>
    <w:p>
      <w:pPr>
        <w:spacing w:after="0" w:line="204" w:lineRule="exact"/>
        <w:rPr>
          <w:sz w:val="20"/>
          <w:szCs w:val="20"/>
          <w:color w:val="auto"/>
        </w:rPr>
      </w:pPr>
    </w:p>
    <w:p>
      <w:pPr>
        <w:ind w:left="600" w:hanging="296"/>
        <w:spacing w:after="0" w:line="280"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Voting Via the Internet</w:t>
      </w:r>
      <w:r>
        <w:rPr>
          <w:rFonts w:ascii="Times New Roman" w:cs="Times New Roman" w:eastAsia="Times New Roman" w:hAnsi="Times New Roman"/>
          <w:sz w:val="17"/>
          <w:szCs w:val="17"/>
          <w:color w:val="auto"/>
        </w:rPr>
        <w:t>: You may vote via the Internet by following the instructions on the</w:t>
      </w:r>
      <w:r>
        <w:rPr>
          <w:rFonts w:ascii="Times New Roman" w:cs="Times New Roman" w:eastAsia="Times New Roman" w:hAnsi="Times New Roman"/>
          <w:sz w:val="17"/>
          <w:szCs w:val="17"/>
          <w:b w:val="1"/>
          <w:bCs w:val="1"/>
          <w:color w:val="auto"/>
        </w:rPr>
        <w:t xml:space="preserve"> WHITE </w:t>
      </w:r>
      <w:r>
        <w:rPr>
          <w:rFonts w:ascii="Times New Roman" w:cs="Times New Roman" w:eastAsia="Times New Roman" w:hAnsi="Times New Roman"/>
          <w:sz w:val="17"/>
          <w:szCs w:val="17"/>
          <w:color w:val="auto"/>
        </w:rPr>
        <w:t>Proxy Card. Go to [●] and have your</w:t>
      </w:r>
      <w:r>
        <w:rPr>
          <w:rFonts w:ascii="Times New Roman" w:cs="Times New Roman" w:eastAsia="Times New Roman" w:hAnsi="Times New Roman"/>
          <w:sz w:val="17"/>
          <w:szCs w:val="17"/>
          <w:b w:val="1"/>
          <w:bCs w:val="1"/>
          <w:color w:val="auto"/>
        </w:rPr>
        <w:t xml:space="preserve"> WHITE </w:t>
      </w:r>
      <w:r>
        <w:rPr>
          <w:rFonts w:ascii="Times New Roman" w:cs="Times New Roman" w:eastAsia="Times New Roman" w:hAnsi="Times New Roman"/>
          <w:sz w:val="17"/>
          <w:szCs w:val="17"/>
          <w:color w:val="auto"/>
        </w:rPr>
        <w:t>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Card available. The Internet voting facilities will close at [●] [a.m. / p.m.] Eastern Time on [●], 2024.</w:t>
      </w:r>
    </w:p>
    <w:p>
      <w:pPr>
        <w:spacing w:after="0" w:line="149" w:lineRule="exact"/>
        <w:rPr>
          <w:rFonts w:ascii="Times New Roman" w:cs="Times New Roman" w:eastAsia="Times New Roman" w:hAnsi="Times New Roman"/>
          <w:sz w:val="17"/>
          <w:szCs w:val="17"/>
          <w:color w:val="auto"/>
        </w:rPr>
      </w:pPr>
    </w:p>
    <w:p>
      <w:pPr>
        <w:jc w:val="both"/>
        <w:ind w:left="600" w:hanging="296"/>
        <w:spacing w:after="0" w:line="258"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By Mail</w:t>
      </w:r>
      <w:r>
        <w:rPr>
          <w:rFonts w:ascii="Times New Roman" w:cs="Times New Roman" w:eastAsia="Times New Roman" w:hAnsi="Times New Roman"/>
          <w:sz w:val="17"/>
          <w:szCs w:val="17"/>
          <w:color w:val="auto"/>
        </w:rPr>
        <w:t>: If you received a</w:t>
      </w:r>
      <w:r>
        <w:rPr>
          <w:rFonts w:ascii="Times New Roman" w:cs="Times New Roman" w:eastAsia="Times New Roman" w:hAnsi="Times New Roman"/>
          <w:sz w:val="17"/>
          <w:szCs w:val="17"/>
          <w:b w:val="1"/>
          <w:bCs w:val="1"/>
          <w:color w:val="auto"/>
        </w:rPr>
        <w:t xml:space="preserve"> WHITE </w:t>
      </w:r>
      <w:r>
        <w:rPr>
          <w:rFonts w:ascii="Times New Roman" w:cs="Times New Roman" w:eastAsia="Times New Roman" w:hAnsi="Times New Roman"/>
          <w:sz w:val="17"/>
          <w:szCs w:val="17"/>
          <w:color w:val="auto"/>
        </w:rPr>
        <w:t>Proxy Card by mail, you can vote by completing, signing, dating and promptly returning the enclosed</w:t>
      </w:r>
      <w:r>
        <w:rPr>
          <w:rFonts w:ascii="Times New Roman" w:cs="Times New Roman" w:eastAsia="Times New Roman" w:hAnsi="Times New Roman"/>
          <w:sz w:val="17"/>
          <w:szCs w:val="17"/>
          <w:b w:val="1"/>
          <w:bCs w:val="1"/>
          <w:color w:val="auto"/>
        </w:rPr>
        <w:t xml:space="preserve"> WHITE </w:t>
      </w:r>
      <w:r>
        <w:rPr>
          <w:rFonts w:ascii="Times New Roman" w:cs="Times New Roman" w:eastAsia="Times New Roman" w:hAnsi="Times New Roman"/>
          <w:sz w:val="17"/>
          <w:szCs w:val="17"/>
          <w:color w:val="auto"/>
        </w:rPr>
        <w:t>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Card in the postage-paid envelope provided. A completed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returned by mail must be received at the address stated on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before [●], 2024. If you sign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but do not specify how you want your shares voted, they will be voted in accordance with the Board’s recommendations as described below under “</w:t>
      </w:r>
      <w:r>
        <w:rPr>
          <w:rFonts w:ascii="Times New Roman" w:cs="Times New Roman" w:eastAsia="Times New Roman" w:hAnsi="Times New Roman"/>
          <w:sz w:val="17"/>
          <w:szCs w:val="17"/>
          <w:i w:val="1"/>
          <w:iCs w:val="1"/>
          <w:color w:val="auto"/>
        </w:rPr>
        <w:t>How Will My Proxy Be Voted?”</w:t>
      </w:r>
    </w:p>
    <w:p>
      <w:pPr>
        <w:spacing w:after="0" w:line="169" w:lineRule="exact"/>
        <w:rPr>
          <w:rFonts w:ascii="Times New Roman" w:cs="Times New Roman" w:eastAsia="Times New Roman" w:hAnsi="Times New Roman"/>
          <w:sz w:val="17"/>
          <w:szCs w:val="17"/>
          <w:color w:val="auto"/>
        </w:rPr>
      </w:pPr>
    </w:p>
    <w:p>
      <w:pPr>
        <w:jc w:val="both"/>
        <w:ind w:left="600" w:hanging="296"/>
        <w:spacing w:after="0" w:line="312" w:lineRule="auto"/>
        <w:tabs>
          <w:tab w:leader="none" w:pos="6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By Telephone</w:t>
      </w:r>
      <w:r>
        <w:rPr>
          <w:rFonts w:ascii="Times New Roman" w:cs="Times New Roman" w:eastAsia="Times New Roman" w:hAnsi="Times New Roman"/>
          <w:sz w:val="16"/>
          <w:szCs w:val="16"/>
          <w:color w:val="auto"/>
        </w:rPr>
        <w:t>: You may vote via the Internet by following the instructions on the</w:t>
      </w:r>
      <w:r>
        <w:rPr>
          <w:rFonts w:ascii="Times New Roman" w:cs="Times New Roman" w:eastAsia="Times New Roman" w:hAnsi="Times New Roman"/>
          <w:sz w:val="16"/>
          <w:szCs w:val="16"/>
          <w:b w:val="1"/>
          <w:bCs w:val="1"/>
          <w:color w:val="auto"/>
        </w:rPr>
        <w:t xml:space="preserve"> WHITE </w:t>
      </w:r>
      <w:r>
        <w:rPr>
          <w:rFonts w:ascii="Times New Roman" w:cs="Times New Roman" w:eastAsia="Times New Roman" w:hAnsi="Times New Roman"/>
          <w:sz w:val="16"/>
          <w:szCs w:val="16"/>
          <w:color w:val="auto"/>
        </w:rPr>
        <w:t>Proxy Card. Go to [ ● ] and have your Notice of Internet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Availability of Proxy Materials or the </w:t>
      </w:r>
      <w:r>
        <w:rPr>
          <w:rFonts w:ascii="Times New Roman" w:cs="Times New Roman" w:eastAsia="Times New Roman" w:hAnsi="Times New Roman"/>
          <w:sz w:val="16"/>
          <w:szCs w:val="16"/>
          <w:b w:val="1"/>
          <w:bCs w:val="1"/>
          <w:color w:val="auto"/>
        </w:rPr>
        <w:t>WHITE</w:t>
      </w:r>
      <w:r>
        <w:rPr>
          <w:rFonts w:ascii="Times New Roman" w:cs="Times New Roman" w:eastAsia="Times New Roman" w:hAnsi="Times New Roman"/>
          <w:sz w:val="16"/>
          <w:szCs w:val="16"/>
          <w:color w:val="auto"/>
        </w:rPr>
        <w:t xml:space="preserve"> Proxy Card available. The telephone voting facilities will close at [●] [a.m. / p.m.] Eastern Time on [●], 2024.</w:t>
      </w:r>
    </w:p>
    <w:p>
      <w:pPr>
        <w:spacing w:after="0" w:line="127" w:lineRule="exact"/>
        <w:rPr>
          <w:rFonts w:ascii="Times New Roman" w:cs="Times New Roman" w:eastAsia="Times New Roman" w:hAnsi="Times New Roman"/>
          <w:sz w:val="16"/>
          <w:szCs w:val="16"/>
          <w:color w:val="auto"/>
        </w:rPr>
      </w:pPr>
    </w:p>
    <w:p>
      <w:pPr>
        <w:ind w:left="600" w:hanging="296"/>
        <w:spacing w:after="0" w:line="280"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Virtually at the Annual Meeting</w:t>
      </w:r>
      <w:r>
        <w:rPr>
          <w:rFonts w:ascii="Times New Roman" w:cs="Times New Roman" w:eastAsia="Times New Roman" w:hAnsi="Times New Roman"/>
          <w:sz w:val="17"/>
          <w:szCs w:val="17"/>
          <w:color w:val="auto"/>
        </w:rPr>
        <w:t>: You may also vote by attending the virtual Annual Meeting. To attend the virtual Annual Meeting, you must first pre-register as described above under “</w:t>
      </w:r>
      <w:r>
        <w:rPr>
          <w:rFonts w:ascii="Times New Roman" w:cs="Times New Roman" w:eastAsia="Times New Roman" w:hAnsi="Times New Roman"/>
          <w:sz w:val="17"/>
          <w:szCs w:val="17"/>
          <w:i w:val="1"/>
          <w:iCs w:val="1"/>
          <w:color w:val="auto"/>
        </w:rPr>
        <w:t>How Can Stockholders Attend the Annual Meeting?”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If you are a stockholder of record, your virtual control number will be on your Notice of Internet Availability of Proxy Materials or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Even if you plan to attend the Annual Meeting virtually, we recommend that you also submit your proxy via the Internet, by telephone or by mail so that your vote will be counted if you later decide not to attend the Annual Meeting. </w:t>
      </w:r>
      <w:r>
        <w:rPr>
          <w:rFonts w:ascii="Times New Roman" w:cs="Times New Roman" w:eastAsia="Times New Roman" w:hAnsi="Times New Roman"/>
          <w:sz w:val="17"/>
          <w:szCs w:val="17"/>
          <w:b w:val="1"/>
          <w:bCs w:val="1"/>
          <w:color w:val="auto"/>
        </w:rPr>
        <w:t>Internet and telephone voting facilities for record stockholders will be available 24 hours a day and 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close at [ ● ] [a.m. / p.m.] Eastern Time on [ ● ], 2024. </w:t>
      </w:r>
      <w:r>
        <w:rPr>
          <w:rFonts w:ascii="Times New Roman" w:cs="Times New Roman" w:eastAsia="Times New Roman" w:hAnsi="Times New Roman"/>
          <w:sz w:val="17"/>
          <w:szCs w:val="17"/>
          <w:color w:val="auto"/>
        </w:rPr>
        <w:t>Please contact our proxy solicitor, Alliance, by calling 1-888-490-5110 or by email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XWEL@allianceadvisors.com</w:t>
      </w:r>
      <w:r>
        <w:rPr>
          <w:rFonts w:ascii="Times New Roman" w:cs="Times New Roman" w:eastAsia="Times New Roman" w:hAnsi="Times New Roman"/>
          <w:sz w:val="17"/>
          <w:szCs w:val="17"/>
          <w:color w:val="auto"/>
        </w:rPr>
        <w:t xml:space="preserve"> if you require assistance in voting your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Beneficial Owner: Shares Registered in the Name of Broker, Bank or Other Nominee</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If, as of the Record Date, you are the beneficial owner of shares and you held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of Scott R. Milford, Bruce T. Bernstein, Robert Weinstein, Michael Lebowitz and Gaëlle Wizenberg,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Proposal 2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Proposal 3.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you hold your shares beneficially through a broker, bank or other nominee, you must provide a legal proxy from your broker, bank or other nominee during registration to attend the Annual Meeting. You will then be assigned a virtual control number in order to vote your shares during the Annual Meeting. You may only vote during the Annual Meeting by emailing a copy of your legal proxy to [●] in advance of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Will My Proxy Be Voted?</w:t>
      </w:r>
    </w:p>
    <w:p>
      <w:pPr>
        <w:spacing w:after="0" w:line="2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 xml:space="preserve">Shares represented by properly executed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Cards will be voted in accordance with the directions indicated thereon. If you sign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but do not make any specific choices, your proxy will vote your shares as follows:</w:t>
      </w:r>
    </w:p>
    <w:p>
      <w:pPr>
        <w:spacing w:after="0" w:line="150" w:lineRule="exact"/>
        <w:rPr>
          <w:sz w:val="20"/>
          <w:szCs w:val="20"/>
          <w:color w:val="auto"/>
        </w:rPr>
      </w:pPr>
    </w:p>
    <w:p>
      <w:pPr>
        <w:ind w:left="600" w:hanging="296"/>
        <w:spacing w:after="0" w:line="280"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Scott R. Milford, Bruce T. Bernstein, Robert Weinstein, Michael Lebowitz and Gaëlle Wizenberg to our Board, each to serve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until the 2025 Annual Meeting or until his or her respective successor is duly elected and qualified;</w:t>
      </w:r>
    </w:p>
    <w:p>
      <w:pPr>
        <w:spacing w:after="0" w:line="149" w:lineRule="exact"/>
        <w:rPr>
          <w:rFonts w:ascii="Times New Roman" w:cs="Times New Roman" w:eastAsia="Times New Roman" w:hAnsi="Times New Roman"/>
          <w:sz w:val="17"/>
          <w:szCs w:val="17"/>
          <w:color w:val="auto"/>
        </w:rPr>
      </w:pPr>
    </w:p>
    <w:p>
      <w:pPr>
        <w:ind w:left="600" w:hanging="296"/>
        <w:spacing w:after="0" w:line="280"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Proposal 2</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the selection of Marcum as our independent registered public accounting firm for our fiscal year ending December 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and</w:t>
      </w:r>
    </w:p>
    <w:p>
      <w:pPr>
        <w:spacing w:after="0" w:line="149"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Proposal 3</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approval, on a non-binding advisory basis, the compensation of our named executive officers, as disclosed in this Proxy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Difference Between a Stockholder of Record and a “Street Name” Holder?</w:t>
      </w:r>
    </w:p>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If, as of the Record Date, your shares are registered directly in your name with our stock transfer agent, Equiniti Trust Company, LLC, you are considered the stockholder of record with respect to those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5" w:name="page16"/>
    <w:bookmarkEnd w:id="15"/>
    <w:p>
      <w:pPr>
        <w:jc w:val="both"/>
        <w:spacing w:after="0" w:line="251" w:lineRule="auto"/>
        <w:rPr>
          <w:sz w:val="20"/>
          <w:szCs w:val="20"/>
          <w:color w:val="auto"/>
        </w:rPr>
      </w:pPr>
      <w:r>
        <w:rPr>
          <w:rFonts w:ascii="Times New Roman" w:cs="Times New Roman" w:eastAsia="Times New Roman" w:hAnsi="Times New Roman"/>
          <w:sz w:val="17"/>
          <w:szCs w:val="17"/>
          <w:color w:val="auto"/>
        </w:rPr>
        <w:t>If, as of the Record Date, your shares are held with a broker, bank or other nominee, then the organization holding your account is considered the record holder of those shares. You are considered the beneficial owner of these shares, and your shares are held in “street name.” As a beneficial owner, you have the right to direct your broker, bank or other nominee on how to vote the shares in your account. You are also invited to attend the Annual Meeting. However, because you are not the stockholder of record, you may not vote your shares at the Annual Meeting unless you request and obtain a valid legal proxy from your broker, bank or other nominee. If your shares are held in “street name” (that is, held by a broker, bank or other nominee), you will receive voting instructions from your broker, bank or other nominee. Please follow the instructions from your broker, bank or other nominee included with these proxy materials, or contact your broker, bank or other nominee to request a legal proxy. If you hold your shares in “street name,” please instruct your broker, bank or other nominee how to vote your shares using the voting instruction form provided by your broker, bank or other nominee so that your vote can be counted. The voting instruction form provided by your broker, bank or other nominee may also include information about how to submit your voting instructions over the Internet.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a Broker Non-Vote? What Is Discretionary Voting?</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 broker non-vote occurs when the broker holding shares for a beneficial owner has not received voting instructions from the beneficial owner and does not have discretionary authority to vote the shares. Under rules applicable to securities brokerage firms, a broker who holds your shares in “street name” does not have the authority to vote those shares on any “non-routine” proposal, except in accordance with voting instructions received from you. On the other hand, your broker may vote your shares on certain “routine” proposals, if the broker has transmitted proxy-soliciting materials to you, as the beneficial owner of the shares, but has not received voting instructions from you on such proposals. A broker non-vote occurs when a broker does not vote on a particular proposal because it does not have discretionary voting power with respect to that proposal and has not received voting instructions from the beneficial owner.</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If you do not provide voting instructions to your broker, then your shares will not be voted at the Annual Meeting on any proposal with respect to which your broker does not have discretionary authority except as to “routine” matters. However, to the extent that CPC SPV provides proxy materials to your broker who holds shares for a beneficial owner, none of the matters to be voted on at the Annual Meeting will be considered a discretionary “routine” matter under the rules of the various regional and national exchanges of which your nominee is a member (the “Broker Rules”), which means that a broker that is subject to the Broker Rules will not have authority to vote shares held in street name without instructions from the beneficial owner. Therefore, if you are a beneficial owner, we encourage you to instruct your broker, bank or other nominee how to vote your shares using the voting instruction form provided by your broker, bank or other nominee so that your vote can be counted.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However, if your broker receives proxy materials only from the Company, your broker firm is entitled to vote shares held for a beneficial holder on discretionary matters, such as the ratification of the selection of Marcum as our independent registered public accounting firm, without instructions from the beneficial holder of those shares. On the other hand, your broker is not entitled to vote shares held for a beneficial holder on non-discretionary items such as the election of directors and the vote to approve the compensation paid to our named executive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May I Change or Revoke My Proxy?</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If you are the stockholder of record, you may change your proxy instructions or revoke your proxy at any time before your proxy is voted at the Annual Meeting. You may change or revoke your proxy in any one of the following ways:</w:t>
      </w:r>
    </w:p>
    <w:p>
      <w:pPr>
        <w:spacing w:after="0" w:line="154" w:lineRule="exact"/>
        <w:rPr>
          <w:sz w:val="20"/>
          <w:szCs w:val="20"/>
          <w:color w:val="auto"/>
        </w:rPr>
      </w:pPr>
    </w:p>
    <w:p>
      <w:pPr>
        <w:jc w:val="both"/>
        <w:ind w:left="600" w:hanging="296"/>
        <w:spacing w:after="0" w:line="264"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Returning a later-dated proxy (i) by completing, signing, dating and promptly returning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(ii) via the Internet by following the instructions on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or (iii) by calling the toll-free number found on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(the latest dated proxy is the only one that counts);</w:t>
      </w:r>
    </w:p>
    <w:p>
      <w:pPr>
        <w:spacing w:after="0" w:line="166"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notifying our Corporate Secretary in writing before the Annual Meeting that you have revoked your proxy; or</w:t>
      </w:r>
    </w:p>
    <w:p>
      <w:pPr>
        <w:spacing w:after="0" w:line="208" w:lineRule="exact"/>
        <w:rPr>
          <w:rFonts w:ascii="Times New Roman" w:cs="Times New Roman" w:eastAsia="Times New Roman" w:hAnsi="Times New Roman"/>
          <w:sz w:val="17"/>
          <w:szCs w:val="17"/>
          <w:color w:val="auto"/>
        </w:rPr>
      </w:pPr>
    </w:p>
    <w:p>
      <w:pPr>
        <w:ind w:left="600" w:hanging="296"/>
        <w:spacing w:after="0" w:line="275"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attending the Annual Meeting virtually and voting at the Annual Meeting (attending the Annual Meeting virtually will not in and of itself revoke a previously submitted proxy).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6" w:name="page17"/>
    <w:bookmarkEnd w:id="16"/>
    <w:p>
      <w:pPr>
        <w:jc w:val="both"/>
        <w:spacing w:after="0" w:line="280" w:lineRule="auto"/>
        <w:rPr>
          <w:sz w:val="20"/>
          <w:szCs w:val="20"/>
          <w:color w:val="auto"/>
        </w:rPr>
      </w:pPr>
      <w:r>
        <w:rPr>
          <w:rFonts w:ascii="Times New Roman" w:cs="Times New Roman" w:eastAsia="Times New Roman" w:hAnsi="Times New Roman"/>
          <w:sz w:val="17"/>
          <w:szCs w:val="17"/>
          <w:color w:val="auto"/>
        </w:rPr>
        <w:t xml:space="preserve">Your most current vote, whether via the Internet, by telephone or by completing, signing, dating and promptly returning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is the one that will be counted.</w:t>
      </w:r>
    </w:p>
    <w:p>
      <w:pPr>
        <w:spacing w:after="0" w:line="150" w:lineRule="exact"/>
        <w:rPr>
          <w:sz w:val="20"/>
          <w:szCs w:val="20"/>
          <w:color w:val="auto"/>
        </w:rPr>
      </w:pPr>
    </w:p>
    <w:p>
      <w:pPr>
        <w:jc w:val="center"/>
        <w:ind w:left="340" w:right="120"/>
        <w:spacing w:after="0" w:line="280" w:lineRule="auto"/>
        <w:rPr>
          <w:sz w:val="20"/>
          <w:szCs w:val="20"/>
          <w:color w:val="auto"/>
        </w:rPr>
      </w:pPr>
      <w:r>
        <w:rPr>
          <w:rFonts w:ascii="Times New Roman" w:cs="Times New Roman" w:eastAsia="Times New Roman" w:hAnsi="Times New Roman"/>
          <w:sz w:val="17"/>
          <w:szCs w:val="17"/>
          <w:b w:val="1"/>
          <w:bCs w:val="1"/>
          <w:color w:val="auto"/>
        </w:rPr>
        <w:t>IF YOU HAVE ALREADY VOTED USING CPC SPV’S PROXY CARD, WE URGE YOU TO REVOKE IT BY VOTING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 ELECTION OF EACH NOMINEE RECOMMENDED BY THE BOARD ON THE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What if I Receive More Than One Notice of Annual Meeting of Stockholders or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Because CPC SPV may send solicitation materials to stockholders, we may conduct multiple mailings before the Annual Meeting to ensure stockholders have our latest proxy information and materials to vote. We may send you a new </w:t>
      </w:r>
      <w:r>
        <w:rPr>
          <w:rFonts w:ascii="Times New Roman" w:cs="Times New Roman" w:eastAsia="Times New Roman" w:hAnsi="Times New Roman"/>
          <w:sz w:val="16"/>
          <w:szCs w:val="16"/>
          <w:b w:val="1"/>
          <w:bCs w:val="1"/>
          <w:color w:val="auto"/>
        </w:rPr>
        <w:t>WHITE</w:t>
      </w:r>
      <w:r>
        <w:rPr>
          <w:rFonts w:ascii="Times New Roman" w:cs="Times New Roman" w:eastAsia="Times New Roman" w:hAnsi="Times New Roman"/>
          <w:sz w:val="16"/>
          <w:szCs w:val="16"/>
          <w:color w:val="auto"/>
        </w:rPr>
        <w:t xml:space="preserve"> Proxy Card or voting instruction form with each mailing, regardless of whether you have previously voted. Also, many of our stockholders hold their shares in more than one account and may receive separate proxy cards or voting instructions forms for each of those accounts. If you receive more than one </w:t>
      </w:r>
      <w:r>
        <w:rPr>
          <w:rFonts w:ascii="Times New Roman" w:cs="Times New Roman" w:eastAsia="Times New Roman" w:hAnsi="Times New Roman"/>
          <w:sz w:val="16"/>
          <w:szCs w:val="16"/>
          <w:b w:val="1"/>
          <w:bCs w:val="1"/>
          <w:color w:val="auto"/>
        </w:rPr>
        <w:t>WHITE</w:t>
      </w:r>
      <w:r>
        <w:rPr>
          <w:rFonts w:ascii="Times New Roman" w:cs="Times New Roman" w:eastAsia="Times New Roman" w:hAnsi="Times New Roman"/>
          <w:sz w:val="16"/>
          <w:szCs w:val="16"/>
          <w:color w:val="auto"/>
        </w:rPr>
        <w:t xml:space="preserve"> Proxy Card, your shares are registered in more than one name or are registered in different accounts. Please vote in the manner described above under “</w:t>
      </w:r>
      <w:r>
        <w:rPr>
          <w:rFonts w:ascii="Times New Roman" w:cs="Times New Roman" w:eastAsia="Times New Roman" w:hAnsi="Times New Roman"/>
          <w:sz w:val="16"/>
          <w:szCs w:val="16"/>
          <w:i w:val="1"/>
          <w:iCs w:val="1"/>
          <w:color w:val="auto"/>
        </w:rPr>
        <w:t>How Do I Vote?</w:t>
      </w:r>
      <w:r>
        <w:rPr>
          <w:rFonts w:ascii="Times New Roman" w:cs="Times New Roman" w:eastAsia="Times New Roman" w:hAnsi="Times New Roman"/>
          <w:sz w:val="16"/>
          <w:szCs w:val="16"/>
          <w:color w:val="auto"/>
        </w:rPr>
        <w:t xml:space="preserve">” for each account to ensure that all of your shares are voted. </w:t>
      </w:r>
      <w:r>
        <w:rPr>
          <w:rFonts w:ascii="Times New Roman" w:cs="Times New Roman" w:eastAsia="Times New Roman" w:hAnsi="Times New Roman"/>
          <w:sz w:val="16"/>
          <w:szCs w:val="16"/>
          <w:b w:val="1"/>
          <w:bCs w:val="1"/>
          <w:color w:val="auto"/>
        </w:rPr>
        <w:t>ONLY THE LATEST DATED</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PROXY YOU SUBMIT WILL BE COUNTED. IF YOU WISH TO VOTE AS RECOMMENDED BY THE BOARD, THEN YOU SHOULD ONLY SUBMIT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Might I Be Receiving Proxy Materials from CPC SPV? What Should I Do If I Receive Proxy Materials from CPC SPV?</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CPC SPV submitted the Purported Nomination Notice, which purported to provide the Company qualifying and timely notice of its intent to nominate the Purported CPC SPV Nominees for election to the Board at the Annual Meeting. Despite the Board’s determination that the Purported Nomination Notice is invalid, you may receive solicitation materials from CPC SPV, including proxy statements and proxy cards. The Company is not responsible for the accuracy of any information provided by, or relating to, CPC SPV that is contained in any proxy solicitation materials, if and when filed or disseminated by, or on behalf of, CPC SPV or any other statements that CPC SPV or its representatives have made or may otherwise make, including statements relating to the Purported CPC SPV Nominees.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The Board strongly urges you to </w:t>
      </w:r>
      <w:r>
        <w:rPr>
          <w:rFonts w:ascii="Times New Roman" w:cs="Times New Roman" w:eastAsia="Times New Roman" w:hAnsi="Times New Roman"/>
          <w:sz w:val="17"/>
          <w:szCs w:val="17"/>
          <w:b w:val="1"/>
          <w:bCs w:val="1"/>
          <w:u w:val="single" w:color="auto"/>
          <w:color w:val="auto"/>
        </w:rPr>
        <w:t>NOT</w:t>
      </w:r>
      <w:r>
        <w:rPr>
          <w:rFonts w:ascii="Times New Roman" w:cs="Times New Roman" w:eastAsia="Times New Roman" w:hAnsi="Times New Roman"/>
          <w:sz w:val="17"/>
          <w:szCs w:val="17"/>
          <w:b w:val="1"/>
          <w:bCs w:val="1"/>
          <w:color w:val="auto"/>
        </w:rPr>
        <w:t xml:space="preserve"> sign or return any proxy cards or voting instruction forms that you may receive from, or on behalf of, CPC SPV, not even to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WITHHOLD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with respect to the Purported CPC SPV Nominees. </w:t>
      </w:r>
      <w:r>
        <w:rPr>
          <w:rFonts w:ascii="Times New Roman" w:cs="Times New Roman" w:eastAsia="Times New Roman" w:hAnsi="Times New Roman"/>
          <w:sz w:val="17"/>
          <w:szCs w:val="17"/>
          <w:color w:val="auto"/>
        </w:rPr>
        <w:t>Voting “withhold” with respect to the Purported CPC SPV Nominees on CPC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SPV’s proxy card is not the same as voting for the Board’s nominees on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 vote to “withhold” with respect to the Purported CPC SPV Nominees on CPC SPV’s proxy card will revoke any proxy previously submitted by you. If you vote, or have previously voted, using a proxy card sent to you by, or on behalf of, CPC SPV, you can revoke it by completing, signing, dating and promptly returning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in the postage-paid envelope provided.</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Board recommends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each of Scott R. Milford, Bruce T. Bernstein, Robert Weinstein, Michael Lebowitz and Gaëlle Wizenberg on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If you wish to vote pursuant to the Board’s recommendations, you should disregard any proxy card that you receive other than the </w:t>
      </w:r>
      <w:r>
        <w:rPr>
          <w:rFonts w:ascii="Times New Roman" w:cs="Times New Roman" w:eastAsia="Times New Roman" w:hAnsi="Times New Roman"/>
          <w:sz w:val="17"/>
          <w:szCs w:val="17"/>
          <w:b w:val="1"/>
          <w:bCs w:val="1"/>
          <w:color w:val="auto"/>
        </w:rPr>
        <w:t xml:space="preserve">WHITE </w:t>
      </w:r>
      <w:r>
        <w:rPr>
          <w:rFonts w:ascii="Times New Roman" w:cs="Times New Roman" w:eastAsia="Times New Roman" w:hAnsi="Times New Roman"/>
          <w:sz w:val="17"/>
          <w:szCs w:val="17"/>
          <w:color w:val="auto"/>
        </w:rPr>
        <w:t>Proxy Card.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Constitutes a Quorum for the Annual Meeting?</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presence, virtually or by proxy, of the holders of one-third (33.33%) of the votes which could be cast by the holders of all outstanding shares of stock entitled to vote at the Annual Meeting shall be necessary and sufficient to constitute a quorum at the Annual Meeting. Abstentions will be counted for purposes of determining whether a quorum exists at the Annual Meeting. Broker non-votes, if any, will not be counted for purposes of determining whether a quorum exists at the Annual Meeting.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What Vote is Required to Approve Each Proposal and How are Votes Counted?</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3060" w:type="dxa"/>
            <w:vAlign w:val="bottom"/>
            <w:tcBorders>
              <w:top w:val="single" w:sz="8" w:color="auto"/>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7"/>
                <w:szCs w:val="17"/>
                <w:b w:val="1"/>
                <w:bCs w:val="1"/>
                <w:color w:val="auto"/>
              </w:rPr>
              <w:t>Proposal 1:</w:t>
            </w:r>
          </w:p>
        </w:tc>
        <w:tc>
          <w:tcPr>
            <w:tcW w:w="8200" w:type="dxa"/>
            <w:vAlign w:val="bottom"/>
            <w:tcBorders>
              <w:top w:val="single" w:sz="8" w:color="auto"/>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7"/>
                <w:szCs w:val="17"/>
                <w:color w:val="auto"/>
              </w:rPr>
              <w:t>Directors shall be elected by a plurality of the voting power of the shares present in person or represented by proxy at</w:t>
            </w:r>
          </w:p>
        </w:tc>
      </w:tr>
      <w:tr>
        <w:trPr>
          <w:trHeight w:val="206"/>
        </w:trPr>
        <w:tc>
          <w:tcPr>
            <w:tcW w:w="30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Election of Directors</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Annual Meeting and entitled to vote on the election of directors. That means that the five nominees for director</w:t>
            </w:r>
          </w:p>
        </w:tc>
      </w:tr>
      <w:tr>
        <w:trPr>
          <w:trHeight w:val="218"/>
        </w:trPr>
        <w:tc>
          <w:tcPr>
            <w:tcW w:w="3060" w:type="dxa"/>
            <w:vAlign w:val="bottom"/>
            <w:tcBorders>
              <w:left w:val="single" w:sz="8" w:color="auto"/>
              <w:right w:val="single" w:sz="8" w:color="auto"/>
            </w:tcBorders>
          </w:tcPr>
          <w:p>
            <w:pPr>
              <w:spacing w:after="0"/>
              <w:rPr>
                <w:sz w:val="18"/>
                <w:szCs w:val="18"/>
                <w:color w:val="auto"/>
              </w:rPr>
            </w:pP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who receive the most votes will be elected.</w:t>
            </w:r>
          </w:p>
        </w:tc>
      </w:tr>
      <w:tr>
        <w:trPr>
          <w:trHeight w:val="404"/>
        </w:trPr>
        <w:tc>
          <w:tcPr>
            <w:tcW w:w="3060" w:type="dxa"/>
            <w:vAlign w:val="bottom"/>
            <w:tcBorders>
              <w:left w:val="single" w:sz="8" w:color="auto"/>
              <w:right w:val="single" w:sz="8" w:color="auto"/>
            </w:tcBorders>
          </w:tcPr>
          <w:p>
            <w:pPr>
              <w:spacing w:after="0"/>
              <w:rPr>
                <w:sz w:val="24"/>
                <w:szCs w:val="24"/>
                <w:color w:val="auto"/>
              </w:rPr>
            </w:pP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Stockholders may vote “FOR” each nominee or “WITHHOLD” their vote from each nominee.</w:t>
            </w:r>
          </w:p>
        </w:tc>
      </w:tr>
      <w:tr>
        <w:trPr>
          <w:trHeight w:val="404"/>
        </w:trPr>
        <w:tc>
          <w:tcPr>
            <w:tcW w:w="306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Withheld votes and broker non-votes will have no effect on the outcome of the election of directors.</w:t>
            </w:r>
          </w:p>
        </w:tc>
      </w:tr>
      <w:tr>
        <w:trPr>
          <w:trHeight w:val="174"/>
        </w:trPr>
        <w:tc>
          <w:tcPr>
            <w:tcW w:w="3060" w:type="dxa"/>
            <w:vAlign w:val="bottom"/>
            <w:tcBorders>
              <w:left w:val="single" w:sz="8" w:color="auto"/>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7"/>
                <w:szCs w:val="17"/>
                <w:b w:val="1"/>
                <w:bCs w:val="1"/>
                <w:color w:val="auto"/>
              </w:rPr>
              <w:t>Proposal 2:</w:t>
            </w:r>
          </w:p>
        </w:tc>
        <w:tc>
          <w:tcPr>
            <w:tcW w:w="8200" w:type="dxa"/>
            <w:vAlign w:val="bottom"/>
            <w:tcBorders>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7"/>
                <w:szCs w:val="17"/>
                <w:color w:val="auto"/>
              </w:rPr>
              <w:t>The affirmative vote of a majority of the voting power of the shares present in person or represented by proxy at the</w:t>
            </w:r>
          </w:p>
        </w:tc>
      </w:tr>
      <w:tr>
        <w:trPr>
          <w:trHeight w:val="202"/>
        </w:trPr>
        <w:tc>
          <w:tcPr>
            <w:tcW w:w="30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Ratify Selection of Marcum as the</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Annual Meeting and entitled to vote on Proposal 2 shall be the act of the stockholders.</w:t>
            </w:r>
          </w:p>
        </w:tc>
      </w:tr>
      <w:tr>
        <w:trPr>
          <w:trHeight w:val="202"/>
        </w:trPr>
        <w:tc>
          <w:tcPr>
            <w:tcW w:w="30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Company’s independent registered</w:t>
            </w:r>
          </w:p>
        </w:tc>
        <w:tc>
          <w:tcPr>
            <w:tcW w:w="8200" w:type="dxa"/>
            <w:vAlign w:val="bottom"/>
            <w:tcBorders>
              <w:right w:val="single" w:sz="8" w:color="auto"/>
            </w:tcBorders>
          </w:tcPr>
          <w:p>
            <w:pPr>
              <w:spacing w:after="0"/>
              <w:rPr>
                <w:sz w:val="17"/>
                <w:szCs w:val="17"/>
                <w:color w:val="auto"/>
              </w:rPr>
            </w:pPr>
          </w:p>
        </w:tc>
      </w:tr>
      <w:tr>
        <w:trPr>
          <w:trHeight w:val="202"/>
        </w:trPr>
        <w:tc>
          <w:tcPr>
            <w:tcW w:w="30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public accounting firm for the fiscal</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Abstentions will be treated as votes “AGAINST” Proposal 2 and broker non-votes will have no effect on the outcome</w:t>
            </w:r>
          </w:p>
        </w:tc>
      </w:tr>
      <w:tr>
        <w:trPr>
          <w:trHeight w:val="222"/>
        </w:trPr>
        <w:tc>
          <w:tcPr>
            <w:tcW w:w="30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year ending December 31, 2024</w:t>
            </w:r>
          </w:p>
        </w:tc>
        <w:tc>
          <w:tcPr>
            <w:tcW w:w="8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of Proposal 2.</w:t>
            </w:r>
          </w:p>
        </w:tc>
      </w:tr>
      <w:tr>
        <w:trPr>
          <w:trHeight w:val="174"/>
        </w:trPr>
        <w:tc>
          <w:tcPr>
            <w:tcW w:w="3060" w:type="dxa"/>
            <w:vAlign w:val="bottom"/>
            <w:tcBorders>
              <w:left w:val="single" w:sz="8" w:color="auto"/>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7"/>
                <w:szCs w:val="17"/>
                <w:b w:val="1"/>
                <w:bCs w:val="1"/>
                <w:color w:val="auto"/>
              </w:rPr>
              <w:t>Proposal 3:</w:t>
            </w:r>
          </w:p>
        </w:tc>
        <w:tc>
          <w:tcPr>
            <w:tcW w:w="8200" w:type="dxa"/>
            <w:vAlign w:val="bottom"/>
            <w:tcBorders>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7"/>
                <w:szCs w:val="17"/>
                <w:color w:val="auto"/>
              </w:rPr>
              <w:t>The affirmative vote of a majority of the voting power of the shares present in person or represented by proxy at the</w:t>
            </w:r>
          </w:p>
        </w:tc>
      </w:tr>
      <w:tr>
        <w:trPr>
          <w:trHeight w:val="202"/>
        </w:trPr>
        <w:tc>
          <w:tcPr>
            <w:tcW w:w="30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Approve, by a non-binding advisory</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Annual Meeting and entitled to vote on Proposal 3 shall be the act of the stockholders.</w:t>
            </w:r>
          </w:p>
        </w:tc>
      </w:tr>
      <w:tr>
        <w:trPr>
          <w:trHeight w:val="202"/>
        </w:trPr>
        <w:tc>
          <w:tcPr>
            <w:tcW w:w="30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vote, the compensation of our named</w:t>
            </w:r>
          </w:p>
        </w:tc>
        <w:tc>
          <w:tcPr>
            <w:tcW w:w="8200" w:type="dxa"/>
            <w:vAlign w:val="bottom"/>
            <w:tcBorders>
              <w:right w:val="single" w:sz="8" w:color="auto"/>
            </w:tcBorders>
          </w:tcPr>
          <w:p>
            <w:pPr>
              <w:spacing w:after="0"/>
              <w:rPr>
                <w:sz w:val="17"/>
                <w:szCs w:val="17"/>
                <w:color w:val="auto"/>
              </w:rPr>
            </w:pPr>
          </w:p>
        </w:tc>
      </w:tr>
      <w:tr>
        <w:trPr>
          <w:trHeight w:val="206"/>
        </w:trPr>
        <w:tc>
          <w:tcPr>
            <w:tcW w:w="30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executive officers</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Abstentions will be treated as votes “AGAINST” Proposal 3 and broker non-votes will have no effect on the outcome</w:t>
            </w:r>
          </w:p>
        </w:tc>
      </w:tr>
      <w:tr>
        <w:trPr>
          <w:trHeight w:val="218"/>
        </w:trPr>
        <w:tc>
          <w:tcPr>
            <w:tcW w:w="3060" w:type="dxa"/>
            <w:vAlign w:val="bottom"/>
            <w:tcBorders>
              <w:left w:val="single" w:sz="8" w:color="auto"/>
              <w:bottom w:val="single" w:sz="8" w:color="auto"/>
              <w:right w:val="single" w:sz="8" w:color="auto"/>
            </w:tcBorders>
          </w:tcPr>
          <w:p>
            <w:pPr>
              <w:spacing w:after="0"/>
              <w:rPr>
                <w:sz w:val="18"/>
                <w:szCs w:val="18"/>
                <w:color w:val="auto"/>
              </w:rPr>
            </w:pPr>
          </w:p>
        </w:tc>
        <w:tc>
          <w:tcPr>
            <w:tcW w:w="8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of Proposal 3.</w:t>
            </w:r>
          </w:p>
        </w:tc>
      </w:tr>
      <w:tr>
        <w:trPr>
          <w:trHeight w:val="396"/>
        </w:trPr>
        <w:tc>
          <w:tcPr>
            <w:tcW w:w="1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Will This Year’s Annual Meeting Require the Use of a Universal Proxy Card</w:t>
            </w:r>
            <w:r>
              <w:rPr>
                <w:rFonts w:ascii="Times New Roman" w:cs="Times New Roman" w:eastAsia="Times New Roman" w:hAnsi="Times New Roman"/>
                <w:sz w:val="17"/>
                <w:szCs w:val="17"/>
                <w:color w:val="auto"/>
              </w:rPr>
              <w:t>?</w:t>
            </w:r>
          </w:p>
        </w:tc>
      </w:tr>
    </w:tbl>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Because of the Board’s determination that the Purported Nomination Notice is invalid, a universal proxy card will not be required unless the result of the litigation is that the Purported Nomination Notice is deemed valid. CPC SPV submitted the Purported Nomination Notice, which purported to provide the Company qualifying and timely notice of its intent to nominate the Purported CPC SPV Nominees for election to the Board at the Annual Meeting. The Company has informed CPC SPV that the Purported Nomination Notice is invalid due to its failure to comply with the Bylaws.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As the Purported Nomination Notice will not be recognized as valid under Delaware law unless otherwise so determined by a court,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accompanying the Proxy Statement does not include the names of the Purported CPC SPV Nominees on a “universal proxy card.” However, if the result of the litigation is that the Chancery Court finds the Purported Nomination Notice was valid and orders inclusion of the Purported CPC SPV Nominees, then the Company will amend the Proxy Statement and the accompanying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to reflect that development, to comply with the applicable aspects of Schedule 14A and Rule 14a-19 of the Exchange Act, and to include the names of the Purported CPC SPV Nominees on a universal proxy card and will mail the revised Proxy Statement and a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Universal Proxy Card to stockholders. In addition, in this scenario, no proxies or votes received on the Company’s previously circulated proxy card will be recognized or tabulated at the Annual Meeting. These proxies will be disregarded. Accordingly, if you vote on the Company’s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accompanying this Proxy Statement and the Purported Nomination Notice is subsequently deemed valid, your votes will not be recognized or tabulated, and you will have to vote again for your vote to be counted. The Company may also need to delay the Annual Meeting to allow time for stockholders to receive and consider the new proxy materials.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Do I Have Any Dissenters’ Or Appraisal Rights With Respect to Any of the Matters to be Voted on at the Annual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None of our stockholders has any dissenters’ or appraisal rights with respect to the matters to be voted on at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 Can I Find the Voting Results of the Annual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final voting results will be reported on Form 8-K, which will be filed with the SEC within four business days after the Annual Meeting. If our final voting results are not available within four business days after the Annual Meeting, we will file a Form 8-K reporting the preliminary voting results and subsequently file the final voting results in an amendment to the Form 8-K within four business days after the final voting results are known to 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Costs of Soliciting these Proxies?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The costs and expenses of the Board’s solicitation of proxies, including the preparation, printing and mailing of the Proxy Statement,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the Notice of the Annual Meeting of Stockholders and any additional information furnished to stockholders by the Company, will be borne by the Company. Solicitation of proxies may be in person, by telephone, electronic mail or personal solicitation by the Company’s directors, officers or staff members. Other than the persons described in the Proxy Statement, no general class of employee of the Company will be employed to solicit stockholders in connection with this proxy solicitation. However, in the course of their regular duties, the Company’s employees, officers and directors may be asked to perform clerical or ministerial tasks in furtherance of this solicitation. None of these individuals will receive any additional or special compensation for doing this, but they may be reimbursed for reasonable out-of-pocket expenses.</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currently estimates that it will spend a total of approximately $[●] for, in furtherance of, or in connection with the solicitation of proxies, including fees for attorneys, accountants, public relations or financial advisers, solicitors, advertising, printing, transportation, litigation and other costs incidental to the solicitation. As of the date hereof, the Company estimates that its total expenditures to date for, in furtherance of, or in connection with the solicitation of proxies is approximately $[●].</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engagement of Alliance by the Company as a proxy solicitor, the Company anticipates that certain employees of Alliance may communicate in person, by telephone or otherwise with a limited number of institutions, brokers or other persons who are stockholders of the Company for the purpose of assisting in the solicitation of proxies for the Annual Meeting. Approximately [●] employees of Alliance will solicit holders of the Common Stock in connection with the Annual Meeting. The Company expects to pay Alliance up to $[●] for its services in connection with the solicitation of proxies for the Annual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help answer my questions?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information provided above in this “Question and Answer” format is for your convenience only and is merely a summary of the information contained in this Proxy Statement. We urge you to carefully read this entire Proxy Statement. If you have any questions, or need additional materials, please feel free to contact our proxy solicitor, Alliance, by calling toll free at 1-888-490-5110 or by email at </w:t>
      </w:r>
      <w:r>
        <w:rPr>
          <w:rFonts w:ascii="Times New Roman" w:cs="Times New Roman" w:eastAsia="Times New Roman" w:hAnsi="Times New Roman"/>
          <w:sz w:val="17"/>
          <w:szCs w:val="17"/>
          <w:u w:val="single" w:color="auto"/>
          <w:color w:val="auto"/>
        </w:rPr>
        <w:t>XWEL@allianceadvisors.com</w:t>
      </w:r>
      <w:r>
        <w:rPr>
          <w:rFonts w:ascii="Times New Roman" w:cs="Times New Roman" w:eastAsia="Times New Roman" w:hAnsi="Times New Roman"/>
          <w:sz w:val="17"/>
          <w:szCs w:val="17"/>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Proposal 1 relates to the election of directors. Our Board currently consists of five members. Prior to each annual meeting of stockholders, the Board considers the recommendations of the Nominating and Corporate Governance Committee of the Board (the “Nominating and Corporate Governance Committee”) and votes to nominate individuals for election or re-election for a term of one year or until their successors are duly elected and qualified or until their earlier death, resignation, or removal. In accordance with the recommendation of the Nominating and Corporate Governance Committee, the Board nominated Scott R. Milford, Bruce T. Bernstein, Robert Weinstein, Michael Lebowitz and Gaëlle Wizenberg for election as directors at the Annual Meeting, each to serve until the 2025 Annual Meeting or until his or her respective successor is duly elected and qualified.</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Each of Scott R. Milford, Bruce T. Bernstein, Robert Weinstein, Michael Lebowitz and Gaëlle Wizenberg has consented to being named in a proxy statement relating to the Annual Meeting and to serve as a director if elected. Each of the nominees listed has expressed his or her willingness to serve. If any of the nominees become unable to accept nomination or election, the persons named in the proxy may vote for a substitute nominee selected by our Board. We have no present reason to believe that any nominee will be unable or unwilling to serve as a director.</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Additional information regarding each of Scott R. Milford, Bruce T. Bernstein, Robert Weinstein, Michael Lebowitz and Gaëlle Wizenberg is set forth below under “</w:t>
      </w:r>
      <w:r>
        <w:rPr>
          <w:rFonts w:ascii="Times New Roman" w:cs="Times New Roman" w:eastAsia="Times New Roman" w:hAnsi="Times New Roman"/>
          <w:sz w:val="17"/>
          <w:szCs w:val="17"/>
          <w:i w:val="1"/>
          <w:iCs w:val="1"/>
          <w:color w:val="auto"/>
        </w:rPr>
        <w:t>Management and Corporate Governance</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Board’s Recommendation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Directors shall be elected by a plurality of the voting power of the shares present in person or represented by proxy at the Annual Meeting and entitled to vote on the election of directors. That means that the five nominees for director who receive the most votes will be elected. Votes that are withheld and broker non-votes will have no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145655" cy="654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5655" cy="6540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0" w:right="100"/>
        <w:spacing w:after="0" w:line="280" w:lineRule="auto"/>
        <w:rPr>
          <w:sz w:val="20"/>
          <w:szCs w:val="20"/>
          <w:color w:val="auto"/>
        </w:rPr>
      </w:pPr>
      <w:r>
        <w:rPr>
          <w:rFonts w:ascii="Times New Roman" w:cs="Times New Roman" w:eastAsia="Times New Roman" w:hAnsi="Times New Roman"/>
          <w:sz w:val="17"/>
          <w:szCs w:val="17"/>
          <w:b w:val="1"/>
          <w:bCs w:val="1"/>
          <w:color w:val="auto"/>
        </w:rPr>
        <w:t>THE BOARD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THE ELECTION OF EACH OF SCOTT R. MILFORD, BRUCE T. BERNSTEIN, ROBERT WEINSTEIN, MICHAEL LEBOWITZ AND GAËLLE WIZENBERG AS DIRECTORS.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APPOINTMENT OF INDEPENDENT REGISTERED PUBLIC ACCOUNTING FIRM</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Audit Committee of the Board (the “Audit Committee”) recommends stockholders ratify Marcum as the Company’s independent registered public accounting firm for the fiscal year ending December 31, 2024.</w:t>
      </w:r>
    </w:p>
    <w:p>
      <w:pPr>
        <w:spacing w:after="0" w:line="1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Representatives of Marcum are expected to be available at the Annual Meeting. Such representatives will have an opportunity to make a statement if they desire to do so and will be available to respond to appropriate questions.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May 4, 2020, we approved the engagement of Friedman LLP (“Friedman”) as our independent registered public accounting firm for the fiscal year ended December 31, 2020. This selection was ratified by our stockholders at the 2020, 2021, 2022 and 2023 annual meetings of stockholders held on October 28, 2020, September 30, 2021, October 4, 2022 and August 22, 2023, respectively. In deciding to select Friedman, the Audit Committee carefully considered the qualifications of Friedman, including their reputation for integrity, quality, and competence in the fields of accounting and auditing. Effective September 1, 2022, Friedman combined with Marcum, and Marcum became our auditors as of October 4, 2022, following the approval of their engagement by our Audit Committee. Further, the Audit Committee reviewed auditor independence issues and existing commercial relationships with Marcum LLP. The Audit Committee concluded that independence of Marcum was not impaired for the fiscal years ended December 31, 2023, and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For the fiscal years ended December 31, 2023, and 2022, we incurred the following fees for the services of Marcum:</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7"/>
        </w:trPr>
        <w:tc>
          <w:tcPr>
            <w:tcW w:w="84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4"/>
                <w:szCs w:val="24"/>
                <w:color w:val="auto"/>
              </w:rPr>
            </w:pPr>
          </w:p>
        </w:tc>
      </w:tr>
      <w:tr>
        <w:trPr>
          <w:trHeight w:val="19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Marcum LLP:</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Audit fees(1)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567,070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410,025</w:t>
            </w:r>
          </w:p>
        </w:tc>
        <w:tc>
          <w:tcPr>
            <w:tcW w:w="100" w:type="dxa"/>
            <w:vAlign w:val="bottom"/>
          </w:tcPr>
          <w:p>
            <w:pPr>
              <w:spacing w:after="0"/>
              <w:rPr>
                <w:sz w:val="17"/>
                <w:szCs w:val="17"/>
                <w:color w:val="auto"/>
              </w:rPr>
            </w:pPr>
          </w:p>
        </w:tc>
      </w:tr>
      <w:tr>
        <w:trPr>
          <w:trHeight w:val="20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Audit-related fees(2)</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120,915</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80,242</w:t>
            </w:r>
          </w:p>
        </w:tc>
        <w:tc>
          <w:tcPr>
            <w:tcW w:w="100" w:type="dxa"/>
            <w:vAlign w:val="bottom"/>
            <w:shd w:val="clear" w:color="auto" w:fill="CCEEFF"/>
          </w:tcPr>
          <w:p>
            <w:pPr>
              <w:spacing w:after="0"/>
              <w:rPr>
                <w:sz w:val="17"/>
                <w:szCs w:val="17"/>
                <w:color w:val="auto"/>
              </w:rPr>
            </w:pP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Tax fees(3)</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other fees(4)</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27"/>
        </w:trPr>
        <w:tc>
          <w:tcPr>
            <w:tcW w:w="8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687,985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490,267</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340" w:hanging="339"/>
        <w:spacing w:after="0" w:line="257" w:lineRule="auto"/>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 w:lineRule="exact"/>
        <w:rPr>
          <w:rFonts w:ascii="Times New Roman" w:cs="Times New Roman" w:eastAsia="Times New Roman" w:hAnsi="Times New Roman"/>
          <w:sz w:val="17"/>
          <w:szCs w:val="17"/>
          <w:color w:val="auto"/>
        </w:rPr>
      </w:pPr>
    </w:p>
    <w:p>
      <w:pPr>
        <w:ind w:left="340" w:hanging="339"/>
        <w:spacing w:after="0"/>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includes fees for benefit plan audits and lease compliance audits.</w:t>
      </w:r>
    </w:p>
    <w:p>
      <w:pPr>
        <w:spacing w:after="0" w:line="6" w:lineRule="exact"/>
        <w:rPr>
          <w:rFonts w:ascii="Times New Roman" w:cs="Times New Roman" w:eastAsia="Times New Roman" w:hAnsi="Times New Roman"/>
          <w:sz w:val="17"/>
          <w:szCs w:val="17"/>
          <w:color w:val="auto"/>
        </w:rPr>
      </w:pPr>
    </w:p>
    <w:p>
      <w:pPr>
        <w:ind w:left="340" w:hanging="339"/>
        <w:spacing w:after="0"/>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consist of fees for tax services, including tax compliance, tax advice and tax planning.</w:t>
      </w:r>
    </w:p>
    <w:p>
      <w:pPr>
        <w:spacing w:after="0" w:line="6" w:lineRule="exact"/>
        <w:rPr>
          <w:rFonts w:ascii="Times New Roman" w:cs="Times New Roman" w:eastAsia="Times New Roman" w:hAnsi="Times New Roman"/>
          <w:sz w:val="17"/>
          <w:szCs w:val="17"/>
          <w:color w:val="auto"/>
        </w:rPr>
      </w:pPr>
    </w:p>
    <w:p>
      <w:pPr>
        <w:ind w:left="340" w:hanging="339"/>
        <w:spacing w:after="0"/>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fees in this category pertain to fees billed for products and services provided by Marcum LLP, other than the services reported in the categories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of Audit and Non-Audit Services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for the years ended December 31, 2023 and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Board’s Recommendation</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Audit Committee has appointed Marcum as our independent registered public accounting firm for the fiscal year ending December 31, 2024. The affirmative vote of a majority of the voting power of the shares present in person or represented by proxy at the Annual Meeting and entitled to vote on Proposal 2 is required to ratify the appointment of Marcum as our independent registered public accounting firm for the fiscal year ending December 31, 2024. Abstentions will be treated as votes “AGAINST” Proposal 2, and broker non-votes will have no effect on the outcome of Proposal 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7"/>
          <w:szCs w:val="17"/>
          <w:color w:val="auto"/>
        </w:rPr>
        <w:t>We are not required to obtain the approval of our stockholders to select our independent registered public accounting firm. However, if our stockholders do not ratify the selection of Marcum as our independent registered public accounting firm for the year ended December 31, 2024, our Audit Committee will reconsider its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145655" cy="654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5655" cy="6540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0" w:right="100"/>
        <w:spacing w:after="0" w:line="280" w:lineRule="auto"/>
        <w:rPr>
          <w:sz w:val="20"/>
          <w:szCs w:val="20"/>
          <w:color w:val="auto"/>
        </w:rPr>
      </w:pPr>
      <w:r>
        <w:rPr>
          <w:rFonts w:ascii="Times New Roman" w:cs="Times New Roman" w:eastAsia="Times New Roman" w:hAnsi="Times New Roman"/>
          <w:sz w:val="17"/>
          <w:szCs w:val="17"/>
          <w:b w:val="1"/>
          <w:bCs w:val="1"/>
          <w:color w:val="auto"/>
        </w:rPr>
        <w:t>THE BOARD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THE RATIFICATION OF THE APPOINTMENT OF MARCUM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ADVISORY VOTE ON APPROVAL OF EXECUTIVE COMPENSATION AS DISCLOSED IN THIS PROXY STATEMENT</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We are seeking your advisory vote as required by Section 14A of the Exchange Act, on the approval of the compensation of our named executive officers as disclosed pursuant to the compensation disclosure rules of the SEC in the compensation tables and the related material disclosed in this Proxy Statement. Because your vote is advisory, it will not be binding on the Compensation Committee of the Board (the “Compensation Committee”) or our Board. However, the Compensation Committee and the Board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2025 Annual Meeting.</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compensation program consists of these general elements:</w:t>
      </w:r>
    </w:p>
    <w:p>
      <w:pPr>
        <w:spacing w:after="0" w:line="208" w:lineRule="exact"/>
        <w:rPr>
          <w:sz w:val="20"/>
          <w:szCs w:val="20"/>
          <w:color w:val="auto"/>
        </w:rPr>
      </w:pPr>
    </w:p>
    <w:p>
      <w:pPr>
        <w:ind w:left="600" w:hanging="296"/>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portion of compensation, in the form of a base salary, to retain and provide a base level of compensation to our named executive officers; and</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long-term performance element in the form of equity, to incentivize our named executive officers to achieve superior corporate performance.</w:t>
      </w:r>
    </w:p>
    <w:p>
      <w:pPr>
        <w:spacing w:after="0" w:line="20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158" w:lineRule="exact"/>
        <w:rPr>
          <w:sz w:val="20"/>
          <w:szCs w:val="20"/>
          <w:color w:val="auto"/>
        </w:rPr>
      </w:pPr>
    </w:p>
    <w:p>
      <w:pPr>
        <w:ind w:left="600" w:hanging="296"/>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 and the contribution of each individual to our financial performance;</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performance, including past and expected contribution to our corporate goals and execution of our business plan and strategy; and</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long-term needs and operational goals, including attracting and retaining key management personnel.</w:t>
      </w:r>
    </w:p>
    <w:p>
      <w:pPr>
        <w:spacing w:after="0" w:line="20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In accordance with the rules of the SEC, the following resolution, commonly known as a “say-on-pay” vote, is being submitted for a stockholder vote at the Annual Meeting:</w:t>
      </w:r>
    </w:p>
    <w:p>
      <w:pPr>
        <w:spacing w:after="0" w:line="15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“RESOLVED, that the compensation paid to the named executive officers of XWELL, Inc., as disclosed pursuant to the compensation disclosure rules of the Securities and Exchange Commission in the compensation tables and the related material disclosed in the proxy statement for the meeting, is hereby APPROVED.”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Vote Required and Board’s Recommendation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affirmative vote of a majority of the voting power of the shares present in person or represented by proxy at the Annual Meeting and entitled to vote on Proposal 3 is required to approve, on a non-binding advisory basis, the compensation of our named executive officers, as described in this Proxy Statement. Abstentions will be treated as votes “AGAINST” Proposal 3, and broker non-votes will have no effect on the outcome of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145655" cy="541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5655" cy="541655"/>
                    </a:xfrm>
                    <a:prstGeom prst="rect">
                      <a:avLst/>
                    </a:prstGeom>
                    <a:noFill/>
                  </pic:spPr>
                </pic:pic>
              </a:graphicData>
            </a:graphic>
          </wp:anchor>
        </w:drawing>
      </w:r>
    </w:p>
    <w:p>
      <w:pPr>
        <w:spacing w:after="0" w:line="361" w:lineRule="exact"/>
        <w:rPr>
          <w:sz w:val="20"/>
          <w:szCs w:val="20"/>
          <w:color w:val="auto"/>
        </w:rPr>
      </w:pPr>
    </w:p>
    <w:p>
      <w:pPr>
        <w:ind w:left="100" w:right="120"/>
        <w:spacing w:after="0" w:line="280" w:lineRule="auto"/>
        <w:rPr>
          <w:sz w:val="20"/>
          <w:szCs w:val="20"/>
          <w:color w:val="auto"/>
        </w:rPr>
      </w:pPr>
      <w:r>
        <w:rPr>
          <w:rFonts w:ascii="Times New Roman" w:cs="Times New Roman" w:eastAsia="Times New Roman" w:hAnsi="Times New Roman"/>
          <w:sz w:val="17"/>
          <w:szCs w:val="17"/>
          <w:b w:val="1"/>
          <w:bCs w:val="1"/>
          <w:color w:val="auto"/>
        </w:rPr>
        <w:t>THE BOARD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THE APPROVAL, ON A NON-BINDING ADVISORY BASIS, OF THE COMPENSATION OF OUR NAMED EXECUTIVE OFFICERS.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MANAGEMENT AND CORPORATE GOVERNANCE</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Additionally, information about the specific experience, qualifications, attributes or skills that led to our Board’s conclusion that each person listed below should serve as a director is set forth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Age</w:t>
            </w:r>
          </w:p>
        </w:tc>
        <w:tc>
          <w:tcPr>
            <w:tcW w:w="7420" w:type="dxa"/>
            <w:vAlign w:val="bottom"/>
          </w:tcPr>
          <w:p>
            <w:pPr>
              <w:ind w:left="2660"/>
              <w:spacing w:after="0"/>
              <w:rPr>
                <w:sz w:val="20"/>
                <w:szCs w:val="20"/>
                <w:color w:val="auto"/>
              </w:rPr>
            </w:pPr>
            <w:r>
              <w:rPr>
                <w:rFonts w:ascii="Times New Roman" w:cs="Times New Roman" w:eastAsia="Times New Roman" w:hAnsi="Times New Roman"/>
                <w:sz w:val="17"/>
                <w:szCs w:val="17"/>
                <w:b w:val="1"/>
                <w:bCs w:val="1"/>
                <w:color w:val="auto"/>
              </w:rPr>
              <w:t>Position(s) with the Company</w:t>
            </w:r>
          </w:p>
        </w:tc>
      </w:tr>
      <w:tr>
        <w:trPr>
          <w:trHeight w:val="195"/>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Bruce T. Bernstein*(1)(2)(3)(4)</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Borders>
              <w:top w:val="single" w:sz="8" w:color="CCEEFF"/>
            </w:tcBorders>
            <w:shd w:val="clear" w:color="auto" w:fill="CCEEFF"/>
          </w:tcPr>
          <w:p>
            <w:pPr>
              <w:spacing w:after="0"/>
              <w:rPr>
                <w:sz w:val="16"/>
                <w:szCs w:val="16"/>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 of the Board</w:t>
            </w:r>
          </w:p>
        </w:tc>
      </w:tr>
      <w:tr>
        <w:trPr>
          <w:trHeight w:val="202"/>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Weinstein*(1)(2)(3)(4)</w:t>
            </w: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Lebowitz* (3)(4)</w:t>
            </w:r>
          </w:p>
        </w:tc>
        <w:tc>
          <w:tcPr>
            <w:tcW w:w="8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Gaëlle Wizenberg*(1)(2)(5)</w:t>
            </w: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R. Milford</w:t>
            </w:r>
          </w:p>
        </w:tc>
        <w:tc>
          <w:tcPr>
            <w:tcW w:w="8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r>
      <w:tr>
        <w:trPr>
          <w:trHeight w:val="202"/>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Suzanne A. Scrabis</w:t>
            </w: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86"/>
        </w:trPr>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Executive Vice President of XWELL, Chief Executive Officer of XpresTest, Inc. and President and Chief</w:t>
            </w:r>
          </w:p>
        </w:tc>
      </w:tr>
      <w:tr>
        <w:trPr>
          <w:trHeight w:val="218"/>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Ezra T. Ernst</w:t>
            </w:r>
          </w:p>
        </w:tc>
        <w:tc>
          <w:tcPr>
            <w:tcW w:w="8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Officer of HyperPointe</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Independent director under the rules of the Nasdaq Stock Market</w:t>
      </w:r>
    </w:p>
    <w:p>
      <w:pPr>
        <w:spacing w:after="0" w:line="208" w:lineRule="exact"/>
        <w:rPr>
          <w:sz w:val="20"/>
          <w:szCs w:val="20"/>
          <w:color w:val="auto"/>
        </w:rPr>
      </w:pPr>
    </w:p>
    <w:p>
      <w:pPr>
        <w:ind w:left="600" w:hanging="599"/>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member of Compensation Committee</w:t>
      </w:r>
    </w:p>
    <w:p>
      <w:pPr>
        <w:spacing w:after="0" w:line="22"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member of Audit Committee</w:t>
      </w:r>
    </w:p>
    <w:p>
      <w:pPr>
        <w:spacing w:after="0" w:line="6"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member of Nominating and Corporate Governance Committee</w:t>
      </w:r>
    </w:p>
    <w:p>
      <w:pPr>
        <w:spacing w:after="0" w:line="6"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member of Strategic Affairs Committee</w:t>
      </w:r>
    </w:p>
    <w:p>
      <w:pPr>
        <w:spacing w:after="0" w:line="6"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15, 2023, the Board appointed Gaëlle Wizenberg to be a member of the Board, effective as of January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Feedback</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Board considers and values the feedback of its stockholders. Over the last year, stockholders provided feedback regarding Board composition, including overall Board diversity across a range of skills and experience. This feedback was also reflected in the support levels for several directors on the Nominating and Corporate Governance Committee. In response, the Board appointed Gaëlle Wizenberg to the Board to bring her breadth of expertise to the oversight of the Company. In conjunction with this addition, the Board sought to balance director refreshment with stability and the retention of institutional knowledge, given the implementation of several strategic initiatives currently underway.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Board currently consists of five members: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Bruce T. Bernstein </w:t>
      </w:r>
      <w:r>
        <w:rPr>
          <w:rFonts w:ascii="Times New Roman" w:cs="Times New Roman" w:eastAsia="Times New Roman" w:hAnsi="Times New Roman"/>
          <w:sz w:val="17"/>
          <w:szCs w:val="17"/>
          <w:color w:val="auto"/>
        </w:rPr>
        <w:t>joined our Board in February 2016 and has served as the Chairman of our Board since February 2018. Mr. Bernstein has over thirty years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in the securities industry, primarily as senior portfolio manager for two alternative finance funds, as well as in trading and structuring of arbitrage strategies. Since 2006, Mr. Bernstein has served as President of Rockmore Capital, LLC, the manager of a direct investment and lending fund with peak assets under management of $140 million. Previously, he served as Co-President of Omicron Capital, LP (“Omicron Capital”), an investment firm based in New York, from August 2001 to March 2006. Omicron Capital focused on direct investing and lending to public small cap companies and had peak assets under management of $260 million. Prior to joining Omicron Capital, Mr. Bernstein served as Senior Vice President in the bank’s Global Securities Arbitrage business unit of Fortis Investments, Inc., specializing in equity structured products and equity arbitrage and then President in charge of the bank’s proprietary investment business in the United States. Prior to Fortis Investments,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Since April 2023, Mr. Bernstein has served on the Board of Directors of Wrap Technologies, Inc., a provider of advanced public safety solutions. Since December 2020, Mr. Bernstein has served on the Board of Directors of Petros Pharmaceuticals, Inc., a pharmaceutical company, which is the surviving company from the merger of Metuchen Pharmaceuticals LLC and Neurotrope, Inc. Mr. Bernstein has also served as a member of the Board of Directors of Synaptogenix, Inc. (formerly Neurotrope Bioscience, Inc.), a publicly traded biotechnology company, since November 2016. From February 2016 to November 2023, Mr. Bernstein served as a member of the board of Summit Digital Health, a laser-based blood glucose monitor distributor, based in New Jersey. Mr. Bernstein holds a B.B.A. from City University of New York (Baruch).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t>We believe Mr. Bernstein’s extensive experience in the securities industry qualifies him to serve as the Chairman of our Board.</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Robert Weinstein </w:t>
      </w:r>
      <w:r>
        <w:rPr>
          <w:rFonts w:ascii="Times New Roman" w:cs="Times New Roman" w:eastAsia="Times New Roman" w:hAnsi="Times New Roman"/>
          <w:sz w:val="17"/>
          <w:szCs w:val="17"/>
          <w:color w:val="auto"/>
        </w:rPr>
        <w:t>joined our Board in February 2020. Mr. Weinstein has extensive accounting and finance experience, spanning more than thirty years, as a public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accountant, investment banker, healthcare private equity fund principal and chief financial officer. Since October 2013, Mr. Weinstein has been the Chief Financial Officer of Synaptogenix, Inc. (formerly Neurotrope Bioscience, Inc.), a publicly traded biotechnology company. Since October 2011, Mr. Weinstein has served as the Executive Vice President, Treasurer and Secretary of Synaptogenix, Inc. Since December 2020, Mr. Weinstein has performed work as a consultant for Petros Pharmaceuticals, Inc. From September 2011 to September 2013, Mr. Weinstein was an independent consultant for several healthcare companies in the pharmaceutical and biotechnology industries. Since May 2023, Mr. Weinstein has served on the Board of Directors of Oblong, Inc., a company providing multi-stream collaboration technologies and managed services for video collaboration and network applications. Since November 2022, Mr. Weinstein has served on the Board of Directors of PharmaCyte Biotech, Inc., a biotechnology company focusing on developing and commercializing cellular therapies for cancer, diabetes, and malignant ascites.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believe Mr. Weinstein’s extensive financial expertise and healthcare experience qualifies him to serve on our Board and as a member and the Chairperson of the Audit Committee.</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Lebowitz </w:t>
      </w:r>
      <w:r>
        <w:rPr>
          <w:rFonts w:ascii="Times New Roman" w:cs="Times New Roman" w:eastAsia="Times New Roman" w:hAnsi="Times New Roman"/>
          <w:sz w:val="17"/>
          <w:szCs w:val="17"/>
          <w:color w:val="auto"/>
        </w:rPr>
        <w:t>joined our Board in April 2020. An expert in customer experience strategy and innovation, Mr. Lebowitz has a twenty-five-year track record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defining creative strategy and vision for some of the world’s most recognizable brands. Mr. Lebowitz founded Big Spaceship, a globally recognized creative consultancy, in March 2000 and served as its Chief Executive Officer until August 2022 when he became Executive Chair. In February 2024, Big Spaceship rebranded as SPCSHP. Mr. Lebowitz received his bachelor’s degree in Film from Vassar College.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Mr. Lebowitz’s extensive experience in the area of creative brand strategy qualifies him to serve on our Board.</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Gaëlle Wizenberg </w:t>
      </w:r>
      <w:r>
        <w:rPr>
          <w:rFonts w:ascii="Times New Roman" w:cs="Times New Roman" w:eastAsia="Times New Roman" w:hAnsi="Times New Roman"/>
          <w:sz w:val="17"/>
          <w:szCs w:val="17"/>
          <w:color w:val="auto"/>
        </w:rPr>
        <w:t>joined our Board in January 2024. An expert in branding, manufacturing, global distribution of consumer goods and serial entrepreneur,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Ms. Wizenberg founded Objects of Magic LLC, a wellness brand offering a full line of products, team building and wellness retreats, in August 2022, and she has served as Chief Executive Officer since the founding of the company. Prior to this, she founded Charlie Banana Consulting, LLC, a consulting firm, in July 2019 and served as Director and Chief Executive Officer from July 2019 to March 2024. Additionally, she founded Charlie Banana USA, LLC, a USA based ecommerce of global brand baby products in 2013 and served as Chief Executive Officer until 2020 when it was acquired by Proctor &amp; Gamble. After Proctor &amp; Gamble, a multinational consumer goods corporation, acquired all her companies, Ms. Wizenberg began consulting for Procter &amp; Gamble from January 2020 to June 2023. Before that, Ms. Wizenberg founded Winc Design Limited, a Hong Kong company, makers of eco friendly products and a global cloth diaper manufacturer, in 2007 and served as CEO until 2020.</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believe Ms. Wizenberg’s global entrepreneurial experience in brand building, consumer goods and wellness as well as her critical and creative thinking qualifies her to serve on our Board. Further, the depth of Ms. Wizenberg’s operating background as well as her extensive experience launching successful consumer and wellness brands qualify her to serve on our Board.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6" w:name="page27"/>
    <w:bookmarkEnd w:id="26"/>
    <w:p>
      <w:pPr>
        <w:jc w:val="both"/>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Scott R. Milford </w:t>
      </w:r>
      <w:r>
        <w:rPr>
          <w:rFonts w:ascii="Times New Roman" w:cs="Times New Roman" w:eastAsia="Times New Roman" w:hAnsi="Times New Roman"/>
          <w:sz w:val="17"/>
          <w:szCs w:val="17"/>
          <w:color w:val="auto"/>
        </w:rPr>
        <w:t>joined the Company in July 2019 and has served as our President and Chief Executive Officer and as a member of our Board since January 19,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Prior to January 2022, Mr. Milford served as our Chief Operating Officer since December 2020. Prior to that, he served as our first Chief People Officer since July 2019. Mr. Milford has over 30 years of experience at high profile and diverse organizations. Prior to joining XWELL, he served as VP, People Operations at SoulCycle Inc., a fitness company, from February 2019 to July 2019, where he led the creation and deployment of that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 Prior to that, he served as Chief People Officer for Bayada Home Health Care, a $1 billion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 includes senior leadership positions at Town Sports International, Starbucks Coffee Company, Universal Music Group, Viacom and Blockbuster Entertainment.</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believe Mr. Milford’s extensive experience in the retail industry and his knowledge of the Company’s business due to his status as an executive officer of the Company qualifies him to serve on our Board.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executive officers are appointed by, and serve at the discretion of, our Board.</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Suzanne A. Scrabis </w:t>
      </w:r>
      <w:r>
        <w:rPr>
          <w:rFonts w:ascii="Times New Roman" w:cs="Times New Roman" w:eastAsia="Times New Roman" w:hAnsi="Times New Roman"/>
          <w:sz w:val="17"/>
          <w:szCs w:val="17"/>
          <w:color w:val="auto"/>
        </w:rPr>
        <w:t>has served as Chief Financial Officer of the Company since July 2023. From January 2020 to July 2023, Ms. Scrabis served as the Program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Manager, Technology Platforms for Rockwell Automation, Inc., an industrial automation and digital transformation company (“Rockwell Automation”), after serving as Chief Financial Officer for MAVERICK Technologies Holdings, LLC, a privately held independent systems integrator based in Columbia, Illinois (“MAVERICK”), from 2006 to December 2019. As Chief Financial Officer, she helped lead the acquisition of MAVERICK by Rockwell Automation in 2016. Before that, she served as the Director of Operations at MAVERICK from 2003 to 2006. Ms. Scrabis also served from 2001 to 2003 as the Director of Logistics for Aurora Foods, a packaged foods manufacturing company, that was subsequently acquired by Pinnacle Foods in 2004. Prior to that she served at Ernst &amp; Young as a senior asset manager for the Pacific and New York Metro regions from 1996 to 2001. Ms. Scrabis holds a Bachelor of Science in Operations Management and Marketing from California State University Long Beach.</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Ezra T. Ernst </w:t>
      </w:r>
      <w:r>
        <w:rPr>
          <w:rFonts w:ascii="Times New Roman" w:cs="Times New Roman" w:eastAsia="Times New Roman" w:hAnsi="Times New Roman"/>
          <w:sz w:val="17"/>
          <w:szCs w:val="17"/>
          <w:color w:val="auto"/>
        </w:rPr>
        <w:t>has served as Executive Vice President of the Company and Chief Executive Officer of our subsidiary XpresTest, Inc. since our January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acquisition of GCG Connect 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Health Corp., an online publisher of health and medical news and information, from December 2008 to January 2013.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 and Committee Qualifications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Board has reviewed the materiality of any relationship that each of our directors has with us, either directly or indirectly. Based upon this review, we believe that Messrs. Bernstein, Weinstein, and Lebowitz and Ms. Wizenberg qualify as independent directors in accordance with the standards set by Nasdaq, as well as Rule 10A-3 promulgated under the Exchange Act. Accordingly, our Board is comprised of a majority of independent directors as required by Nasdaq rules.</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Our Board has also determined that each member of the Audit Committee, the Compensation Committee and the Nominating and Corporate Governance Committee meets the independence requirements applicable to each such committee member prescribed by Nasdaq and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Board has further determined that Messrs. Bernstein and Weinstein are “audit committee financial experts” as defined pursuant to the rules of the SEC.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Committees of the Board and Meetings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Meeting Attendance. </w:t>
      </w:r>
      <w:r>
        <w:rPr>
          <w:rFonts w:ascii="Times New Roman" w:cs="Times New Roman" w:eastAsia="Times New Roman" w:hAnsi="Times New Roman"/>
          <w:sz w:val="17"/>
          <w:szCs w:val="17"/>
          <w:color w:val="auto"/>
        </w:rPr>
        <w:t>During the fiscal year ended December 31, 2023, there were three meetings of our Board, as well as thirteen unanimous written consents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The various committees of the Board met a total of eleven times, collectively, as further described below. Each director attended more than 75% of the aggregate of the total number of meetings of the Board and each director serving on a committee attended more than 75% of the total number of meetings held by an applicable committee(s) of the Board on which such director served during the year ended December 31, 2023. The Board has adopted a policy under which each member of the Board is strongly encouraged, but not required, to attend each annual meeting of our stockholders. All five of our 2023 directors attended our 2023 annual meeting of stockholders.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Audit Committee. </w:t>
      </w:r>
      <w:r>
        <w:rPr>
          <w:rFonts w:ascii="Times New Roman" w:cs="Times New Roman" w:eastAsia="Times New Roman" w:hAnsi="Times New Roman"/>
          <w:sz w:val="17"/>
          <w:szCs w:val="17"/>
          <w:color w:val="auto"/>
        </w:rPr>
        <w:t>Our Audit Committee met four times during the year ended December 31, 2023. The Audit Committee currently has three members: Robert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Weinstein (Chairman), Bruce T. Bernstein and Gaëlle Wizenberg. Effective as of January 1, 2024, Donald E. Stout ceased to be a member of the Board and all committees thereto, including the Audit Committee. As of January 30, 2024, Gaëlle Wizenberg was appointed a member of the Audit Committee.</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The Board determined that all members of the Audit Committee qualify as independent under the listing standards promulgated by the SEC and Nasdaq, as such standards apply specifically to members of audit committees. The Board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Times New Roman" w:cs="Times New Roman" w:eastAsia="Times New Roman" w:hAnsi="Times New Roman"/>
          <w:sz w:val="17"/>
          <w:szCs w:val="17"/>
          <w:i w:val="1"/>
          <w:iCs w:val="1"/>
          <w:color w:val="auto"/>
        </w:rPr>
        <w:t>www.xwell.com/corporate-governance</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u w:val="single" w:color="auto"/>
          <w:color w:val="auto"/>
        </w:rPr>
        <w:t>Material Weakness Remediation</w:t>
      </w:r>
      <w:r>
        <w:rPr>
          <w:rFonts w:ascii="Times New Roman" w:cs="Times New Roman" w:eastAsia="Times New Roman" w:hAnsi="Times New Roman"/>
          <w:sz w:val="17"/>
          <w:szCs w:val="17"/>
          <w:color w:val="auto"/>
        </w:rPr>
        <w:t>. As reported in our 2023 Annual Report, the Company had previously identified certain material weaknesses in our internal controls over financial reporting. Management is committed to the remediation of the material weaknesses, as well as the continued improvement of the Company’s internal control over financial reporting. Management has implemented, and continues to implement, the following actions and will continue to assess additional opportunities for remediation on an ongoing basis:</w:t>
      </w:r>
    </w:p>
    <w:p>
      <w:pPr>
        <w:spacing w:after="0" w:line="172" w:lineRule="exact"/>
        <w:rPr>
          <w:sz w:val="20"/>
          <w:szCs w:val="20"/>
          <w:color w:val="auto"/>
        </w:rPr>
      </w:pPr>
    </w:p>
    <w:p>
      <w:pPr>
        <w:ind w:left="600" w:hanging="296"/>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turned on the multi-currency features related to its cloud-based accounting systems.</w:t>
      </w:r>
    </w:p>
    <w:p>
      <w:pPr>
        <w:spacing w:after="0" w:line="22" w:lineRule="exact"/>
        <w:rPr>
          <w:rFonts w:ascii="Times New Roman" w:cs="Times New Roman" w:eastAsia="Times New Roman" w:hAnsi="Times New Roman"/>
          <w:sz w:val="17"/>
          <w:szCs w:val="17"/>
          <w:color w:val="auto"/>
        </w:rPr>
      </w:pPr>
    </w:p>
    <w:p>
      <w:pPr>
        <w:ind w:left="600" w:hanging="296"/>
        <w:spacing w:after="0" w:line="247" w:lineRule="auto"/>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engaged outside service providers to assist with the valuation, accounting and recording of key reporting areas such as leases, revenue recognition and stock compensation expense.</w:t>
      </w:r>
    </w:p>
    <w:p>
      <w:pPr>
        <w:spacing w:after="0" w:line="1"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contracted an independent consulting firm to assist with the preparation of the Financial Statements and U.S. GAAP accounting research.</w:t>
      </w:r>
    </w:p>
    <w:p>
      <w:pPr>
        <w:spacing w:after="0" w:line="6" w:lineRule="exact"/>
        <w:rPr>
          <w:rFonts w:ascii="Times New Roman" w:cs="Times New Roman" w:eastAsia="Times New Roman" w:hAnsi="Times New Roman"/>
          <w:sz w:val="17"/>
          <w:szCs w:val="17"/>
          <w:color w:val="auto"/>
        </w:rPr>
      </w:pPr>
    </w:p>
    <w:p>
      <w:pPr>
        <w:ind w:left="600" w:hanging="296"/>
        <w:spacing w:after="0" w:line="255" w:lineRule="auto"/>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Compensation Committee. </w:t>
      </w:r>
      <w:r>
        <w:rPr>
          <w:rFonts w:ascii="Times New Roman" w:cs="Times New Roman" w:eastAsia="Times New Roman" w:hAnsi="Times New Roman"/>
          <w:sz w:val="17"/>
          <w:szCs w:val="17"/>
          <w:color w:val="auto"/>
        </w:rPr>
        <w:t>Our Compensation Committee met one time during the year ended December 31, 2023. The Compensation Committee currently has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members: Bruce T. Bernstein (Chairman), Robert Weinstein and Gaëlle Wizenberg. Effective as of January 1, 2024, Donald E. Stout ceased to be a member of the Board and all committees thereof, including the Compensation Committee. As of January 30, 2024, Gaëlle Wizenberg was appointed a member of the Compensation Committee.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Compensation Committee’s role and responsibilities are set forth in the Compensation Committee’s written charter and include:</w:t>
      </w:r>
    </w:p>
    <w:p>
      <w:pPr>
        <w:spacing w:after="0" w:line="208" w:lineRule="exact"/>
        <w:rPr>
          <w:sz w:val="20"/>
          <w:szCs w:val="20"/>
          <w:color w:val="auto"/>
        </w:rPr>
      </w:pPr>
    </w:p>
    <w:p>
      <w:pPr>
        <w:ind w:left="600" w:hanging="296"/>
        <w:spacing w:after="0" w:line="257"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approving and making recommendations regarding our compensation policies, practices and procedures to ensure that legal and fiduciary responsibilities of the Board are carried out and that such policies, practices and procedures contribute to our success;</w:t>
      </w:r>
    </w:p>
    <w:p>
      <w:pPr>
        <w:spacing w:after="0" w:line="1"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our 2012 Employee, Director and Consultant Equity Incentive Plan (the “2012 Plan”) and our 2020 Equity Incentive Plan (the “2020 Plan”);</w:t>
      </w:r>
    </w:p>
    <w:p>
      <w:pPr>
        <w:spacing w:after="0" w:line="6" w:lineRule="exact"/>
        <w:rPr>
          <w:rFonts w:ascii="Times New Roman" w:cs="Times New Roman" w:eastAsia="Times New Roman" w:hAnsi="Times New Roman"/>
          <w:sz w:val="17"/>
          <w:szCs w:val="17"/>
          <w:color w:val="auto"/>
        </w:rPr>
      </w:pPr>
    </w:p>
    <w:p>
      <w:pPr>
        <w:ind w:left="600" w:hanging="296"/>
        <w:spacing w:after="0" w:line="247"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the compensation of our Chief Executive Officer, and conducts its decision-making process with respect to that issue without the Chief Executive Officer present;</w:t>
      </w:r>
    </w:p>
    <w:p>
      <w:pPr>
        <w:spacing w:after="0" w:line="1" w:lineRule="exact"/>
        <w:rPr>
          <w:rFonts w:ascii="Times New Roman" w:cs="Times New Roman" w:eastAsia="Times New Roman" w:hAnsi="Times New Roman"/>
          <w:sz w:val="17"/>
          <w:szCs w:val="17"/>
          <w:color w:val="auto"/>
        </w:rPr>
      </w:pPr>
    </w:p>
    <w:p>
      <w:pPr>
        <w:ind w:left="600" w:hanging="296"/>
        <w:spacing w:after="0" w:line="247"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the compensation of the executive officers of the Company other than the Chief Executive Officer, based upon the recommendation of the Chief Executive Officer and such other customary factors that the Compensation Committee deems necessary or appropriate; and</w:t>
      </w:r>
    </w:p>
    <w:p>
      <w:pPr>
        <w:spacing w:after="0" w:line="1" w:lineRule="exact"/>
        <w:rPr>
          <w:rFonts w:ascii="Times New Roman" w:cs="Times New Roman" w:eastAsia="Times New Roman" w:hAnsi="Times New Roman"/>
          <w:sz w:val="17"/>
          <w:szCs w:val="17"/>
          <w:color w:val="auto"/>
        </w:rPr>
      </w:pPr>
    </w:p>
    <w:p>
      <w:pPr>
        <w:ind w:left="600" w:hanging="296"/>
        <w:spacing w:after="0" w:line="255"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and review of general compensation policies with the objective of attracting and retaining superior talent, rewarding individual performance and achieving our financial goals.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Compensation Committee has the authority to directly retain the services of independent consultants and other experts to assist in fulfilling its responsibilities. During fiscal year 2023, the Compensation Committee did engage a third-party compensation consultant, StreeterWyatt Analytics, to review the Board’s compensation structure as well as benchmark it against the Company’s peer group.</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8" w:name="page29"/>
    <w:bookmarkEnd w:id="28"/>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The Board determined all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 w:cs="Times New Roman" w:eastAsia="Times New Roman" w:hAnsi="Times New Roman"/>
          <w:sz w:val="17"/>
          <w:szCs w:val="17"/>
          <w:i w:val="1"/>
          <w:iCs w:val="1"/>
          <w:color w:val="auto"/>
        </w:rPr>
        <w:t>www.xwell.com/corporate-governance</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Nominating and Corporate Governance Committee. </w:t>
      </w:r>
      <w:r>
        <w:rPr>
          <w:rFonts w:ascii="Times New Roman" w:cs="Times New Roman" w:eastAsia="Times New Roman" w:hAnsi="Times New Roman"/>
          <w:sz w:val="17"/>
          <w:szCs w:val="17"/>
          <w:color w:val="auto"/>
        </w:rPr>
        <w:t>The Nominating and Corporate Governance Committee met one time during the year ended December 31, 2023.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Nominating and Corporate Governance Committee currently has three members: Robert Weinstein (Chairman), Bruce T. Bernstein and Michael Lebowitz. Effective as of January 1, 2024, Donald E. Stout ceased to be a member of the Board and all committees thereof, including the Nominating and Corporate Governance Committee. As of January 30, 2024, Michael Lebowitz was appointed a member of the Nominating and Corporate Governance Committee.</w:t>
      </w:r>
    </w:p>
    <w:p>
      <w:pPr>
        <w:spacing w:after="0" w:line="1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Nominating and Corporate Governance Committee’s role and responsibilities are set forth in the Nominating and Corporate Governance Committee’s written charter and include, among other things, the authority to:</w:t>
      </w:r>
    </w:p>
    <w:p>
      <w:pPr>
        <w:spacing w:after="0" w:line="158" w:lineRule="exact"/>
        <w:rPr>
          <w:sz w:val="20"/>
          <w:szCs w:val="20"/>
          <w:color w:val="auto"/>
        </w:rPr>
      </w:pPr>
    </w:p>
    <w:p>
      <w:pPr>
        <w:ind w:left="600" w:hanging="296"/>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nominate members of the Board;</w:t>
      </w:r>
    </w:p>
    <w:p>
      <w:pPr>
        <w:spacing w:after="0" w:line="22"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the evaluation of the Board and management;</w:t>
      </w:r>
    </w:p>
    <w:p>
      <w:pPr>
        <w:spacing w:after="0" w:line="6"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recommend corporate governance guidelines to the Board;</w:t>
      </w:r>
    </w:p>
    <w:p>
      <w:pPr>
        <w:spacing w:after="0" w:line="6"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the performance of the members of the Board; and</w:t>
      </w:r>
    </w:p>
    <w:p>
      <w:pPr>
        <w:spacing w:after="0" w:line="6"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recommendations to the Board as to the structure, composition and functioning of the Board and its committees.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Nominating and Corporate Governance Committee and Board may therefore consider a broad range of factors relating to the qualifications and background of nominees, which may include diversity, which is not only limited to race, gender or national origin. Our Nominating and Corporate Governance Committee’s and Board’s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and concern for the long-term interests of the stockholders. In general, persons recommended by stockholders will be considered on the same basis as candidates from other sources. Stockholders may recommend director candidates to the Nominating and Corporate Governance Committee by delivering a written recommendation to: XWELL, Inc., 254 West 31st Street, 11th Floor, New York, New York 10001, Attention: Corporate Secretary. The Corporate Secretary will forward such recommendations to the Nominating and Corporate Governance Committee. Stockholders may also nominate persons directly for election as directors in accordance with the procedures set forth in Section 1.2 of our Bylaws. A notice of any such nomination must contain all required information and must be delivered to, or mailed and received by, the Corporate Secretary not less than 60 days or more than 90 days prior to the anniversary date of the immediately preceding annual meeting; provided, however, that in the event that the annual meeting is called for a date that is not within 30 days before or after such anniversary date, such notice must be received not later than the close of business on the later of (i) the 60th day prior to such annual meeting or (ii) the 10th day following the day on which public announcement of the date of such meeting is first made.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Board determined that all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 w:cs="Times New Roman" w:eastAsia="Times New Roman" w:hAnsi="Times New Roman"/>
          <w:sz w:val="17"/>
          <w:szCs w:val="17"/>
          <w:i w:val="1"/>
          <w:iCs w:val="1"/>
          <w:color w:val="auto"/>
        </w:rPr>
        <w:t>www.xwell.com/corporate-governance.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Strategic Affairs Committee. </w:t>
      </w:r>
      <w:r>
        <w:rPr>
          <w:rFonts w:ascii="Times New Roman" w:cs="Times New Roman" w:eastAsia="Times New Roman" w:hAnsi="Times New Roman"/>
          <w:sz w:val="17"/>
          <w:szCs w:val="17"/>
          <w:color w:val="auto"/>
        </w:rPr>
        <w:t>The Strategic Affairs Committee of the Board (the “Strategic Affairs Committee”) met four times during the year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2023. This Strategic Affairs Committee was formed in September 2021 to assist the Board in reviewing, analyzing, considering and assessing, potential acquisitions, joint ventures, strategic investments, divestitures and other strategic transactions. The Strategic Affairs Committee currently has three members: Bruce T. Bernstein (Chairman), Robert Weinstein and Michael Lebowitz.</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Strategic Affairs Committee’s responsibilities include, among others:</w:t>
      </w:r>
    </w:p>
    <w:p>
      <w:pPr>
        <w:spacing w:after="0" w:line="208" w:lineRule="exact"/>
        <w:rPr>
          <w:sz w:val="20"/>
          <w:szCs w:val="20"/>
          <w:color w:val="auto"/>
        </w:rPr>
      </w:pPr>
    </w:p>
    <w:p>
      <w:pPr>
        <w:ind w:left="600" w:hanging="296"/>
        <w:spacing w:after="0" w:line="257"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management with the identification of potential acquisition, joint venture, strategic investment, divestiture and other strategic transaction opportunities and review transaction candidates with management, when and as appropriate;</w:t>
      </w:r>
    </w:p>
    <w:p>
      <w:pPr>
        <w:spacing w:after="0" w:line="1"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strategic transactions received by the Company or proposed by management; and</w:t>
      </w:r>
    </w:p>
    <w:p>
      <w:pPr>
        <w:spacing w:after="0" w:line="6" w:lineRule="exact"/>
        <w:rPr>
          <w:rFonts w:ascii="Times New Roman" w:cs="Times New Roman" w:eastAsia="Times New Roman" w:hAnsi="Times New Roman"/>
          <w:sz w:val="17"/>
          <w:szCs w:val="17"/>
          <w:color w:val="auto"/>
        </w:rPr>
      </w:pPr>
    </w:p>
    <w:p>
      <w:pPr>
        <w:ind w:left="600" w:hanging="296"/>
        <w:spacing w:after="0" w:line="255"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 and Role in Risk Oversight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as of February 5, 2018, the Board appointed Bruce T. Bernstein as the non-executive Chairman of the Board.</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To our knowledge, except as otherwise disclosed in this Proxy Statement, there is no event that occurred during the past ten years with respect to any of our directors or executive officers that is required to be disclosed under Item 401(f) of Regulation S-K.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Arrangements Between Directors and Executive Officers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our knowledge, there is no arrangement or understanding between any of our directors and any other person pursuant to which he or she was or is to be selected as a director or nominee. To our knowledge, there is no arrangement or understanding between any of our executive officers and any other person pursuant to which the officer was or is to be selected to serve as an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There are no family relationships among our directors and executive officers or any person nominated or chosen by the Company to become a director or executive officer.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Diversity Matrix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Nasdaq diversity matrix is set forth below as required under the listing requirements of Nasdaq.</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640" w:type="dxa"/>
            <w:vAlign w:val="bottom"/>
            <w:tcBorders>
              <w:top w:val="single" w:sz="8" w:color="auto"/>
              <w:left w:val="single" w:sz="8" w:color="auto"/>
              <w:bottom w:val="single" w:sz="8" w:color="auto"/>
            </w:tcBorders>
          </w:tcPr>
          <w:p>
            <w:pPr>
              <w:spacing w:after="0"/>
              <w:rPr>
                <w:sz w:val="19"/>
                <w:szCs w:val="19"/>
                <w:color w:val="auto"/>
              </w:rPr>
            </w:pPr>
          </w:p>
        </w:tc>
        <w:tc>
          <w:tcPr>
            <w:tcW w:w="4740" w:type="dxa"/>
            <w:vAlign w:val="bottom"/>
            <w:tcBorders>
              <w:top w:val="single" w:sz="8" w:color="auto"/>
              <w:bottom w:val="single" w:sz="8" w:color="auto"/>
            </w:tcBorders>
            <w:gridSpan w:val="3"/>
          </w:tcPr>
          <w:p>
            <w:pPr>
              <w:ind w:left="540"/>
              <w:spacing w:after="0"/>
              <w:rPr>
                <w:sz w:val="20"/>
                <w:szCs w:val="20"/>
                <w:color w:val="auto"/>
              </w:rPr>
            </w:pPr>
            <w:r>
              <w:rPr>
                <w:rFonts w:ascii="Times New Roman" w:cs="Times New Roman" w:eastAsia="Times New Roman" w:hAnsi="Times New Roman"/>
                <w:sz w:val="17"/>
                <w:szCs w:val="17"/>
                <w:b w:val="1"/>
                <w:bCs w:val="1"/>
                <w:color w:val="auto"/>
              </w:rPr>
              <w:t>Board Diversity Matrix (As of [●], 2024)</w:t>
            </w:r>
          </w:p>
        </w:tc>
        <w:tc>
          <w:tcPr>
            <w:tcW w:w="28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Number of Directors - 5</w:t>
            </w:r>
          </w:p>
        </w:tc>
        <w:tc>
          <w:tcPr>
            <w:tcW w:w="2400" w:type="dxa"/>
            <w:vAlign w:val="bottom"/>
            <w:vMerge w:val="restart"/>
          </w:tcPr>
          <w:p>
            <w:pPr>
              <w:jc w:val="center"/>
              <w:ind w:left="1436"/>
              <w:spacing w:after="0"/>
              <w:rPr>
                <w:sz w:val="20"/>
                <w:szCs w:val="20"/>
                <w:color w:val="auto"/>
              </w:rPr>
            </w:pPr>
            <w:r>
              <w:rPr>
                <w:rFonts w:ascii="Times New Roman" w:cs="Times New Roman" w:eastAsia="Times New Roman" w:hAnsi="Times New Roman"/>
                <w:sz w:val="17"/>
                <w:szCs w:val="17"/>
                <w:b w:val="1"/>
                <w:bCs w:val="1"/>
                <w:color w:val="auto"/>
                <w:w w:val="98"/>
              </w:rPr>
              <w:t>Female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Male</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Non-Binary</w:t>
            </w:r>
          </w:p>
        </w:tc>
        <w:tc>
          <w:tcPr>
            <w:tcW w:w="288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7"/>
                <w:szCs w:val="17"/>
                <w:b w:val="1"/>
                <w:bCs w:val="1"/>
                <w:color w:val="auto"/>
              </w:rPr>
              <w:t>Did Not Disclose Gender</w:t>
            </w:r>
          </w:p>
        </w:tc>
        <w:tc>
          <w:tcPr>
            <w:tcW w:w="0" w:type="dxa"/>
            <w:vAlign w:val="bottom"/>
          </w:tcPr>
          <w:p>
            <w:pPr>
              <w:spacing w:after="0"/>
              <w:rPr>
                <w:sz w:val="1"/>
                <w:szCs w:val="1"/>
                <w:color w:val="auto"/>
              </w:rPr>
            </w:pPr>
          </w:p>
        </w:tc>
      </w:tr>
      <w:tr>
        <w:trPr>
          <w:trHeight w:val="186"/>
        </w:trPr>
        <w:tc>
          <w:tcPr>
            <w:tcW w:w="3640" w:type="dxa"/>
            <w:vAlign w:val="bottom"/>
            <w:tcBorders>
              <w:left w:val="single" w:sz="8" w:color="auto"/>
            </w:tcBorders>
          </w:tcPr>
          <w:p>
            <w:pPr>
              <w:spacing w:after="0"/>
              <w:rPr>
                <w:sz w:val="16"/>
                <w:szCs w:val="16"/>
                <w:color w:val="auto"/>
              </w:rPr>
            </w:pPr>
          </w:p>
        </w:tc>
        <w:tc>
          <w:tcPr>
            <w:tcW w:w="24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28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 Gender Identity</w:t>
            </w:r>
          </w:p>
        </w:tc>
        <w:tc>
          <w:tcPr>
            <w:tcW w:w="2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Directors</w:t>
            </w:r>
          </w:p>
        </w:tc>
        <w:tc>
          <w:tcPr>
            <w:tcW w:w="2400" w:type="dxa"/>
            <w:vAlign w:val="bottom"/>
          </w:tcPr>
          <w:p>
            <w:pPr>
              <w:jc w:val="center"/>
              <w:ind w:left="1436"/>
              <w:spacing w:after="0"/>
              <w:rPr>
                <w:sz w:val="20"/>
                <w:szCs w:val="20"/>
                <w:color w:val="auto"/>
              </w:rPr>
            </w:pPr>
            <w:r>
              <w:rPr>
                <w:rFonts w:ascii="Times New Roman" w:cs="Times New Roman" w:eastAsia="Times New Roman" w:hAnsi="Times New Roman"/>
                <w:sz w:val="17"/>
                <w:szCs w:val="17"/>
                <w:color w:val="auto"/>
                <w:w w:val="93"/>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560" w:type="dxa"/>
            <w:vAlign w:val="bottom"/>
          </w:tcPr>
          <w:p>
            <w:pPr>
              <w:spacing w:after="0"/>
              <w:rPr>
                <w:sz w:val="17"/>
                <w:szCs w:val="17"/>
                <w:color w:val="auto"/>
              </w:rPr>
            </w:pPr>
          </w:p>
        </w:tc>
        <w:tc>
          <w:tcPr>
            <w:tcW w:w="2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2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African American or Black</w:t>
            </w:r>
          </w:p>
        </w:tc>
        <w:tc>
          <w:tcPr>
            <w:tcW w:w="2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Alaskan Native or Native American</w:t>
            </w:r>
          </w:p>
        </w:tc>
        <w:tc>
          <w:tcPr>
            <w:tcW w:w="2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Asian</w:t>
            </w:r>
          </w:p>
        </w:tc>
        <w:tc>
          <w:tcPr>
            <w:tcW w:w="2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Hispanic or Latinx</w:t>
            </w:r>
          </w:p>
        </w:tc>
        <w:tc>
          <w:tcPr>
            <w:tcW w:w="2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Native Hawaiian or Pacific Islander</w:t>
            </w:r>
          </w:p>
        </w:tc>
        <w:tc>
          <w:tcPr>
            <w:tcW w:w="2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White</w:t>
            </w:r>
          </w:p>
        </w:tc>
        <w:tc>
          <w:tcPr>
            <w:tcW w:w="2400" w:type="dxa"/>
            <w:vAlign w:val="bottom"/>
          </w:tcPr>
          <w:p>
            <w:pPr>
              <w:jc w:val="center"/>
              <w:ind w:left="1436"/>
              <w:spacing w:after="0"/>
              <w:rPr>
                <w:sz w:val="20"/>
                <w:szCs w:val="20"/>
                <w:color w:val="auto"/>
              </w:rPr>
            </w:pPr>
            <w:r>
              <w:rPr>
                <w:rFonts w:ascii="Times New Roman" w:cs="Times New Roman" w:eastAsia="Times New Roman" w:hAnsi="Times New Roman"/>
                <w:sz w:val="17"/>
                <w:szCs w:val="17"/>
                <w:color w:val="auto"/>
                <w:w w:val="93"/>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560" w:type="dxa"/>
            <w:vAlign w:val="bottom"/>
          </w:tcPr>
          <w:p>
            <w:pPr>
              <w:spacing w:after="0"/>
              <w:rPr>
                <w:sz w:val="17"/>
                <w:szCs w:val="17"/>
                <w:color w:val="auto"/>
              </w:rPr>
            </w:pPr>
          </w:p>
        </w:tc>
        <w:tc>
          <w:tcPr>
            <w:tcW w:w="2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Two or More Races or Ethnicities</w:t>
            </w:r>
          </w:p>
        </w:tc>
        <w:tc>
          <w:tcPr>
            <w:tcW w:w="2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LGBTQ+</w:t>
            </w:r>
          </w:p>
        </w:tc>
        <w:tc>
          <w:tcPr>
            <w:tcW w:w="2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4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Did Not Disclose Demographic Background</w:t>
            </w:r>
          </w:p>
        </w:tc>
        <w:tc>
          <w:tcPr>
            <w:tcW w:w="2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tc>
        <w:tc>
          <w:tcPr>
            <w:tcW w:w="2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Section 16(a) of the Exchange Act requires our directors and officers, and persons who own more than ten percent of our Common Stock, to file with the SEC initial reports of ownership and reports of changes in ownership of our Common Stock. To our knowledge, based solely on our records and a review of the copies of such reports furnished to us, during the fiscal year ended December 31, 2023, we believe that all reports applicable to our officers, directors and greater than ten percent stockholders which were required to be filed pursuant to Section 16(a) of the Exchange Act were filed on a timely basis.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Conduct and Ethics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www.xwell.com/corporate-governance, and will be made available to stockholders without charge, upon request, in writing to the Corporate Secretary at 254 West 31st Street 11th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 and Hedging Prohibition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and/or other dispositions of our securities by our directors, officers and employees. The insider trading policy is designed to promote compliance with respect to insider trading laws, rules and regulations. The insider trading policy governs the ability of our directors, officers and employees to engage in short-term or speculative transactions by prohibiting trading in the Company’s securities on a short term basis, engaging in short sales, use of the Company’s securities to secure a margin or other loan, transactions in straddles, collars and in publicly-traded options relating to the Company’s securities.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following table summarizes the total compensation awarded or paid by us during the years ended December 31, 2023 and 2022 to (i) our principal executive officer, (ii) the two most highly compensated executive officers other than the principal executive officer who were serving as executive officers at December 31, 2023, and (iii) up to two additional individuals for whom disclosure would have been provided under clause (ii) but for the fact that the person was not serving as an executive officer at the end of the year ended December 31, 2023 (collectively, the “named executive officers” or the “NEOs”).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Non-Equity</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Incentive Plan</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Restricted Stock</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Unit Awards</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2"/>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100" w:type="dxa"/>
            <w:vAlign w:val="bottom"/>
          </w:tcPr>
          <w:p>
            <w:pPr>
              <w:spacing w:after="0"/>
              <w:rPr>
                <w:sz w:val="19"/>
                <w:szCs w:val="19"/>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95"/>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R. Milford(2)</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425,000</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52,379</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39,150</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516,529</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413,462</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181,704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36,290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615,500</w:t>
            </w:r>
          </w:p>
        </w:tc>
        <w:tc>
          <w:tcPr>
            <w:tcW w:w="11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1,246,956</w:t>
            </w:r>
          </w:p>
        </w:tc>
        <w:tc>
          <w:tcPr>
            <w:tcW w:w="100" w:type="dxa"/>
            <w:vAlign w:val="bottom"/>
          </w:tcPr>
          <w:p>
            <w:pPr>
              <w:spacing w:after="0"/>
              <w:rPr>
                <w:sz w:val="17"/>
                <w:szCs w:val="17"/>
                <w:color w:val="auto"/>
              </w:rPr>
            </w:pPr>
          </w:p>
        </w:tc>
      </w:tr>
      <w:tr>
        <w:trPr>
          <w:trHeight w:val="202"/>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Suzanne A. Scrabis(3)</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135,367</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22,800</w:t>
            </w:r>
          </w:p>
        </w:tc>
        <w:tc>
          <w:tcPr>
            <w:tcW w:w="11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165,476</w:t>
            </w:r>
          </w:p>
        </w:tc>
      </w:tr>
      <w:tr>
        <w:trPr>
          <w:trHeight w:val="202"/>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Omar A. Haynes(4)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317,893</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26,244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8,700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25,450</w:t>
            </w:r>
          </w:p>
        </w:tc>
        <w:tc>
          <w:tcPr>
            <w:tcW w:w="11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378,286</w:t>
            </w:r>
          </w:p>
        </w:tc>
      </w:tr>
      <w:tr>
        <w:trPr>
          <w:trHeight w:val="202"/>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Former Interim Chief Financial Officer</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251,250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101,856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36,290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65,000</w:t>
            </w:r>
          </w:p>
        </w:tc>
        <w:tc>
          <w:tcPr>
            <w:tcW w:w="11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454,397</w:t>
            </w:r>
          </w:p>
        </w:tc>
      </w:tr>
      <w:tr>
        <w:trPr>
          <w:trHeight w:val="202"/>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Ezra T. Ernst(5)</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375,000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27,379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8,700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411,079</w:t>
            </w:r>
          </w:p>
        </w:tc>
      </w:tr>
      <w:tr>
        <w:trPr>
          <w:trHeight w:val="182"/>
        </w:trPr>
        <w:tc>
          <w:tcPr>
            <w:tcW w:w="31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i w:val="1"/>
                <w:iCs w:val="1"/>
                <w:color w:val="auto"/>
              </w:rPr>
              <w:t>Executive Vice President of XWELL, Chief</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Executive Officer of XpresTest and President</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and Chief Executive Officer of HyperPointe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318,425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362,900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681,325</w:t>
            </w:r>
          </w:p>
        </w:tc>
      </w:tr>
    </w:tbl>
    <w:p>
      <w:pPr>
        <w:spacing w:after="0" w:line="182" w:lineRule="exact"/>
        <w:rPr>
          <w:sz w:val="20"/>
          <w:szCs w:val="20"/>
          <w:color w:val="auto"/>
        </w:rPr>
      </w:pPr>
    </w:p>
    <w:p>
      <w:pPr>
        <w:jc w:val="both"/>
        <w:ind w:left="200" w:hanging="201"/>
        <w:spacing w:after="0" w:line="260" w:lineRule="auto"/>
        <w:rPr>
          <w:sz w:val="20"/>
          <w:szCs w:val="20"/>
          <w:color w:val="auto"/>
        </w:rPr>
      </w:pPr>
      <w:r>
        <w:rPr>
          <w:rFonts w:ascii="Times New Roman" w:cs="Times New Roman" w:eastAsia="Times New Roman" w:hAnsi="Times New Roman"/>
          <w:sz w:val="17"/>
          <w:szCs w:val="17"/>
          <w:color w:val="auto"/>
        </w:rPr>
        <w:t xml:space="preserve">(1)Amounts represent the aggregate grant date fair value in accordance with FASB ASC </w:t>
      </w:r>
      <w:r>
        <w:rPr>
          <w:rFonts w:ascii="Times New Roman" w:cs="Times New Roman" w:eastAsia="Times New Roman" w:hAnsi="Times New Roman"/>
          <w:sz w:val="17"/>
          <w:szCs w:val="17"/>
          <w:i w:val="1"/>
          <w:iCs w:val="1"/>
          <w:color w:val="auto"/>
        </w:rPr>
        <w:t>Topic 718</w:t>
      </w:r>
      <w:r>
        <w:rPr>
          <w:rFonts w:ascii="Times New Roman" w:cs="Times New Roman" w:eastAsia="Times New Roman" w:hAnsi="Times New Roman"/>
          <w:sz w:val="17"/>
          <w:szCs w:val="17"/>
          <w:color w:val="auto"/>
        </w:rPr>
        <w:t>. For the assumptions made in the valuation of our equity awards see Notes 2 and 15 to our consolidated financial statements included in the Original Filing.</w:t>
      </w:r>
    </w:p>
    <w:p>
      <w:pPr>
        <w:jc w:val="both"/>
        <w:ind w:left="200" w:hanging="201"/>
        <w:spacing w:after="0" w:line="247" w:lineRule="auto"/>
        <w:rPr>
          <w:sz w:val="20"/>
          <w:szCs w:val="20"/>
          <w:color w:val="auto"/>
        </w:rPr>
      </w:pPr>
      <w:r>
        <w:rPr>
          <w:rFonts w:ascii="Times New Roman" w:cs="Times New Roman" w:eastAsia="Times New Roman" w:hAnsi="Times New Roman"/>
          <w:sz w:val="17"/>
          <w:szCs w:val="17"/>
          <w:color w:val="auto"/>
        </w:rPr>
        <w:t>(2)Mr. Milford is currently our President and Chief Executive Officer, effective as of January 19, 2022. Prior to that, he served as our Chief Operating Officer since December 14, 2020. Compensation for the year ended December 31, 2023 includes equity awards of stock options. Compensation for the year ended December 31, 2022 includes equity awards of stock options and restricted stock.</w:t>
      </w:r>
    </w:p>
    <w:p>
      <w:pPr>
        <w:spacing w:after="0" w:line="2" w:lineRule="exact"/>
        <w:rPr>
          <w:sz w:val="20"/>
          <w:szCs w:val="20"/>
          <w:color w:val="auto"/>
        </w:rPr>
      </w:pPr>
    </w:p>
    <w:p>
      <w:pPr>
        <w:jc w:val="both"/>
        <w:ind w:left="200" w:hanging="201"/>
        <w:spacing w:after="0" w:line="247" w:lineRule="auto"/>
        <w:rPr>
          <w:sz w:val="20"/>
          <w:szCs w:val="20"/>
          <w:color w:val="auto"/>
        </w:rPr>
      </w:pPr>
      <w:r>
        <w:rPr>
          <w:rFonts w:ascii="Times New Roman" w:cs="Times New Roman" w:eastAsia="Times New Roman" w:hAnsi="Times New Roman"/>
          <w:sz w:val="17"/>
          <w:szCs w:val="17"/>
          <w:color w:val="auto"/>
        </w:rPr>
        <w:t>(3)Ms. Scrabis is our current Chief Financial Officer, effective as of July 10, 2023. Compensation for the year ended December 31, 2023 includes equity awards of stock options and restricted stock.</w:t>
      </w:r>
    </w:p>
    <w:p>
      <w:pPr>
        <w:spacing w:after="0" w:line="2" w:lineRule="exact"/>
        <w:rPr>
          <w:sz w:val="20"/>
          <w:szCs w:val="20"/>
          <w:color w:val="auto"/>
        </w:rPr>
      </w:pPr>
    </w:p>
    <w:p>
      <w:pPr>
        <w:jc w:val="both"/>
        <w:ind w:left="200" w:hanging="201"/>
        <w:spacing w:after="0" w:line="247" w:lineRule="auto"/>
        <w:rPr>
          <w:sz w:val="20"/>
          <w:szCs w:val="20"/>
          <w:color w:val="auto"/>
        </w:rPr>
      </w:pPr>
      <w:r>
        <w:rPr>
          <w:rFonts w:ascii="Times New Roman" w:cs="Times New Roman" w:eastAsia="Times New Roman" w:hAnsi="Times New Roman"/>
          <w:sz w:val="17"/>
          <w:szCs w:val="17"/>
          <w:color w:val="auto"/>
        </w:rPr>
        <w:t>(4)Mr. Haynes was our former Interim Chief Financial Officer, effective as of June 13, 2022. On July 10, 2023, upon the appointment of Suzanne A. Scrabis to the role of Chief Financial Officer, Mr. Haynes resumed his former role as Vice President of Treasury &amp; Finance, effective as of the same date. Compensation for the year ended December 31, 2023 includes equity awards of stock options and restricted stock. Compensation for the year ended December 31, 2022 includes equity awards of stock options and restricted stock.</w:t>
      </w:r>
    </w:p>
    <w:p>
      <w:pPr>
        <w:spacing w:after="0" w:line="3" w:lineRule="exact"/>
        <w:rPr>
          <w:sz w:val="20"/>
          <w:szCs w:val="20"/>
          <w:color w:val="auto"/>
        </w:rPr>
      </w:pPr>
    </w:p>
    <w:p>
      <w:pPr>
        <w:jc w:val="both"/>
        <w:ind w:left="200" w:hanging="201"/>
        <w:spacing w:after="0" w:line="255" w:lineRule="auto"/>
        <w:rPr>
          <w:sz w:val="20"/>
          <w:szCs w:val="20"/>
          <w:color w:val="auto"/>
        </w:rPr>
      </w:pPr>
      <w:r>
        <w:rPr>
          <w:rFonts w:ascii="Times New Roman" w:cs="Times New Roman" w:eastAsia="Times New Roman" w:hAnsi="Times New Roman"/>
          <w:sz w:val="17"/>
          <w:szCs w:val="17"/>
          <w:color w:val="auto"/>
        </w:rPr>
        <w:t>(5)Mr. Ernst has served as the Executive Vice President and the Chief Executive Officer of XpresTest Inc. since January 9, 2022. Compensation for the year ended December 31, 2023 includes equity awards of stock options. Compensation for the year ended December 31, 2022 includes equity awards of stock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Narrative Disclosure to Summary Compensation Table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Scott R. Milford</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July 8, 2019, we entered into an employment agreement with Mr. Milford, pursuant to which he agreed to serve as our Chief People Officer for an annual base salary of $280,000 and $300,000, for the year ended July 31, 2020 and the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2" w:name="page33"/>
    <w:bookmarkEnd w:id="32"/>
    <w:p>
      <w:pPr>
        <w:jc w:val="both"/>
        <w:spacing w:after="0" w:line="251" w:lineRule="auto"/>
        <w:rPr>
          <w:sz w:val="20"/>
          <w:szCs w:val="20"/>
          <w:color w:val="auto"/>
        </w:rPr>
      </w:pPr>
      <w:r>
        <w:rPr>
          <w:rFonts w:ascii="Times New Roman" w:cs="Times New Roman" w:eastAsia="Times New Roman" w:hAnsi="Times New Roman"/>
          <w:sz w:val="17"/>
          <w:szCs w:val="17"/>
          <w:color w:val="auto"/>
        </w:rPr>
        <w:t>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Suzanne A. Scrabis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For her service as Chief Financial Officer, pursuant to an offer letter, dated as of June 26, 2023, by and between us and Ms. Scrabis (the “Scrabis Offer Letter”), Ms. Scrabis receives an annual base salary of $300,000, subject to review by the Compensation Committee. Ms. Scrabis is eligible to receive an annual cash bonus with a target of 50% of her base salary, which was not pro-rated for 2023 and half of which amount is guaranteed. For the year ended December 31, 2023, Ms. Scrabis received a cash bonus of $75,000. Ms. Scrabis is additionally eligible to participate in Company’s long-term incentive plan with the potential to receive stock options valued at up to 1.75 times her annual base salary (pro-rated for 2023). Ms. Scrabis received (i) non-qualified stock options to purchase 3,750 shares of Common Stock with an exercise price of $4.60, and (ii) 5,000 RSUs, with each grant made as of July 10, 2023 and vesting in four quarterly installments on the first, second, third and fourth quarters after the grant date.</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event Ms. Scrabis terminates her employment for good reason, or by the Company without cause (each as defined in the Scrabis Offer Letter) and Ms. Scrabis provides the Company with a release of claims, Ms. Scrabis will be entitled to receive a payment equal to 50% of her then-current base salary, payable in installments over a period of six months.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Omar A. Haynes</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his service as Interim Chief Financial Officer, which terminated on July 10, 2023, upon the appointment of Suzanne A. Scrabis as our Chief Financial Officer, Mr. Haynes received a base salary of $288,750 annually, that was subject to review by the Compensation Committee. He was eligible to receive an annual cash bonus with a target of 50% of his base salary and was eligible to participate in any annual bonus or other incentive compensation program that the Company may adopt from time to time for its executive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Ezra T. Ernst</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January 9, 2022, the Company and Mr. Ernst entered into an executive employment agreement (the “Ernst Employment Agreement”), pursuant to which Mr. Ernst serves as the Chief Executive Officer and a director of XpresTest. The Ernst Employment Agreement has a term of three years from the date of closing of the Company’s acquisition of HyperPointe. Pursuant to the Ernst Employment Agreement, Mr. Ernst is entitled to receive an annual base salary of $375,000. He is also eligible to participate in any annual bonus and other incentive compensation program that the Company may adopt from time to time for its executive officers. Mr. Ernst is eligible to earn an annual bonus, the target amount of which is up to fifty percent (50%) of his base salary, based upon the achievement of performance goals and metrics established by the Board at its sole discretion. Any bonus will be determined as soon as reasonably practicable after the Company’s annual financial statements are finalized and will be split 50/50 between cash and a grant of RSUs with respect to the Company’s Common Stock.</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3" w:name="page34"/>
    <w:bookmarkEnd w:id="33"/>
    <w:p>
      <w:pPr>
        <w:jc w:val="both"/>
        <w:spacing w:after="0" w:line="257" w:lineRule="auto"/>
        <w:rPr>
          <w:sz w:val="20"/>
          <w:szCs w:val="20"/>
          <w:color w:val="auto"/>
        </w:rPr>
      </w:pPr>
      <w:r>
        <w:rPr>
          <w:rFonts w:ascii="Times New Roman" w:cs="Times New Roman" w:eastAsia="Times New Roman" w:hAnsi="Times New Roman"/>
          <w:sz w:val="17"/>
          <w:szCs w:val="17"/>
          <w:color w:val="auto"/>
        </w:rPr>
        <w:t>In the event the Ernst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 In addition, the agreement contains non-solicitation and non-competition provisions that apply during the term of Mr. Ernst’s employment and for six months thereafter.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compensation of persons who served as non-employee members of our Board during the fiscal year ended December 31,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Fees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Earned or</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Restricted</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Paid in</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Cash</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Unit Awards</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220" w:type="dxa"/>
            <w:vAlign w:val="bottom"/>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95"/>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Bruce T. Bernstein(2)(6)</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166,250</w:t>
            </w: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52,200</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338,450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Donald E. Stout(3)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78,750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26,100</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104,850</w:t>
            </w:r>
          </w:p>
        </w:tc>
      </w:tr>
      <w:tr>
        <w:trPr>
          <w:trHeight w:val="202"/>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Weinstein(4)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105,000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26,100</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131,100</w:t>
            </w:r>
          </w:p>
        </w:tc>
      </w:tr>
      <w:tr>
        <w:trPr>
          <w:trHeight w:val="218"/>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Lebowitz(5)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78,750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26,100</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104,850</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22" w:lineRule="exact"/>
        <w:rPr>
          <w:sz w:val="20"/>
          <w:szCs w:val="20"/>
          <w:color w:val="auto"/>
        </w:rPr>
      </w:pPr>
    </w:p>
    <w:p>
      <w:pPr>
        <w:ind w:left="200"/>
        <w:spacing w:after="0" w:line="263" w:lineRule="auto"/>
        <w:rPr>
          <w:sz w:val="20"/>
          <w:szCs w:val="20"/>
          <w:color w:val="auto"/>
        </w:rPr>
      </w:pPr>
      <w:r>
        <w:rPr>
          <w:rFonts w:ascii="Times New Roman" w:cs="Times New Roman" w:eastAsia="Times New Roman" w:hAnsi="Times New Roman"/>
          <w:sz w:val="16"/>
          <w:szCs w:val="16"/>
          <w:color w:val="auto"/>
        </w:rPr>
        <w:t xml:space="preserve">Amounts represent the aggregate grant date fair value of the RSUs and option awards granted during the fiscal year computed in accordance with FASB ASC </w:t>
      </w:r>
      <w:r>
        <w:rPr>
          <w:rFonts w:ascii="Times New Roman" w:cs="Times New Roman" w:eastAsia="Times New Roman" w:hAnsi="Times New Roman"/>
          <w:sz w:val="16"/>
          <w:szCs w:val="16"/>
          <w:i w:val="1"/>
          <w:iCs w:val="1"/>
          <w:color w:val="auto"/>
        </w:rPr>
        <w:t>Topic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718</w:t>
      </w:r>
      <w:r>
        <w:rPr>
          <w:rFonts w:ascii="Times New Roman" w:cs="Times New Roman" w:eastAsia="Times New Roman" w:hAnsi="Times New Roman"/>
          <w:sz w:val="16"/>
          <w:szCs w:val="16"/>
          <w:color w:val="auto"/>
        </w:rPr>
        <w:t>. See Notes 2 and 15 to the consolidated financial statements included in the Original Filing for the assumptions made in the valuation of the equity awards.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(2)As of December 31, 2023, Mr. Bernstein held 42,511 unexercised options.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(3)As of December 31, 2023, Mr. Stout held 22,670 unexercised options.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(4)As of December 31, 2023, Mr. Weinstein held 22,579 unexercised options.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(5)As of December 31, 2023, Mr. Lebowitz held 21,996 unexercised options.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(6)Consists of $120,000 in cash paid in respect of XpresTest, Inc. board services (as described below).</w:t>
      </w:r>
    </w:p>
    <w:p>
      <w:pPr>
        <w:spacing w:after="0" w:line="1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In January 2023, the Board and the Compensation Committee engaged StreeterWyatt Analytics, an independent third-party compensation analyst, to evaluate and make recommendations regarding the compensation paid to our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its review, the director compensation program remained the same.</w:t>
      </w:r>
    </w:p>
    <w:p>
      <w:pPr>
        <w:spacing w:after="0" w:line="208" w:lineRule="exact"/>
        <w:rPr>
          <w:sz w:val="20"/>
          <w:szCs w:val="20"/>
          <w:color w:val="auto"/>
        </w:rPr>
      </w:pPr>
    </w:p>
    <w:p>
      <w:pPr>
        <w:ind w:left="900" w:right="6260" w:hanging="596"/>
        <w:spacing w:after="0" w:line="257" w:lineRule="auto"/>
        <w:tabs>
          <w:tab w:leader="none" w:pos="59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Chairman of the Board: $350,000 per year, consisting of: o 150,000 in cash; and</w:t>
      </w:r>
    </w:p>
    <w:p>
      <w:pPr>
        <w:spacing w:after="0" w:line="1" w:lineRule="exact"/>
        <w:rPr>
          <w:rFonts w:ascii="Times New Roman" w:cs="Times New Roman" w:eastAsia="Times New Roman" w:hAnsi="Times New Roman"/>
          <w:sz w:val="17"/>
          <w:szCs w:val="17"/>
          <w:color w:val="auto"/>
        </w:rPr>
      </w:pPr>
    </w:p>
    <w:p>
      <w:pPr>
        <w:ind w:left="1220" w:hanging="303"/>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 equity awards having a combined value of $200,000, consisting of (i) a grant of a Non-Qualified Stock Option to purchase such number of shares of Common Stock having a grant date fair value of $120,000 and (ii) a grant of RSUs of such number of shares having a grant date value of $80,000.</w:t>
      </w:r>
    </w:p>
    <w:p>
      <w:pPr>
        <w:spacing w:after="0" w:line="174"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other non-employee Directors: $170,000 per year, consisting of:</w:t>
      </w:r>
    </w:p>
    <w:p>
      <w:pPr>
        <w:spacing w:after="0" w:line="22" w:lineRule="exact"/>
        <w:rPr>
          <w:sz w:val="20"/>
          <w:szCs w:val="20"/>
          <w:color w:val="auto"/>
        </w:rPr>
      </w:pPr>
    </w:p>
    <w:p>
      <w:pPr>
        <w:ind w:left="1220" w:hanging="310"/>
        <w:spacing w:after="0"/>
        <w:tabs>
          <w:tab w:leader="none" w:pos="12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$70,000 in cash; and</w:t>
      </w:r>
    </w:p>
    <w:p>
      <w:pPr>
        <w:spacing w:after="0" w:line="6" w:lineRule="exact"/>
        <w:rPr>
          <w:rFonts w:ascii="Times New Roman" w:cs="Times New Roman" w:eastAsia="Times New Roman" w:hAnsi="Times New Roman"/>
          <w:sz w:val="17"/>
          <w:szCs w:val="17"/>
          <w:color w:val="auto"/>
        </w:rPr>
      </w:pPr>
    </w:p>
    <w:p>
      <w:pPr>
        <w:ind w:left="1220" w:hanging="310"/>
        <w:spacing w:after="0" w:line="286" w:lineRule="auto"/>
        <w:tabs>
          <w:tab w:leader="none" w:pos="122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awards having a combined value of $100,000, consisting of (i) a grant of a Non-Qualified Stock Option to purchase such number of shares of Common Stock having a grant date fair value of $60,000 and (ii) a grant of RSUs of such number of shares having a grant date value of $40,000.</w:t>
      </w:r>
    </w:p>
    <w:p>
      <w:pPr>
        <w:spacing w:after="0" w:line="151" w:lineRule="exact"/>
        <w:rPr>
          <w:rFonts w:ascii="Times New Roman" w:cs="Times New Roman" w:eastAsia="Times New Roman" w:hAnsi="Times New Roman"/>
          <w:sz w:val="16"/>
          <w:szCs w:val="16"/>
          <w:color w:val="auto"/>
        </w:rPr>
      </w:pPr>
    </w:p>
    <w:p>
      <w:pPr>
        <w:ind w:left="600" w:hanging="296"/>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additional cash payments:</w:t>
      </w:r>
    </w:p>
    <w:p>
      <w:pPr>
        <w:spacing w:after="0" w:line="22" w:lineRule="exact"/>
        <w:rPr>
          <w:rFonts w:ascii="Times New Roman" w:cs="Times New Roman" w:eastAsia="Times New Roman" w:hAnsi="Times New Roman"/>
          <w:sz w:val="17"/>
          <w:szCs w:val="17"/>
          <w:color w:val="auto"/>
        </w:rPr>
      </w:pPr>
    </w:p>
    <w:p>
      <w:pPr>
        <w:ind w:left="1220" w:hanging="310"/>
        <w:spacing w:after="0"/>
        <w:tabs>
          <w:tab w:leader="none" w:pos="12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$30,000 in cash to the Chairman of the Audit Committee;</w:t>
      </w:r>
    </w:p>
    <w:p>
      <w:pPr>
        <w:spacing w:after="0" w:line="6" w:lineRule="exact"/>
        <w:rPr>
          <w:rFonts w:ascii="Times New Roman" w:cs="Times New Roman" w:eastAsia="Times New Roman" w:hAnsi="Times New Roman"/>
          <w:sz w:val="17"/>
          <w:szCs w:val="17"/>
          <w:color w:val="auto"/>
        </w:rPr>
      </w:pPr>
    </w:p>
    <w:p>
      <w:pPr>
        <w:ind w:left="1220" w:hanging="310"/>
        <w:spacing w:after="0"/>
        <w:tabs>
          <w:tab w:leader="none" w:pos="12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 in cash to the Chairman of the Compensation Committee; and</w:t>
      </w:r>
    </w:p>
    <w:p>
      <w:pPr>
        <w:spacing w:after="0" w:line="6" w:lineRule="exact"/>
        <w:rPr>
          <w:rFonts w:ascii="Times New Roman" w:cs="Times New Roman" w:eastAsia="Times New Roman" w:hAnsi="Times New Roman"/>
          <w:sz w:val="17"/>
          <w:szCs w:val="17"/>
          <w:color w:val="auto"/>
        </w:rPr>
      </w:pPr>
    </w:p>
    <w:p>
      <w:pPr>
        <w:ind w:left="1220" w:hanging="310"/>
        <w:spacing w:after="0"/>
        <w:tabs>
          <w:tab w:leader="none" w:pos="12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 in cash to each member of the Strategic Affairs Committee.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4" w:name="page35"/>
    <w:bookmarkEnd w:id="34"/>
    <w:p>
      <w:pPr>
        <w:jc w:val="both"/>
        <w:spacing w:after="0" w:line="275" w:lineRule="auto"/>
        <w:rPr>
          <w:sz w:val="20"/>
          <w:szCs w:val="20"/>
          <w:color w:val="auto"/>
        </w:rPr>
      </w:pPr>
      <w:r>
        <w:rPr>
          <w:rFonts w:ascii="Times New Roman" w:cs="Times New Roman" w:eastAsia="Times New Roman" w:hAnsi="Times New Roman"/>
          <w:sz w:val="17"/>
          <w:szCs w:val="17"/>
          <w:color w:val="auto"/>
        </w:rPr>
        <w:t>We reimburse our directors for reasonable out-of-pocket expenses incurred in connection with attendance and participation in Board and committee meetings (including costs of travel, food and lodging).</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addition, Mr. Bernstein received $120,000 in cash compensation in the year ended December 31, 2023 specifically related to the duties, responsibilities and services of Mr. Bernstein beyond the scope of normal Board member services in connection with his role as a non-employee director of XpresTest, which amount was approved in March 2021 following the Board’s review of an analysis and evaluation from StreeterWyatt Analytics of appropriate director compensation specifically related to such duties. The Board concluded at the time, and continued to conclude, that under the circumstances and in light of the services performed, such compensation represents “ordinary-course compensation” for Mr. Bernstein’s XpresTest board services as a member of the board of directors of XpresTest, and that such compensation therefore would not preclude a determination that Mr. Bernstein would be independent for, among other things, membership of the Audit Committee of the Company under Rule 10A-3 under the Securities Exchange Act of 1934, as amended, and Nasdaq listing rules, as such compensation represents fees for such XpresTest board services.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September 2023, the Board reevaluated the Company’s compensation structure. Based on its review, the Compensation Committee recommended, and the full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approved, a new director compensation program effective October 1, 2023:</w:t>
      </w:r>
    </w:p>
    <w:p>
      <w:pPr>
        <w:spacing w:after="0" w:line="192" w:lineRule="exact"/>
        <w:rPr>
          <w:sz w:val="20"/>
          <w:szCs w:val="20"/>
          <w:color w:val="auto"/>
        </w:rPr>
      </w:pPr>
    </w:p>
    <w:p>
      <w:pPr>
        <w:ind w:left="900" w:right="8560" w:hanging="596"/>
        <w:spacing w:after="0" w:line="275" w:lineRule="auto"/>
        <w:tabs>
          <w:tab w:leader="none" w:pos="59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Chairman of the Board o $75,000 in cash</w:t>
      </w:r>
    </w:p>
    <w:p>
      <w:pPr>
        <w:spacing w:after="0" w:line="157" w:lineRule="exact"/>
        <w:rPr>
          <w:rFonts w:ascii="Times New Roman" w:cs="Times New Roman" w:eastAsia="Times New Roman" w:hAnsi="Times New Roman"/>
          <w:sz w:val="17"/>
          <w:szCs w:val="17"/>
          <w:color w:val="auto"/>
        </w:rPr>
      </w:pPr>
    </w:p>
    <w:p>
      <w:pPr>
        <w:ind w:left="900" w:right="8100" w:hanging="596"/>
        <w:spacing w:after="0" w:line="275" w:lineRule="auto"/>
        <w:tabs>
          <w:tab w:leader="none" w:pos="59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other non-employee Directors o $35,000 in cash</w:t>
      </w:r>
    </w:p>
    <w:p>
      <w:pPr>
        <w:spacing w:after="0" w:line="157"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additional cash payments</w:t>
      </w:r>
    </w:p>
    <w:p>
      <w:pPr>
        <w:spacing w:after="0" w:line="22" w:lineRule="exact"/>
        <w:rPr>
          <w:sz w:val="20"/>
          <w:szCs w:val="20"/>
          <w:color w:val="auto"/>
        </w:rPr>
      </w:pPr>
    </w:p>
    <w:p>
      <w:pPr>
        <w:ind w:left="1220" w:hanging="310"/>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 in cash to the Chairman of the Audit Committee;</w:t>
      </w:r>
    </w:p>
    <w:p>
      <w:pPr>
        <w:spacing w:after="0" w:line="6" w:lineRule="exact"/>
        <w:rPr>
          <w:rFonts w:ascii="Times New Roman" w:cs="Times New Roman" w:eastAsia="Times New Roman" w:hAnsi="Times New Roman"/>
          <w:sz w:val="17"/>
          <w:szCs w:val="17"/>
          <w:color w:val="auto"/>
        </w:rPr>
      </w:pPr>
    </w:p>
    <w:p>
      <w:pPr>
        <w:ind w:left="1220" w:hanging="310"/>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 in cash to the Chairman of the Compensation Committee; and</w:t>
      </w:r>
    </w:p>
    <w:p>
      <w:pPr>
        <w:spacing w:after="0" w:line="6" w:lineRule="exact"/>
        <w:rPr>
          <w:rFonts w:ascii="Times New Roman" w:cs="Times New Roman" w:eastAsia="Times New Roman" w:hAnsi="Times New Roman"/>
          <w:sz w:val="17"/>
          <w:szCs w:val="17"/>
          <w:color w:val="auto"/>
        </w:rPr>
      </w:pPr>
    </w:p>
    <w:p>
      <w:pPr>
        <w:ind w:left="1220" w:hanging="310"/>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 in cash to each member of the Strategic Affairs Committee.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certain aggregate information, as of December 31, 2023 with respect to all of our equity compensation plans then in effect: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No. of securities</w:t>
            </w:r>
          </w:p>
        </w:tc>
      </w:tr>
      <w:tr>
        <w:trPr>
          <w:trHeight w:val="202"/>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remaining</w:t>
            </w:r>
          </w:p>
        </w:tc>
      </w:tr>
      <w:tr>
        <w:trPr>
          <w:trHeight w:val="202"/>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available for</w:t>
            </w:r>
          </w:p>
        </w:tc>
      </w:tr>
      <w:tr>
        <w:trPr>
          <w:trHeight w:val="202"/>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No. of securities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future issuance</w:t>
            </w:r>
          </w:p>
        </w:tc>
      </w:tr>
      <w:tr>
        <w:trPr>
          <w:trHeight w:val="202"/>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 be issued upon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under equity</w:t>
            </w:r>
          </w:p>
        </w:tc>
      </w:tr>
      <w:tr>
        <w:trPr>
          <w:trHeight w:val="202"/>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exercise of</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average exercise</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r>
      <w:tr>
        <w:trPr>
          <w:trHeight w:val="202"/>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outstanding</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price of</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plans (excluding</w:t>
            </w:r>
          </w:p>
        </w:tc>
      </w:tr>
      <w:tr>
        <w:trPr>
          <w:trHeight w:val="202"/>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options,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securities</w:t>
            </w:r>
          </w:p>
        </w:tc>
      </w:tr>
      <w:tr>
        <w:trPr>
          <w:trHeight w:val="215"/>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warrants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options, warrants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reflected in</w:t>
            </w:r>
          </w:p>
        </w:tc>
      </w:tr>
      <w:tr>
        <w:trPr>
          <w:trHeight w:val="222"/>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rights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and rights ($)</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the first column)</w:t>
            </w:r>
          </w:p>
        </w:tc>
      </w:tr>
      <w:tr>
        <w:trPr>
          <w:trHeight w:val="195"/>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equity compensation plans approved by security holders (1)</w:t>
            </w: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353,149</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249,899</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22" w:lineRule="exact"/>
        <w:rPr>
          <w:sz w:val="20"/>
          <w:szCs w:val="20"/>
          <w:color w:val="auto"/>
        </w:rPr>
      </w:pPr>
    </w:p>
    <w:p>
      <w:pPr>
        <w:jc w:val="both"/>
        <w:ind w:left="200"/>
        <w:spacing w:after="0" w:line="250" w:lineRule="auto"/>
        <w:rPr>
          <w:sz w:val="20"/>
          <w:szCs w:val="20"/>
          <w:color w:val="auto"/>
        </w:rPr>
      </w:pPr>
      <w:r>
        <w:rPr>
          <w:rFonts w:ascii="Times New Roman" w:cs="Times New Roman" w:eastAsia="Times New Roman" w:hAnsi="Times New Roman"/>
          <w:sz w:val="17"/>
          <w:szCs w:val="17"/>
          <w:color w:val="auto"/>
        </w:rPr>
        <w:t>These plans consist solely of the 2020 Plan, as approved by our Board in September 2020 and by our stockholders in October 2020. On October 4, 2022, stockholders approved the amendment to the Company’s 2020 Equity Incentive Plan to increase the number of shares authorized for issuance under the Plan by 375,000 shares of Common Stock to an aggregate of 625,000 shares. Under the 2020 Equity Incentive Plan (the “2020 Plan”), a maximum of 249,899 shares of Common Stock remained available for issuance as of December 31, 2023.</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2023 Fiscal Year End</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following table sets forth information regarding grants of stock options and unvested stock awards outstanding on the last day of the fiscal year ended December 31, 2023, to each of our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4"/>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Restricted Stock Unit Awards</w:t>
            </w:r>
          </w:p>
        </w:tc>
      </w:tr>
      <w:tr>
        <w:trPr>
          <w:trHeight w:val="175"/>
        </w:trPr>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gridSpan w:val="2"/>
          </w:tcPr>
          <w:p>
            <w:pPr>
              <w:jc w:val="center"/>
              <w:ind w:right="220"/>
              <w:spacing w:after="0" w:line="175" w:lineRule="exact"/>
              <w:rPr>
                <w:sz w:val="20"/>
                <w:szCs w:val="20"/>
                <w:color w:val="auto"/>
              </w:rPr>
            </w:pPr>
            <w:r>
              <w:rPr>
                <w:rFonts w:ascii="Times New Roman" w:cs="Times New Roman" w:eastAsia="Times New Roman" w:hAnsi="Times New Roman"/>
                <w:sz w:val="17"/>
                <w:szCs w:val="17"/>
                <w:b w:val="1"/>
                <w:bCs w:val="1"/>
                <w:color w:val="auto"/>
                <w:w w:val="99"/>
              </w:rPr>
              <w:t>Number</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96"/>
              <w:spacing w:after="0" w:line="175" w:lineRule="exact"/>
              <w:rPr>
                <w:sz w:val="20"/>
                <w:szCs w:val="20"/>
                <w:color w:val="auto"/>
              </w:rPr>
            </w:pPr>
            <w:r>
              <w:rPr>
                <w:rFonts w:ascii="Times New Roman" w:cs="Times New Roman" w:eastAsia="Times New Roman" w:hAnsi="Times New Roman"/>
                <w:sz w:val="17"/>
                <w:szCs w:val="17"/>
                <w:b w:val="1"/>
                <w:bCs w:val="1"/>
                <w:color w:val="auto"/>
                <w:w w:val="98"/>
              </w:rPr>
              <w:t>Market</w:t>
            </w:r>
          </w:p>
        </w:tc>
        <w:tc>
          <w:tcPr>
            <w:tcW w:w="100" w:type="dxa"/>
            <w:vAlign w:val="bottom"/>
          </w:tcPr>
          <w:p>
            <w:pPr>
              <w:spacing w:after="0"/>
              <w:rPr>
                <w:sz w:val="15"/>
                <w:szCs w:val="15"/>
                <w:color w:val="auto"/>
              </w:rPr>
            </w:pPr>
          </w:p>
        </w:tc>
      </w:tr>
      <w:tr>
        <w:trPr>
          <w:trHeight w:val="202"/>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of shares</w:t>
            </w: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value</w:t>
            </w:r>
          </w:p>
        </w:tc>
      </w:tr>
      <w:tr>
        <w:trPr>
          <w:trHeight w:val="202"/>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of securities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of units</w:t>
            </w:r>
          </w:p>
        </w:tc>
        <w:tc>
          <w:tcPr>
            <w:tcW w:w="18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of shares</w:t>
            </w:r>
          </w:p>
        </w:tc>
      </w:tr>
      <w:tr>
        <w:trPr>
          <w:trHeight w:val="202"/>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of securities</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of stock</w:t>
            </w: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of units</w:t>
            </w:r>
          </w:p>
        </w:tc>
      </w:tr>
      <w:tr>
        <w:trPr>
          <w:trHeight w:val="202"/>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unexercised</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that</w:t>
            </w:r>
          </w:p>
        </w:tc>
        <w:tc>
          <w:tcPr>
            <w:tcW w:w="18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of stock</w:t>
            </w:r>
          </w:p>
        </w:tc>
      </w:tr>
      <w:tr>
        <w:trPr>
          <w:trHeight w:val="202"/>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unexercised</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that</w:t>
            </w:r>
          </w:p>
        </w:tc>
      </w:tr>
      <w:tr>
        <w:trPr>
          <w:trHeight w:val="215"/>
        </w:trPr>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 un-</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Option expiration</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vested</w:t>
            </w: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have not</w:t>
            </w:r>
          </w:p>
        </w:tc>
      </w:tr>
      <w:tr>
        <w:trPr>
          <w:trHeight w:val="222"/>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 exercisable</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exercisable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price ($)</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vested ($)</w:t>
            </w:r>
          </w:p>
        </w:tc>
      </w:tr>
      <w:tr>
        <w:trPr>
          <w:trHeight w:val="195"/>
        </w:trPr>
        <w:tc>
          <w:tcPr>
            <w:tcW w:w="3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R. Milford</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186"/>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Non-Qualified Stock Options from the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2012</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2,916</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April 20, 2030</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3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Incentive Stock Options from the 2012</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Plan</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1,605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100.20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September 6, 2030</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6"/>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Non-Qualified Stock Options from the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3,210</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100.20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October 28, 2030</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3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9"/>
              </w:rPr>
              <w:t>2021</w:t>
            </w:r>
          </w:p>
        </w:tc>
        <w:tc>
          <w:tcPr>
            <w:tcW w:w="280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Non-Qualified Stock Options from the</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9,510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9,511</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32.20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January 21, 2031</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6"/>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2022</w:t>
            </w:r>
          </w:p>
        </w:tc>
        <w:tc>
          <w:tcPr>
            <w:tcW w:w="280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Non-Qualified Stock Options from the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1,250</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w:t>
            </w:r>
          </w:p>
        </w:tc>
        <w:tc>
          <w:tcPr>
            <w:tcW w:w="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April 20, 2032</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3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9"/>
              </w:rPr>
              <w:t>2023</w:t>
            </w:r>
          </w:p>
        </w:tc>
        <w:tc>
          <w:tcPr>
            <w:tcW w:w="280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Non-Qualified Stock Options from the</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20,625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January 5, 2033</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0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Omar A. Haynes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186"/>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Non-Qualified Stock Options from the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2012</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1,666</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April 20, 2030</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3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9"/>
              </w:rPr>
              <w:t>2021</w:t>
            </w:r>
          </w:p>
        </w:tc>
        <w:tc>
          <w:tcPr>
            <w:tcW w:w="280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Non-Qualified Stock Options from the</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2,717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32.20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April 19, 2024</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6"/>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2022</w:t>
            </w:r>
          </w:p>
        </w:tc>
        <w:tc>
          <w:tcPr>
            <w:tcW w:w="280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Non-Qualified Stock Options from the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1,250</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April 19, 2024</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3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9"/>
              </w:rPr>
              <w:t>2023</w:t>
            </w:r>
          </w:p>
        </w:tc>
        <w:tc>
          <w:tcPr>
            <w:tcW w:w="280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Non-Qualified Stock Options from the</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April 19, 2024</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0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Ezra T. Ernst</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Inducement Plan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16,666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33,334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32.80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January 14, 2032</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3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9"/>
              </w:rPr>
              <w:t>2023</w:t>
            </w:r>
          </w:p>
        </w:tc>
        <w:tc>
          <w:tcPr>
            <w:tcW w:w="280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Non-Qualified Stock Options from the</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3,750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January 5, 2033</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0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Suzanne A. Scrabis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4.56</w:t>
            </w:r>
          </w:p>
        </w:tc>
      </w:tr>
      <w:tr>
        <w:trPr>
          <w:trHeight w:val="186"/>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2023</w:t>
            </w:r>
          </w:p>
        </w:tc>
        <w:tc>
          <w:tcPr>
            <w:tcW w:w="280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Non-Qualified Stock Options from the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2020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937</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July 10, 2033</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Un-exercisable options vest in equal annual increments over each of the remaining anniversaries of the date of grant.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Pension Benefits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do not have any qualified or nonqualified defined benefit plans.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Nonqualified Deferred Compensation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do not have any nonqualified defined contribution plans or other deferred compensation plans.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Change-In-Control</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following summarizes the payments and potential payments to each of our named executive officers as of December 31, 2023 upon termination or change-in-control. The discussion assumes that such event occurred on December 31, 2023, the last business day of our fiscal year, at which time the closing price of our Common Stock as listed on Nasdaq was $1.74 per share. For a further discussion of these provisions see the “Narrative Disclosure to Summary Compensation Table” above.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i w:val="1"/>
          <w:iCs w:val="1"/>
          <w:color w:val="auto"/>
        </w:rPr>
        <w:t>Scott R. Milford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January 19, 2024, Mr. Milford is not entitled to any payments upon termination or change-in-control.</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Prior to January 19, 2024, in the event Mr. Milford’s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Ezra T. Ernst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Suzanne A. Scrabis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event Ms. Scrabis terminates her employment for good reason, or in the event the Company terminates Ms. Scrabis’ employment without cause and Ms. Scrabis provides the Company with a release of claims, then Ms. Scrabis will be entitled to receive a payment equal to 50% of her then-current base salary, payable in installments over a period of six months.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Omar A. Haynes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Haynes is not entitled to any payments upon termination or change-in-control.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Compensation Committee did not consider the pay versus performance disclosure below in making its pay decisions for any of the fiscal years shown. Our named executive officers for the year ended December 31, 2023, were Scott R. Milford, Suzanne A. Scrabis, Omar A. Haynes and Ezra T. Ernst.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6"/>
              </w:rPr>
              <w:t>(b)</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5"/>
              </w:rPr>
              <w:t>(c)</w:t>
            </w:r>
          </w:p>
        </w:tc>
        <w:tc>
          <w:tcPr>
            <w:tcW w:w="12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(d)</w:t>
            </w:r>
          </w:p>
        </w:tc>
        <w:tc>
          <w:tcPr>
            <w:tcW w:w="12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w:t>
            </w: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(h)</w:t>
            </w:r>
          </w:p>
        </w:tc>
      </w:tr>
      <w:tr>
        <w:trPr>
          <w:trHeight w:val="175"/>
        </w:trPr>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ind w:right="56"/>
              <w:spacing w:after="0" w:line="175"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right="76"/>
              <w:spacing w:after="0" w:line="175" w:lineRule="exact"/>
              <w:rPr>
                <w:sz w:val="20"/>
                <w:szCs w:val="20"/>
                <w:color w:val="auto"/>
              </w:rPr>
            </w:pPr>
            <w:r>
              <w:rPr>
                <w:rFonts w:ascii="Times New Roman" w:cs="Times New Roman" w:eastAsia="Times New Roman" w:hAnsi="Times New Roman"/>
                <w:sz w:val="17"/>
                <w:szCs w:val="17"/>
                <w:b w:val="1"/>
                <w:bCs w:val="1"/>
                <w:color w:val="auto"/>
                <w:w w:val="95"/>
              </w:rPr>
              <w:t>Value of</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Initial Fixed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2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9"/>
              </w:rPr>
              <w:t>$100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for Non-PEO</w:t>
            </w:r>
          </w:p>
        </w:tc>
        <w:tc>
          <w:tcPr>
            <w:tcW w:w="12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to Non-PEO</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Based On:</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Named</w:t>
            </w: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Named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Net Income</w:t>
            </w:r>
          </w:p>
        </w:tc>
      </w:tr>
      <w:tr>
        <w:trPr>
          <w:trHeight w:val="202"/>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8"/>
              </w:rPr>
              <w:t>for PEO</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to PEO</w:t>
            </w:r>
          </w:p>
        </w:tc>
        <w:tc>
          <w:tcPr>
            <w:tcW w:w="12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Executive</w:t>
            </w: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Executive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Shareholder</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(Loss) ($)</w:t>
            </w:r>
          </w:p>
        </w:tc>
      </w:tr>
      <w:tr>
        <w:trPr>
          <w:trHeight w:val="222"/>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Officers ($)</w:t>
            </w:r>
          </w:p>
        </w:tc>
        <w:tc>
          <w:tcPr>
            <w:tcW w:w="12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Officers ($) (1)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Return ($)</w:t>
            </w: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(thousands)</w:t>
            </w:r>
          </w:p>
        </w:tc>
      </w:tr>
      <w:tr>
        <w:trPr>
          <w:trHeight w:val="195"/>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516,529</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(176,056)</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318,280</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(319,681)</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6"/>
              </w:rPr>
              <w:t>(28,029)</w:t>
            </w:r>
          </w:p>
        </w:tc>
        <w:tc>
          <w:tcPr>
            <w:tcW w:w="100" w:type="dxa"/>
            <w:vAlign w:val="bottom"/>
            <w:tcBorders>
              <w:top w:val="single" w:sz="8" w:color="CCEEFF"/>
            </w:tcBorders>
            <w:shd w:val="clear" w:color="auto" w:fill="CCEEFF"/>
          </w:tcPr>
          <w:p>
            <w:pPr>
              <w:spacing w:after="0"/>
              <w:rPr>
                <w:sz w:val="16"/>
                <w:szCs w:val="16"/>
                <w:color w:val="auto"/>
              </w:rPr>
            </w:pPr>
          </w:p>
        </w:tc>
      </w:tr>
      <w:tr>
        <w:trPr>
          <w:trHeight w:val="218"/>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1,246,956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59,375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567,861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669,260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30.25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(32,629)</w:t>
            </w:r>
          </w:p>
        </w:tc>
      </w:tr>
    </w:tbl>
    <w:p>
      <w:pPr>
        <w:spacing w:after="0" w:line="170" w:lineRule="exact"/>
        <w:rPr>
          <w:sz w:val="20"/>
          <w:szCs w:val="20"/>
          <w:color w:val="auto"/>
        </w:rPr>
      </w:pPr>
    </w:p>
    <w:p>
      <w:pPr>
        <w:ind w:firstLine="1"/>
        <w:spacing w:after="0" w:line="275" w:lineRule="auto"/>
        <w:tabs>
          <w:tab w:leader="none" w:pos="23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compensation actually paid to our principal executive officer (“PEO”) and the average compensation actually paid to our remaining NEOs for the relevant fiscal year, as determined under SEC rules (and described in this section), which includes the individuals indicated above for each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Between Financial Performance Measures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graphs below compare the compensation actually paid to our PEO(s) and the average of the compensation actually paid to our remaining Non-PEO NEOs, with</w:t>
      </w:r>
    </w:p>
    <w:p>
      <w:pPr>
        <w:spacing w:after="0" w:line="22" w:lineRule="exact"/>
        <w:rPr>
          <w:sz w:val="20"/>
          <w:szCs w:val="20"/>
          <w:color w:val="auto"/>
        </w:rPr>
      </w:pPr>
    </w:p>
    <w:p>
      <w:pPr>
        <w:ind w:firstLine="1"/>
        <w:spacing w:after="0" w:line="255" w:lineRule="auto"/>
        <w:tabs>
          <w:tab w:leader="none" w:pos="20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cumulative total shareholder return (“TSR”), and (ii) our net income, in each case, for the fiscal years ended December 31, 2023 and 2022. The TSR amounts reported in the graph assume an initial fixed investment of $100.</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1462405</wp:posOffset>
            </wp:positionH>
            <wp:positionV relativeFrom="page">
              <wp:posOffset>553720</wp:posOffset>
            </wp:positionV>
            <wp:extent cx="4600575" cy="5386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00575" cy="538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21590</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the beneficial ownership of Common Stock as of [●], 2024, for (a) each stockholder known by us to beneficially own 5% or more of any class of our voting securities, (b) each of our named executive officers included in this Proxy Statement, (c) each of our directors and (d) all of our directors and executive officers as a group.</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includes voting or investment power with respect to the securities. We deem shares of Common Stock that may be acquired by an individual or group within 60 days of [●], 2024, pursuant to the exercise of options or warrants or the vesting of RSUs, as applicable, to be outstanding for the purpose of computing the percentage ownership of such individual or group, but not for the purpose of computing the percentage ownership of any other person shown in the table.</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 shares of Common Stock issued and outstanding as of [●],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Percent of</w:t>
            </w:r>
          </w:p>
        </w:tc>
        <w:tc>
          <w:tcPr>
            <w:tcW w:w="0" w:type="dxa"/>
            <w:vAlign w:val="bottom"/>
          </w:tcPr>
          <w:p>
            <w:pPr>
              <w:spacing w:after="0"/>
              <w:rPr>
                <w:sz w:val="1"/>
                <w:szCs w:val="1"/>
                <w:color w:val="auto"/>
              </w:rPr>
            </w:pPr>
          </w:p>
        </w:tc>
      </w:tr>
      <w:tr>
        <w:trPr>
          <w:trHeight w:val="202"/>
        </w:trPr>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Shares of</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Shares of</w:t>
            </w:r>
          </w:p>
        </w:tc>
        <w:tc>
          <w:tcPr>
            <w:tcW w:w="0" w:type="dxa"/>
            <w:vAlign w:val="bottom"/>
          </w:tcPr>
          <w:p>
            <w:pPr>
              <w:spacing w:after="0"/>
              <w:rPr>
                <w:sz w:val="1"/>
                <w:szCs w:val="1"/>
                <w:color w:val="auto"/>
              </w:rPr>
            </w:pPr>
          </w:p>
        </w:tc>
      </w:tr>
      <w:tr>
        <w:trPr>
          <w:trHeight w:val="202"/>
        </w:trPr>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0" w:type="dxa"/>
            <w:vAlign w:val="bottom"/>
          </w:tcPr>
          <w:p>
            <w:pPr>
              <w:spacing w:after="0"/>
              <w:rPr>
                <w:sz w:val="1"/>
                <w:szCs w:val="1"/>
                <w:color w:val="auto"/>
              </w:rPr>
            </w:pPr>
          </w:p>
        </w:tc>
      </w:tr>
      <w:tr>
        <w:trPr>
          <w:trHeight w:val="202"/>
        </w:trPr>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0" w:type="dxa"/>
            <w:vAlign w:val="bottom"/>
          </w:tcPr>
          <w:p>
            <w:pPr>
              <w:spacing w:after="0"/>
              <w:rPr>
                <w:sz w:val="1"/>
                <w:szCs w:val="1"/>
                <w:color w:val="auto"/>
              </w:rPr>
            </w:pPr>
          </w:p>
        </w:tc>
      </w:tr>
      <w:tr>
        <w:trPr>
          <w:trHeight w:val="202"/>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r>
              <w:rPr>
                <w:rFonts w:ascii="Times New Roman" w:cs="Times New Roman" w:eastAsia="Times New Roman" w:hAnsi="Times New Roman"/>
                <w:sz w:val="28"/>
                <w:szCs w:val="28"/>
                <w:b w:val="1"/>
                <w:bCs w:val="1"/>
                <w:color w:val="auto"/>
                <w:vertAlign w:val="superscript"/>
              </w:rPr>
              <w:t>(1)</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0" w:type="dxa"/>
            <w:vAlign w:val="bottom"/>
          </w:tcPr>
          <w:p>
            <w:pPr>
              <w:spacing w:after="0"/>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0" w:type="dxa"/>
            <w:vAlign w:val="bottom"/>
          </w:tcPr>
          <w:p>
            <w:pPr>
              <w:spacing w:after="0"/>
              <w:rPr>
                <w:sz w:val="1"/>
                <w:szCs w:val="1"/>
                <w:color w:val="auto"/>
              </w:rPr>
            </w:pPr>
          </w:p>
        </w:tc>
      </w:tr>
      <w:tr>
        <w:trPr>
          <w:trHeight w:val="195"/>
        </w:trPr>
        <w:tc>
          <w:tcPr>
            <w:tcW w:w="8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Directors and named executive officers:</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44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Scott R. Milford</w:t>
            </w:r>
            <w:r>
              <w:rPr>
                <w:rFonts w:ascii="Times New Roman" w:cs="Times New Roman" w:eastAsia="Times New Roman" w:hAnsi="Times New Roman"/>
                <w:sz w:val="27"/>
                <w:szCs w:val="27"/>
                <w:color w:val="auto"/>
                <w:vertAlign w:val="superscript"/>
              </w:rPr>
              <w:t>(2)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60,660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844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Suzanne A. Scrabis</w:t>
            </w:r>
            <w:r>
              <w:rPr>
                <w:rFonts w:ascii="Times New Roman" w:cs="Times New Roman" w:eastAsia="Times New Roman" w:hAnsi="Times New Roman"/>
                <w:sz w:val="27"/>
                <w:szCs w:val="27"/>
                <w:color w:val="auto"/>
                <w:vertAlign w:val="superscript"/>
              </w:rPr>
              <w:t>(3)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18,750</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844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Ezra T. Ernst</w:t>
            </w:r>
            <w:r>
              <w:rPr>
                <w:rFonts w:ascii="Times New Roman" w:cs="Times New Roman" w:eastAsia="Times New Roman" w:hAnsi="Times New Roman"/>
                <w:sz w:val="27"/>
                <w:szCs w:val="27"/>
                <w:color w:val="auto"/>
                <w:vertAlign w:val="superscript"/>
              </w:rPr>
              <w:t>(4)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49,463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844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Bruce T. Bernstein</w:t>
            </w:r>
            <w:r>
              <w:rPr>
                <w:rFonts w:ascii="Times New Roman" w:cs="Times New Roman" w:eastAsia="Times New Roman" w:hAnsi="Times New Roman"/>
                <w:sz w:val="27"/>
                <w:szCs w:val="27"/>
                <w:color w:val="auto"/>
                <w:vertAlign w:val="superscript"/>
              </w:rPr>
              <w:t>(5)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81,467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2"/>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Gaëlle Wizenberg</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299</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844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Robert Weinstein</w:t>
            </w:r>
            <w:r>
              <w:rPr>
                <w:rFonts w:ascii="Times New Roman" w:cs="Times New Roman" w:eastAsia="Times New Roman" w:hAnsi="Times New Roman"/>
                <w:sz w:val="27"/>
                <w:szCs w:val="27"/>
                <w:color w:val="auto"/>
                <w:vertAlign w:val="superscript"/>
              </w:rPr>
              <w:t>(6)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30,403</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844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Michael Lebowitz</w:t>
            </w:r>
            <w:r>
              <w:rPr>
                <w:rFonts w:ascii="Times New Roman" w:cs="Times New Roman" w:eastAsia="Times New Roman" w:hAnsi="Times New Roman"/>
                <w:sz w:val="27"/>
                <w:szCs w:val="27"/>
                <w:color w:val="auto"/>
                <w:vertAlign w:val="superscript"/>
              </w:rPr>
              <w:t>(7)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34,970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844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Omar A. Haynes</w:t>
            </w:r>
            <w:r>
              <w:rPr>
                <w:rFonts w:ascii="Times New Roman" w:cs="Times New Roman" w:eastAsia="Times New Roman" w:hAnsi="Times New Roman"/>
                <w:sz w:val="27"/>
                <w:szCs w:val="27"/>
                <w:color w:val="auto"/>
                <w:vertAlign w:val="superscript"/>
              </w:rPr>
              <w:t>(8)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5,466</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844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All current directors and executive officers as a group (8 individuals)</w:t>
            </w:r>
            <w:r>
              <w:rPr>
                <w:rFonts w:ascii="Times New Roman" w:cs="Times New Roman" w:eastAsia="Times New Roman" w:hAnsi="Times New Roman"/>
                <w:sz w:val="27"/>
                <w:szCs w:val="27"/>
                <w:color w:val="auto"/>
                <w:vertAlign w:val="superscript"/>
              </w:rPr>
              <w:t>(9)</w:t>
            </w: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281,478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5% percent or more beneficial owners:</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CPC Pain &amp; Wellness SPV, LLC</w:t>
            </w:r>
            <w:r>
              <w:rPr>
                <w:rFonts w:ascii="Times New Roman" w:cs="Times New Roman" w:eastAsia="Times New Roman" w:hAnsi="Times New Roman"/>
                <w:sz w:val="25"/>
                <w:szCs w:val="25"/>
                <w:color w:val="auto"/>
                <w:vertAlign w:val="superscript"/>
              </w:rPr>
              <w:t>(10)</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301 Edgewater Place, Suite 100</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Wakefield, Massachusetts 01880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394,200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7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19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w:t>
        <w:tab/>
        <w:t>Less than 1%</w:t>
      </w:r>
    </w:p>
    <w:p>
      <w:pPr>
        <w:spacing w:after="0" w:line="208" w:lineRule="exact"/>
        <w:rPr>
          <w:sz w:val="20"/>
          <w:szCs w:val="20"/>
          <w:color w:val="auto"/>
        </w:rPr>
      </w:pPr>
    </w:p>
    <w:p>
      <w:pPr>
        <w:ind w:left="300" w:hanging="299"/>
        <w:spacing w:after="0" w:line="257"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indicated in the footnote below, the business address of the individuals in the table above is c/o XWELL, Inc., 254 West 31st Street, 11th Floor, New York, New York 10001.</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beneficially owned includes 2,058 shares of Common Stock and options to purchase 58,602 shares of Common Stock, which are exercisable within 60 days of [●], 2024.</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beneficially owned includes 5,000 RSUs and options to purchase 13,750 shares of Common Stock, which are exercisable within 60 days of [●], 2024.</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beneficially owned includes 1,130 shares of Common Stock and options to purchase 48,333 shares of Common Stock, which are exercisable within 60 days of [●], 2024.</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beneficially owned includes 38,956 shares of Common Stock and options to purchase 42,511 shares of Common Stock, which are exercisable within 60 days of [●], 2024.</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beneficially owned includes 7,824 shares of Common Stock and options to purchase 22,579 shares of Common Stock, which are exercisable within 60 days of [●], 2024.</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beneficially owned includes 12,974 vested shares of Common Stock and options to purchase 21,996 shares of Common Stock, which are exercisable within 60 days of [●], 2024.</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beneficially owned includes 5,466 RSUs.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footnotes (2) through (8).</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information contained in a Schedule 13D/A filed on July 22, 2024 by CPC Pain &amp; Wellness SPV, LLC.</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color w:val="auto"/>
        </w:rPr>
        <w:t>REPORT OF AUDIT COMMITTEE</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Audit Committee, which consists entirely of directors who meet the independence and experience requirements of the Nasdaq Capital Market, has furnished the following report:</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t>
      </w:r>
      <w:r>
        <w:rPr>
          <w:rFonts w:ascii="Times New Roman" w:cs="Times New Roman" w:eastAsia="Times New Roman" w:hAnsi="Times New Roman"/>
          <w:sz w:val="17"/>
          <w:szCs w:val="17"/>
          <w:i w:val="1"/>
          <w:iCs w:val="1"/>
          <w:color w:val="auto"/>
        </w:rPr>
        <w:t>www.xwell.com/corporate-governance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This Committee reviews and reassesses our charter annually and recommends any changes to the Board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2023, the Audit Committee took the following actions:</w:t>
      </w:r>
    </w:p>
    <w:p>
      <w:pPr>
        <w:spacing w:after="0" w:line="177" w:lineRule="exact"/>
        <w:rPr>
          <w:sz w:val="20"/>
          <w:szCs w:val="20"/>
          <w:color w:val="auto"/>
        </w:rPr>
      </w:pPr>
    </w:p>
    <w:p>
      <w:pPr>
        <w:ind w:left="600" w:hanging="296"/>
        <w:spacing w:after="0" w:line="257"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discussed the audited financial statements for the fiscal year ended December 31, 2023 with management and Marcum, our independent registered public accounting firm;</w:t>
      </w:r>
    </w:p>
    <w:p>
      <w:pPr>
        <w:spacing w:after="0" w:line="1" w:lineRule="exact"/>
        <w:rPr>
          <w:rFonts w:ascii="Times New Roman" w:cs="Times New Roman" w:eastAsia="Times New Roman" w:hAnsi="Times New Roman"/>
          <w:sz w:val="17"/>
          <w:szCs w:val="17"/>
          <w:color w:val="auto"/>
        </w:rPr>
      </w:pPr>
    </w:p>
    <w:p>
      <w:pPr>
        <w:ind w:left="600" w:hanging="296"/>
        <w:spacing w:after="0" w:line="247"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Marcum the matters required to be discussed by the applicable requirements of the Public Company Accounting Oversight Board (“PCAOB”) and the SEC; and</w:t>
      </w:r>
    </w:p>
    <w:p>
      <w:pPr>
        <w:spacing w:after="0" w:line="1" w:lineRule="exact"/>
        <w:rPr>
          <w:rFonts w:ascii="Times New Roman" w:cs="Times New Roman" w:eastAsia="Times New Roman" w:hAnsi="Times New Roman"/>
          <w:sz w:val="17"/>
          <w:szCs w:val="17"/>
          <w:color w:val="auto"/>
        </w:rPr>
      </w:pPr>
    </w:p>
    <w:p>
      <w:pPr>
        <w:jc w:val="both"/>
        <w:ind w:left="600" w:hanging="296"/>
        <w:spacing w:after="0" w:line="250"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written disclosures and the letter from Marcum LLP regarding its independence as required by applicable requirements of the PCAOB regarding Marcum communications with the Audit Committee, and the Audit Committee further discussed with Marcum their independence. The Audit Committee also considered the status of pending litigation, taxation matters and other areas of oversight relating to the financial reporting and audit process that the committee determined appropriate.</w:t>
      </w:r>
    </w:p>
    <w:p>
      <w:pPr>
        <w:spacing w:after="0" w:line="17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Based on the Audit Committee’s review of the audited financial statements and discussions with management and Marcum LLP, the Audit Committee recommended to the Board that the audited financial statements be included in our 2023 Annual Report, for filing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Members of the Audit Committee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Robert Weinstein (Chairman)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Bruce T. Bernstein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Gaëlle Wizenberg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41" w:name="page42"/>
    <w:bookmarkEnd w:id="41"/>
    <w:p>
      <w:pPr>
        <w:ind w:left="2860"/>
        <w:spacing w:after="0"/>
        <w:rPr>
          <w:sz w:val="20"/>
          <w:szCs w:val="20"/>
          <w:color w:val="auto"/>
        </w:rPr>
      </w:pPr>
      <w:r>
        <w:rPr>
          <w:rFonts w:ascii="Times New Roman" w:cs="Times New Roman" w:eastAsia="Times New Roman" w:hAnsi="Times New Roman"/>
          <w:sz w:val="17"/>
          <w:szCs w:val="17"/>
          <w:b w:val="1"/>
          <w:bCs w:val="1"/>
          <w:color w:val="auto"/>
        </w:rPr>
        <w:t>CERTAIN RELATIONSHIPS AND RELATED PERSON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Person Transactions Approval Policy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related party transactions must be reviewed and approved by our Audit Committee.</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Although we do not have a formal policy with regard to approving related party transactions, our Board may consider the following factors when deciding whether to approve a related party transaction: the nature of the related party’s interest in the transaction; the material terms of the transaction, including, but not limited to, the amount and type of the transaction; the importance of the transaction to the related party; whether the transaction would impair the judgment of a director or executive officer to act in our best interests; and any other matters deemed appropriate by our Board.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Related Persons</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Since the beginning of the last fiscal year, there has not been any transaction, nor is there any currently proposed transaction, or series of similar transactions to which the Company was or is to be a party in which the amount involved exceeds the lower of $120,000 or one percent of the average of our total assets at year-end for the last two completed fiscal years, and in which any director, executive officer, holder of more than 5% of our Common Stock or any member of the immediate family of any of the foregoing persons had or will have a direct or indirect material interest.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Stockholders may also consider and act upon such other matters as may properly come before the Annual Meeting. The Board knows of no other business which will be presented at the Annual Meeting and is not aware of any such other matters that may properly come before the Annual Meeting at the present time. If any other matters are properly brought before the Annual Meeting, the persons named in the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or voting instruction form will vote the shares they represent in accordance with their best judgment and in the manner they believe to be in the best interest of the Company to the extent permitted by Rule 14a-4(c) of the Exchange Act.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documents with the SEC under the Exchange Act. Company’s SEC filings made electronically through the SEC’s EDGAR system are available to the public at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xml:space="preserve">. You may also find our SEC filings in the “SEC Filings” section of the “Investors” section of our website at </w:t>
      </w:r>
      <w:r>
        <w:rPr>
          <w:rFonts w:ascii="Times New Roman" w:cs="Times New Roman" w:eastAsia="Times New Roman" w:hAnsi="Times New Roman"/>
          <w:sz w:val="17"/>
          <w:szCs w:val="17"/>
          <w:i w:val="1"/>
          <w:iCs w:val="1"/>
          <w:color w:val="auto"/>
        </w:rPr>
        <w:t>www.xwell.com</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DELIVERY OF DOCUMENTS TO STOCKHOLDERS SHARING AN ADDRESS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two or more stockholders share an address, we may send a single copy of the 2023 Annual Report, this Proxy Statement, the Notice of Internet Availability of Proxy Materials or other proxy materials, as applicable, to the shared address, unless we have received contrary instructions from one or more of such stockholders sharing the address. Additionally, we will promptly send a separate copy of the 2023 Annual Report, this Proxy Statement, or Notice of Internet Availability of Proxy Materials, as applicable, upon oral or written request by any stockholder at a shared address to which a single copy of the documents was delivered. Such requests should be submitted to XWELL, Inc., 254 West 31st Street, 11th Floor, New York, New York 10001, Attention: Corporate Secretary; telephone number (212) 750-9595 or by contacting our proxy solicitor, Alliance, by calling 1-888-490-5110. If any stockholders sharing an address receive multiple copies of the 2023 Annual Report, this Proxy Statement, the Notice of Internet Availability of Proxy Materials or other proxy materials, such stockholders may make such request to our Corporate Secretary at the same address or telephone number described above.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COMMUNICATIONS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Stockholders and other interested parties who desire to communicate directly with our independent, non-management directors should submit communications in writing addressed to XWELL, Inc., 254 West 31st Street, 11th Floor, New York, New York 10001, Attention: Corporate Secretary. The Corporate Secretary will, as appropriate, forward communications to the Board or to any individual director, directors, or committee to whom the communication is directed.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On July 19, 2024, CPC SPV filed a complaint in the Chancery Court against the Company and the Board seeking, among other things, declaratory relief that the Purported CPC SPV Nominees can stand for election at the Annual Meeting. The litigation is pending and set for trial on September 18-19, 2024. </w:t>
      </w:r>
      <w:r>
        <w:rPr>
          <w:rFonts w:ascii="Times New Roman" w:cs="Times New Roman" w:eastAsia="Times New Roman" w:hAnsi="Times New Roman"/>
          <w:sz w:val="17"/>
          <w:szCs w:val="17"/>
          <w:b w:val="1"/>
          <w:bCs w:val="1"/>
          <w:color w:val="auto"/>
        </w:rPr>
        <w:t>Unless the result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litigation is that the Purported Nomination Notice is deemed valid, any director nominations made by CPC SPV will be disregarded, and no proxies voted in favor of the Purported CPC SPV Nominees will be recognized or tabulated at the Annual Meeting.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SUBMISSION OF STOCKHOLDER PROPOSALS AND DIRECTOR NOMINATIONS AT THE 2025 ANNUAL MEETING</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 stockholder who intends to submit a proposal at the 2025 Annual Meeting to be included in the Company’s proxy statement and form of proxy for the 2025 Annual Meeting in accordance with Rule 14a-8 under the Exchange Act must submit the proposal no later than [ ● ] in writing to our corporate offices as follows, XWELL, Inc., 254 West 31st Street, 11th Floor, New York, New York 10001, attention Cara Soffer, General Counsel. Such proposal must comply with Rule 14a-8 under the Exchange Act.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17"/>
          <w:szCs w:val="17"/>
          <w:color w:val="auto"/>
        </w:rPr>
        <w:t>In accordance with our Bylaws, a stockholder who intends to submit a proposal at the 2025 Annual Meeting outside of the process of Rule 14a-8 and not to be included in the Company’s proxy statement must follow the submission criteria and deadlines set forth in our Bylaws concerning stockholder proposals, including providing proper notice of the proposal in writing. In addition, a stockholder who intends to nominate a director for election to the Board at the 2025 Annual Meeting must follow the submission criteria and deadlines set forth in our Bylaws concerning stockholder proposals, including providing proper notice of the nomination in writing. Stockholder nominations for director and other proposals that are not to be included in the Company’s proxy statement must be received by our Corporate Secretary in writing at our corporate offices, as listed above, no earlier than [●], and no later than [●]. Any such stockholder proposals or nominations for director must satisfy the requirements set forth in our Bylaws. Stockholders are also advised to review our Bylaws, which contain additional advance notice requirements, including requirements with respect to advance notice of stockholder proposals and director nominations. In addition to satisfying the requirements under our Bylaws, to comply with the universal proxy rules under the Exchange Act, any shareholder who intends to solicit proxies in support of director nominees other than the Company’s nominees must provide written notice that sets forth the information required by Rule 14a-19 under the Exchange Act no later than [●].</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 REGARDING PARTICIPANTS IN THE SOLICITATION</w:t>
      </w:r>
    </w:p>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Under applicable SEC rules and regulations, members of the Board, and certain executive officers of the Company are “participants” with respect to our solicitation of proxies in connection with the Annual Meeting. The following sets forth certain information about such persons (the “Participants”).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names and present principal occupation of our directors, each a Participant, are set forth below. The business address for our current directors is c/o XWELL, Inc., 254 West 31st Street, 11th Floor, New York, New York 10001.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Pr>
          <w:p>
            <w:pPr>
              <w:spacing w:after="0"/>
              <w:rPr>
                <w:sz w:val="19"/>
                <w:szCs w:val="19"/>
                <w:color w:val="auto"/>
              </w:rPr>
            </w:pPr>
          </w:p>
        </w:tc>
        <w:tc>
          <w:tcPr>
            <w:tcW w:w="886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7"/>
                <w:szCs w:val="17"/>
                <w:b w:val="1"/>
                <w:bCs w:val="1"/>
                <w:color w:val="auto"/>
              </w:rPr>
              <w:t>Present Principal Occupation</w:t>
            </w:r>
          </w:p>
        </w:tc>
      </w:tr>
      <w:tr>
        <w:trPr>
          <w:trHeight w:val="179"/>
        </w:trPr>
        <w:tc>
          <w:tcPr>
            <w:tcW w:w="226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Bruce T. Bernstein</w:t>
            </w:r>
          </w:p>
        </w:tc>
        <w:tc>
          <w:tcPr>
            <w:tcW w:w="120" w:type="dxa"/>
            <w:vAlign w:val="bottom"/>
          </w:tcPr>
          <w:p>
            <w:pPr>
              <w:spacing w:after="0"/>
              <w:rPr>
                <w:sz w:val="15"/>
                <w:szCs w:val="15"/>
                <w:color w:val="auto"/>
              </w:rPr>
            </w:pPr>
          </w:p>
        </w:tc>
        <w:tc>
          <w:tcPr>
            <w:tcW w:w="886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President, Rockmore Capital, LLC</w:t>
            </w:r>
          </w:p>
        </w:tc>
      </w:tr>
      <w:tr>
        <w:trPr>
          <w:trHeight w:val="202"/>
        </w:trPr>
        <w:tc>
          <w:tcPr>
            <w:tcW w:w="2260" w:type="dxa"/>
            <w:vAlign w:val="bottom"/>
          </w:tcPr>
          <w:p>
            <w:pPr>
              <w:spacing w:after="0"/>
              <w:rPr>
                <w:sz w:val="17"/>
                <w:szCs w:val="17"/>
                <w:color w:val="auto"/>
              </w:rPr>
            </w:pPr>
          </w:p>
        </w:tc>
        <w:tc>
          <w:tcPr>
            <w:tcW w:w="8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Chairman of the Board of XWELL, Inc.</w:t>
            </w:r>
          </w:p>
        </w:tc>
      </w:tr>
      <w:tr>
        <w:trPr>
          <w:trHeight w:val="202"/>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Michael Lebowitz</w:t>
            </w:r>
          </w:p>
        </w:tc>
        <w:tc>
          <w:tcPr>
            <w:tcW w:w="8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Founder and Executive Chair, SPCSHP</w:t>
            </w:r>
          </w:p>
        </w:tc>
      </w:tr>
      <w:tr>
        <w:trPr>
          <w:trHeight w:val="202"/>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Scott R. Milford</w:t>
            </w:r>
          </w:p>
        </w:tc>
        <w:tc>
          <w:tcPr>
            <w:tcW w:w="8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President and Chief Executive Officer, XWELL, Inc.</w:t>
            </w:r>
          </w:p>
        </w:tc>
      </w:tr>
      <w:tr>
        <w:trPr>
          <w:trHeight w:val="202"/>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Robert Weinstein</w:t>
            </w:r>
          </w:p>
        </w:tc>
        <w:tc>
          <w:tcPr>
            <w:tcW w:w="8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Executive Vice President, Treasurer, Secretary and Chief Financial Officer, Synaptogenix, Inc.</w:t>
            </w:r>
          </w:p>
        </w:tc>
      </w:tr>
      <w:tr>
        <w:trPr>
          <w:trHeight w:val="218"/>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Gaëlle Wizenberg</w:t>
            </w:r>
          </w:p>
        </w:tc>
        <w:tc>
          <w:tcPr>
            <w:tcW w:w="8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Founder and Chief Executive Officer, Objects of Magic LLC</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Scott R. Milford is an executive officer of the Company who is a Participant. Mr. Milford’s business address is c/o XWELL, Inc., 254 West 31st Street, 11th Floor, New York, New York 10001. His present principal occupation is stated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Regarding Ownership of the Company’s Securities by Participants</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number of the Company’s securities beneficially owned by the Participants as of [●], 2024 is set forth in the section entitled “Security Ownership of Certain Beneficial Owners and Management” in the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Regarding Transactions in the Company’s Securities by Participants</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following table sets forth information regarding purchases and sales of the Company’s securities by the Participants within the past two years. No part of the purchase price or market value of these securities is represented by funds borrowed or otherwise obtained for the purpose of acquiring or holding such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Title of Security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00" w:type="dxa"/>
            <w:vAlign w:val="bottom"/>
          </w:tcPr>
          <w:p>
            <w:pPr>
              <w:spacing w:after="0"/>
              <w:rPr>
                <w:sz w:val="17"/>
                <w:szCs w:val="17"/>
                <w:color w:val="auto"/>
              </w:rPr>
            </w:pPr>
          </w:p>
        </w:tc>
        <w:tc>
          <w:tcPr>
            <w:tcW w:w="4040" w:type="dxa"/>
            <w:vAlign w:val="bottom"/>
            <w:vMerge w:val="restart"/>
          </w:tcPr>
          <w:p>
            <w:pPr>
              <w:ind w:left="1560"/>
              <w:spacing w:after="0"/>
              <w:rPr>
                <w:sz w:val="20"/>
                <w:szCs w:val="20"/>
                <w:color w:val="auto"/>
              </w:rPr>
            </w:pPr>
            <w:r>
              <w:rPr>
                <w:rFonts w:ascii="Times New Roman" w:cs="Times New Roman" w:eastAsia="Times New Roman" w:hAnsi="Times New Roman"/>
                <w:sz w:val="17"/>
                <w:szCs w:val="17"/>
                <w:b w:val="1"/>
                <w:bCs w:val="1"/>
                <w:color w:val="auto"/>
              </w:rPr>
              <w:t>Transactions</w:t>
            </w:r>
          </w:p>
        </w:tc>
        <w:tc>
          <w:tcPr>
            <w:tcW w:w="0" w:type="dxa"/>
            <w:vAlign w:val="bottom"/>
          </w:tcPr>
          <w:p>
            <w:pPr>
              <w:spacing w:after="0"/>
              <w:rPr>
                <w:sz w:val="1"/>
                <w:szCs w:val="1"/>
                <w:color w:val="auto"/>
              </w:rPr>
            </w:pPr>
          </w:p>
        </w:tc>
      </w:tr>
      <w:tr>
        <w:trPr>
          <w:trHeight w:val="121"/>
        </w:trPr>
        <w:tc>
          <w:tcPr>
            <w:tcW w:w="1800" w:type="dxa"/>
            <w:vAlign w:val="bottom"/>
            <w:gridSpan w:val="2"/>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00" w:type="dxa"/>
            <w:vAlign w:val="bottom"/>
          </w:tcPr>
          <w:p>
            <w:pPr>
              <w:spacing w:after="0"/>
              <w:rPr>
                <w:sz w:val="10"/>
                <w:szCs w:val="10"/>
                <w:color w:val="auto"/>
              </w:rPr>
            </w:pPr>
          </w:p>
        </w:tc>
        <w:tc>
          <w:tcPr>
            <w:tcW w:w="4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Bruce T. Bernstein</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11/30/2022</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Common Stock</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16,110</w:t>
            </w:r>
          </w:p>
        </w:tc>
        <w:tc>
          <w:tcPr>
            <w:tcW w:w="10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Open Market Purchase</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12/01/2022</w:t>
            </w:r>
          </w:p>
        </w:tc>
        <w:tc>
          <w:tcPr>
            <w:tcW w:w="12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Common Stock</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33,890</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Open Market Purchase</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01/05/2023</w:t>
            </w: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7"/>
              </w:rPr>
              <w:t>Stock Option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600,000</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Grant, Award or Other Acquisition</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Lebowitz</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01/05/2023</w:t>
            </w: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7"/>
              </w:rPr>
              <w:t>Stock Option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300,000</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Grant, Award or Other Acquisition</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R. Milford</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12/05/2022</w:t>
            </w: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7"/>
              </w:rPr>
              <w:t>Common Stock</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5,800</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Open Market Purchase</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12/06/2022</w:t>
            </w:r>
          </w:p>
        </w:tc>
        <w:tc>
          <w:tcPr>
            <w:tcW w:w="12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Common Stock</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22,950</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Open Market Purchase</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01/05/2023</w:t>
            </w: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7"/>
              </w:rPr>
              <w:t>Stock Option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Grant, Award or Other Acquisition</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02/05/2023</w:t>
            </w:r>
          </w:p>
        </w:tc>
        <w:tc>
          <w:tcPr>
            <w:tcW w:w="12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Stock Option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10,000</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Grant, Award of Other Acquisition</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Weinstein</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01/05/2023</w:t>
            </w:r>
          </w:p>
        </w:tc>
        <w:tc>
          <w:tcPr>
            <w:tcW w:w="12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Stock Option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300,000</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Grant, Award or Other Acquisition</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05/26/2023</w:t>
            </w: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7"/>
              </w:rPr>
              <w:t>Common Stock</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25,000</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Open Market Purchase</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05/30/2023</w:t>
            </w:r>
          </w:p>
        </w:tc>
        <w:tc>
          <w:tcPr>
            <w:tcW w:w="12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Common Stock</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25,000</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Open Market Purchase</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Gaëlle Wizenberg</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04/26/2024</w:t>
            </w:r>
          </w:p>
        </w:tc>
        <w:tc>
          <w:tcPr>
            <w:tcW w:w="12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Common Stock</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100</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Open Market Purchase</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05/07/2024</w:t>
            </w: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7"/>
              </w:rPr>
              <w:t>Common Stock</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199</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Open Market Purchase</w:t>
            </w:r>
          </w:p>
        </w:tc>
        <w:tc>
          <w:tcPr>
            <w:tcW w:w="0" w:type="dxa"/>
            <w:vAlign w:val="bottom"/>
          </w:tcPr>
          <w:p>
            <w:pPr>
              <w:spacing w:after="0"/>
              <w:rPr>
                <w:sz w:val="1"/>
                <w:szCs w:val="1"/>
                <w:color w:val="auto"/>
              </w:rPr>
            </w:pPr>
          </w:p>
        </w:tc>
      </w:tr>
      <w:tr>
        <w:trPr>
          <w:trHeight w:val="606"/>
        </w:trPr>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16"/>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i w:val="1"/>
          <w:iCs w:val="1"/>
          <w:color w:val="auto"/>
        </w:rPr>
        <w:t>Miscellaneous Information Concerning the Participants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Other than as set forth in this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or elsewhere in the Proxy Statement and based on the information provided by each Participant, none of the Participants</w:t>
      </w:r>
    </w:p>
    <w:p>
      <w:pPr>
        <w:spacing w:after="0" w:line="22" w:lineRule="exact"/>
        <w:rPr>
          <w:sz w:val="20"/>
          <w:szCs w:val="20"/>
          <w:color w:val="auto"/>
        </w:rPr>
      </w:pPr>
    </w:p>
    <w:p>
      <w:pPr>
        <w:jc w:val="both"/>
        <w:ind w:firstLine="1"/>
        <w:spacing w:after="0" w:line="249" w:lineRule="auto"/>
        <w:tabs>
          <w:tab w:leader="none" w:pos="20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beneficially owns (within the meaning of Rule 13d-3 under the Exchange Act), directly or indirectly, or owns of record but not beneficially, any shares of Common Stock or other securities of the Company or (ii) beneficially owns (within the meaning of Rule 13d-3 under the Exchange Act), directly or indirectly, securities of any parent or subsidiary of the Company. In addition, other than as set forth in this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or elsewhere in the Proxy Statement and based on the information provided by each Participant, none of the Participants’ associates beneficially owns (within the meaning of Rule 13d-3 under the Exchange Act), directly or indirectly, any shares of Common Stock or other securities of the Company.</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Other than as set forth in this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or elsewhere in the Proxy Statement and based on the information provided by each Participant, (i) none of the Participants listed above is now, or has been within the past year, a party to any contract, arrangements or understandings with any person with respect to any of the Company’s securities, including, but not limited to, joint ventures, loan or option arrangements, puts or calls, guarantees against loss or guarantees of profit, division of losses or profits or the giving or withholding of proxies and (ii) no Participant has been convicted in a criminal proceeding (excluding traffic violations and similar misdemeanors) during the past ten years.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Other than as set forth in this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or elsewhere in the Proxy Statement and based on the information provided by each Participant, none of the Participants or their associates have any arrangement or understanding with any person with respect to any future employment by the Company or its affiliates or with respect to any future transactions to which the Company or any of its affiliates will or may be a party.</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Other than as set forth in this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or elsewhere in the Proxy Statement and based on the information provided by each Participant, neither the Participants nor any of their associates or immediate family members have a direct or indirect material interest in any transaction or series of similar transactions since the beginning of our last fiscal year, or any currently proposed transactions, or series of similar transactions, to which the Company or any of its subsidiaries was or is to be a party in which the amount involved exceeds $120,000.</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Other than as set forth in this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or elsewhere in the Proxy Statement and based on the information provided by each Participant, no Participant (i) is a party to an arrangement or understanding pursuant to which a nominee for election as director is proposed to be elected or (ii) has any substantial interest, direct or indirect, by security holdings or otherwise, in any matter to be acted upon at the Annual Meeting.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4670" cy="9161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84670" cy="9161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4670" cy="9161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84670" cy="9161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lowerRoman"/>
      <w:start w:val="2"/>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lowerRoman"/>
      <w:start w:val="2"/>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lvl w:ilvl="1">
      <w:lvlJc w:val="left"/>
      <w:lvlText w:val="o"/>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o"/>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lowerRoman"/>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2024-08-02T16:49:01Z</dcterms:created>
  <dcterms:modified xsi:type="dcterms:W3CDTF">2024-08-02T16:49:01Z</dcterms:modified>
</cp:coreProperties>
</file>