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333-264026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XPRESSPA GROUP, INC.</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4,696,134 SHARES</w:t>
      </w:r>
    </w:p>
    <w:p>
      <w:pPr>
        <w:spacing w:after="0" w:line="207" w:lineRule="exact"/>
        <w:rPr>
          <w:sz w:val="24"/>
          <w:szCs w:val="24"/>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4,696,134 shares of our common stock, par value $0.01 per share (“Common Stock”), by the selling stockholders named herein. On January 9, 2022, we entered into a Membership Interests Purchase Agreement (the “Purchase Agreement”) with Peter Newman, John H. Martinson and Ezra Ernst (the “Selling Stockholders”). Pursuant to the Purchase Agreement, we acquired all of the issued and outstanding membership interests of GCG Connect LLC d/b/a HyperPointe, a New Jersey limited liability company, from the Selling Stockholders in exchange for a cash payment and the issuance of 552,487 shares of our Common Stock at closing (the “Closing Shares”). In addition, the Selling Stockholders may be entitled to earn-out payments of up to $7,500,000 based on the achievement of certain milestones during the three years following the date of the Purchase Agreement. Earn-out payments, if any, may be made, at the election of the Selling Stockholders, in cash, in Common Stock, valued at $1.81 per share, or a combination thereof, such that up to a maximum of 4,143,647 additional shares of Common Stock could be issued to the Selling Stockholders if all earn-out milestones are achieved (the “Earn-out Shares”).</w:t>
      </w:r>
    </w:p>
    <w:p>
      <w:pPr>
        <w:spacing w:after="0" w:line="18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Pursuant to the terms of the Purchase Agreement, we are required to register the resale of (a) the shares of Common Stock issued at the closing of the transactions contemplated by the Purchase Agreement and (b) 100% of the Earn-out Shares.</w:t>
      </w:r>
    </w:p>
    <w:p>
      <w:pPr>
        <w:spacing w:after="0" w:line="162" w:lineRule="exact"/>
        <w:rPr>
          <w:sz w:val="24"/>
          <w:szCs w:val="24"/>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sale of shares by any Selling Stockholder. The Selling Stockholders may sell their respective shares of Common Stock described in this prospectus in a number of different ways and at varying prices. We provide more information about how the Selling Stockholders may resell their respective shares of our Common Stock in the section titled “Plan of Distribution” beginning on page 8. We will pay the expenses incurred in registering the shares, including legal and accounting fees.</w:t>
      </w:r>
    </w:p>
    <w:p>
      <w:pPr>
        <w:spacing w:after="0" w:line="180"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Nasdaq Capital Market, or Nasdaq, under the symbol “XSPA.” On May 16, 2022, the last reported sale price of our Common Stock was $0.9008 per share. Prospective purchasers of our Common Stock are urged to obtain current information as to the market prices of our Common Stock.</w:t>
      </w:r>
    </w:p>
    <w:p>
      <w:pPr>
        <w:spacing w:after="0" w:line="172" w:lineRule="exact"/>
        <w:rPr>
          <w:sz w:val="24"/>
          <w:szCs w:val="24"/>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Before deciding whether to invest in our securities, you should consider carefully the risks that we have described on page 2 of this prospectus under the caption “Risk Factors.”</w:t>
      </w:r>
    </w:p>
    <w:p>
      <w:pPr>
        <w:spacing w:after="0" w:line="155" w:lineRule="exact"/>
        <w:rPr>
          <w:sz w:val="24"/>
          <w:szCs w:val="24"/>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May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12"/>
        </w:trPr>
        <w:tc>
          <w:tcPr>
            <w:tcW w:w="22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820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9"/>
              </w:rPr>
              <w:t>ii</w:t>
            </w:r>
          </w:p>
        </w:tc>
      </w:tr>
      <w:tr>
        <w:trPr>
          <w:trHeight w:val="277"/>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6"/>
              </w:rPr>
              <w:t>PROSPECTUS SUMMARY</w:t>
            </w:r>
          </w:p>
        </w:tc>
        <w:tc>
          <w:tcPr>
            <w:tcW w:w="8380" w:type="dxa"/>
            <w:vAlign w:val="bottom"/>
            <w:gridSpan w:val="8"/>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800" w:type="dxa"/>
            <w:vAlign w:val="bottom"/>
            <w:gridSpan w:val="3"/>
          </w:tcPr>
          <w:p>
            <w:pPr>
              <w:spacing w:after="0"/>
              <w:rPr>
                <w:sz w:val="24"/>
                <w:szCs w:val="24"/>
                <w:color w:val="auto"/>
              </w:rPr>
            </w:pPr>
          </w:p>
        </w:tc>
        <w:tc>
          <w:tcPr>
            <w:tcW w:w="8380" w:type="dxa"/>
            <w:vAlign w:val="bottom"/>
            <w:gridSpan w:val="8"/>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04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53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5100" w:type="dxa"/>
            <w:vAlign w:val="bottom"/>
            <w:gridSpan w:val="2"/>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SELLING STOCKHOLDERS</w:t>
            </w:r>
          </w:p>
        </w:tc>
        <w:tc>
          <w:tcPr>
            <w:tcW w:w="8220" w:type="dxa"/>
            <w:vAlign w:val="bottom"/>
            <w:gridSpan w:val="7"/>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8"/>
              </w:rPr>
              <w:t>PLAN OF DISTRIBUTION</w:t>
            </w:r>
          </w:p>
        </w:tc>
        <w:tc>
          <w:tcPr>
            <w:tcW w:w="160" w:type="dxa"/>
            <w:vAlign w:val="bottom"/>
          </w:tcPr>
          <w:p>
            <w:pPr>
              <w:spacing w:after="0"/>
              <w:rPr>
                <w:sz w:val="24"/>
                <w:szCs w:val="24"/>
                <w:color w:val="auto"/>
              </w:rPr>
            </w:pPr>
          </w:p>
        </w:tc>
        <w:tc>
          <w:tcPr>
            <w:tcW w:w="8220" w:type="dxa"/>
            <w:vAlign w:val="bottom"/>
            <w:gridSpan w:val="7"/>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9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DESCRIPTION OF COMMON STOCK</w:t>
            </w:r>
          </w:p>
        </w:tc>
        <w:tc>
          <w:tcPr>
            <w:tcW w:w="7480" w:type="dxa"/>
            <w:vAlign w:val="bottom"/>
            <w:gridSpan w:val="5"/>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11</w:t>
            </w:r>
          </w:p>
        </w:tc>
      </w:tr>
      <w:tr>
        <w:trPr>
          <w:trHeight w:val="277"/>
        </w:trPr>
        <w:tc>
          <w:tcPr>
            <w:tcW w:w="100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CERTAIN PROVISIONS OF DELAWARE LAW AND OF THE COMPANY’S CERTIFICATE OF INCORPORATION AND BYLAWS</w:t>
            </w:r>
          </w:p>
        </w:tc>
        <w:tc>
          <w:tcPr>
            <w:tcW w:w="44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12</w:t>
            </w:r>
          </w:p>
        </w:tc>
      </w:tr>
      <w:tr>
        <w:trPr>
          <w:trHeight w:val="277"/>
        </w:trPr>
        <w:tc>
          <w:tcPr>
            <w:tcW w:w="104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13</w:t>
            </w:r>
          </w:p>
        </w:tc>
      </w:tr>
      <w:tr>
        <w:trPr>
          <w:trHeight w:val="277"/>
        </w:trPr>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2"/>
          </w:tcPr>
          <w:p>
            <w:pPr>
              <w:spacing w:after="0"/>
              <w:rPr>
                <w:sz w:val="24"/>
                <w:szCs w:val="24"/>
                <w:color w:val="auto"/>
              </w:rPr>
            </w:pPr>
          </w:p>
        </w:tc>
        <w:tc>
          <w:tcPr>
            <w:tcW w:w="8980" w:type="dxa"/>
            <w:vAlign w:val="bottom"/>
            <w:gridSpan w:val="10"/>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13</w:t>
            </w:r>
          </w:p>
        </w:tc>
      </w:tr>
      <w:tr>
        <w:trPr>
          <w:trHeight w:val="277"/>
        </w:trPr>
        <w:tc>
          <w:tcPr>
            <w:tcW w:w="104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13</w:t>
            </w:r>
          </w:p>
        </w:tc>
      </w:tr>
      <w:tr>
        <w:trPr>
          <w:trHeight w:val="20"/>
        </w:trPr>
        <w:tc>
          <w:tcPr>
            <w:tcW w:w="3820" w:type="dxa"/>
            <w:vAlign w:val="bottom"/>
            <w:gridSpan w:val="9"/>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77"/>
        </w:trPr>
        <w:tc>
          <w:tcPr>
            <w:tcW w:w="104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14</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00" w:lineRule="exact"/>
        <w:rPr>
          <w:sz w:val="20"/>
          <w:szCs w:val="20"/>
          <w:color w:val="auto"/>
        </w:rPr>
      </w:pPr>
    </w:p>
    <w:p>
      <w:pPr>
        <w:spacing w:after="0" w:line="2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This prospectus does not contain all of the information included in the registration statement. For a more complete understanding of the offering of the securities, you should refer to the registration statement, including its exhibits. This prospectus, together with the documents incorporated by reference into this prospectus, includes all material information relating to the offering of securities under this prospectus. You should carefully read this prospectus, the information and documents incorporated herein by reference and the additional information under the heading “Where You Can Find More Information” before making an investment decision.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and the Selling Stockholders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We and the Selling Stockholders take no responsibility for, and can provide no assurances as to the reliability of, any other information that others may give you.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to “we,” “our,” “us,” or the “Company” in this prospectus mean XpresSpa Group, Inc., together with its subsidiaries.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317500</wp:posOffset>
            </wp:positionH>
            <wp:positionV relativeFrom="page">
              <wp:posOffset>447040</wp:posOffset>
            </wp:positionV>
            <wp:extent cx="6913245" cy="7324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13245" cy="7324725"/>
                    </a:xfrm>
                    <a:prstGeom prst="rect">
                      <a:avLst/>
                    </a:prstGeom>
                    <a:noFill/>
                  </pic:spPr>
                </pic:pic>
              </a:graphicData>
            </a:graphic>
          </wp:anchor>
        </w:drawing>
        <w:t>PROSPECTUS SUMMARY</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summary of what we believe to be the most important aspects of our business and a general description of the securities that may be offered for resale or other disposition by the Selling Stockholders. We urge you to read this entire prospectus, including the more detailed consolidated financial statements, notes to the consolidated financial statements and other information incorporated by reference from our other filings with the SEC. Investing in our securities involves risks. Therefore, carefully consider the risk factors set forth in our most recent annual and quarterly filings with the SEC, as well as other information in this prospectus and the documents incorporated by reference herein, before purchasing our securities. Each of the risk factors could adversely affect our business, operating results and financial condition, as well as adversely affect the value of an investment in our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XpresSpa Group, Inc. (“XpresSpa Group”) is one of the leading global travel health and wellness services holding companies. XpresSpa Group currently has four reportable operating segments: XpresSpa®, XpresTest, Treat™ and HyperPointe, which we acquired in January 2022.</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XpresSpa Group’s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March 2020, we temporarily closed all global XpresSpa locations due to the categorization by local jurisdictions of the spa locations as “non-essential services.” XpresSpa reopened 22 locations as of December 31, 2021. We will evaluate reopening the remaining XpresSpa spa locations on a location-by-location basis as travel returns and resume normal operations at such selected locations once airport traffic returns to sufficient levels to support operations at a unit level, and achieve adequate unit-level economics, including acceptable profit levels as well as serves our longer term strategy of offering fully integrated health and wellness services.</w:t>
      </w:r>
    </w:p>
    <w:p>
      <w:pPr>
        <w:spacing w:after="0" w:line="183"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Since the beginning of the temporary closure of our XpresSpa locations, we successfully launched our XpresCheck® Wellness Centers, through XpresSpa Group’s subsidiary XpresTest, Inc. (“XpresTest” or “XpresCheck”), offering COVID-19 and other medical diagnostic testing services to the traveling public, as well as airline, airport and concessionaire employees, and TSA and U.S. Customs and Border Protection agents.</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XpresCheck has entered into managed services agreements (“MSAs”) with professional medical services companies that provide health care services to patients. The medical services companies pay XpresCheck a monthly fee to operate in the XpresCheck Wellness Centers. Under the terms of the MSAs, we provide office space, equipment, supplies, non-licensed staff, and management services in return for the management fee. Also, we continue to evaluate alternative testing protocols and work in partnership with airlines and others for safe travels.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third segment is Treat, which is operating thorough XpresSpa Group’s subsidiary, Treat, Inc. (“Treat”), launched in 2021, as our new travel, health and wellness brand transforming the way we provide care to our customers through a suite of health and wellness services supported by an integrated digital platform and a relevant retail offering to the traveling public.</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Treat’s on-site centers (currently located in JFK International Airport and opening in April 2022 in Phoenix Sky Harbor International Airport and later this year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HyperPointe segment, which we acquired in January 2022, provides a broad range of service and support options for our customers, including technical and support services and advanced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Information</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were incorporated in Delaware as a corporation on January 9, 2006 and completed an initial public offering in June 2010. Our principal executive offices are located at 254 West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10001. Our telephone number is (212) 309-7549 and our website address is </w:t>
      </w:r>
      <w:r>
        <w:rPr>
          <w:rFonts w:ascii="Times New Roman" w:cs="Times New Roman" w:eastAsia="Times New Roman" w:hAnsi="Times New Roman"/>
          <w:sz w:val="18"/>
          <w:szCs w:val="18"/>
          <w:i w:val="1"/>
          <w:iCs w:val="1"/>
          <w:color w:val="auto"/>
        </w:rPr>
        <w:t>www.xpresspagroup.com</w:t>
      </w:r>
      <w:r>
        <w:rPr>
          <w:rFonts w:ascii="Times New Roman" w:cs="Times New Roman" w:eastAsia="Times New Roman" w:hAnsi="Times New Roman"/>
          <w:sz w:val="18"/>
          <w:szCs w:val="18"/>
          <w:color w:val="auto"/>
        </w:rPr>
        <w:t xml:space="preserve">. We also operate the websites </w:t>
      </w:r>
      <w:r>
        <w:rPr>
          <w:rFonts w:ascii="Times New Roman" w:cs="Times New Roman" w:eastAsia="Times New Roman" w:hAnsi="Times New Roman"/>
          <w:sz w:val="18"/>
          <w:szCs w:val="18"/>
          <w:i w:val="1"/>
          <w:iCs w:val="1"/>
          <w:color w:val="auto"/>
        </w:rPr>
        <w:t>www.xpresspa.com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www.treat.com</w:t>
      </w:r>
      <w:r>
        <w:rPr>
          <w:rFonts w:ascii="Times New Roman" w:cs="Times New Roman" w:eastAsia="Times New Roman" w:hAnsi="Times New Roman"/>
          <w:sz w:val="18"/>
          <w:szCs w:val="18"/>
          <w:color w:val="auto"/>
        </w:rPr>
        <w:t>. References in this prospectus to our website addresses do not constitute incorporation by reference of the information contained on the websites.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80"/>
          </w:cols>
          <w:pgMar w:left="700" w:top="914" w:right="7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significant risk. Prior to making a decision about investing in our securities, you should carefully consider all of the information appearing or incorporated by reference in this prospectus. You should also consider the risks, uncertainties and assumptions discussed under the heading “Risk Factors” included in our Annual Report on Form 10-K for the year ended December 31, 2021, as amended,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2021, as amended,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effects of public health epidemics, including the recent coronavirus outbreak, on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closure of many US spa locations;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previously identified material weakness related to our internal control over financial reporting, which remains unremediated as of the date of this prospectus;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offer new products and services, including Treat, our new travel, health and wellness brand, and our XpresCheck Wellness Centers launched in 2020;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deploy our available cash resources, as well as our ability raise additional capital to fund our operations and business plan, to the extent necessary;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level of consumer and corporate spending on health, wellness and travel;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new locations, maintain or convert existing ones to XpresCheck or Treat locations, and ensure continued customer traffic at those locations;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 skilled labor force and the costs associated with that labor;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the costs associated with opening new retail locations and maintaining or converting existing ones, and the revenue derived from our retail locations;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our Airport Concession Disadvantaged Business Enterprise partners on obligations set forth in our joint venture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information and customers’ financial data and other personal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disruption to our information technology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members of our management team;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an adverse change with regard to, one or more of our significant suppliers, distributors, vendors or other business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events and trends in the health, wellness and travel industries;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quality, pricing, availability and useful life of our products and/or services, as well as the mix of our products and services sold;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within our industries;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 the jurisdictions in which we do business and any new laws and regulations or changes in existing laws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regulatory actions in the healthcare sector that could impact our ability to continue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discontunance of EUA policies that could impact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claims, and investigations that may be filed against us and other events that may adversely affect our reputation;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intellectual property.</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our Annual Report on Form 10-K for the fiscal year ended December 31, 2021, as amended,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shares of Common Stock under this prospectus. We will not receive any proceeds from these sales. The Selling Stockholders will pay any underwriting discounts and agent’s commissions and expenses they incur for brokerage, accounting, tax or legal services or any other expenses they incur in disposing of the shares. We will bear all other costs, fees and expenses incurred in effecting the registration of the shares covered by this prospectus. These may include, without limitation, all registration and filing fees, SEC filing fees and expenses of compliance with state securities or “blue sky” laws.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9, 2022, we entered into the Purchase Agreement with the Selling Stockholders. Pursuant to the Purchase Agreement, we acquired all of the issued and outstanding membership interests of GCG Connect LLC d/b/a HyperPointe, a New Jersey limited liability company, from the Selling Stockholders in exchange for a cash payment and the issuance of 552,487 Closing Shares at closing of that transaction. In addition, the Selling Stockholders may be entitled to earn-out payments of up to $7,500,000 based on the achievement of certain milestones during the three years following the date of the Purchase Agreement. Earn-out payments, if any, may be made, at the election of the Selling Stockholders, in cash, in Common Stock, valued at $1.81 per share, or a combination thereof, such that up to a maximum of 4,143,647 Earn-out Shares could be issued to the Selling Stockholders if all earn-out milestones are achieved. The Purchase Agreement provides that in the event (and to the extent) we do not have sufficient authorized shares of Common Stock that are unissued and not duly reserved for issuance upon options, warrants or other convertible securities, then we are permitted to settle any Earn-out Payments in cash.</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prospectus relates to the offer, resale or other disposition of up to 4,696,134 shares of our Common Stock, including the shares potentially issuable to the Selling Stockholders upon achievement of earn-out milestones set forth in the Purchase Agreement. We are registering the shares of Common Stock in order to permit the Selling Stockholders to offer the shares for resale from time to time. Except as described under “</w:t>
      </w:r>
      <w:r>
        <w:rPr>
          <w:rFonts w:ascii="Times New Roman" w:cs="Times New Roman" w:eastAsia="Times New Roman" w:hAnsi="Times New Roman"/>
          <w:sz w:val="18"/>
          <w:szCs w:val="18"/>
          <w:i w:val="1"/>
          <w:iCs w:val="1"/>
          <w:color w:val="auto"/>
        </w:rPr>
        <w:t>Material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r>
        <w:rPr>
          <w:rFonts w:ascii="Times New Roman" w:cs="Times New Roman" w:eastAsia="Times New Roman" w:hAnsi="Times New Roman"/>
          <w:sz w:val="18"/>
          <w:szCs w:val="18"/>
          <w:color w:val="auto"/>
        </w:rPr>
        <w:t>” below, none of the persons named in the table has held any position or office or had any other material relationship with us 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during the three years prior to the date of this prospectus.</w:t>
      </w:r>
    </w:p>
    <w:p>
      <w:pPr>
        <w:spacing w:after="0" w:line="183"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addition, as part of the Purchase Agreement, each Selling Stockholder agreed that he, she or it will not publicly sell any of the Closing Shares or any of the Earn-out Shares actually issued pursuant to the Purchase Agreement in excess of the volume limitations described in excess of the volume limitations described in Rule 144(e) under the Securities Act, notwithstanding the effectiveness of the registration statement of which this prospectus is a part, during the six-month period following (i) in the case of the Closing Shares, the January 14, 2022 closing date of the transaction, and (ii) in the case of any tranche Earn-out Shares issued and delivered pursuant to the Purchase Agreement, the issuance date of such tranche of Earn-out Shares.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their beneficial ownership (as determined under Section 13(d) of the Securities Exchange Act of 1934, as amended (the “Exchange Act”), and the rules and regulations thereunder) of shares of our Common Stock. These rules generally provide that a person is the beneficial owner of securities if such person has or shares the power to vote or direct the voting thereof, or to dispose or direct the disposition thereof, or has the right to acquire such powers within 60 days. The second column lists the number of shares of Common Stock beneficially owned by the Selling Stockholders as of May 13, 2022. The fourth column lists the shares of Common Stock being offered by the Selling Stockholders pursuant to this prospectus.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Purchase Agreement, this prospectus covers the offer, resale or other disposition of (a) the shares of Common Stock issued at the closing of the transactions contemplated by the Purchase Agreement and (b) 100% of the Earn-out Shares. Percentage ownership is based on 95,360,271 shares of Common Stock outstanding as of May 13, 2022, plus the maximum 4,143,647 Earn-out Shares that could be issued to the Selling Stockholders if all earn-out milestones are achieved.</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each selling security holder may dispose of all, none or some portion of their securities, no estimate can be given as to the number of securities that will be beneficially owned by a selling security holder upon termination of this offering. See “Plan of Distribution.” For purposes of the table below, however, we have assumed that after termination of this offering none of the securities covered by this prospectus will be beneficially owned by the Selling Stockholders and further assumed that the Selling Stockholders will not acquire beneficial ownership of any additional securities during the offering. In addition, the Selling Stockholders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This information is based upon our review of public filings, our stockholder and optionholder registers and information furnished by the Selling Stockholders.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7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Prior to the Offering (1)</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Subsequent to the Offering (1)(2)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Offered by This</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8"/>
        </w:trPr>
        <w:tc>
          <w:tcPr>
            <w:tcW w:w="39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Name and Address of Selling Stockholder</w:t>
            </w: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Peter Newman (3)</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4822 Ocean Blvd.</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Sarasota, FL 34242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2,916,395</w:t>
            </w:r>
          </w:p>
        </w:tc>
        <w:tc>
          <w:tcPr>
            <w:tcW w:w="9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2,848,895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H. Martinson (4) 23 South Lincoln Avenue</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Newtown, PA 18940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1,400,125</w:t>
            </w:r>
          </w:p>
        </w:tc>
        <w:tc>
          <w:tcPr>
            <w:tcW w:w="9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1,377,625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Ezra T. Ernst (5)</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412 Park Lane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Moorestown, NJ 08057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479,614</w:t>
            </w:r>
          </w:p>
        </w:tc>
        <w:tc>
          <w:tcPr>
            <w:tcW w:w="9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469,614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340" w:right="66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w:t>
      </w:r>
    </w:p>
    <w:p>
      <w:pPr>
        <w:ind w:left="340" w:right="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for each Selling Stockholder the sale of all shares offered hereby and that the Selling Stockholders do not acquire beneficial ownership of any additional shares.</w:t>
      </w:r>
    </w:p>
    <w:p>
      <w:pPr>
        <w:ind w:left="340" w:right="58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2,796,961 Earn-out Shares issuable to the Selling Stockholder upon achievement of earn-out milestones set forth in the Purchase Agreement.</w:t>
      </w:r>
    </w:p>
    <w:p>
      <w:pPr>
        <w:ind w:left="340" w:right="7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932,321 Earn-out Shares issuable to the Selling Stockholder upon achievement of earn-out milestones set forth in the Purchase Agreement.</w:t>
      </w:r>
    </w:p>
    <w:p>
      <w:pPr>
        <w:ind w:left="340" w:right="72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414,365 Earn-out Shares issuable to the Selling Stockholder upon achievement of earn-out milestones set forth in the Purchase Agreement.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transactions contemplated by the Purchase Agreement, Ezra Ernst accepted employment with the Company as the Chief Executive Officer of XpresTest, Inc., our subsidiary, and an Executive Vice President of the Company, effective January 14,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Services with HyperPointe</w:t>
      </w: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GCG Connect, LLC, d/b/a HyperPointe, a New Jersey limited liability company (“HyperPointe”), began delivering healthcare consulting services and technology to us in April 2020 to assist us in developing and deploying the technological infrastructure needed to scale the growth of our XpresCheck® business. As partial compensation for such services, in May 2021, we awarded and issued 100,000 immediately vested shares to HyperPointe in a private placement that was exempt from the registration requirements of the Securities Act under Section 4(a)(2) and Regulation D promulgated thereunder. In January 2022, immediately preceding our acquisition of all of the membership interests of HyperPointe, the 100,000 shares of restricted stock issued in May 2021 were distributed out to the Selling Stockholders in their capacity as the equityholders of HyperPointe, pro rata in accordance with their equity ownership of HyperPointe, for no consideration. The 100,000 shares of restricted stock issued in May 2021 are not covered by the resale registration statement of which this prospectus forms a part.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Related to the HyperPointe Acquisition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Agreement</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January 14, 2022, we acquired all of the equity interests in GCG HyperPointe, for an aggregate purchase price of approximately $7.26 million, paid in a combination of cash and stock, plus a potential earn-out described below of up to $7.5 million (the “Acquisition”), pursuant to an acquisition agreement with all of the Selling Stockholders. In addition to cash, upon consummation of the transactions contemplated by the acquisition agreement, as a portion of the initial consideration for the Acquisition, we issued 552,487 shares of our Common Stock to the Selling Stockholders, as the equityholders of HyperPointe.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 w:name="page10"/>
    <w:bookmarkEnd w:id="9"/>
    <w:p>
      <w:pPr>
        <w:ind w:right="120"/>
        <w:spacing w:after="0" w:line="253" w:lineRule="auto"/>
        <w:rPr>
          <w:sz w:val="20"/>
          <w:szCs w:val="20"/>
          <w:color w:val="auto"/>
        </w:rPr>
      </w:pPr>
      <w:r>
        <w:rPr>
          <w:rFonts w:ascii="Times New Roman" w:cs="Times New Roman" w:eastAsia="Times New Roman" w:hAnsi="Times New Roman"/>
          <w:sz w:val="18"/>
          <w:szCs w:val="18"/>
          <w:color w:val="auto"/>
        </w:rPr>
        <w:t>We also agreed pursuant to an earn-out provision to issue up to an additional $7.5 million in cash or stock if certain earn-out performance targets are met during an earn-out period ending on the third anniversary of the date of the acquisition agreement. For purposes of the earn-out, any shares of Common Stock paid in the earn-out will be valued at a closing reference price of $1.81, which was equal to the volume weighted average trading price of the Common Stock on the Nasdaq Global Select Market for the 30 consecutive trading day period ended December 31, 2021. The earn-out payments may be satisfied in (i) cash, (i) shares of Common Stock (priced at $1.81), or (iii) any combination thereof, at the election of the equity owners of HyperPointe, provided that in the event (and to the extent) XpresSpa Group does not have sufficient authorized shares of Common Stock that are unissued and not duly reserved for issuance upon options, warrants or other convertible securities), then XpresSpa Group shall be permitted to settle any earn-out payments in cash. As a result, we may issue up to an additional 4,143,647 shares of our Common Stock; however, the actual number of shares that will be issued under the earn-out, if any, will depend on (i) the extent of fulfillment of the earn-out performance targets at the time of calculation of the earn-out and (ii) the elections and conditions described in the previous sentence.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Acquisition, as part of the acquisition agreement, we agreed to register for resale under the Securities Act all or any portion of the shares of the common stock that the Selling Stockholders are entitled to receive under the Purchase Agreement. We were required to, on or before March 31, 2022, file the registration statement of which this prospectus forms a part registering the resale of such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w:t>
      </w:r>
    </w:p>
    <w:p>
      <w:pPr>
        <w:spacing w:after="0" w:line="2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HyperPointe acquisition, we entered into an employment agreement with Ezra Ernst, one of the Selling Stockholders and the CEO of HyperPointe. Mr. Ernst continues as the CEO of HyperPointe, and also serves as CEO of XpresCheck, reporting to Scott Milford, XpresSpa Group CEO. Mr. Ernst’s responsibilities include the integration of XpresCheck’s biosurveillance screening and testing business with HyperPointe’s customer experience management technology and data management know how in the healthcare and pharmaceutical verticals.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Effective upon and subject to the closing of the Acquisition, and in connection with the Employment Agreement with Mr. Ernst, we issued options to Mr. Ernst to purchase up to an aggregate of 1,000,000 shares of Common Stock, which award was granted as an employment inducement award pursuant to NASDAQ Listing Rule 5635(c)(4) (the “Inducement Award”).</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issuance of shares of Common Stock in connection with the Acquisition, as well as the Inducement Award and the shares of common stock issuable upon exercise thereof, were made in accordance with the terms and subject to the conditions set forth in the acquisition agreement and in reliance on the private offering exemption of Section 4(a)(2) of the Securities Act, and/or the private offering safe harbor provision of Rule 506 of Regulation D promulgated thereunder. The issuance and sale is not being conducted in connection with a public offering, and no public solicitation or advertisement will be made or relied upon in connection with the issuance of the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registering the shares of Common Stock previously issued to the Selling Stockholders and the shares of Common Stock potentially issuable to the Selling Stockholders upon achievement of earn-out milestones set forth in the Purchase Agreement, in order to permit the Selling Stockholders to offer the shares for resale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directly or through one or more underwriters, broker-dealers or agents. If the shares of Common Stock or interests in shares of Common Stock are sold through underwriters or broker-dealers, the Selling Stockholders will be responsible for underwriting discounts or commissions or agent’s commissions. These dispositions may be sold in one or more transactions, at fixed prices, at prevailing market prices at the time of sale, at prices related to the prevailing market price, at varying prices determined at the time of sale, or at negotiated prices. These sales may be effected in transactions which may involve cross or block transactions.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right="1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any national securities exchange or U.S. inter-dealer quotation system of a registered national securities association on which the shares may be listed or quoted at the time of sale;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over-the-counter market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otherwise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short-sales;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Common Stock by any Selling Stockholder to its partners, members or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sales pursuant to Rule 144;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agreements between broker-dealers and the Selling Stockholders to sell a specified number of such shares at a stipulated price per share;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or donate the shares of Common Stock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sale of securities or otherwise, the Selling Stockholders may enter into hedging transactions with broker-dealers or other financial institutions, which may in turn engage in short sales of the shares in the course of hedging the positions they assume. The Selling Stockholders may also sell shares short and deliver these shares to close out their short positions and to return borrowed shares in connection with such short sales, or loan or pledge the shares to broker-dealers that in turn may sell these shares.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The Selling Stockholders, individually and not severally, and any underwriters, broker-dealers or agents that participate in the distribution of the Common Stock may be deemed to be “underwriters” within the meaning of Section 2(11) of the Securities Act. Any discounts, commissions, concessions or profit earned by any such broker-dealer on any resale of the shares may be deemed to be underwriting discounts and commissions under the Securities Act.</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Selling stockholders who are “underwriters” within the meaning of Section 2(a)(11) of the Securities Act will be subject to the prospectus delivery requirements of the Securities Act, including Rule 172 thereunder and may be subject to certain statutory liabilities of, including but not limited to, Sections 11, 12 and 17 of the Securities Act and Rule 10b-5 under the Exchange Act.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of which this prospectus forms a part.</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 w:name="page13"/>
    <w:bookmarkEnd w:id="12"/>
    <w:p>
      <w:pPr>
        <w:ind w:right="60"/>
        <w:spacing w:after="0" w:line="255"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and the Selling Stockholders have advised us that, except as set forth in a supplement to this prospectus, in the case of an agency transaction, such commissions will not be in excess of a customary brokerage commission in compliance with FINRA Rule 2121 and, in the case of a principal transaction, any such markup or markdown will be in compliance with FINRA Rule 2121.</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There can be no assurance that any Selling Stockholder will sell any or all of the shares of Common Stock registered pursuant to the registration statement of which this prospectus forms a part.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agreed with the Selling Stockholders to keep the registration statement of which this prospectus forms a part effective until the earliest to occur of</w:t>
      </w:r>
    </w:p>
    <w:p>
      <w:pPr>
        <w:spacing w:after="0" w:line="27" w:lineRule="exact"/>
        <w:rPr>
          <w:sz w:val="20"/>
          <w:szCs w:val="20"/>
          <w:color w:val="auto"/>
        </w:rPr>
      </w:pPr>
    </w:p>
    <w:p>
      <w:pPr>
        <w:ind w:firstLine="8"/>
        <w:spacing w:after="0" w:line="253"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anniversary following the last date that any Earn-out Shares are actually issued pursuant to the Purchase Agreement, or (ii) the date that all of the shares of Common Stock issued or issuable pursuant to the Purchase Agreement have actually been sold, or may be sold pursuant to Rule 144 under the Securities Act without any restrictions (including as to volume or manner of sale). 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authorized to issue 150,000,000 shares of Common Stock, par value $0.01 per share. As of May 13, 2022, we had 95,360,271 shares of Common Stock outstanding and approximately 100 stockholders of record. The number of shares of Common Stock outstanding excludes, in each case as of May 13, 2022:</w:t>
      </w:r>
    </w:p>
    <w:p>
      <w:pPr>
        <w:spacing w:after="0" w:line="392" w:lineRule="exact"/>
        <w:rPr>
          <w:sz w:val="20"/>
          <w:szCs w:val="20"/>
          <w:color w:val="auto"/>
        </w:rPr>
      </w:pPr>
    </w:p>
    <w:p>
      <w:pPr>
        <w:ind w:left="660" w:right="3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29,460,560 shares of Common Stock issuable upon the exercise of Common Stock warrants outstanding as of such date at a weighted average exercise price of $2.32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4,387,851 shares of Common Stock issuable upon the exercise of stock options at a weighted average exercise price of $2.08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367,189 shares of Common Stock issuable upon the vesting of outstanding and unvested restricted stock unit awards;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721,555 shares of Common Stock available for future issuance under our 2020 Equity Incentive Plan.</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our Common Stock are entitled to receive proportionately our net assets available for distribution to stockholders after the payment of all debts and other liabilities and subject to any preferential rights of any then outstanding series of preferred stock. Holders of our Common Stock have no preemptive, subscription, redemption or conversion rights. There are no redemption or sinking fund provisions applicable to our Common Stock. The voting, dividend and liquidation rights of holders of our Common Stock are subject to, and may be adversely affected by, the rights of the holders of shares of our existing series of preferred stock or any series of preferred stock that we may designate and issue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 with offices at 6201 15th Avenue, Brooklyn, New York 11219.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“XSPA.”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COMPANY’S CERTIFICATE OF INCORPORATION AND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Documents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amendments by our stockholders of our amended and restated bylaws require the approval of at least 66 2/3 % of the voting power of all outstanding stock. These provisions could discourage a potential acquirer from making a tender offer or otherwise attempting to obtain control of the Company and could delay changes in management.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directors may be removed by our stockholders only for cause and, in addition to any other vote required by law, upon the affirmative vote of at least 66 2/3 % of the voting power of all outstanding securities then entitled to vote generally in the election of directors, voting together as a single class. These provisions mean that a proposal to replace one or more directors on our board of directors could be delayed until the next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offered hereby has been passed upon for us by Bryan Cave Leighton Paisner LLP, St. Louis, Missouri.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Friedman LLP, independent registered public accounting firm, has audited our financial statements included in our Annual Report on Form 10-K for the year ended December 31, 2021, as set forth in their report, which is incorporated by reference in this prospectus and elsewhere in this Registration Statement. Our financial statements are incorporated by reference in reliance on Friedman LLP’s report, given on their authority as experts in accounting and auditing.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a public company and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and on our website at </w:t>
      </w:r>
      <w:r>
        <w:rPr>
          <w:rFonts w:ascii="Times New Roman" w:cs="Times New Roman" w:eastAsia="Times New Roman" w:hAnsi="Times New Roman"/>
          <w:sz w:val="18"/>
          <w:szCs w:val="18"/>
          <w:i w:val="1"/>
          <w:iCs w:val="1"/>
          <w:color w:val="auto"/>
        </w:rPr>
        <w:t>http://www.xpresspagroup.com</w:t>
      </w:r>
      <w:r>
        <w:rPr>
          <w:rFonts w:ascii="Times New Roman" w:cs="Times New Roman" w:eastAsia="Times New Roman" w:hAnsi="Times New Roman"/>
          <w:sz w:val="18"/>
          <w:szCs w:val="18"/>
          <w:color w:val="auto"/>
        </w:rPr>
        <w:t>. The information contained on our website is not included or incorporated by reference into this prospectus. In addition, our Common Stock is listed for trading on The Nasdaq Capital Market under the symbol “XSPA.”</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obtain a copy from the SEC’s website or our website.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the Selling Stockholders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92" w:lineRule="exact"/>
        <w:rPr>
          <w:sz w:val="20"/>
          <w:szCs w:val="20"/>
          <w:color w:val="auto"/>
        </w:rPr>
      </w:pPr>
    </w:p>
    <w:p>
      <w:pPr>
        <w:ind w:left="660" w:right="2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26">
        <w:r>
          <w:rPr>
            <w:rFonts w:ascii="Times New Roman" w:cs="Times New Roman" w:eastAsia="Times New Roman" w:hAnsi="Times New Roman"/>
            <w:sz w:val="18"/>
            <w:szCs w:val="18"/>
            <w:u w:val="single" w:color="auto"/>
            <w:color w:val="0000EE"/>
          </w:rPr>
          <w:t>March 31, 2022</w:t>
        </w:r>
      </w:hyperlink>
      <w:r>
        <w:rPr>
          <w:rFonts w:ascii="Times New Roman" w:cs="Times New Roman" w:eastAsia="Times New Roman" w:hAnsi="Times New Roman"/>
          <w:sz w:val="18"/>
          <w:szCs w:val="18"/>
          <w:color w:val="auto"/>
        </w:rPr>
        <w:t xml:space="preserve">, as amended by Form 10-K/A filed with the SEC on </w:t>
      </w:r>
      <w:hyperlink r:id="rId27">
        <w:r>
          <w:rPr>
            <w:rFonts w:ascii="Times New Roman" w:cs="Times New Roman" w:eastAsia="Times New Roman" w:hAnsi="Times New Roman"/>
            <w:sz w:val="18"/>
            <w:szCs w:val="18"/>
            <w:u w:val="single" w:color="auto"/>
            <w:color w:val="0000EE"/>
          </w:rPr>
          <w:t>May 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001-34785);</w:t>
      </w:r>
    </w:p>
    <w:p>
      <w:pPr>
        <w:spacing w:after="0" w:line="161" w:lineRule="exact"/>
        <w:rPr>
          <w:rFonts w:ascii="Times New Roman" w:cs="Times New Roman" w:eastAsia="Times New Roman" w:hAnsi="Times New Roman"/>
          <w:sz w:val="18"/>
          <w:szCs w:val="18"/>
          <w:color w:val="auto"/>
        </w:rPr>
      </w:pPr>
    </w:p>
    <w:p>
      <w:pPr>
        <w:ind w:left="660" w:hanging="283"/>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period ended March 31, 2022, filed with the SEC on </w:t>
      </w:r>
      <w:hyperlink r:id="rId28">
        <w:r>
          <w:rPr>
            <w:rFonts w:ascii="Times New Roman" w:cs="Times New Roman" w:eastAsia="Times New Roman" w:hAnsi="Times New Roman"/>
            <w:sz w:val="18"/>
            <w:szCs w:val="18"/>
            <w:u w:val="single" w:color="auto"/>
            <w:color w:val="0000EE"/>
          </w:rPr>
          <w:t>May 16,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001-34785);</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0"/>
        </w:numPr>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color w:val="auto"/>
          </w:rPr>
          <w:t xml:space="preserve"> (excluding portions furnished under Items 2.02 and 7.01), </w:t>
        </w:r>
        <w:r>
          <w:rPr>
            <w:rFonts w:ascii="Times New Roman" w:cs="Times New Roman" w:eastAsia="Times New Roman" w:hAnsi="Times New Roman"/>
            <w:sz w:val="18"/>
            <w:szCs w:val="18"/>
            <w:u w:val="single" w:color="auto"/>
            <w:color w:val="0000EE"/>
          </w:rPr>
          <w:t>January 21,</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0">
        <w:r>
          <w:rPr>
            <w:rFonts w:ascii="Times New Roman" w:cs="Times New Roman" w:eastAsia="Times New Roman" w:hAnsi="Times New Roman"/>
            <w:sz w:val="18"/>
            <w:szCs w:val="18"/>
            <w:u w:val="single" w:color="auto"/>
            <w:color w:val="0000EE"/>
          </w:rPr>
          <w:t>January 26, 2022</w:t>
        </w:r>
      </w:hyperlink>
      <w:hyperlink r:id="rId29">
        <w:r>
          <w:rPr>
            <w:rFonts w:ascii="Times New Roman" w:cs="Times New Roman" w:eastAsia="Times New Roman" w:hAnsi="Times New Roman"/>
            <w:sz w:val="18"/>
            <w:szCs w:val="18"/>
            <w:color w:val="000000"/>
          </w:rPr>
          <w:t>(File Nos. 001-34785);</w:t>
        </w:r>
      </w:hyperlink>
    </w:p>
    <w:p>
      <w:pPr>
        <w:spacing w:after="0" w:line="161" w:lineRule="exact"/>
        <w:rPr>
          <w:rFonts w:ascii="Times New Roman" w:cs="Times New Roman" w:eastAsia="Times New Roman" w:hAnsi="Times New Roman"/>
          <w:sz w:val="18"/>
          <w:szCs w:val="18"/>
          <w:color w:val="0000EE"/>
        </w:rPr>
      </w:pPr>
    </w:p>
    <w:p>
      <w:pPr>
        <w:ind w:left="660" w:right="20" w:hanging="328"/>
        <w:spacing w:after="0" w:line="266" w:lineRule="auto"/>
        <w:tabs>
          <w:tab w:leader="none" w:pos="660" w:val="left"/>
        </w:tabs>
        <w:numPr>
          <w:ilvl w:val="0"/>
          <w:numId w:val="10"/>
        </w:numPr>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auto"/>
          </w:rPr>
          <w:t xml:space="preserve">The description of our securities contained in our Registration Statement on Form 8-A filed on </w:t>
        </w:r>
        <w:r>
          <w:rPr>
            <w:rFonts w:ascii="Times New Roman" w:cs="Times New Roman" w:eastAsia="Times New Roman" w:hAnsi="Times New Roman"/>
            <w:sz w:val="18"/>
            <w:szCs w:val="18"/>
            <w:u w:val="single" w:color="auto"/>
            <w:color w:val="0000EE"/>
          </w:rPr>
          <w:t>March 21, 2016</w:t>
        </w:r>
        <w:r>
          <w:rPr>
            <w:rFonts w:ascii="Times New Roman" w:cs="Times New Roman" w:eastAsia="Times New Roman" w:hAnsi="Times New Roman"/>
            <w:sz w:val="18"/>
            <w:szCs w:val="18"/>
            <w:color w:val="auto"/>
          </w:rPr>
          <w:t xml:space="preserve"> (File No. 001-34785), </w:t>
        </w:r>
        <w:r>
          <w:rPr>
            <w:rFonts w:ascii="Times New Roman" w:cs="Times New Roman" w:eastAsia="Times New Roman" w:hAnsi="Times New Roman"/>
            <w:sz w:val="18"/>
            <w:szCs w:val="18"/>
            <w:u w:val="single" w:color="auto"/>
            <w:color w:val="0000EE"/>
          </w:rPr>
          <w:t>April 29,</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2013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001-34785) and</w:t>
        </w:r>
        <w:r>
          <w:rPr>
            <w:rFonts w:ascii="Times New Roman" w:cs="Times New Roman" w:eastAsia="Times New Roman" w:hAnsi="Times New Roman"/>
            <w:sz w:val="18"/>
            <w:szCs w:val="18"/>
            <w:color w:val="0000EE"/>
          </w:rPr>
          <w:t xml:space="preserve"> </w:t>
        </w:r>
      </w:hyperlink>
      <w:hyperlink r:id="rId32">
        <w:r>
          <w:rPr>
            <w:rFonts w:ascii="Times New Roman" w:cs="Times New Roman" w:eastAsia="Times New Roman" w:hAnsi="Times New Roman"/>
            <w:sz w:val="18"/>
            <w:szCs w:val="18"/>
            <w:u w:val="single" w:color="auto"/>
            <w:color w:val="0000EE"/>
          </w:rPr>
          <w:t xml:space="preserve">June 16, 2010 </w:t>
        </w:r>
      </w:hyperlink>
      <w:hyperlink r:id="rId31">
        <w:r>
          <w:rPr>
            <w:rFonts w:ascii="Times New Roman" w:cs="Times New Roman" w:eastAsia="Times New Roman" w:hAnsi="Times New Roman"/>
            <w:sz w:val="18"/>
            <w:szCs w:val="18"/>
            <w:color w:val="000000"/>
          </w:rPr>
          <w:t xml:space="preserve">(File No. 001-34785), pursuant to Section 12(b) of the Exchange Act, and any amendment or </w:t>
        </w:r>
      </w:hyperlink>
      <w:r>
        <w:rPr>
          <w:rFonts w:ascii="Times New Roman" w:cs="Times New Roman" w:eastAsia="Times New Roman" w:hAnsi="Times New Roman"/>
          <w:sz w:val="18"/>
          <w:szCs w:val="18"/>
          <w:color w:val="0000EE"/>
        </w:rPr>
        <w:t xml:space="preserve">report </w:t>
      </w:r>
      <w:r>
        <w:rPr>
          <w:rFonts w:ascii="Times New Roman" w:cs="Times New Roman" w:eastAsia="Times New Roman" w:hAnsi="Times New Roman"/>
          <w:sz w:val="18"/>
          <w:szCs w:val="18"/>
          <w:color w:val="000000"/>
        </w:rPr>
        <w:t>filed with the SEC for purposes of updating such description; and</w:t>
      </w:r>
    </w:p>
    <w:p>
      <w:pPr>
        <w:spacing w:after="0" w:line="175" w:lineRule="exact"/>
        <w:rPr>
          <w:rFonts w:ascii="Times New Roman" w:cs="Times New Roman" w:eastAsia="Times New Roman" w:hAnsi="Times New Roman"/>
          <w:sz w:val="18"/>
          <w:szCs w:val="18"/>
          <w:color w:val="0000EE"/>
        </w:rPr>
      </w:pPr>
    </w:p>
    <w:p>
      <w:pPr>
        <w:ind w:left="660" w:right="28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prior to the termination or completion of the offering of securities under this prospectus (including documents filed after the initial date of the registration statement of which this prospectus is a part and prior to the effectiveness of such registration statement) shall be deemed to be incorporated by reference in this prospectus and to be a part hereof from the date of filing such reports and other documents.</w:t>
      </w:r>
    </w:p>
    <w:p>
      <w:pPr>
        <w:spacing w:after="0" w:line="180" w:lineRule="exact"/>
        <w:rPr>
          <w:rFonts w:ascii="Times New Roman" w:cs="Times New Roman" w:eastAsia="Times New Roman" w:hAnsi="Times New Roman"/>
          <w:sz w:val="18"/>
          <w:szCs w:val="18"/>
          <w:color w:val="0000EE"/>
        </w:rPr>
      </w:pPr>
    </w:p>
    <w:p>
      <w:pPr>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You may request, orally or in writing, a copy of these documents, which will be provided to you at no cost, by contacting XpresSpa Group, Inc., 254 West</w:t>
      </w:r>
    </w:p>
    <w:p>
      <w:pPr>
        <w:spacing w:after="0" w:line="212" w:lineRule="auto"/>
        <w:rPr>
          <w:sz w:val="20"/>
          <w:szCs w:val="20"/>
          <w:color w:val="auto"/>
        </w:rPr>
      </w:pPr>
      <w:r>
        <w:rPr>
          <w:rFonts w:ascii="Times New Roman" w:cs="Times New Roman" w:eastAsia="Times New Roman" w:hAnsi="Times New Roman"/>
          <w:sz w:val="17"/>
          <w:szCs w:val="17"/>
          <w:color w:val="auto"/>
        </w:rPr>
        <w:t>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Street,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NY 10001 Attention: Investor Relations. The Investor Relations Department can be reached via telephone at (212) 838-</w:t>
      </w:r>
    </w:p>
    <w:p>
      <w:pPr>
        <w:spacing w:after="0" w:line="1"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3777.</w:t>
      </w:r>
    </w:p>
    <w:p>
      <w:pPr>
        <w:spacing w:after="0" w:line="200" w:lineRule="exact"/>
        <w:rPr>
          <w:rFonts w:ascii="Times New Roman" w:cs="Times New Roman" w:eastAsia="Times New Roman" w:hAnsi="Times New Roman"/>
          <w:sz w:val="18"/>
          <w:szCs w:val="18"/>
          <w:color w:val="0000EE"/>
        </w:rPr>
      </w:pPr>
    </w:p>
    <w:p>
      <w:pPr>
        <w:spacing w:after="0" w:line="221" w:lineRule="exact"/>
        <w:rPr>
          <w:rFonts w:ascii="Times New Roman" w:cs="Times New Roman" w:eastAsia="Times New Roman" w:hAnsi="Times New Roman"/>
          <w:sz w:val="18"/>
          <w:szCs w:val="18"/>
          <w:color w:val="0000EE"/>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90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3" Type="http://schemas.openxmlformats.org/officeDocument/2006/relationships/image" Target="media/image19.png"/><Relationship Id="rId26" Type="http://schemas.openxmlformats.org/officeDocument/2006/relationships/hyperlink" Target="https://www.sec.gov/ix?doc=/Archives/edgar/data/0001410428/000155837022004897/xspa-20211231x10k.htm" TargetMode="External"/><Relationship Id="rId27" Type="http://schemas.openxmlformats.org/officeDocument/2006/relationships/hyperlink" Target="https://www.sec.gov/ix?doc=/Archives/edgar/data/0001410428/000155837022006643/xspa-20211231x10ka.htm" TargetMode="External"/><Relationship Id="rId28" Type="http://schemas.openxmlformats.org/officeDocument/2006/relationships/hyperlink" Target="https://www.sec.gov/ix?doc=/Archives/edgar/data/1410428/000155837022008969/xspa-20220331x10q.htm" TargetMode="External"/><Relationship Id="rId29" Type="http://schemas.openxmlformats.org/officeDocument/2006/relationships/hyperlink" Target="http://www.sec.gov/ix?doc=/Archives/edgar/data/1410428/000110465922006277/tm224035d1_8k.htm" TargetMode="External"/><Relationship Id="rId30" Type="http://schemas.openxmlformats.org/officeDocument/2006/relationships/hyperlink" Target="http://www.sec.gov/ix?doc=/Archives/edgar/data/1410428/000110465922007853/tm224576-1_8k.htm" TargetMode="External"/><Relationship Id="rId31" Type="http://schemas.openxmlformats.org/officeDocument/2006/relationships/hyperlink" Target="http://www.sec.gov/Archives/edgar/data/1410428/000114420413024675/v342843_8a12b.htm" TargetMode="External"/><Relationship Id="rId32" Type="http://schemas.openxmlformats.org/officeDocument/2006/relationships/hyperlink" Target="http://www.sec.gov/Archives/edgar/data/1410428/00011931251014051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2022-05-24T05:16:28Z</dcterms:created>
  <dcterms:modified xsi:type="dcterms:W3CDTF">2022-05-24T05:16:28Z</dcterms:modified>
</cp:coreProperties>
</file>