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XWELL,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254 West 31st Street, 11th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 York, New York 10001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27,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Trade &amp;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Ms. Cara Wirth and Ms. Mara Ransom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  XWELL,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Originally filed on February 7, 2025, as amended on April 29, 2025, June 3, 2025, and June 20, 2025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333-284768 (as amended, 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Rules and Regulations of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under the Securities Act of 1933, as amended, XWELL,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hereby respectfully requests acceleration of the effective date of the Registration Statement, so that it may become effective at 4:30 p.m., Eastern Time, on June 30, 2025, or as soon thereafter as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Should any member of the staff of the Commission have any questions or comments with respect to this request, please contact our counsel, Haynes and Boone, LLP, attention: Alla Digilova, Esq. at (212) 659-4993.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XWELL,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/>
        <w:tabs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Ezra T. Ernst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1290955</wp:posOffset>
            </wp:positionH>
            <wp:positionV relativeFrom="paragraph">
              <wp:posOffset>18415</wp:posOffset>
            </wp:positionV>
            <wp:extent cx="584644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Ezra T. Ernst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 and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00" w:hanging="692"/>
        <w:spacing w:after="0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Alla Digilova, Esq., Haynes and Boone,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2025-07-29T23:12:16Z</dcterms:created>
  <dcterms:modified xsi:type="dcterms:W3CDTF">2025-07-29T23:12:16Z</dcterms:modified>
</cp:coreProperties>
</file>