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Attached hereto as Exhibit 99.1 is a copy of a press release of FORM Holdings Corp., dated November 9, 2016, announcing certain operating results for the third quarter ended September 30, 2016. The information in the press release is incorporated by reference into this Item 2.02 of this Current Report on Form 8-K.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response to certain questions received by FORM Holdings Corp. (the “Company”) in connection with the previously announced merger (the “Merger”) between the Company and XpresSpa Holdings, LLC (as more fully described in the previously filed Registration Statement on Form S-4, as amended, declared effective by the Securities and Exchange Commission (the “SEC”) on October 27, 2016 and the final proxy statement/prospectus filed with the SEC on October 28, 2016 (the “Proxy Statement/Prospectus”)), the Company is expanding the description of the repayment feature of the Series D Convertible Preferred Stock to provide additional detail regarding the number of shares which may be issued if the Company, at the seven year maturity date of the Series D Convertible Preferred Stock, elects to make a payment, or any portion thereof, in shares of common stock rather than in cash. As set forth in the Certificate of Designation of Preferences, Rights and Limitations for the Series D Convertible Preferred Stock attached as Annex E to the Proxy Statement/Prospectus, the formula for calculating the number of shares to be issued in connection with such repayment (the “Base Shares”) will be based on the volume weighted average price per share of the Company’s common stock for the thirty trading days prior to the date of calculation (the “Base Price”) plus an additional number of shares of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the Company’s common stock is below $9.00 per share at the time of repayment and the Company exercises the option to make such repayment in shares of common stock, a large number of shares of common stock may be issued to the holders of the Series D Convertible Preferred Stock upon maturity which may have a negative effect on the trading price of the Company’s common stock. At the seven year maturity date of the Series D Convertible Preferred Stock (which shall be the date that is seven years from the closing date of the Merger), the Company, at its election, may decide to issue shares of common stock based on the formula set forth above or to re-pay in cash all or any portion of the Series D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59" w:lineRule="auto"/>
        <w:rPr>
          <w:sz w:val="20"/>
          <w:szCs w:val="20"/>
          <w:color w:val="auto"/>
        </w:rPr>
      </w:pPr>
      <w:r>
        <w:rPr>
          <w:rFonts w:ascii="Arial" w:cs="Arial" w:eastAsia="Arial" w:hAnsi="Arial"/>
          <w:sz w:val="18"/>
          <w:szCs w:val="18"/>
          <w:color w:val="auto"/>
        </w:rPr>
        <w:t>In 2023, upon the maturity date of the Series D Convertible Preferred Stock, when determining whether to repay the Series D Convertible Preferred Stock in cash or shares of common stock, the Company expects to consider a number of factors, including its cash position, the price of its common stock and its capital structure at such time. Because the Company does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assuming the entire amount of the Series D Convertible Preferred Stock was outstanding at the seven year maturity date, and the Company opted to repay such Series D Convertible Preferred Stock entirely in shares of common stock, the number of shares of common stock to be issued at such repayment if the Base Price was $9.00 per share, $6.50 per share and $2.50 (slightly below the closing price on November 7, 2016) would be approximately 2,770,833 shares, 4,019,231 shares and 11,875,000, respectively.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Item 8.01 shall be deemed “filed” for purposes of the Securities Exchange Act of 1934, as amended, and shall be deemed incorporated by reference in the Company’s filings under the Securities Act of 1933, as amended, including, without limitation, the Proxy Statement/Prospectus.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234"/>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dated November 9, 2016.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filed a Registration Statement on Form S-4, as amended, declared effective by the SEC on October 27, 2016 and a final proxy statement/prospectus on October 28, 2016. The proxy statement/prospectus contains important information about FORM, XpresSpa, the transaction and related matters. FORM has mailed or otherwise delivered the proxy statement/prospectus to its stockholders and the stockholders of XpresSpa.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are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the proxy statement/prospectus.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the potential impact on FORM’s common stock if FORM determines to repay the preferred stock to be issued in connection with the Merger in stock rather than cash;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9, 2016</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Andrew D. Perlman</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FORM HOLDINGS PROVIDES UPDATE ON THE PENDING ACQUISITION AND</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OPERATIONS OF XPRESSPA AND ANNOUNCES THIRD QUARTER 2016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4:30 p.m. Eastern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NEW YORK – November 9, 2016 – FORM Holdings Corp. (NASDAQ: FH), a diversified holding company focused on acquiring, investing in and developing small to mid-market businesses, today announced operating results for the quarter ended September 30, 2016 in its Quarterly Report on Form 10-Q filed with the Securities and Exchange Commission as well as provided an update on the acquisition of XpresSpa and other ongoing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XpresSpa provides air travellers with premium health and wellness services, as well as a branded line of exclusive luxury travel products and accessories at its 51 locations across 21 major airports in three countries. During the third quarter of 2016, XpresSpa announced that it opened its fourth spa location at the </w:t>
      </w:r>
      <w:r>
        <w:rPr>
          <w:rFonts w:ascii="Arial" w:cs="Arial" w:eastAsia="Arial" w:hAnsi="Arial"/>
          <w:sz w:val="18"/>
          <w:szCs w:val="18"/>
          <w:color w:val="1A1A1A"/>
        </w:rPr>
        <w:t>Dallas/Fort Worth International Airport</w:t>
      </w:r>
      <w:r>
        <w:rPr>
          <w:rFonts w:ascii="Arial" w:cs="Arial" w:eastAsia="Arial" w:hAnsi="Arial"/>
          <w:sz w:val="18"/>
          <w:szCs w:val="18"/>
          <w:color w:val="auto"/>
        </w:rPr>
        <w:t xml:space="preserve"> (DFW) in Texas and its first spa location at the </w:t>
      </w:r>
      <w:r>
        <w:rPr>
          <w:rFonts w:ascii="Arial" w:cs="Arial" w:eastAsia="Arial" w:hAnsi="Arial"/>
          <w:sz w:val="18"/>
          <w:szCs w:val="18"/>
          <w:color w:val="1A1A1A"/>
        </w:rPr>
        <w:t>Dubai International Airport (DXB)</w:t>
      </w:r>
      <w:r>
        <w:rPr>
          <w:rFonts w:ascii="Arial" w:cs="Arial" w:eastAsia="Arial" w:hAnsi="Arial"/>
          <w:sz w:val="18"/>
          <w:szCs w:val="18"/>
          <w:color w:val="auto"/>
        </w:rPr>
        <w:t xml:space="preserve"> in the United Arab Emirates. The company’s pipeline of RFP’s and new store openings remains strong with four new stores planned for the remainder of the year and an additional two for Q1 2017.</w:t>
      </w:r>
    </w:p>
    <w:p>
      <w:pPr>
        <w:spacing w:after="0" w:line="18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August 8, 2016, we entered into a definitive agreement to acquire 100% of XpresSpa. The transaction, which has been approved by FORM Holdings’ and XpresSpa’s respective Boards of Directors, is subject to closing conditions and approval by the FORM Holdings stockholders at our annual meeting, which is scheduled for November 28, 2016. We expect to close the acquisition immediately after the stockholders meeting.</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2016, XpresSpa generated over $32.4 million of revenue compared to $29.2 million of revenue in the nine months ended September 30, 2015. During the third quarter of 2016 the company generated $11.9 million of revenue compared to $10.3 million in the third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September 30, 2016</w:t>
      </w:r>
    </w:p>
    <w:p>
      <w:pPr>
        <w:spacing w:after="0" w:line="229"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generated total revenue of $16.5 million YTD 2016 and $3.1 million for the quarter ended September 30, 2016 compared to $0.2 million YTD 2015 and no revenue generated for the quarter ended September 30, 2015.</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non-cash expenses, the net operating loss was $3.2 million YTD 2016 and $3.1 million for the quarter ended September 2016. In the prior year, net operating loss, excluding non-cash expenses, was approximately $18.4 million YTD 2015 and $7.8 million for the quarter ended September 30, 2015. The non-cash expenses were primarily related to stock-based compensation and amortization and impairment of intangible assets related to the Company’s intellectual property segment.</w:t>
      </w:r>
    </w:p>
    <w:p>
      <w:pPr>
        <w:spacing w:after="0" w:line="186"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Group Mobile operating segment generated $5.5 million of revenue YTD 2016 and $1.8 million of revenue for the quarter ended September 30, 2016, with the third quarter seasonally the slowest sales quarter of the year. In the five weeks since the quarter end, we have received orders in excess of $2.1 million of products and services and we continue to guide for 2016 revenues of $12.5 million, which represents an approximate 135% increase over total revenues of $5.3 million in fiscal 2015. We anticipate that the rate of orders will increase as we move through the fourth quarter, which is the largest ordering period for many of our customers. In addition, the third quarter saw the launch of our partnerships and offerings for body-worn video as well as our services offering, both of which will represent higher margin and recurring revenues as we move into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ind w:left="340" w:hanging="332"/>
        <w:spacing w:after="0" w:line="29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FLI Charge operating segment launched its consumer product line on Indiegogo, a crowdfunding platform, on June 15, 2016, and has generated approximately $225,000 of pre-sales in the form of orders, ranking FLI Charge’s campaign in the top 400, or the top one-tenth of one percent, of the more than 550,000 campaigns that have launched on Indiegogo since its inception. Tooling for FLI Charge’s product line is complete and manufacturing inventory is underway. FLI Charge will be fulfilling pre-orders in November 2016. In addition we have signed an MOU with Papp Plastics, a tier-1 auto parts manufacturer. During the fourth quarter of 2016, FLI Charge’s management team has been focused on expanding the distribution of its consumer products and generating additional licenses in addition to those that it already has in the automotive, education and hospitality markets.</w:t>
      </w:r>
    </w:p>
    <w:p>
      <w:pPr>
        <w:spacing w:after="0" w:line="164"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operating segment generated $11.0 million of revenue YTD 2016 and $1.4 million of revenue during the quarter ended September 30, 2016. The revenue was derived from one-time licensing payments from several licensees.</w:t>
      </w:r>
    </w:p>
    <w:p>
      <w:pPr>
        <w:spacing w:after="0" w:line="170" w:lineRule="exact"/>
        <w:rPr>
          <w:rFonts w:ascii="Arial" w:cs="Arial" w:eastAsia="Arial" w:hAnsi="Arial"/>
          <w:sz w:val="18"/>
          <w:szCs w:val="18"/>
          <w:color w:val="auto"/>
        </w:rPr>
      </w:pPr>
    </w:p>
    <w:p>
      <w:pPr>
        <w:jc w:val="both"/>
        <w:ind w:left="340" w:right="20" w:hanging="332"/>
        <w:spacing w:after="0" w:line="28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September 30, 2016, we had approximately $26.0 million of current assets, of which $21.7 million was cash, compared to $28.4 million of current assets as of June 30, 2016, of which $27.4 was cash. The change in net current assets is partially driven by cash used in exercising an early repayment option of a pre-existing note in the amount of $2.0 million. We do not have any outstanding debt as of September 30,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will host a conference call today at 4:30 p.m., Eastern Time, to discuss operating results for the third quarter of 2016 as well as provide updates on each of the Company’s business segments and the acquisition of XpresSpa. Members of the Company’s management team, including </w:t>
      </w:r>
      <w:r>
        <w:rPr>
          <w:rFonts w:ascii="Arial" w:cs="Arial" w:eastAsia="Arial" w:hAnsi="Arial"/>
          <w:sz w:val="17"/>
          <w:szCs w:val="17"/>
          <w:color w:val="181818"/>
        </w:rPr>
        <w:t>Andrew D. Perlman,</w:t>
      </w:r>
      <w:r>
        <w:rPr>
          <w:rFonts w:ascii="Arial" w:cs="Arial" w:eastAsia="Arial" w:hAnsi="Arial"/>
          <w:sz w:val="17"/>
          <w:szCs w:val="17"/>
          <w:color w:val="auto"/>
        </w:rPr>
        <w:t xml:space="preserve"> </w:t>
      </w:r>
      <w:r>
        <w:rPr>
          <w:rFonts w:ascii="Arial" w:cs="Arial" w:eastAsia="Arial" w:hAnsi="Arial"/>
          <w:sz w:val="17"/>
          <w:szCs w:val="17"/>
          <w:color w:val="181818"/>
        </w:rPr>
        <w:t>Chief Executive Officer, Anastasia Nyrkovskaya, Chief Financial Officer, and Clifford J. Weinstein, Executive Vice President and President of FLI Charge, as well as Darin White, President of Group Mobile, and Ed Jankowski, CEO of XpresSpa, will participate.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0000FF"/>
        </w:rPr>
        <w:t>http://bit.ly/2eN2xfZ</w:t>
      </w:r>
      <w:r>
        <w:rPr>
          <w:rFonts w:ascii="Arial" w:cs="Arial" w:eastAsia="Arial" w:hAnsi="Arial"/>
          <w:sz w:val="18"/>
          <w:szCs w:val="18"/>
          <w:color w:val="auto"/>
        </w:rPr>
        <w:t xml:space="preserve"> before the start time to join the web portion of this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(866) 682-6100 (U.S. and Canada) or (862) 255-5401 (international) and reference FORM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FORM Holdings'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FORM Holdings Corp. (NASDAQ: FH) is a publicly held diversified holding company that specializes in identifying, investing in and developing companies with superior growth potential. FORM's current holdings include Group Mobile, FLI Charge, Infomedia and intellectual property assets.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7"/>
          <w:szCs w:val="17"/>
          <w:u w:val="single" w:color="auto"/>
          <w:color w:val="0000FF"/>
        </w:rPr>
        <w:t>www.FormHoldings.com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proposed merger between FORM and XpresSpa; the expected timetable for completing the transaction; the potential value created by the proposed merger for FORM's stockholders and XpresSpa's equity holders; the potential of FORM's business after completion of the merger; XpresSpa's projected revenue, the ability to raise capital to fund operations and business plan; the continued listing of FORM's securities on the Nasdaq Capital Market; the potential impact on FORM’s common stock if FORM determines to repay the preferred stock to be issued in connection with the proposed merger in stock rather than cash;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Important Additional Information Filed with the SEC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filed a Registration Statement on Form S-4, as amended, declared effective by the SEC on October 27, 2016 and a final proxy statement/prospectus on October 28, 2016. The proxy statement/prospectus contains important information about FORM, XpresSpa, the transaction and related matters. FORM has mailed or otherwise delivered the proxy statement/prospectus to its stockholders and the stockholders of XpresSpa.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Investors and security holders of FORM are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the proxy statement/prospectus.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2019-12-08T15:16:12Z</dcterms:created>
  <dcterms:modified xsi:type="dcterms:W3CDTF">2019-12-08T15:16:12Z</dcterms:modified>
</cp:coreProperties>
</file>