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659765</wp:posOffset>
            </wp:positionV>
            <wp:extent cx="566864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8645" cy="3238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724535</wp:posOffset>
            </wp:positionV>
            <wp:extent cx="56686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86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10-Q</w:t>
      </w:r>
    </w:p>
    <w:p>
      <w:pPr>
        <w:spacing w:after="0" w:line="1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(Mark One)</w:t>
      </w:r>
    </w:p>
    <w:p>
      <w:pPr>
        <w:spacing w:after="0" w:line="123" w:lineRule="exact"/>
        <w:rPr>
          <w:sz w:val="24"/>
          <w:szCs w:val="24"/>
          <w:color w:val="auto"/>
        </w:rPr>
      </w:pPr>
    </w:p>
    <w:p>
      <w:pPr>
        <w:ind w:left="660" w:hanging="615"/>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w:t>
      </w:r>
    </w:p>
    <w:p>
      <w:pPr>
        <w:spacing w:after="0" w:line="7"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7"/>
          <w:szCs w:val="17"/>
          <w:b w:val="1"/>
          <w:bCs w:val="1"/>
          <w:color w:val="auto"/>
        </w:rPr>
        <w:t>1934</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March 31, 2021</w:t>
      </w:r>
    </w:p>
    <w:p>
      <w:pPr>
        <w:spacing w:after="0" w:line="114" w:lineRule="exact"/>
        <w:rPr>
          <w:sz w:val="24"/>
          <w:szCs w:val="24"/>
          <w:color w:val="auto"/>
        </w:rPr>
      </w:pPr>
    </w:p>
    <w:p>
      <w:pPr>
        <w:ind w:left="660" w:hanging="615"/>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w:t>
      </w:r>
    </w:p>
    <w:p>
      <w:pPr>
        <w:spacing w:after="0" w:line="2"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7"/>
          <w:szCs w:val="17"/>
          <w:b w:val="1"/>
          <w:bCs w:val="1"/>
          <w:color w:val="auto"/>
        </w:rPr>
        <w:t>1934</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transition period from ___ to ___</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001-34785</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XpresSpa Group,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79" w:lineRule="exact"/>
        <w:rPr>
          <w:sz w:val="24"/>
          <w:szCs w:val="24"/>
          <w:color w:val="auto"/>
        </w:rPr>
      </w:pPr>
    </w:p>
    <w:tbl>
      <w:tblPr>
        <w:tblLayout w:type="fixed"/>
        <w:tblInd w:w="60" w:type="dxa"/>
        <w:tblCellMar>
          <w:top w:w="0" w:type="dxa"/>
          <w:left w:w="0" w:type="dxa"/>
          <w:bottom w:w="0" w:type="dxa"/>
          <w:right w:w="0" w:type="dxa"/>
        </w:tblCellMar>
      </w:tblPr>
      <w:tr>
        <w:trPr>
          <w:trHeight w:val="208"/>
        </w:trPr>
        <w:tc>
          <w:tcPr>
            <w:tcW w:w="3560" w:type="dxa"/>
            <w:vAlign w:val="bottom"/>
            <w:gridSpan w:val="3"/>
          </w:tcPr>
          <w:p>
            <w:pPr>
              <w:jc w:val="center"/>
              <w:ind w:left="715"/>
              <w:spacing w:after="0"/>
              <w:rPr>
                <w:sz w:val="20"/>
                <w:szCs w:val="20"/>
                <w:color w:val="auto"/>
              </w:rPr>
            </w:pPr>
            <w:r>
              <w:rPr>
                <w:rFonts w:ascii="Arial" w:cs="Arial" w:eastAsia="Arial" w:hAnsi="Arial"/>
                <w:sz w:val="17"/>
                <w:szCs w:val="17"/>
                <w:b w:val="1"/>
                <w:bCs w:val="1"/>
                <w:color w:val="auto"/>
                <w:w w:val="91"/>
              </w:rPr>
              <w:t>Delaware</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jc w:val="right"/>
              <w:ind w:right="1695"/>
              <w:spacing w:after="0"/>
              <w:rPr>
                <w:sz w:val="20"/>
                <w:szCs w:val="20"/>
                <w:color w:val="auto"/>
              </w:rPr>
            </w:pPr>
            <w:r>
              <w:rPr>
                <w:rFonts w:ascii="Arial" w:cs="Arial" w:eastAsia="Arial" w:hAnsi="Arial"/>
                <w:sz w:val="17"/>
                <w:szCs w:val="17"/>
                <w:b w:val="1"/>
                <w:bCs w:val="1"/>
                <w:color w:val="auto"/>
              </w:rPr>
              <w:t>20-4988129</w:t>
            </w:r>
          </w:p>
        </w:tc>
      </w:tr>
      <w:tr>
        <w:trPr>
          <w:trHeight w:val="204"/>
        </w:trPr>
        <w:tc>
          <w:tcPr>
            <w:tcW w:w="3560" w:type="dxa"/>
            <w:vAlign w:val="bottom"/>
            <w:gridSpan w:val="3"/>
          </w:tcPr>
          <w:p>
            <w:pPr>
              <w:jc w:val="center"/>
              <w:ind w:left="715"/>
              <w:spacing w:after="0"/>
              <w:rPr>
                <w:sz w:val="20"/>
                <w:szCs w:val="20"/>
                <w:color w:val="auto"/>
              </w:rPr>
            </w:pPr>
            <w:r>
              <w:rPr>
                <w:rFonts w:ascii="Arial" w:cs="Arial" w:eastAsia="Arial" w:hAnsi="Arial"/>
                <w:sz w:val="17"/>
                <w:szCs w:val="17"/>
                <w:color w:val="auto"/>
                <w:w w:val="92"/>
              </w:rPr>
              <w:t>(State or other jurisdiction of</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jc w:val="center"/>
              <w:ind w:right="835"/>
              <w:spacing w:after="0"/>
              <w:rPr>
                <w:sz w:val="20"/>
                <w:szCs w:val="20"/>
                <w:color w:val="auto"/>
              </w:rPr>
            </w:pPr>
            <w:r>
              <w:rPr>
                <w:rFonts w:ascii="Arial" w:cs="Arial" w:eastAsia="Arial" w:hAnsi="Arial"/>
                <w:sz w:val="17"/>
                <w:szCs w:val="17"/>
                <w:color w:val="auto"/>
                <w:w w:val="92"/>
              </w:rPr>
              <w:t>(I.R.S. Employer</w:t>
            </w:r>
          </w:p>
        </w:tc>
      </w:tr>
      <w:tr>
        <w:trPr>
          <w:trHeight w:val="215"/>
        </w:trPr>
        <w:tc>
          <w:tcPr>
            <w:tcW w:w="3560" w:type="dxa"/>
            <w:vAlign w:val="bottom"/>
            <w:gridSpan w:val="3"/>
          </w:tcPr>
          <w:p>
            <w:pPr>
              <w:jc w:val="center"/>
              <w:ind w:left="715"/>
              <w:spacing w:after="0"/>
              <w:rPr>
                <w:sz w:val="20"/>
                <w:szCs w:val="20"/>
                <w:color w:val="auto"/>
              </w:rPr>
            </w:pPr>
            <w:r>
              <w:rPr>
                <w:rFonts w:ascii="Arial" w:cs="Arial" w:eastAsia="Arial" w:hAnsi="Arial"/>
                <w:sz w:val="17"/>
                <w:szCs w:val="17"/>
                <w:color w:val="auto"/>
                <w:w w:val="92"/>
              </w:rPr>
              <w:t>incorporation or organization)</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jc w:val="center"/>
              <w:ind w:right="855"/>
              <w:spacing w:after="0"/>
              <w:rPr>
                <w:sz w:val="20"/>
                <w:szCs w:val="20"/>
                <w:color w:val="auto"/>
              </w:rPr>
            </w:pPr>
            <w:r>
              <w:rPr>
                <w:rFonts w:ascii="Arial" w:cs="Arial" w:eastAsia="Arial" w:hAnsi="Arial"/>
                <w:sz w:val="17"/>
                <w:szCs w:val="17"/>
                <w:color w:val="auto"/>
                <w:w w:val="95"/>
              </w:rPr>
              <w:t>Identification No.)</w:t>
            </w:r>
          </w:p>
        </w:tc>
      </w:tr>
      <w:tr>
        <w:trPr>
          <w:trHeight w:val="307"/>
        </w:trPr>
        <w:tc>
          <w:tcPr>
            <w:tcW w:w="5460" w:type="dxa"/>
            <w:vAlign w:val="bottom"/>
            <w:gridSpan w:val="5"/>
          </w:tcPr>
          <w:p>
            <w:pPr>
              <w:jc w:val="center"/>
              <w:ind w:right="1100"/>
              <w:spacing w:after="0"/>
              <w:rPr>
                <w:sz w:val="20"/>
                <w:szCs w:val="20"/>
                <w:color w:val="auto"/>
              </w:rPr>
            </w:pPr>
            <w:r>
              <w:rPr>
                <w:rFonts w:ascii="Arial" w:cs="Arial" w:eastAsia="Arial" w:hAnsi="Arial"/>
                <w:sz w:val="17"/>
                <w:szCs w:val="17"/>
                <w:b w:val="1"/>
                <w:bCs w:val="1"/>
                <w:color w:val="auto"/>
                <w:w w:val="90"/>
              </w:rPr>
              <w:t>254 West 31</w:t>
            </w:r>
            <w:r>
              <w:rPr>
                <w:rFonts w:ascii="Arial" w:cs="Arial" w:eastAsia="Arial" w:hAnsi="Arial"/>
                <w:sz w:val="25"/>
                <w:szCs w:val="25"/>
                <w:b w:val="1"/>
                <w:bCs w:val="1"/>
                <w:color w:val="auto"/>
                <w:w w:val="90"/>
                <w:vertAlign w:val="superscript"/>
              </w:rPr>
              <w:t>st</w:t>
            </w:r>
            <w:r>
              <w:rPr>
                <w:rFonts w:ascii="Arial" w:cs="Arial" w:eastAsia="Arial" w:hAnsi="Arial"/>
                <w:sz w:val="17"/>
                <w:szCs w:val="17"/>
                <w:b w:val="1"/>
                <w:bCs w:val="1"/>
                <w:color w:val="auto"/>
                <w:w w:val="90"/>
              </w:rPr>
              <w:t xml:space="preserve"> Street, 11th Floor, New York, NY</w:t>
            </w:r>
          </w:p>
        </w:tc>
        <w:tc>
          <w:tcPr>
            <w:tcW w:w="3440" w:type="dxa"/>
            <w:vAlign w:val="bottom"/>
          </w:tcPr>
          <w:p>
            <w:pPr>
              <w:jc w:val="right"/>
              <w:ind w:right="1895"/>
              <w:spacing w:after="0"/>
              <w:rPr>
                <w:sz w:val="20"/>
                <w:szCs w:val="20"/>
                <w:color w:val="auto"/>
              </w:rPr>
            </w:pPr>
            <w:r>
              <w:rPr>
                <w:rFonts w:ascii="Arial" w:cs="Arial" w:eastAsia="Arial" w:hAnsi="Arial"/>
                <w:sz w:val="17"/>
                <w:szCs w:val="17"/>
                <w:b w:val="1"/>
                <w:bCs w:val="1"/>
                <w:color w:val="auto"/>
              </w:rPr>
              <w:t>10001</w:t>
            </w:r>
          </w:p>
        </w:tc>
      </w:tr>
      <w:tr>
        <w:trPr>
          <w:trHeight w:val="215"/>
        </w:trPr>
        <w:tc>
          <w:tcPr>
            <w:tcW w:w="3560" w:type="dxa"/>
            <w:vAlign w:val="bottom"/>
            <w:gridSpan w:val="3"/>
          </w:tcPr>
          <w:p>
            <w:pPr>
              <w:jc w:val="center"/>
              <w:ind w:left="715"/>
              <w:spacing w:after="0"/>
              <w:rPr>
                <w:sz w:val="20"/>
                <w:szCs w:val="20"/>
                <w:color w:val="auto"/>
              </w:rPr>
            </w:pPr>
            <w:r>
              <w:rPr>
                <w:rFonts w:ascii="Arial" w:cs="Arial" w:eastAsia="Arial" w:hAnsi="Arial"/>
                <w:sz w:val="17"/>
                <w:szCs w:val="17"/>
                <w:color w:val="auto"/>
                <w:w w:val="92"/>
              </w:rPr>
              <w:t>(Address of principal executive offices)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jc w:val="center"/>
              <w:ind w:right="835"/>
              <w:spacing w:after="0"/>
              <w:rPr>
                <w:sz w:val="20"/>
                <w:szCs w:val="20"/>
                <w:color w:val="auto"/>
              </w:rPr>
            </w:pPr>
            <w:r>
              <w:rPr>
                <w:rFonts w:ascii="Arial" w:cs="Arial" w:eastAsia="Arial" w:hAnsi="Arial"/>
                <w:sz w:val="17"/>
                <w:szCs w:val="17"/>
                <w:color w:val="auto"/>
                <w:w w:val="94"/>
              </w:rPr>
              <w:t>(Zip Code)</w:t>
            </w:r>
          </w:p>
        </w:tc>
      </w:tr>
      <w:tr>
        <w:trPr>
          <w:trHeight w:val="318"/>
        </w:trPr>
        <w:tc>
          <w:tcPr>
            <w:tcW w:w="8900" w:type="dxa"/>
            <w:vAlign w:val="bottom"/>
            <w:gridSpan w:val="6"/>
          </w:tcPr>
          <w:p>
            <w:pPr>
              <w:jc w:val="center"/>
              <w:spacing w:after="0"/>
              <w:rPr>
                <w:sz w:val="20"/>
                <w:szCs w:val="20"/>
                <w:color w:val="auto"/>
              </w:rPr>
            </w:pPr>
            <w:r>
              <w:rPr>
                <w:rFonts w:ascii="Arial" w:cs="Arial" w:eastAsia="Arial" w:hAnsi="Arial"/>
                <w:sz w:val="17"/>
                <w:szCs w:val="17"/>
                <w:color w:val="auto"/>
                <w:w w:val="91"/>
              </w:rPr>
              <w:t xml:space="preserve">(Registrant’s Telephone Number, Including Area Code): </w:t>
            </w:r>
            <w:r>
              <w:rPr>
                <w:rFonts w:ascii="Arial" w:cs="Arial" w:eastAsia="Arial" w:hAnsi="Arial"/>
                <w:sz w:val="17"/>
                <w:szCs w:val="17"/>
                <w:b w:val="1"/>
                <w:bCs w:val="1"/>
                <w:color w:val="auto"/>
                <w:w w:val="91"/>
              </w:rPr>
              <w:t>(212) 309-7549</w:t>
            </w:r>
          </w:p>
        </w:tc>
      </w:tr>
      <w:tr>
        <w:trPr>
          <w:trHeight w:val="318"/>
        </w:trPr>
        <w:tc>
          <w:tcPr>
            <w:tcW w:w="8900" w:type="dxa"/>
            <w:vAlign w:val="bottom"/>
            <w:gridSpan w:val="6"/>
          </w:tcPr>
          <w:p>
            <w:pPr>
              <w:jc w:val="center"/>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r>
      <w:tr>
        <w:trPr>
          <w:trHeight w:val="312"/>
        </w:trPr>
        <w:tc>
          <w:tcPr>
            <w:tcW w:w="3560" w:type="dxa"/>
            <w:vAlign w:val="bottom"/>
            <w:gridSpan w:val="3"/>
          </w:tcPr>
          <w:p>
            <w:pPr>
              <w:jc w:val="center"/>
              <w:ind w:right="480"/>
              <w:spacing w:after="0"/>
              <w:rPr>
                <w:sz w:val="20"/>
                <w:szCs w:val="20"/>
                <w:color w:val="auto"/>
              </w:rPr>
            </w:pPr>
            <w:r>
              <w:rPr>
                <w:rFonts w:ascii="Arial" w:cs="Arial" w:eastAsia="Arial" w:hAnsi="Arial"/>
                <w:sz w:val="17"/>
                <w:szCs w:val="17"/>
                <w:b w:val="1"/>
                <w:bCs w:val="1"/>
                <w:color w:val="auto"/>
                <w:w w:val="87"/>
              </w:rPr>
              <w:t>Title of each class</w:t>
            </w:r>
          </w:p>
        </w:tc>
        <w:tc>
          <w:tcPr>
            <w:tcW w:w="190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89"/>
              </w:rPr>
              <w:t>Trading Symbol(s)</w:t>
            </w:r>
          </w:p>
        </w:tc>
        <w:tc>
          <w:tcPr>
            <w:tcW w:w="344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15"/>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Common Stock, par value $0.01 per share</w:t>
            </w: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center"/>
              <w:ind w:right="235"/>
              <w:spacing w:after="0"/>
              <w:rPr>
                <w:sz w:val="20"/>
                <w:szCs w:val="20"/>
                <w:color w:val="auto"/>
              </w:rPr>
            </w:pPr>
            <w:r>
              <w:rPr>
                <w:rFonts w:ascii="Arial" w:cs="Arial" w:eastAsia="Arial" w:hAnsi="Arial"/>
                <w:sz w:val="17"/>
                <w:szCs w:val="17"/>
                <w:color w:val="auto"/>
                <w:w w:val="92"/>
              </w:rPr>
              <w:t>XSPA</w:t>
            </w:r>
          </w:p>
        </w:tc>
        <w:tc>
          <w:tcPr>
            <w:tcW w:w="160" w:type="dxa"/>
            <w:vAlign w:val="bottom"/>
          </w:tcPr>
          <w:p>
            <w:pPr>
              <w:spacing w:after="0"/>
              <w:rPr>
                <w:sz w:val="18"/>
                <w:szCs w:val="18"/>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180" w:lineRule="exact"/>
        <w:rPr>
          <w:sz w:val="24"/>
          <w:szCs w:val="24"/>
          <w:color w:val="auto"/>
        </w:rPr>
      </w:pPr>
    </w:p>
    <w:p>
      <w:pPr>
        <w:jc w:val="both"/>
        <w:ind w:left="40" w:right="59"/>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84" w:lineRule="exact"/>
        <w:rPr>
          <w:sz w:val="24"/>
          <w:szCs w:val="24"/>
          <w:color w:val="auto"/>
        </w:rPr>
      </w:pPr>
    </w:p>
    <w:p>
      <w:pPr>
        <w:jc w:val="both"/>
        <w:ind w:left="40" w:right="59"/>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84" w:lineRule="exact"/>
        <w:rPr>
          <w:sz w:val="24"/>
          <w:szCs w:val="24"/>
          <w:color w:val="auto"/>
        </w:rPr>
      </w:pPr>
    </w:p>
    <w:p>
      <w:pPr>
        <w:jc w:val="both"/>
        <w:ind w:left="40" w:right="59"/>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9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00" w:type="dxa"/>
            <w:vAlign w:val="bottom"/>
          </w:tcPr>
          <w:p>
            <w:pPr>
              <w:ind w:left="440"/>
              <w:spacing w:after="0" w:line="228" w:lineRule="exact"/>
              <w:rPr>
                <w:sz w:val="20"/>
                <w:szCs w:val="20"/>
                <w:color w:val="auto"/>
              </w:rPr>
            </w:pPr>
            <w:r>
              <w:rPr>
                <w:rFonts w:ascii="Arial Unicode MS" w:cs="Arial Unicode MS" w:eastAsia="Arial Unicode MS" w:hAnsi="Arial Unicode MS"/>
                <w:sz w:val="17"/>
                <w:szCs w:val="17"/>
                <w:color w:val="auto"/>
              </w:rPr>
              <w:t>☐</w:t>
            </w:r>
          </w:p>
        </w:tc>
        <w:tc>
          <w:tcPr>
            <w:tcW w:w="3720" w:type="dxa"/>
            <w:vAlign w:val="bottom"/>
          </w:tcPr>
          <w:p>
            <w:pPr>
              <w:ind w:left="1460"/>
              <w:spacing w:after="0"/>
              <w:rPr>
                <w:sz w:val="20"/>
                <w:szCs w:val="20"/>
                <w:color w:val="auto"/>
              </w:rPr>
            </w:pPr>
            <w:r>
              <w:rPr>
                <w:rFonts w:ascii="Arial" w:cs="Arial" w:eastAsia="Arial" w:hAnsi="Arial"/>
                <w:sz w:val="17"/>
                <w:szCs w:val="17"/>
                <w:color w:val="auto"/>
              </w:rPr>
              <w:t>Accelerated filer</w:t>
            </w:r>
          </w:p>
        </w:tc>
        <w:tc>
          <w:tcPr>
            <w:tcW w:w="620" w:type="dxa"/>
            <w:vAlign w:val="bottom"/>
          </w:tcPr>
          <w:p>
            <w:pPr>
              <w:ind w:left="420"/>
              <w:spacing w:after="0" w:line="228" w:lineRule="exact"/>
              <w:rPr>
                <w:sz w:val="20"/>
                <w:szCs w:val="20"/>
                <w:color w:val="auto"/>
              </w:rPr>
            </w:pPr>
            <w:r>
              <w:rPr>
                <w:rFonts w:ascii="Arial Unicode MS" w:cs="Arial Unicode MS" w:eastAsia="Arial Unicode MS" w:hAnsi="Arial Unicode MS"/>
                <w:sz w:val="17"/>
                <w:szCs w:val="17"/>
                <w:color w:val="auto"/>
              </w:rPr>
              <w:t>☐</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Non-accelerated filer</w:t>
            </w:r>
          </w:p>
        </w:tc>
        <w:tc>
          <w:tcPr>
            <w:tcW w:w="2100" w:type="dxa"/>
            <w:vAlign w:val="bottom"/>
          </w:tcPr>
          <w:p>
            <w:pPr>
              <w:ind w:left="440"/>
              <w:spacing w:after="0" w:line="204" w:lineRule="exact"/>
              <w:rPr>
                <w:sz w:val="20"/>
                <w:szCs w:val="20"/>
                <w:color w:val="auto"/>
              </w:rPr>
            </w:pPr>
            <w:r>
              <w:rPr>
                <w:rFonts w:ascii="Arial Unicode MS" w:cs="Arial Unicode MS" w:eastAsia="Arial Unicode MS" w:hAnsi="Arial Unicode MS"/>
                <w:sz w:val="17"/>
                <w:szCs w:val="17"/>
                <w:color w:val="auto"/>
              </w:rPr>
              <w:t>⌧</w:t>
            </w:r>
          </w:p>
        </w:tc>
        <w:tc>
          <w:tcPr>
            <w:tcW w:w="3720" w:type="dxa"/>
            <w:vAlign w:val="bottom"/>
          </w:tcPr>
          <w:p>
            <w:pPr>
              <w:ind w:left="1460"/>
              <w:spacing w:after="0"/>
              <w:rPr>
                <w:sz w:val="20"/>
                <w:szCs w:val="20"/>
                <w:color w:val="auto"/>
              </w:rPr>
            </w:pPr>
            <w:r>
              <w:rPr>
                <w:rFonts w:ascii="Arial" w:cs="Arial" w:eastAsia="Arial" w:hAnsi="Arial"/>
                <w:sz w:val="17"/>
                <w:szCs w:val="17"/>
                <w:color w:val="auto"/>
              </w:rPr>
              <w:t>Smaller reporting company</w:t>
            </w:r>
          </w:p>
        </w:tc>
        <w:tc>
          <w:tcPr>
            <w:tcW w:w="620" w:type="dxa"/>
            <w:vAlign w:val="bottom"/>
          </w:tcPr>
          <w:p>
            <w:pPr>
              <w:ind w:left="420"/>
              <w:spacing w:after="0" w:line="204" w:lineRule="exact"/>
              <w:rPr>
                <w:sz w:val="20"/>
                <w:szCs w:val="20"/>
                <w:color w:val="auto"/>
              </w:rPr>
            </w:pPr>
            <w:r>
              <w:rPr>
                <w:rFonts w:ascii="Arial Unicode MS" w:cs="Arial Unicode MS" w:eastAsia="Arial Unicode MS" w:hAnsi="Arial Unicode MS"/>
                <w:sz w:val="17"/>
                <w:szCs w:val="17"/>
                <w:color w:val="auto"/>
              </w:rPr>
              <w:t>⌧</w:t>
            </w:r>
          </w:p>
        </w:tc>
      </w:tr>
      <w:tr>
        <w:trPr>
          <w:trHeight w:val="268"/>
        </w:trPr>
        <w:tc>
          <w:tcPr>
            <w:tcW w:w="19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20" w:type="dxa"/>
            <w:vAlign w:val="bottom"/>
          </w:tcPr>
          <w:p>
            <w:pPr>
              <w:ind w:left="1460"/>
              <w:spacing w:after="0"/>
              <w:rPr>
                <w:sz w:val="20"/>
                <w:szCs w:val="20"/>
                <w:color w:val="auto"/>
              </w:rPr>
            </w:pPr>
            <w:r>
              <w:rPr>
                <w:rFonts w:ascii="Arial" w:cs="Arial" w:eastAsia="Arial" w:hAnsi="Arial"/>
                <w:sz w:val="17"/>
                <w:szCs w:val="17"/>
                <w:color w:val="auto"/>
              </w:rPr>
              <w:t>Emerging growth company</w:t>
            </w:r>
          </w:p>
        </w:tc>
        <w:tc>
          <w:tcPr>
            <w:tcW w:w="620" w:type="dxa"/>
            <w:vAlign w:val="bottom"/>
          </w:tcPr>
          <w:p>
            <w:pPr>
              <w:ind w:left="420"/>
              <w:spacing w:after="0" w:line="228" w:lineRule="exact"/>
              <w:rPr>
                <w:sz w:val="20"/>
                <w:szCs w:val="20"/>
                <w:color w:val="auto"/>
              </w:rPr>
            </w:pPr>
            <w:r>
              <w:rPr>
                <w:rFonts w:ascii="Arial Unicode MS" w:cs="Arial Unicode MS" w:eastAsia="Arial Unicode MS" w:hAnsi="Arial Unicode MS"/>
                <w:sz w:val="17"/>
                <w:szCs w:val="17"/>
                <w:color w:val="auto"/>
              </w:rPr>
              <w:t>☐</w:t>
            </w:r>
          </w:p>
        </w:tc>
      </w:tr>
    </w:tbl>
    <w:p>
      <w:pPr>
        <w:spacing w:after="0" w:line="83" w:lineRule="exact"/>
        <w:rPr>
          <w:sz w:val="24"/>
          <w:szCs w:val="24"/>
          <w:color w:val="auto"/>
        </w:rPr>
      </w:pPr>
    </w:p>
    <w:p>
      <w:pPr>
        <w:ind w:left="40" w:right="59"/>
        <w:spacing w:after="0" w:line="22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5"/>
          <w:szCs w:val="15"/>
          <w:color w:val="auto"/>
        </w:rPr>
        <w:t>☐</w:t>
      </w:r>
    </w:p>
    <w:p>
      <w:pPr>
        <w:spacing w:after="0" w:line="51" w:lineRule="exact"/>
        <w:rPr>
          <w:sz w:val="24"/>
          <w:szCs w:val="24"/>
          <w:color w:val="auto"/>
        </w:rPr>
      </w:pPr>
    </w:p>
    <w:p>
      <w:pPr>
        <w:ind w:left="40" w:right="159"/>
        <w:spacing w:after="0" w:line="23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84" w:lineRule="exact"/>
        <w:rPr>
          <w:sz w:val="24"/>
          <w:szCs w:val="24"/>
          <w:color w:val="auto"/>
        </w:rPr>
      </w:pPr>
    </w:p>
    <w:p>
      <w:pPr>
        <w:ind w:left="40"/>
        <w:spacing w:after="0"/>
        <w:rPr>
          <w:sz w:val="20"/>
          <w:szCs w:val="20"/>
          <w:color w:val="auto"/>
        </w:rPr>
      </w:pPr>
      <w:r>
        <w:rPr>
          <w:rFonts w:ascii="Arial" w:cs="Arial" w:eastAsia="Arial" w:hAnsi="Arial"/>
          <w:sz w:val="17"/>
          <w:szCs w:val="17"/>
          <w:color w:val="auto"/>
        </w:rPr>
        <w:t>As of May 13, 2021, 105,310,365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498475</wp:posOffset>
            </wp:positionV>
            <wp:extent cx="5668645"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8645" cy="2413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85725</wp:posOffset>
            </wp:positionV>
            <wp:extent cx="5668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864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118110</wp:posOffset>
            </wp:positionV>
            <wp:extent cx="5668645"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8645" cy="3238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1" w:name="page2"/>
    <w:bookmarkEnd w:id="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XpresSpa Group, Inc. and Subsidiaries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of Contents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80" w:type="dxa"/>
            <w:vAlign w:val="bottom"/>
            <w:gridSpan w:val="15"/>
            <w:vMerge w:val="restart"/>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PART I. FINANCIAL INFORMATION</w:t>
              </w:r>
            </w:hyperlink>
          </w:p>
        </w:tc>
        <w:tc>
          <w:tcPr>
            <w:tcW w:w="5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6"/>
        </w:trPr>
        <w:tc>
          <w:tcPr>
            <w:tcW w:w="8380" w:type="dxa"/>
            <w:vAlign w:val="bottom"/>
            <w:gridSpan w:val="15"/>
            <w:vMerge w:val="continue"/>
          </w:tcPr>
          <w:p>
            <w:pPr>
              <w:spacing w:after="0"/>
              <w:rPr>
                <w:sz w:val="12"/>
                <w:szCs w:val="12"/>
                <w:color w:val="auto"/>
              </w:rPr>
            </w:pPr>
          </w:p>
        </w:tc>
        <w:tc>
          <w:tcPr>
            <w:tcW w:w="5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Item 1.</w:t>
              </w:r>
            </w:hyperlink>
          </w:p>
        </w:tc>
        <w:tc>
          <w:tcPr>
            <w:tcW w:w="7620" w:type="dxa"/>
            <w:vAlign w:val="bottom"/>
            <w:gridSpan w:val="12"/>
          </w:tcPr>
          <w:p>
            <w:pPr>
              <w:ind w:left="140"/>
              <w:spacing w:after="0"/>
              <w:rPr>
                <w:rFonts w:ascii="Arial" w:cs="Arial" w:eastAsia="Arial" w:hAnsi="Arial"/>
                <w:sz w:val="17"/>
                <w:szCs w:val="17"/>
                <w:color w:val="0000EE"/>
              </w:rPr>
            </w:pPr>
            <w:hyperlink w:anchor="page3">
              <w:r>
                <w:rPr>
                  <w:rFonts w:ascii="Arial" w:cs="Arial" w:eastAsia="Arial" w:hAnsi="Arial"/>
                  <w:sz w:val="17"/>
                  <w:szCs w:val="17"/>
                  <w:color w:val="0000EE"/>
                </w:rPr>
                <w:t>Condensed Consolidated Financial Statements (Unaudited)</w:t>
              </w:r>
            </w:hyperlink>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0" w:type="dxa"/>
            <w:vAlign w:val="bottom"/>
            <w:gridSpan w:val="3"/>
          </w:tcPr>
          <w:p>
            <w:pPr>
              <w:spacing w:after="0" w:line="184" w:lineRule="exact"/>
              <w:rPr>
                <w:rFonts w:ascii="Arial" w:cs="Arial" w:eastAsia="Arial" w:hAnsi="Arial"/>
                <w:sz w:val="17"/>
                <w:szCs w:val="17"/>
                <w:color w:val="0000EE"/>
              </w:rPr>
            </w:pPr>
            <w:hyperlink w:anchor="page24">
              <w:r>
                <w:rPr>
                  <w:rFonts w:ascii="Arial" w:cs="Arial" w:eastAsia="Arial" w:hAnsi="Arial"/>
                  <w:sz w:val="17"/>
                  <w:szCs w:val="17"/>
                  <w:color w:val="0000EE"/>
                </w:rPr>
                <w:t>Item 2.</w:t>
              </w:r>
            </w:hyperlink>
          </w:p>
        </w:tc>
        <w:tc>
          <w:tcPr>
            <w:tcW w:w="7620" w:type="dxa"/>
            <w:vAlign w:val="bottom"/>
            <w:gridSpan w:val="12"/>
          </w:tcPr>
          <w:p>
            <w:pPr>
              <w:ind w:left="140"/>
              <w:spacing w:after="0" w:line="184" w:lineRule="exact"/>
              <w:rPr>
                <w:rFonts w:ascii="Arial" w:cs="Arial" w:eastAsia="Arial" w:hAnsi="Arial"/>
                <w:sz w:val="17"/>
                <w:szCs w:val="17"/>
                <w:color w:val="0000EE"/>
              </w:rPr>
            </w:pPr>
            <w:hyperlink w:anchor="page24">
              <w:r>
                <w:rPr>
                  <w:rFonts w:ascii="Arial" w:cs="Arial" w:eastAsia="Arial" w:hAnsi="Arial"/>
                  <w:sz w:val="17"/>
                  <w:szCs w:val="17"/>
                  <w:color w:val="0000EE"/>
                </w:rPr>
                <w:t>Management’s Discussion and Analysis of Financial Condition and Results of Operations</w:t>
              </w:r>
            </w:hyperlink>
          </w:p>
        </w:tc>
        <w:tc>
          <w:tcPr>
            <w:tcW w:w="56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98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0" w:type="dxa"/>
            <w:vAlign w:val="bottom"/>
            <w:gridSpan w:val="3"/>
          </w:tcPr>
          <w:p>
            <w:pPr>
              <w:spacing w:after="0" w:line="184" w:lineRule="exact"/>
              <w:rPr>
                <w:rFonts w:ascii="Arial" w:cs="Arial" w:eastAsia="Arial" w:hAnsi="Arial"/>
                <w:sz w:val="17"/>
                <w:szCs w:val="17"/>
                <w:color w:val="0000EE"/>
              </w:rPr>
            </w:pPr>
            <w:hyperlink w:anchor="page30">
              <w:r>
                <w:rPr>
                  <w:rFonts w:ascii="Arial" w:cs="Arial" w:eastAsia="Arial" w:hAnsi="Arial"/>
                  <w:sz w:val="17"/>
                  <w:szCs w:val="17"/>
                  <w:color w:val="0000EE"/>
                </w:rPr>
                <w:t>Item 3.</w:t>
              </w:r>
            </w:hyperlink>
          </w:p>
        </w:tc>
        <w:tc>
          <w:tcPr>
            <w:tcW w:w="7620" w:type="dxa"/>
            <w:vAlign w:val="bottom"/>
            <w:gridSpan w:val="12"/>
          </w:tcPr>
          <w:p>
            <w:pPr>
              <w:ind w:left="140"/>
              <w:spacing w:after="0" w:line="184" w:lineRule="exact"/>
              <w:rPr>
                <w:rFonts w:ascii="Arial" w:cs="Arial" w:eastAsia="Arial" w:hAnsi="Arial"/>
                <w:sz w:val="17"/>
                <w:szCs w:val="17"/>
                <w:color w:val="0000EE"/>
              </w:rPr>
            </w:pPr>
            <w:hyperlink w:anchor="page30">
              <w:r>
                <w:rPr>
                  <w:rFonts w:ascii="Arial" w:cs="Arial" w:eastAsia="Arial" w:hAnsi="Arial"/>
                  <w:sz w:val="17"/>
                  <w:szCs w:val="17"/>
                  <w:color w:val="0000EE"/>
                </w:rPr>
                <w:t>Quantitative and Qualitative Disclosures About Market Risk</w:t>
              </w:r>
            </w:hyperlink>
          </w:p>
        </w:tc>
        <w:tc>
          <w:tcPr>
            <w:tcW w:w="56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38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0" w:type="dxa"/>
            <w:vAlign w:val="bottom"/>
            <w:gridSpan w:val="3"/>
          </w:tcPr>
          <w:p>
            <w:pPr>
              <w:spacing w:after="0" w:line="184" w:lineRule="exact"/>
              <w:rPr>
                <w:rFonts w:ascii="Arial" w:cs="Arial" w:eastAsia="Arial" w:hAnsi="Arial"/>
                <w:sz w:val="17"/>
                <w:szCs w:val="17"/>
                <w:color w:val="0000EE"/>
              </w:rPr>
            </w:pPr>
            <w:hyperlink w:anchor="page30">
              <w:r>
                <w:rPr>
                  <w:rFonts w:ascii="Arial" w:cs="Arial" w:eastAsia="Arial" w:hAnsi="Arial"/>
                  <w:sz w:val="17"/>
                  <w:szCs w:val="17"/>
                  <w:color w:val="0000EE"/>
                </w:rPr>
                <w:t>Item 4.</w:t>
              </w:r>
            </w:hyperlink>
          </w:p>
        </w:tc>
        <w:tc>
          <w:tcPr>
            <w:tcW w:w="7620" w:type="dxa"/>
            <w:vAlign w:val="bottom"/>
            <w:gridSpan w:val="12"/>
          </w:tcPr>
          <w:p>
            <w:pPr>
              <w:ind w:left="140"/>
              <w:spacing w:after="0" w:line="184" w:lineRule="exact"/>
              <w:rPr>
                <w:rFonts w:ascii="Arial" w:cs="Arial" w:eastAsia="Arial" w:hAnsi="Arial"/>
                <w:sz w:val="17"/>
                <w:szCs w:val="17"/>
                <w:color w:val="0000EE"/>
              </w:rPr>
            </w:pPr>
            <w:hyperlink w:anchor="page30">
              <w:r>
                <w:rPr>
                  <w:rFonts w:ascii="Arial" w:cs="Arial" w:eastAsia="Arial" w:hAnsi="Arial"/>
                  <w:sz w:val="17"/>
                  <w:szCs w:val="17"/>
                  <w:color w:val="0000EE"/>
                </w:rPr>
                <w:t>Controls and Procedures</w:t>
              </w:r>
            </w:hyperlink>
          </w:p>
        </w:tc>
        <w:tc>
          <w:tcPr>
            <w:tcW w:w="56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8380" w:type="dxa"/>
            <w:vAlign w:val="bottom"/>
            <w:gridSpan w:val="15"/>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PART II. OTHER INFORMATION</w:t>
              </w:r>
            </w:hyperlink>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387"/>
        </w:trPr>
        <w:tc>
          <w:tcPr>
            <w:tcW w:w="760" w:type="dxa"/>
            <w:vAlign w:val="bottom"/>
            <w:tcBorders>
              <w:top w:val="single" w:sz="8" w:color="0000EE"/>
            </w:tcBorders>
            <w:gridSpan w:val="3"/>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Item 1.</w:t>
              </w:r>
            </w:hyperlink>
          </w:p>
        </w:tc>
        <w:tc>
          <w:tcPr>
            <w:tcW w:w="1660" w:type="dxa"/>
            <w:vAlign w:val="bottom"/>
            <w:tcBorders>
              <w:top w:val="single" w:sz="8" w:color="0000EE"/>
            </w:tcBorders>
            <w:gridSpan w:val="5"/>
          </w:tcPr>
          <w:p>
            <w:pPr>
              <w:ind w:left="140"/>
              <w:spacing w:after="0"/>
              <w:rPr>
                <w:rFonts w:ascii="Arial" w:cs="Arial" w:eastAsia="Arial" w:hAnsi="Arial"/>
                <w:sz w:val="17"/>
                <w:szCs w:val="17"/>
                <w:color w:val="0000EE"/>
              </w:rPr>
            </w:pPr>
            <w:hyperlink w:anchor="page33">
              <w:r>
                <w:rPr>
                  <w:rFonts w:ascii="Arial" w:cs="Arial" w:eastAsia="Arial" w:hAnsi="Arial"/>
                  <w:sz w:val="17"/>
                  <w:szCs w:val="17"/>
                  <w:color w:val="0000EE"/>
                </w:rPr>
                <w:t>Legal Proceedings</w:t>
              </w:r>
            </w:hyperlink>
          </w:p>
        </w:tc>
        <w:tc>
          <w:tcPr>
            <w:tcW w:w="5960" w:type="dxa"/>
            <w:vAlign w:val="bottom"/>
            <w:gridSpan w:val="7"/>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0" w:type="dxa"/>
            <w:vAlign w:val="bottom"/>
            <w:gridSpan w:val="3"/>
          </w:tcPr>
          <w:p>
            <w:pPr>
              <w:spacing w:after="0" w:line="184" w:lineRule="exact"/>
              <w:rPr>
                <w:rFonts w:ascii="Arial" w:cs="Arial" w:eastAsia="Arial" w:hAnsi="Arial"/>
                <w:sz w:val="17"/>
                <w:szCs w:val="17"/>
                <w:color w:val="0000EE"/>
              </w:rPr>
            </w:pPr>
            <w:hyperlink w:anchor="page33">
              <w:r>
                <w:rPr>
                  <w:rFonts w:ascii="Arial" w:cs="Arial" w:eastAsia="Arial" w:hAnsi="Arial"/>
                  <w:sz w:val="17"/>
                  <w:szCs w:val="17"/>
                  <w:color w:val="0000EE"/>
                </w:rPr>
                <w:t>Item 1A.</w:t>
              </w:r>
            </w:hyperlink>
          </w:p>
        </w:tc>
        <w:tc>
          <w:tcPr>
            <w:tcW w:w="7620" w:type="dxa"/>
            <w:vAlign w:val="bottom"/>
            <w:gridSpan w:val="12"/>
          </w:tcPr>
          <w:p>
            <w:pPr>
              <w:ind w:left="140"/>
              <w:spacing w:after="0" w:line="184" w:lineRule="exact"/>
              <w:rPr>
                <w:rFonts w:ascii="Arial" w:cs="Arial" w:eastAsia="Arial" w:hAnsi="Arial"/>
                <w:sz w:val="17"/>
                <w:szCs w:val="17"/>
                <w:color w:val="0000EE"/>
              </w:rPr>
            </w:pPr>
            <w:hyperlink w:anchor="page33">
              <w:r>
                <w:rPr>
                  <w:rFonts w:ascii="Arial" w:cs="Arial" w:eastAsia="Arial" w:hAnsi="Arial"/>
                  <w:sz w:val="17"/>
                  <w:szCs w:val="17"/>
                  <w:color w:val="0000EE"/>
                </w:rPr>
                <w:t>Risk Factors</w:t>
              </w:r>
            </w:hyperlink>
          </w:p>
        </w:tc>
        <w:tc>
          <w:tcPr>
            <w:tcW w:w="56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0" w:type="dxa"/>
            <w:vAlign w:val="bottom"/>
            <w:gridSpan w:val="2"/>
          </w:tcPr>
          <w:p>
            <w:pPr>
              <w:spacing w:after="0" w:line="184" w:lineRule="exact"/>
              <w:rPr>
                <w:rFonts w:ascii="Arial" w:cs="Arial" w:eastAsia="Arial" w:hAnsi="Arial"/>
                <w:sz w:val="17"/>
                <w:szCs w:val="17"/>
                <w:color w:val="0000EE"/>
              </w:rPr>
            </w:pPr>
            <w:hyperlink w:anchor="page33">
              <w:r>
                <w:rPr>
                  <w:rFonts w:ascii="Arial" w:cs="Arial" w:eastAsia="Arial" w:hAnsi="Arial"/>
                  <w:sz w:val="17"/>
                  <w:szCs w:val="17"/>
                  <w:color w:val="0000EE"/>
                </w:rPr>
                <w:t>Item 2.</w:t>
              </w:r>
            </w:hyperlink>
          </w:p>
        </w:tc>
        <w:tc>
          <w:tcPr>
            <w:tcW w:w="160" w:type="dxa"/>
            <w:vAlign w:val="bottom"/>
          </w:tcPr>
          <w:p>
            <w:pPr>
              <w:spacing w:after="0"/>
              <w:rPr>
                <w:sz w:val="15"/>
                <w:szCs w:val="15"/>
                <w:color w:val="auto"/>
              </w:rPr>
            </w:pPr>
          </w:p>
        </w:tc>
        <w:tc>
          <w:tcPr>
            <w:tcW w:w="7620" w:type="dxa"/>
            <w:vAlign w:val="bottom"/>
            <w:gridSpan w:val="12"/>
          </w:tcPr>
          <w:p>
            <w:pPr>
              <w:ind w:left="140"/>
              <w:spacing w:after="0" w:line="184" w:lineRule="exact"/>
              <w:rPr>
                <w:rFonts w:ascii="Arial" w:cs="Arial" w:eastAsia="Arial" w:hAnsi="Arial"/>
                <w:sz w:val="17"/>
                <w:szCs w:val="17"/>
                <w:color w:val="0000EE"/>
              </w:rPr>
            </w:pPr>
            <w:hyperlink w:anchor="page33">
              <w:r>
                <w:rPr>
                  <w:rFonts w:ascii="Arial" w:cs="Arial" w:eastAsia="Arial" w:hAnsi="Arial"/>
                  <w:sz w:val="17"/>
                  <w:szCs w:val="17"/>
                  <w:color w:val="0000EE"/>
                </w:rPr>
                <w:t>Unregistered Sales of Equity Securities and Use of Proceeds</w:t>
              </w:r>
            </w:hyperlink>
          </w:p>
        </w:tc>
        <w:tc>
          <w:tcPr>
            <w:tcW w:w="56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0" w:type="dxa"/>
            <w:vAlign w:val="bottom"/>
            <w:gridSpan w:val="3"/>
          </w:tcPr>
          <w:p>
            <w:pPr>
              <w:spacing w:after="0" w:line="184" w:lineRule="exact"/>
              <w:rPr>
                <w:rFonts w:ascii="Arial" w:cs="Arial" w:eastAsia="Arial" w:hAnsi="Arial"/>
                <w:sz w:val="17"/>
                <w:szCs w:val="17"/>
                <w:color w:val="0000EE"/>
              </w:rPr>
            </w:pPr>
            <w:hyperlink w:anchor="page33">
              <w:r>
                <w:rPr>
                  <w:rFonts w:ascii="Arial" w:cs="Arial" w:eastAsia="Arial" w:hAnsi="Arial"/>
                  <w:sz w:val="17"/>
                  <w:szCs w:val="17"/>
                  <w:color w:val="0000EE"/>
                </w:rPr>
                <w:t>Item 3.</w:t>
              </w:r>
            </w:hyperlink>
          </w:p>
        </w:tc>
        <w:tc>
          <w:tcPr>
            <w:tcW w:w="7620" w:type="dxa"/>
            <w:vAlign w:val="bottom"/>
            <w:gridSpan w:val="12"/>
          </w:tcPr>
          <w:p>
            <w:pPr>
              <w:ind w:left="140"/>
              <w:spacing w:after="0" w:line="184" w:lineRule="exact"/>
              <w:rPr>
                <w:rFonts w:ascii="Arial" w:cs="Arial" w:eastAsia="Arial" w:hAnsi="Arial"/>
                <w:sz w:val="17"/>
                <w:szCs w:val="17"/>
                <w:color w:val="0000EE"/>
              </w:rPr>
            </w:pPr>
            <w:hyperlink w:anchor="page33">
              <w:r>
                <w:rPr>
                  <w:rFonts w:ascii="Arial" w:cs="Arial" w:eastAsia="Arial" w:hAnsi="Arial"/>
                  <w:sz w:val="17"/>
                  <w:szCs w:val="17"/>
                  <w:color w:val="0000EE"/>
                </w:rPr>
                <w:t>Defaults Upon Senior Securities</w:t>
              </w:r>
            </w:hyperlink>
          </w:p>
        </w:tc>
        <w:tc>
          <w:tcPr>
            <w:tcW w:w="56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53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0" w:type="dxa"/>
            <w:vAlign w:val="bottom"/>
            <w:gridSpan w:val="3"/>
          </w:tcPr>
          <w:p>
            <w:pPr>
              <w:spacing w:after="0" w:line="184" w:lineRule="exact"/>
              <w:rPr>
                <w:rFonts w:ascii="Arial" w:cs="Arial" w:eastAsia="Arial" w:hAnsi="Arial"/>
                <w:sz w:val="17"/>
                <w:szCs w:val="17"/>
                <w:color w:val="0000EE"/>
              </w:rPr>
            </w:pPr>
            <w:hyperlink w:anchor="page33">
              <w:r>
                <w:rPr>
                  <w:rFonts w:ascii="Arial" w:cs="Arial" w:eastAsia="Arial" w:hAnsi="Arial"/>
                  <w:sz w:val="17"/>
                  <w:szCs w:val="17"/>
                  <w:color w:val="0000EE"/>
                </w:rPr>
                <w:t>Item 4.</w:t>
              </w:r>
            </w:hyperlink>
          </w:p>
        </w:tc>
        <w:tc>
          <w:tcPr>
            <w:tcW w:w="7620" w:type="dxa"/>
            <w:vAlign w:val="bottom"/>
            <w:gridSpan w:val="12"/>
          </w:tcPr>
          <w:p>
            <w:pPr>
              <w:ind w:left="140"/>
              <w:spacing w:after="0" w:line="184" w:lineRule="exact"/>
              <w:rPr>
                <w:rFonts w:ascii="Arial" w:cs="Arial" w:eastAsia="Arial" w:hAnsi="Arial"/>
                <w:sz w:val="17"/>
                <w:szCs w:val="17"/>
                <w:color w:val="0000EE"/>
              </w:rPr>
            </w:pPr>
            <w:hyperlink w:anchor="page33">
              <w:r>
                <w:rPr>
                  <w:rFonts w:ascii="Arial" w:cs="Arial" w:eastAsia="Arial" w:hAnsi="Arial"/>
                  <w:sz w:val="17"/>
                  <w:szCs w:val="17"/>
                  <w:color w:val="0000EE"/>
                </w:rPr>
                <w:t>Mine Safety Disclosures</w:t>
              </w:r>
            </w:hyperlink>
          </w:p>
        </w:tc>
        <w:tc>
          <w:tcPr>
            <w:tcW w:w="56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8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0" w:type="dxa"/>
            <w:vAlign w:val="bottom"/>
            <w:gridSpan w:val="3"/>
          </w:tcPr>
          <w:p>
            <w:pPr>
              <w:spacing w:after="0" w:line="184" w:lineRule="exact"/>
              <w:rPr>
                <w:rFonts w:ascii="Arial" w:cs="Arial" w:eastAsia="Arial" w:hAnsi="Arial"/>
                <w:sz w:val="17"/>
                <w:szCs w:val="17"/>
                <w:color w:val="0000EE"/>
              </w:rPr>
            </w:pPr>
            <w:hyperlink w:anchor="page33">
              <w:r>
                <w:rPr>
                  <w:rFonts w:ascii="Arial" w:cs="Arial" w:eastAsia="Arial" w:hAnsi="Arial"/>
                  <w:sz w:val="17"/>
                  <w:szCs w:val="17"/>
                  <w:color w:val="0000EE"/>
                </w:rPr>
                <w:t>Item 5.</w:t>
              </w:r>
            </w:hyperlink>
          </w:p>
        </w:tc>
        <w:tc>
          <w:tcPr>
            <w:tcW w:w="7620" w:type="dxa"/>
            <w:vAlign w:val="bottom"/>
            <w:gridSpan w:val="12"/>
          </w:tcPr>
          <w:p>
            <w:pPr>
              <w:ind w:left="140"/>
              <w:spacing w:after="0" w:line="184" w:lineRule="exact"/>
              <w:rPr>
                <w:rFonts w:ascii="Arial" w:cs="Arial" w:eastAsia="Arial" w:hAnsi="Arial"/>
                <w:sz w:val="17"/>
                <w:szCs w:val="17"/>
                <w:color w:val="0000EE"/>
              </w:rPr>
            </w:pPr>
            <w:hyperlink w:anchor="page33">
              <w:r>
                <w:rPr>
                  <w:rFonts w:ascii="Arial" w:cs="Arial" w:eastAsia="Arial" w:hAnsi="Arial"/>
                  <w:sz w:val="17"/>
                  <w:szCs w:val="17"/>
                  <w:color w:val="0000EE"/>
                </w:rPr>
                <w:t>Other Information</w:t>
              </w:r>
            </w:hyperlink>
          </w:p>
        </w:tc>
        <w:tc>
          <w:tcPr>
            <w:tcW w:w="56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240" w:type="dxa"/>
            <w:vAlign w:val="bottom"/>
            <w:gridSpan w:val="8"/>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0" w:type="dxa"/>
            <w:vAlign w:val="bottom"/>
            <w:gridSpan w:val="3"/>
          </w:tcPr>
          <w:p>
            <w:pPr>
              <w:spacing w:after="0" w:line="184" w:lineRule="exact"/>
              <w:rPr>
                <w:rFonts w:ascii="Arial" w:cs="Arial" w:eastAsia="Arial" w:hAnsi="Arial"/>
                <w:sz w:val="17"/>
                <w:szCs w:val="17"/>
                <w:color w:val="0000EE"/>
              </w:rPr>
            </w:pPr>
            <w:hyperlink w:anchor="page34">
              <w:r>
                <w:rPr>
                  <w:rFonts w:ascii="Arial" w:cs="Arial" w:eastAsia="Arial" w:hAnsi="Arial"/>
                  <w:sz w:val="17"/>
                  <w:szCs w:val="17"/>
                  <w:color w:val="0000EE"/>
                </w:rPr>
                <w:t>Item 6.</w:t>
              </w:r>
            </w:hyperlink>
          </w:p>
        </w:tc>
        <w:tc>
          <w:tcPr>
            <w:tcW w:w="7620" w:type="dxa"/>
            <w:vAlign w:val="bottom"/>
            <w:gridSpan w:val="12"/>
          </w:tcPr>
          <w:p>
            <w:pPr>
              <w:ind w:left="140"/>
              <w:spacing w:after="0" w:line="184" w:lineRule="exact"/>
              <w:rPr>
                <w:rFonts w:ascii="Arial" w:cs="Arial" w:eastAsia="Arial" w:hAnsi="Arial"/>
                <w:sz w:val="17"/>
                <w:szCs w:val="17"/>
                <w:color w:val="0000EE"/>
              </w:rPr>
            </w:pPr>
            <w:hyperlink w:anchor="page34">
              <w:r>
                <w:rPr>
                  <w:rFonts w:ascii="Arial" w:cs="Arial" w:eastAsia="Arial" w:hAnsi="Arial"/>
                  <w:sz w:val="17"/>
                  <w:szCs w:val="17"/>
                  <w:color w:val="0000EE"/>
                </w:rPr>
                <w:t>Exhibits</w:t>
              </w:r>
            </w:hyperlink>
          </w:p>
        </w:tc>
        <w:tc>
          <w:tcPr>
            <w:tcW w:w="56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2" w:name="page3"/>
    <w:bookmarkEnd w:id="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PART I - FINANCIAL INFORMATION</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 Condensed Consolidated Financial Statements (Unaudited)</w:t>
      </w:r>
    </w:p>
    <w:p>
      <w:pPr>
        <w:spacing w:after="0" w:line="110"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XpresSpa Group,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5"/>
                <w:szCs w:val="15"/>
                <w:b w:val="1"/>
                <w:bCs w:val="1"/>
                <w:color w:val="auto"/>
              </w:rPr>
              <w:t>March 31,</w:t>
            </w:r>
          </w:p>
        </w:tc>
        <w:tc>
          <w:tcPr>
            <w:tcW w:w="20" w:type="dxa"/>
            <w:vAlign w:val="bottom"/>
          </w:tcPr>
          <w:p>
            <w:pPr>
              <w:spacing w:after="0"/>
              <w:rPr>
                <w:sz w:val="16"/>
                <w:szCs w:val="16"/>
                <w:color w:val="auto"/>
              </w:rPr>
            </w:pPr>
          </w:p>
        </w:tc>
        <w:tc>
          <w:tcPr>
            <w:tcW w:w="100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Current assets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102,649</w:t>
            </w:r>
          </w:p>
        </w:tc>
        <w:tc>
          <w:tcPr>
            <w:tcW w:w="200" w:type="dxa"/>
            <w:vAlign w:val="bottom"/>
          </w:tcPr>
          <w:p>
            <w:pPr>
              <w:spacing w:after="0"/>
              <w:rPr>
                <w:sz w:val="16"/>
                <w:szCs w:val="16"/>
                <w:color w:val="auto"/>
              </w:rPr>
            </w:pPr>
          </w:p>
        </w:tc>
        <w:tc>
          <w:tcPr>
            <w:tcW w:w="200" w:type="dxa"/>
            <w:vAlign w:val="bottom"/>
            <w:gridSpan w:val="2"/>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89,801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Accounts receivable, net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3,019</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5"/>
                <w:szCs w:val="15"/>
                <w:color w:val="auto"/>
              </w:rPr>
              <w:t>Inventory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1,165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Other current assets</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956</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1,321</w:t>
            </w:r>
          </w:p>
        </w:tc>
        <w:tc>
          <w:tcPr>
            <w:tcW w:w="0" w:type="dxa"/>
            <w:vAlign w:val="bottom"/>
          </w:tcPr>
          <w:p>
            <w:pPr>
              <w:spacing w:after="0"/>
              <w:rPr>
                <w:sz w:val="1"/>
                <w:szCs w:val="1"/>
                <w:color w:val="auto"/>
              </w:rPr>
            </w:pPr>
          </w:p>
        </w:tc>
      </w:tr>
      <w:tr>
        <w:trPr>
          <w:trHeight w:val="184"/>
        </w:trPr>
        <w:tc>
          <w:tcPr>
            <w:tcW w:w="6600" w:type="dxa"/>
            <w:vAlign w:val="bottom"/>
            <w:gridSpan w:val="2"/>
          </w:tcPr>
          <w:p>
            <w:pPr>
              <w:spacing w:after="0"/>
              <w:rPr>
                <w:sz w:val="20"/>
                <w:szCs w:val="20"/>
                <w:color w:val="auto"/>
              </w:rPr>
            </w:pPr>
            <w:r>
              <w:rPr>
                <w:rFonts w:ascii="Arial" w:cs="Arial" w:eastAsia="Arial" w:hAnsi="Arial"/>
                <w:sz w:val="15"/>
                <w:szCs w:val="15"/>
                <w:b w:val="1"/>
                <w:bCs w:val="1"/>
                <w:color w:val="auto"/>
              </w:rPr>
              <w:t>Total current assets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107,789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91,779</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6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5"/>
                <w:szCs w:val="15"/>
                <w:color w:val="auto"/>
              </w:rPr>
              <w:t>Restricted cash</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701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5"/>
                <w:szCs w:val="15"/>
                <w:color w:val="auto"/>
              </w:rPr>
              <w:t>Intangible assets,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771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870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right of use assets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2,961</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119,820</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Current liabilities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5"/>
                <w:szCs w:val="15"/>
                <w:color w:val="auto"/>
              </w:rPr>
              <w:t>Accounts payable, accrued expenses and other</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7,049</w:t>
            </w:r>
          </w:p>
        </w:tc>
        <w:tc>
          <w:tcPr>
            <w:tcW w:w="200" w:type="dxa"/>
            <w:vAlign w:val="bottom"/>
          </w:tcPr>
          <w:p>
            <w:pPr>
              <w:spacing w:after="0"/>
              <w:rPr>
                <w:sz w:val="16"/>
                <w:szCs w:val="16"/>
                <w:color w:val="auto"/>
              </w:rPr>
            </w:pPr>
          </w:p>
        </w:tc>
        <w:tc>
          <w:tcPr>
            <w:tcW w:w="200" w:type="dxa"/>
            <w:vAlign w:val="bottom"/>
            <w:gridSpan w:val="2"/>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7,382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Current portion of operating lease liabilities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2,789</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Current portion of promissory note, unsecured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4,004</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current liabilities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13,842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13,477</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Long-term liabilities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5"/>
                <w:szCs w:val="15"/>
                <w:color w:val="auto"/>
              </w:rPr>
              <w:t>Promissory note, unsecured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1,649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2,355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liabilities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6,437</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6,930</w:t>
            </w:r>
          </w:p>
        </w:tc>
        <w:tc>
          <w:tcPr>
            <w:tcW w:w="0" w:type="dxa"/>
            <w:vAlign w:val="bottom"/>
          </w:tcPr>
          <w:p>
            <w:pPr>
              <w:spacing w:after="0"/>
              <w:rPr>
                <w:sz w:val="1"/>
                <w:szCs w:val="1"/>
                <w:color w:val="auto"/>
              </w:rPr>
            </w:pPr>
          </w:p>
        </w:tc>
      </w:tr>
      <w:tr>
        <w:trPr>
          <w:trHeight w:val="224"/>
        </w:trPr>
        <w:tc>
          <w:tcPr>
            <w:tcW w:w="6600" w:type="dxa"/>
            <w:vAlign w:val="bottom"/>
            <w:gridSpan w:val="2"/>
          </w:tcPr>
          <w:p>
            <w:pPr>
              <w:spacing w:after="0"/>
              <w:rPr>
                <w:sz w:val="20"/>
                <w:szCs w:val="20"/>
                <w:color w:val="auto"/>
              </w:rPr>
            </w:pPr>
            <w:r>
              <w:rPr>
                <w:rFonts w:ascii="Arial" w:cs="Arial" w:eastAsia="Arial" w:hAnsi="Arial"/>
                <w:sz w:val="15"/>
                <w:szCs w:val="15"/>
                <w:b w:val="1"/>
                <w:bCs w:val="1"/>
                <w:color w:val="auto"/>
              </w:rPr>
              <w:t>Total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22,762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Commitments and contingencies (see Note 11)</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Equity</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80" w:type="dxa"/>
            <w:vAlign w:val="bottom"/>
          </w:tcPr>
          <w:p>
            <w:pPr>
              <w:spacing w:after="0"/>
              <w:rPr>
                <w:sz w:val="20"/>
                <w:szCs w:val="20"/>
                <w:color w:val="auto"/>
              </w:rPr>
            </w:pPr>
            <w:r>
              <w:rPr>
                <w:rFonts w:ascii="Arial" w:cs="Arial" w:eastAsia="Arial" w:hAnsi="Arial"/>
                <w:sz w:val="15"/>
                <w:szCs w:val="15"/>
                <w:color w:val="auto"/>
                <w:w w:val="92"/>
              </w:rPr>
              <w:t>Series A Convertible Preferred Stock, $0.01 par value per share; 6,968 shares authorized; none issued and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00" w:type="dxa"/>
            <w:vAlign w:val="bottom"/>
            <w:gridSpan w:val="2"/>
          </w:tcPr>
          <w:p>
            <w:pPr>
              <w:spacing w:after="0"/>
              <w:rPr>
                <w:sz w:val="20"/>
                <w:szCs w:val="20"/>
                <w:color w:val="auto"/>
              </w:rPr>
            </w:pPr>
            <w:r>
              <w:rPr>
                <w:rFonts w:ascii="Arial" w:cs="Arial" w:eastAsia="Arial" w:hAnsi="Arial"/>
                <w:sz w:val="15"/>
                <w:szCs w:val="15"/>
                <w:color w:val="auto"/>
              </w:rPr>
              <w:t>outstanding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w w:val="94"/>
              </w:rPr>
              <w:t>Series C Junior Preferred Stock, $0.01 par value per share; 300,000 shares authorized; none issued and</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outstanding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80" w:type="dxa"/>
            <w:vAlign w:val="bottom"/>
          </w:tcPr>
          <w:p>
            <w:pPr>
              <w:spacing w:after="0"/>
              <w:rPr>
                <w:sz w:val="20"/>
                <w:szCs w:val="20"/>
                <w:color w:val="auto"/>
              </w:rPr>
            </w:pPr>
            <w:r>
              <w:rPr>
                <w:rFonts w:ascii="Arial" w:cs="Arial" w:eastAsia="Arial" w:hAnsi="Arial"/>
                <w:sz w:val="15"/>
                <w:szCs w:val="15"/>
                <w:color w:val="auto"/>
                <w:w w:val="93"/>
              </w:rPr>
              <w:t>Series D Convertible Preferred Stock, $0.01 par value per share; 500,000 shares authorized; none issued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00" w:type="dxa"/>
            <w:vAlign w:val="bottom"/>
            <w:gridSpan w:val="2"/>
          </w:tcPr>
          <w:p>
            <w:pPr>
              <w:spacing w:after="0"/>
              <w:rPr>
                <w:sz w:val="20"/>
                <w:szCs w:val="20"/>
                <w:color w:val="auto"/>
              </w:rPr>
            </w:pPr>
            <w:r>
              <w:rPr>
                <w:rFonts w:ascii="Arial" w:cs="Arial" w:eastAsia="Arial" w:hAnsi="Arial"/>
                <w:sz w:val="15"/>
                <w:szCs w:val="15"/>
                <w:color w:val="auto"/>
              </w:rPr>
              <w:t>and outstanding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w w:val="92"/>
              </w:rPr>
              <w:t>Series E Convertible Preferred Stock, $0.01 par value per share, 2,397,060 shares authorized; none issued</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and outstanding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80" w:type="dxa"/>
            <w:vAlign w:val="bottom"/>
          </w:tcPr>
          <w:p>
            <w:pPr>
              <w:spacing w:after="0"/>
              <w:rPr>
                <w:sz w:val="20"/>
                <w:szCs w:val="20"/>
                <w:color w:val="auto"/>
              </w:rPr>
            </w:pPr>
            <w:r>
              <w:rPr>
                <w:rFonts w:ascii="Arial" w:cs="Arial" w:eastAsia="Arial" w:hAnsi="Arial"/>
                <w:sz w:val="15"/>
                <w:szCs w:val="15"/>
                <w:color w:val="auto"/>
                <w:w w:val="92"/>
              </w:rPr>
              <w:t>Series F Convertible Preferred Stock, $0.01 par value per share, 9,000 shares authorized; none issued and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00" w:type="dxa"/>
            <w:vAlign w:val="bottom"/>
            <w:gridSpan w:val="2"/>
          </w:tcPr>
          <w:p>
            <w:pPr>
              <w:spacing w:after="0"/>
              <w:rPr>
                <w:sz w:val="20"/>
                <w:szCs w:val="20"/>
                <w:color w:val="auto"/>
              </w:rPr>
            </w:pPr>
            <w:r>
              <w:rPr>
                <w:rFonts w:ascii="Arial" w:cs="Arial" w:eastAsia="Arial" w:hAnsi="Arial"/>
                <w:sz w:val="15"/>
                <w:szCs w:val="15"/>
                <w:color w:val="auto"/>
              </w:rPr>
              <w:t>outstanding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w w:val="94"/>
              </w:rPr>
              <w:t>Common Stock, $0.01 par value per share 150,000,000 shares authorized; 105,282,382 and 94,058,853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shares issued and outstanding as of March 31, 2021 and December 31, 2020, respectively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492,868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475,709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(399,680)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(398,624)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Accumulated other comprehensive loss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equity attributable to XpresSpa Group, Inc.</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94,005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77,806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Noncontrolling interests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3,887</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Total equity</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97,892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80,371</w:t>
            </w:r>
          </w:p>
        </w:tc>
        <w:tc>
          <w:tcPr>
            <w:tcW w:w="0" w:type="dxa"/>
            <w:vAlign w:val="bottom"/>
          </w:tcPr>
          <w:p>
            <w:pPr>
              <w:spacing w:after="0"/>
              <w:rPr>
                <w:sz w:val="1"/>
                <w:szCs w:val="1"/>
                <w:color w:val="auto"/>
              </w:rPr>
            </w:pPr>
          </w:p>
        </w:tc>
      </w:tr>
      <w:tr>
        <w:trPr>
          <w:trHeight w:val="184"/>
        </w:trPr>
        <w:tc>
          <w:tcPr>
            <w:tcW w:w="6600" w:type="dxa"/>
            <w:vAlign w:val="bottom"/>
            <w:gridSpan w:val="2"/>
          </w:tcPr>
          <w:p>
            <w:pPr>
              <w:spacing w:after="0"/>
              <w:rPr>
                <w:sz w:val="20"/>
                <w:szCs w:val="20"/>
                <w:color w:val="auto"/>
              </w:rPr>
            </w:pPr>
            <w:r>
              <w:rPr>
                <w:rFonts w:ascii="Arial" w:cs="Arial" w:eastAsia="Arial" w:hAnsi="Arial"/>
                <w:sz w:val="15"/>
                <w:szCs w:val="15"/>
                <w:b w:val="1"/>
                <w:bCs w:val="1"/>
                <w:color w:val="auto"/>
              </w:rPr>
              <w:t>Total liabilities and equity</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119,820</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form an integral part of these unaudited condensed consolidated financial statements.</w:t>
      </w:r>
    </w:p>
    <w:p>
      <w:pPr>
        <w:sectPr>
          <w:pgSz w:w="11900" w:h="16838" w:orient="portrait"/>
          <w:cols w:equalWidth="0" w:num="1">
            <w:col w:w="9019"/>
          </w:cols>
          <w:pgMar w:left="1440" w:top="496"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358775</wp:posOffset>
            </wp:positionV>
            <wp:extent cx="566864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type w:val="continuous"/>
        </w:sectPr>
      </w:pPr>
    </w:p>
    <w:bookmarkStart w:id="3" w:name="page4"/>
    <w:bookmarkEnd w:id="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XpresSpa Group,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5"/>
          </w:tcPr>
          <w:p>
            <w:pPr>
              <w:ind w:left="160"/>
              <w:spacing w:after="0"/>
              <w:rPr>
                <w:sz w:val="20"/>
                <w:szCs w:val="20"/>
                <w:color w:val="auto"/>
              </w:rPr>
            </w:pPr>
            <w:r>
              <w:rPr>
                <w:rFonts w:ascii="Arial" w:cs="Arial" w:eastAsia="Arial" w:hAnsi="Arial"/>
                <w:sz w:val="17"/>
                <w:szCs w:val="17"/>
                <w:b w:val="1"/>
                <w:bCs w:val="1"/>
                <w:color w:val="auto"/>
              </w:rPr>
              <w:t>Three months ended March 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 net</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7"/>
                <w:szCs w:val="17"/>
                <w:color w:val="auto"/>
              </w:rPr>
              <w:t>Managed services fees</w:t>
            </w:r>
          </w:p>
        </w:tc>
        <w:tc>
          <w:tcPr>
            <w:tcW w:w="72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8,174</w:t>
            </w:r>
          </w:p>
        </w:tc>
        <w:tc>
          <w:tcPr>
            <w:tcW w:w="56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Services</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7"/>
                <w:szCs w:val="17"/>
                <w:color w:val="auto"/>
              </w:rPr>
              <w:t>Products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w:t>
            </w:r>
          </w:p>
        </w:tc>
        <w:tc>
          <w:tcPr>
            <w:tcW w:w="4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 revenue, net</w:t>
            </w:r>
          </w:p>
        </w:tc>
        <w:tc>
          <w:tcPr>
            <w:tcW w:w="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8,512</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7,718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 of sales</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7"/>
                <w:szCs w:val="17"/>
                <w:color w:val="auto"/>
              </w:rPr>
              <w:t>Labor</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1,215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7"/>
                <w:szCs w:val="17"/>
                <w:color w:val="auto"/>
              </w:rPr>
              <w:t>Occupancy</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Products and other operating costs</w:t>
            </w:r>
          </w:p>
        </w:tc>
        <w:tc>
          <w:tcPr>
            <w:tcW w:w="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2,463</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cost of sales</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4,159</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7"/>
                <w:szCs w:val="17"/>
                <w:color w:val="auto"/>
              </w:rPr>
              <w:t>Depreciation and amortization</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7"/>
                <w:szCs w:val="17"/>
                <w:color w:val="auto"/>
              </w:rPr>
              <w:t>Impairment/disposal of assets</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General and administrative</w:t>
            </w:r>
          </w:p>
        </w:tc>
        <w:tc>
          <w:tcPr>
            <w:tcW w:w="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4,508</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3,233</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operating expenses</w:t>
            </w:r>
          </w:p>
        </w:tc>
        <w:tc>
          <w:tcPr>
            <w:tcW w:w="4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9,433</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11,666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7"/>
                <w:szCs w:val="17"/>
                <w:b w:val="1"/>
                <w:bCs w:val="1"/>
                <w:color w:val="auto"/>
              </w:rPr>
              <w:t>Operating loss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(921)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(3,948)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Interest income (expense), net</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7"/>
                <w:szCs w:val="17"/>
                <w:color w:val="auto"/>
              </w:rPr>
              <w:t>Loss on revaluation of warrants and conversion options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(5,369)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 non-operating income (expense), net</w:t>
            </w:r>
          </w:p>
        </w:tc>
        <w:tc>
          <w:tcPr>
            <w:tcW w:w="4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7"/>
                <w:szCs w:val="17"/>
                <w:b w:val="1"/>
                <w:bCs w:val="1"/>
                <w:color w:val="auto"/>
              </w:rPr>
              <w:t>Loss from operations before income taxes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(807)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(10,724)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Income tax expense</w:t>
            </w:r>
          </w:p>
        </w:tc>
        <w:tc>
          <w:tcPr>
            <w:tcW w:w="4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7"/>
                <w:szCs w:val="17"/>
                <w:b w:val="1"/>
                <w:bCs w:val="1"/>
                <w:color w:val="auto"/>
              </w:rPr>
              <w:t>Net loss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(808)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(10,724)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(income) loss attributable to noncontrolling interests</w:t>
            </w:r>
          </w:p>
        </w:tc>
        <w:tc>
          <w:tcPr>
            <w:tcW w:w="4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80" w:type="dxa"/>
            <w:vAlign w:val="bottom"/>
            <w:gridSpan w:val="2"/>
          </w:tcPr>
          <w:p>
            <w:pPr>
              <w:spacing w:after="0"/>
              <w:rPr>
                <w:sz w:val="20"/>
                <w:szCs w:val="20"/>
                <w:color w:val="auto"/>
              </w:rPr>
            </w:pPr>
            <w:r>
              <w:rPr>
                <w:rFonts w:ascii="Arial" w:cs="Arial" w:eastAsia="Arial" w:hAnsi="Arial"/>
                <w:sz w:val="17"/>
                <w:szCs w:val="17"/>
                <w:b w:val="1"/>
                <w:bCs w:val="1"/>
                <w:color w:val="auto"/>
              </w:rPr>
              <w:t>Net loss attributable to XpresSpa Group, Inc.</w:t>
            </w:r>
          </w:p>
        </w:tc>
        <w:tc>
          <w:tcPr>
            <w:tcW w:w="480" w:type="dxa"/>
            <w:vAlign w:val="bottom"/>
          </w:tcPr>
          <w:p>
            <w:pPr>
              <w:spacing w:after="0"/>
              <w:rPr>
                <w:sz w:val="20"/>
                <w:szCs w:val="20"/>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7"/>
                <w:szCs w:val="17"/>
                <w:b w:val="1"/>
                <w:bCs w:val="1"/>
                <w:color w:val="auto"/>
              </w:rPr>
              <w:t>Net loss</w:t>
            </w:r>
          </w:p>
        </w:tc>
        <w:tc>
          <w:tcPr>
            <w:tcW w:w="72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(808)</w:t>
            </w:r>
          </w:p>
        </w:tc>
        <w:tc>
          <w:tcPr>
            <w:tcW w:w="56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(10,724)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 comprehensive loss from operations</w:t>
            </w:r>
          </w:p>
        </w:tc>
        <w:tc>
          <w:tcPr>
            <w:tcW w:w="4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80" w:type="dxa"/>
            <w:vAlign w:val="bottom"/>
            <w:gridSpan w:val="2"/>
          </w:tcPr>
          <w:p>
            <w:pPr>
              <w:spacing w:after="0"/>
              <w:rPr>
                <w:sz w:val="20"/>
                <w:szCs w:val="20"/>
                <w:color w:val="auto"/>
              </w:rPr>
            </w:pPr>
            <w:r>
              <w:rPr>
                <w:rFonts w:ascii="Arial" w:cs="Arial" w:eastAsia="Arial" w:hAnsi="Arial"/>
                <w:sz w:val="17"/>
                <w:szCs w:val="17"/>
                <w:b w:val="1"/>
                <w:bCs w:val="1"/>
                <w:color w:val="auto"/>
              </w:rPr>
              <w:t>Comprehensive loss</w:t>
            </w:r>
          </w:p>
        </w:tc>
        <w:tc>
          <w:tcPr>
            <w:tcW w:w="480" w:type="dxa"/>
            <w:vAlign w:val="bottom"/>
          </w:tcPr>
          <w:p>
            <w:pPr>
              <w:spacing w:after="0"/>
              <w:rPr>
                <w:sz w:val="20"/>
                <w:szCs w:val="20"/>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6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7"/>
                <w:szCs w:val="17"/>
                <w:b w:val="1"/>
                <w:bCs w:val="1"/>
                <w:color w:val="auto"/>
              </w:rPr>
              <w:t>Loss per share</w:t>
            </w:r>
          </w:p>
        </w:tc>
        <w:tc>
          <w:tcPr>
            <w:tcW w:w="4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7"/>
                <w:szCs w:val="17"/>
                <w:b w:val="1"/>
                <w:bCs w:val="1"/>
                <w:color w:val="auto"/>
              </w:rPr>
              <w:t>Basic and diluted net loss per share</w:t>
            </w:r>
          </w:p>
        </w:tc>
        <w:tc>
          <w:tcPr>
            <w:tcW w:w="72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(0.01)</w:t>
            </w:r>
          </w:p>
        </w:tc>
        <w:tc>
          <w:tcPr>
            <w:tcW w:w="56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6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7"/>
                <w:szCs w:val="17"/>
                <w:b w:val="1"/>
                <w:bCs w:val="1"/>
                <w:color w:val="auto"/>
                <w:w w:val="98"/>
              </w:rPr>
              <w:t>Weighted-average number of shares outstanding during the year</w:t>
            </w:r>
          </w:p>
        </w:tc>
        <w:tc>
          <w:tcPr>
            <w:tcW w:w="4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Basic</w:t>
            </w:r>
          </w:p>
        </w:tc>
        <w:tc>
          <w:tcPr>
            <w:tcW w:w="4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101,058,500</w:t>
            </w:r>
          </w:p>
        </w:tc>
        <w:tc>
          <w:tcPr>
            <w:tcW w:w="2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6,276,012</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ind w:left="80"/>
              <w:spacing w:after="0" w:line="182" w:lineRule="exact"/>
              <w:rPr>
                <w:sz w:val="20"/>
                <w:szCs w:val="20"/>
                <w:color w:val="auto"/>
              </w:rPr>
            </w:pPr>
            <w:r>
              <w:rPr>
                <w:rFonts w:ascii="Arial" w:cs="Arial" w:eastAsia="Arial" w:hAnsi="Arial"/>
                <w:sz w:val="17"/>
                <w:szCs w:val="17"/>
                <w:color w:val="auto"/>
              </w:rPr>
              <w:t>Diluted</w:t>
            </w:r>
          </w:p>
        </w:tc>
        <w:tc>
          <w:tcPr>
            <w:tcW w:w="4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101,058,500</w:t>
            </w:r>
          </w:p>
        </w:tc>
        <w:tc>
          <w:tcPr>
            <w:tcW w:w="2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6,276,012</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4" w:name="page5"/>
    <w:bookmarkEnd w:id="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XpresSpa Group, Inc. and Subsidiaries</w:t>
      </w:r>
    </w:p>
    <w:p>
      <w:pPr>
        <w:spacing w:after="0" w:line="24"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8"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9"/>
          </w:tcPr>
          <w:p>
            <w:pPr>
              <w:jc w:val="right"/>
              <w:spacing w:after="0"/>
              <w:rPr>
                <w:sz w:val="20"/>
                <w:szCs w:val="20"/>
                <w:color w:val="auto"/>
              </w:rPr>
            </w:pPr>
            <w:r>
              <w:rPr>
                <w:rFonts w:ascii="Arial" w:cs="Arial" w:eastAsia="Arial" w:hAnsi="Arial"/>
                <w:sz w:val="12"/>
                <w:szCs w:val="12"/>
                <w:b w:val="1"/>
                <w:bCs w:val="1"/>
                <w:color w:val="auto"/>
                <w:w w:val="87"/>
              </w:rPr>
              <w:t>(In thousands, except share and per share data)</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780" w:type="dxa"/>
            <w:vAlign w:val="bottom"/>
            <w:gridSpan w:val="4"/>
          </w:tcPr>
          <w:p>
            <w:pPr>
              <w:jc w:val="center"/>
              <w:ind w:left="152"/>
              <w:spacing w:after="0" w:line="140" w:lineRule="exact"/>
              <w:rPr>
                <w:sz w:val="20"/>
                <w:szCs w:val="20"/>
                <w:color w:val="auto"/>
              </w:rPr>
            </w:pPr>
            <w:r>
              <w:rPr>
                <w:rFonts w:ascii="Arial" w:cs="Arial" w:eastAsia="Arial" w:hAnsi="Arial"/>
                <w:sz w:val="14"/>
                <w:szCs w:val="14"/>
                <w:b w:val="1"/>
                <w:bCs w:val="1"/>
                <w:color w:val="auto"/>
                <w:w w:val="86"/>
              </w:rPr>
              <w:t>Series 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center"/>
              <w:ind w:left="192"/>
              <w:spacing w:after="0" w:line="140" w:lineRule="exact"/>
              <w:rPr>
                <w:sz w:val="20"/>
                <w:szCs w:val="20"/>
                <w:color w:val="auto"/>
              </w:rPr>
            </w:pPr>
            <w:r>
              <w:rPr>
                <w:rFonts w:ascii="Arial" w:cs="Arial" w:eastAsia="Arial" w:hAnsi="Arial"/>
                <w:sz w:val="14"/>
                <w:szCs w:val="14"/>
                <w:b w:val="1"/>
                <w:bCs w:val="1"/>
                <w:color w:val="auto"/>
                <w:w w:val="84"/>
              </w:rPr>
              <w:t>Series 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ind w:right="300"/>
              <w:spacing w:after="0" w:line="140"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66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70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7"/>
              </w:rPr>
              <w:t>Non-</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1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Preferred stock</w:t>
            </w:r>
          </w:p>
        </w:tc>
        <w:tc>
          <w:tcPr>
            <w:tcW w:w="11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Preferred stock</w:t>
            </w:r>
          </w:p>
        </w:tc>
        <w:tc>
          <w:tcPr>
            <w:tcW w:w="148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paid-</w:t>
            </w:r>
          </w:p>
        </w:tc>
        <w:tc>
          <w:tcPr>
            <w:tcW w:w="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Accumulated</w:t>
            </w: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3"/>
              </w:rPr>
              <w:t>comprehensive</w:t>
            </w:r>
          </w:p>
        </w:tc>
        <w:tc>
          <w:tcPr>
            <w:tcW w:w="7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Company</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13"/>
                <w:szCs w:val="13"/>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5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w w:val="83"/>
              </w:rPr>
              <w:t>Amount</w:t>
            </w:r>
          </w:p>
        </w:tc>
        <w:tc>
          <w:tcPr>
            <w:tcW w:w="140" w:type="dxa"/>
            <w:vAlign w:val="bottom"/>
          </w:tcPr>
          <w:p>
            <w:pPr>
              <w:spacing w:after="0"/>
              <w:rPr>
                <w:sz w:val="11"/>
                <w:szCs w:val="11"/>
                <w:color w:val="auto"/>
              </w:rPr>
            </w:pPr>
          </w:p>
        </w:tc>
        <w:tc>
          <w:tcPr>
            <w:tcW w:w="5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w w:val="83"/>
              </w:rPr>
              <w:t>Amount</w:t>
            </w:r>
          </w:p>
        </w:tc>
        <w:tc>
          <w:tcPr>
            <w:tcW w:w="140" w:type="dxa"/>
            <w:vAlign w:val="bottom"/>
          </w:tcPr>
          <w:p>
            <w:pPr>
              <w:spacing w:after="0"/>
              <w:rPr>
                <w:sz w:val="11"/>
                <w:szCs w:val="11"/>
                <w:color w:val="auto"/>
              </w:rPr>
            </w:pPr>
          </w:p>
        </w:tc>
        <w:tc>
          <w:tcPr>
            <w:tcW w:w="740" w:type="dxa"/>
            <w:vAlign w:val="bottom"/>
            <w:tcBorders>
              <w:top w:val="single" w:sz="8" w:color="auto"/>
            </w:tcBorders>
          </w:tcPr>
          <w:p>
            <w:pPr>
              <w:jc w:val="right"/>
              <w:ind w:right="93"/>
              <w:spacing w:after="0" w:line="133"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83"/>
              </w:rPr>
              <w:t>Amount</w:t>
            </w:r>
          </w:p>
        </w:tc>
        <w:tc>
          <w:tcPr>
            <w:tcW w:w="140" w:type="dxa"/>
            <w:vAlign w:val="bottom"/>
          </w:tcPr>
          <w:p>
            <w:pPr>
              <w:spacing w:after="0"/>
              <w:rPr>
                <w:sz w:val="11"/>
                <w:szCs w:val="11"/>
                <w:color w:val="auto"/>
              </w:rPr>
            </w:pPr>
          </w:p>
        </w:tc>
        <w:tc>
          <w:tcPr>
            <w:tcW w:w="7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in capital</w:t>
            </w:r>
          </w:p>
        </w:tc>
        <w:tc>
          <w:tcPr>
            <w:tcW w:w="220" w:type="dxa"/>
            <w:vAlign w:val="bottom"/>
          </w:tcPr>
          <w:p>
            <w:pPr>
              <w:spacing w:after="0"/>
              <w:rPr>
                <w:sz w:val="11"/>
                <w:szCs w:val="11"/>
                <w:color w:val="auto"/>
              </w:rPr>
            </w:pPr>
          </w:p>
        </w:tc>
        <w:tc>
          <w:tcPr>
            <w:tcW w:w="760" w:type="dxa"/>
            <w:vAlign w:val="bottom"/>
            <w:gridSpan w:val="3"/>
          </w:tcPr>
          <w:p>
            <w:pPr>
              <w:jc w:val="right"/>
              <w:ind w:right="360"/>
              <w:spacing w:after="0" w:line="133" w:lineRule="exact"/>
              <w:rPr>
                <w:sz w:val="20"/>
                <w:szCs w:val="20"/>
                <w:color w:val="auto"/>
              </w:rPr>
            </w:pPr>
            <w:r>
              <w:rPr>
                <w:rFonts w:ascii="Arial" w:cs="Arial" w:eastAsia="Arial" w:hAnsi="Arial"/>
                <w:sz w:val="14"/>
                <w:szCs w:val="14"/>
                <w:b w:val="1"/>
                <w:bCs w:val="1"/>
                <w:color w:val="auto"/>
                <w:w w:val="92"/>
              </w:rPr>
              <w:t>deficit</w:t>
            </w:r>
          </w:p>
        </w:tc>
        <w:tc>
          <w:tcPr>
            <w:tcW w:w="180" w:type="dxa"/>
            <w:vAlign w:val="bottom"/>
          </w:tcPr>
          <w:p>
            <w:pPr>
              <w:spacing w:after="0"/>
              <w:rPr>
                <w:sz w:val="11"/>
                <w:szCs w:val="11"/>
                <w:color w:val="auto"/>
              </w:rPr>
            </w:pPr>
          </w:p>
        </w:tc>
        <w:tc>
          <w:tcPr>
            <w:tcW w:w="82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71"/>
              </w:rPr>
              <w:t>loss</w:t>
            </w:r>
          </w:p>
        </w:tc>
        <w:tc>
          <w:tcPr>
            <w:tcW w:w="120" w:type="dxa"/>
            <w:vAlign w:val="bottom"/>
          </w:tcPr>
          <w:p>
            <w:pPr>
              <w:spacing w:after="0"/>
              <w:rPr>
                <w:sz w:val="11"/>
                <w:szCs w:val="11"/>
                <w:color w:val="auto"/>
              </w:rPr>
            </w:pPr>
          </w:p>
        </w:tc>
        <w:tc>
          <w:tcPr>
            <w:tcW w:w="66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87"/>
              </w:rPr>
              <w:t>equity</w:t>
            </w:r>
          </w:p>
        </w:tc>
        <w:tc>
          <w:tcPr>
            <w:tcW w:w="80" w:type="dxa"/>
            <w:vAlign w:val="bottom"/>
          </w:tcPr>
          <w:p>
            <w:pPr>
              <w:spacing w:after="0"/>
              <w:rPr>
                <w:sz w:val="11"/>
                <w:szCs w:val="11"/>
                <w:color w:val="auto"/>
              </w:rPr>
            </w:pPr>
          </w:p>
        </w:tc>
        <w:tc>
          <w:tcPr>
            <w:tcW w:w="70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82"/>
              </w:rPr>
              <w:t>interests</w:t>
            </w:r>
          </w:p>
        </w:tc>
        <w:tc>
          <w:tcPr>
            <w:tcW w:w="5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12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96"/>
              </w:rPr>
              <w:t>December 31, 2020</w:t>
            </w: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240" w:type="dxa"/>
            <w:vAlign w:val="bottom"/>
            <w:vMerge w:val="continue"/>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94,058,853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475,709</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(398,624)</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77,806</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1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6"/>
              </w:rPr>
              <w:t>$80,371</w:t>
            </w:r>
          </w:p>
        </w:tc>
        <w:tc>
          <w:tcPr>
            <w:tcW w:w="0" w:type="dxa"/>
            <w:vAlign w:val="bottom"/>
          </w:tcPr>
          <w:p>
            <w:pPr>
              <w:spacing w:after="0"/>
              <w:rPr>
                <w:sz w:val="1"/>
                <w:szCs w:val="1"/>
                <w:color w:val="auto"/>
              </w:rPr>
            </w:pPr>
          </w:p>
        </w:tc>
      </w:tr>
      <w:tr>
        <w:trPr>
          <w:trHeight w:val="122"/>
        </w:trPr>
        <w:tc>
          <w:tcPr>
            <w:tcW w:w="1240" w:type="dxa"/>
            <w:vAlign w:val="bottom"/>
          </w:tcPr>
          <w:p>
            <w:pPr>
              <w:spacing w:after="0" w:line="122" w:lineRule="exact"/>
              <w:rPr>
                <w:sz w:val="20"/>
                <w:szCs w:val="20"/>
                <w:color w:val="auto"/>
              </w:rPr>
            </w:pPr>
            <w:r>
              <w:rPr>
                <w:rFonts w:ascii="Arial" w:cs="Arial" w:eastAsia="Arial" w:hAnsi="Arial"/>
                <w:sz w:val="14"/>
                <w:szCs w:val="14"/>
                <w:color w:val="auto"/>
              </w:rPr>
              <w:t>Warrant exercises,</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line="159" w:lineRule="exact"/>
              <w:rPr>
                <w:sz w:val="20"/>
                <w:szCs w:val="20"/>
                <w:color w:val="auto"/>
              </w:rPr>
            </w:pPr>
            <w:r>
              <w:rPr>
                <w:rFonts w:ascii="Arial" w:cs="Arial" w:eastAsia="Arial" w:hAnsi="Arial"/>
                <w:sz w:val="14"/>
                <w:szCs w:val="14"/>
                <w:color w:val="auto"/>
              </w:rPr>
              <w:t>net of costs</w:t>
            </w:r>
          </w:p>
        </w:tc>
        <w:tc>
          <w:tcPr>
            <w:tcW w:w="5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w w:val="96"/>
              </w:rPr>
              <w:t>11,223,529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112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16,895</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17,007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17,007</w:t>
            </w: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Stock-based</w:t>
            </w: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compensation</w:t>
            </w:r>
          </w:p>
        </w:tc>
        <w:tc>
          <w:tcPr>
            <w:tcW w:w="5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264</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741</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122"/>
        </w:trPr>
        <w:tc>
          <w:tcPr>
            <w:tcW w:w="1240" w:type="dxa"/>
            <w:vAlign w:val="bottom"/>
          </w:tcPr>
          <w:p>
            <w:pPr>
              <w:spacing w:after="0" w:line="122" w:lineRule="exact"/>
              <w:rPr>
                <w:sz w:val="20"/>
                <w:szCs w:val="20"/>
                <w:color w:val="auto"/>
              </w:rPr>
            </w:pPr>
            <w:r>
              <w:rPr>
                <w:rFonts w:ascii="Arial" w:cs="Arial" w:eastAsia="Arial" w:hAnsi="Arial"/>
                <w:sz w:val="14"/>
                <w:szCs w:val="14"/>
                <w:color w:val="auto"/>
              </w:rPr>
              <w:t>Net loss for the</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line="159" w:lineRule="exact"/>
              <w:rPr>
                <w:sz w:val="20"/>
                <w:szCs w:val="20"/>
                <w:color w:val="auto"/>
              </w:rPr>
            </w:pPr>
            <w:r>
              <w:rPr>
                <w:rFonts w:ascii="Arial" w:cs="Arial" w:eastAsia="Arial" w:hAnsi="Arial"/>
                <w:sz w:val="14"/>
                <w:szCs w:val="14"/>
                <w:color w:val="auto"/>
              </w:rPr>
              <w:t>period</w:t>
            </w:r>
          </w:p>
        </w:tc>
        <w:tc>
          <w:tcPr>
            <w:tcW w:w="5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(1,056)</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(1,056)</w:t>
            </w:r>
          </w:p>
        </w:tc>
        <w:tc>
          <w:tcPr>
            <w:tcW w:w="8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248</w:t>
            </w:r>
          </w:p>
        </w:tc>
        <w:tc>
          <w:tcPr>
            <w:tcW w:w="140" w:type="dxa"/>
            <w:vAlign w:val="bottom"/>
          </w:tcPr>
          <w:p>
            <w:pPr>
              <w:spacing w:after="0"/>
              <w:rPr>
                <w:sz w:val="13"/>
                <w:szCs w:val="13"/>
                <w:color w:val="auto"/>
              </w:rPr>
            </w:pPr>
          </w:p>
        </w:tc>
        <w:tc>
          <w:tcPr>
            <w:tcW w:w="5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Foreign currency</w:t>
            </w: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translation</w:t>
            </w:r>
          </w:p>
        </w:tc>
        <w:tc>
          <w:tcPr>
            <w:tcW w:w="5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22"/>
        </w:trPr>
        <w:tc>
          <w:tcPr>
            <w:tcW w:w="1240" w:type="dxa"/>
            <w:vAlign w:val="bottom"/>
          </w:tcPr>
          <w:p>
            <w:pPr>
              <w:spacing w:after="0" w:line="122" w:lineRule="exact"/>
              <w:rPr>
                <w:sz w:val="20"/>
                <w:szCs w:val="20"/>
                <w:color w:val="auto"/>
              </w:rPr>
            </w:pPr>
            <w:r>
              <w:rPr>
                <w:rFonts w:ascii="Arial" w:cs="Arial" w:eastAsia="Arial" w:hAnsi="Arial"/>
                <w:sz w:val="14"/>
                <w:szCs w:val="14"/>
                <w:color w:val="auto"/>
              </w:rPr>
              <w:t>Contributions from</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40" w:type="dxa"/>
            <w:vAlign w:val="bottom"/>
          </w:tcPr>
          <w:p>
            <w:pPr>
              <w:spacing w:after="0" w:line="140" w:lineRule="exact"/>
              <w:rPr>
                <w:sz w:val="20"/>
                <w:szCs w:val="20"/>
                <w:color w:val="auto"/>
              </w:rPr>
            </w:pPr>
            <w:r>
              <w:rPr>
                <w:rFonts w:ascii="Arial" w:cs="Arial" w:eastAsia="Arial" w:hAnsi="Arial"/>
                <w:sz w:val="14"/>
                <w:szCs w:val="14"/>
                <w:color w:val="auto"/>
              </w:rPr>
              <w:t>noncontrolling</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4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interests</w:t>
            </w:r>
          </w:p>
        </w:tc>
        <w:tc>
          <w:tcPr>
            <w:tcW w:w="3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333</w:t>
            </w:r>
          </w:p>
        </w:tc>
        <w:tc>
          <w:tcPr>
            <w:tcW w:w="1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273"/>
        </w:trPr>
        <w:tc>
          <w:tcPr>
            <w:tcW w:w="1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March 31, 2021</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105,282,382</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1,053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492,868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(399,680)</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94,005</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3,887</w:t>
            </w:r>
          </w:p>
        </w:tc>
        <w:tc>
          <w:tcPr>
            <w:tcW w:w="1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6"/>
              </w:rPr>
              <w:t>$97,892</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336550</wp:posOffset>
            </wp:positionV>
            <wp:extent cx="599186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91860" cy="24130"/>
                    </a:xfrm>
                    <a:prstGeom prst="rect">
                      <a:avLst/>
                    </a:prstGeom>
                    <a:noFill/>
                  </pic:spPr>
                </pic:pic>
              </a:graphicData>
            </a:graphic>
          </wp:anchor>
        </w:drawing>
      </w:r>
    </w:p>
    <w:p>
      <w:pPr>
        <w:sectPr>
          <w:pgSz w:w="11900" w:h="16838" w:orient="portrait"/>
          <w:cols w:equalWidth="0" w:num="1">
            <w:col w:w="9820"/>
          </w:cols>
          <w:pgMar w:left="1180" w:top="496" w:right="899" w:bottom="1440" w:gutter="0" w:footer="0" w:header="0"/>
        </w:sectPr>
      </w:pPr>
    </w:p>
    <w:bookmarkStart w:id="5" w:name="page6"/>
    <w:bookmarkEnd w:id="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60"/>
        <w:spacing w:after="0"/>
        <w:rPr>
          <w:sz w:val="20"/>
          <w:szCs w:val="20"/>
          <w:color w:val="auto"/>
        </w:rPr>
      </w:pPr>
      <w:r>
        <w:rPr>
          <w:rFonts w:ascii="Arial" w:cs="Arial" w:eastAsia="Arial" w:hAnsi="Arial"/>
          <w:sz w:val="17"/>
          <w:szCs w:val="17"/>
          <w:b w:val="1"/>
          <w:bCs w:val="1"/>
          <w:color w:val="auto"/>
        </w:rPr>
        <w:t>XpresSpa Group, Inc. and Subsidiaries</w:t>
      </w:r>
    </w:p>
    <w:p>
      <w:pPr>
        <w:spacing w:after="0" w:line="24" w:lineRule="exact"/>
        <w:rPr>
          <w:sz w:val="20"/>
          <w:szCs w:val="20"/>
          <w:color w:val="auto"/>
        </w:rPr>
      </w:pPr>
    </w:p>
    <w:p>
      <w:pPr>
        <w:jc w:val="center"/>
        <w:ind w:right="960"/>
        <w:spacing w:after="0"/>
        <w:rPr>
          <w:sz w:val="20"/>
          <w:szCs w:val="20"/>
          <w:color w:val="auto"/>
        </w:rPr>
      </w:pPr>
      <w:r>
        <w:rPr>
          <w:rFonts w:ascii="Arial" w:cs="Arial" w:eastAsia="Arial" w:hAnsi="Arial"/>
          <w:sz w:val="17"/>
          <w:szCs w:val="17"/>
          <w:b w:val="1"/>
          <w:bCs w:val="1"/>
          <w:color w:val="auto"/>
        </w:rPr>
        <w:t>CONDENSED CONSOLIDATED STATEMENTS OF CHANGES IN STOCKHOLDERS’ EQUITY (DEFICIT)</w:t>
      </w:r>
    </w:p>
    <w:p>
      <w:pPr>
        <w:spacing w:after="0" w:line="8" w:lineRule="exact"/>
        <w:rPr>
          <w:sz w:val="20"/>
          <w:szCs w:val="20"/>
          <w:color w:val="auto"/>
        </w:rPr>
      </w:pPr>
    </w:p>
    <w:p>
      <w:pPr>
        <w:jc w:val="center"/>
        <w:ind w:right="960"/>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96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left="172"/>
              <w:spacing w:after="0" w:line="140" w:lineRule="exact"/>
              <w:rPr>
                <w:sz w:val="20"/>
                <w:szCs w:val="20"/>
                <w:color w:val="auto"/>
              </w:rPr>
            </w:pPr>
            <w:r>
              <w:rPr>
                <w:rFonts w:ascii="Arial" w:cs="Arial" w:eastAsia="Arial" w:hAnsi="Arial"/>
                <w:sz w:val="14"/>
                <w:szCs w:val="14"/>
                <w:b w:val="1"/>
                <w:bCs w:val="1"/>
                <w:color w:val="auto"/>
                <w:w w:val="86"/>
              </w:rPr>
              <w:t>Series 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left="152"/>
              <w:spacing w:after="0" w:line="140" w:lineRule="exact"/>
              <w:rPr>
                <w:sz w:val="20"/>
                <w:szCs w:val="20"/>
                <w:color w:val="auto"/>
              </w:rPr>
            </w:pPr>
            <w:r>
              <w:rPr>
                <w:rFonts w:ascii="Arial" w:cs="Arial" w:eastAsia="Arial" w:hAnsi="Arial"/>
                <w:sz w:val="14"/>
                <w:szCs w:val="14"/>
                <w:b w:val="1"/>
                <w:bCs w:val="1"/>
                <w:color w:val="auto"/>
                <w:w w:val="84"/>
              </w:rPr>
              <w:t>Series 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2"/>
              <w:spacing w:after="0" w:line="140"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12"/>
              <w:spacing w:after="0" w:line="140"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2"/>
              <w:spacing w:after="0" w:line="140"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Preferred stock</w:t>
            </w:r>
          </w:p>
        </w:tc>
        <w:tc>
          <w:tcPr>
            <w:tcW w:w="11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Preferred stock</w:t>
            </w:r>
          </w:p>
        </w:tc>
        <w:tc>
          <w:tcPr>
            <w:tcW w:w="1120" w:type="dxa"/>
            <w:vAlign w:val="bottom"/>
            <w:gridSpan w:val="3"/>
          </w:tcPr>
          <w:p>
            <w:pPr>
              <w:ind w:left="260"/>
              <w:spacing w:after="0"/>
              <w:rPr>
                <w:sz w:val="20"/>
                <w:szCs w:val="20"/>
                <w:color w:val="auto"/>
              </w:rPr>
            </w:pPr>
            <w:r>
              <w:rPr>
                <w:rFonts w:ascii="Arial" w:cs="Arial" w:eastAsia="Arial" w:hAnsi="Arial"/>
                <w:sz w:val="14"/>
                <w:szCs w:val="14"/>
                <w:b w:val="1"/>
                <w:bCs w:val="1"/>
                <w:color w:val="auto"/>
                <w:w w:val="83"/>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w w:val="90"/>
              </w:rPr>
              <w:t>Company</w:t>
            </w:r>
          </w:p>
        </w:tc>
        <w:tc>
          <w:tcPr>
            <w:tcW w:w="1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controlling</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1"/>
                <w:szCs w:val="11"/>
                <w:color w:val="auto"/>
              </w:rPr>
            </w:pPr>
          </w:p>
        </w:tc>
        <w:tc>
          <w:tcPr>
            <w:tcW w:w="4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right"/>
              <w:ind w:right="32"/>
              <w:spacing w:after="0" w:line="133" w:lineRule="exact"/>
              <w:rPr>
                <w:sz w:val="20"/>
                <w:szCs w:val="20"/>
                <w:color w:val="auto"/>
              </w:rPr>
            </w:pPr>
            <w:r>
              <w:rPr>
                <w:rFonts w:ascii="Arial" w:cs="Arial" w:eastAsia="Arial" w:hAnsi="Arial"/>
                <w:sz w:val="14"/>
                <w:szCs w:val="14"/>
                <w:b w:val="1"/>
                <w:bCs w:val="1"/>
                <w:color w:val="auto"/>
                <w:w w:val="99"/>
              </w:rPr>
              <w:t>Shares *</w:t>
            </w:r>
          </w:p>
        </w:tc>
        <w:tc>
          <w:tcPr>
            <w:tcW w:w="760" w:type="dxa"/>
            <w:vAlign w:val="bottom"/>
            <w:tcBorders>
              <w:top w:val="single" w:sz="8" w:color="auto"/>
            </w:tcBorders>
            <w:gridSpan w:val="3"/>
          </w:tcPr>
          <w:p>
            <w:pPr>
              <w:ind w:left="140"/>
              <w:spacing w:after="0" w:line="133" w:lineRule="exact"/>
              <w:rPr>
                <w:sz w:val="20"/>
                <w:szCs w:val="20"/>
                <w:color w:val="auto"/>
              </w:rPr>
            </w:pPr>
            <w:r>
              <w:rPr>
                <w:rFonts w:ascii="Arial" w:cs="Arial" w:eastAsia="Arial" w:hAnsi="Arial"/>
                <w:sz w:val="14"/>
                <w:szCs w:val="14"/>
                <w:b w:val="1"/>
                <w:bCs w:val="1"/>
                <w:color w:val="auto"/>
                <w:w w:val="93"/>
              </w:rPr>
              <w:t>Amount *</w:t>
            </w:r>
          </w:p>
        </w:tc>
        <w:tc>
          <w:tcPr>
            <w:tcW w:w="84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in capital *</w:t>
            </w:r>
          </w:p>
        </w:tc>
        <w:tc>
          <w:tcPr>
            <w:tcW w:w="160" w:type="dxa"/>
            <w:vAlign w:val="bottom"/>
          </w:tcPr>
          <w:p>
            <w:pPr>
              <w:spacing w:after="0"/>
              <w:rPr>
                <w:sz w:val="11"/>
                <w:szCs w:val="11"/>
                <w:color w:val="auto"/>
              </w:rPr>
            </w:pPr>
          </w:p>
        </w:tc>
        <w:tc>
          <w:tcPr>
            <w:tcW w:w="680" w:type="dxa"/>
            <w:vAlign w:val="bottom"/>
          </w:tcPr>
          <w:p>
            <w:pPr>
              <w:jc w:val="right"/>
              <w:ind w:right="172"/>
              <w:spacing w:after="0" w:line="133"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112"/>
              <w:spacing w:after="0" w:line="133" w:lineRule="exact"/>
              <w:rPr>
                <w:sz w:val="20"/>
                <w:szCs w:val="20"/>
                <w:color w:val="auto"/>
              </w:rPr>
            </w:pPr>
            <w:r>
              <w:rPr>
                <w:rFonts w:ascii="Arial" w:cs="Arial" w:eastAsia="Arial" w:hAnsi="Arial"/>
                <w:sz w:val="14"/>
                <w:szCs w:val="14"/>
                <w:b w:val="1"/>
                <w:bCs w:val="1"/>
                <w:color w:val="auto"/>
                <w:w w:val="71"/>
              </w:rPr>
              <w:t>loss</w:t>
            </w:r>
          </w:p>
        </w:tc>
        <w:tc>
          <w:tcPr>
            <w:tcW w:w="1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85"/>
              </w:rPr>
              <w:t>equity (deficit)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82"/>
              </w:rPr>
              <w:t>interests</w:t>
            </w:r>
          </w:p>
        </w:tc>
        <w:tc>
          <w:tcPr>
            <w:tcW w:w="14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85"/>
              </w:rPr>
              <w:t>equity (deficit</w:t>
            </w:r>
          </w:p>
        </w:tc>
        <w:tc>
          <w:tcPr>
            <w:tcW w:w="0" w:type="dxa"/>
            <w:vAlign w:val="bottom"/>
          </w:tcPr>
          <w:p>
            <w:pPr>
              <w:spacing w:after="0"/>
              <w:rPr>
                <w:sz w:val="1"/>
                <w:szCs w:val="1"/>
                <w:color w:val="auto"/>
              </w:rPr>
            </w:pPr>
          </w:p>
        </w:tc>
      </w:tr>
      <w:tr>
        <w:trPr>
          <w:trHeight w:val="20"/>
        </w:trPr>
        <w:tc>
          <w:tcPr>
            <w:tcW w:w="11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90"/>
              </w:rPr>
              <w:t>December 31, 2019</w:t>
            </w: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160" w:type="dxa"/>
            <w:vAlign w:val="bottom"/>
            <w:vMerge w:val="continue"/>
            <w:shd w:val="clear" w:color="auto" w:fill="CCEEFF"/>
          </w:tcPr>
          <w:p>
            <w:pPr>
              <w:spacing w:after="0"/>
              <w:rPr>
                <w:sz w:val="23"/>
                <w:szCs w:val="2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8"/>
              </w:rPr>
              <w:t>977,865</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8,996</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5,157,390</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302,118</w:t>
            </w:r>
          </w:p>
        </w:tc>
        <w:tc>
          <w:tcPr>
            <w:tcW w:w="14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(308,136)</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w:t>
            </w:r>
          </w:p>
        </w:tc>
        <w:tc>
          <w:tcPr>
            <w:tcW w:w="0" w:type="dxa"/>
            <w:vAlign w:val="bottom"/>
          </w:tcPr>
          <w:p>
            <w:pPr>
              <w:spacing w:after="0"/>
              <w:rPr>
                <w:sz w:val="1"/>
                <w:szCs w:val="1"/>
                <w:color w:val="auto"/>
              </w:rPr>
            </w:pP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4"/>
                <w:szCs w:val="14"/>
                <w:color w:val="auto"/>
              </w:rPr>
              <w:t>Issuances of</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line="140" w:lineRule="exact"/>
              <w:rPr>
                <w:sz w:val="20"/>
                <w:szCs w:val="20"/>
                <w:color w:val="auto"/>
              </w:rPr>
            </w:pPr>
            <w:r>
              <w:rPr>
                <w:rFonts w:ascii="Arial" w:cs="Arial" w:eastAsia="Arial" w:hAnsi="Arial"/>
                <w:sz w:val="14"/>
                <w:szCs w:val="14"/>
                <w:color w:val="auto"/>
                <w:w w:val="98"/>
              </w:rPr>
              <w:t>Common Stock for</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line="140" w:lineRule="exact"/>
              <w:rPr>
                <w:sz w:val="20"/>
                <w:szCs w:val="20"/>
                <w:color w:val="auto"/>
              </w:rPr>
            </w:pPr>
            <w:r>
              <w:rPr>
                <w:rFonts w:ascii="Arial" w:cs="Arial" w:eastAsia="Arial" w:hAnsi="Arial"/>
                <w:sz w:val="14"/>
                <w:szCs w:val="14"/>
                <w:color w:val="auto"/>
                <w:w w:val="95"/>
              </w:rPr>
              <w:t>payment of interest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line="159" w:lineRule="exact"/>
              <w:rPr>
                <w:sz w:val="20"/>
                <w:szCs w:val="20"/>
                <w:color w:val="auto"/>
              </w:rPr>
            </w:pPr>
            <w:r>
              <w:rPr>
                <w:rFonts w:ascii="Arial" w:cs="Arial" w:eastAsia="Arial" w:hAnsi="Arial"/>
                <w:sz w:val="14"/>
                <w:szCs w:val="14"/>
                <w:color w:val="auto"/>
              </w:rPr>
              <w:t>on B3D Note</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236,077</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jc w:val="right"/>
              <w:ind w:right="52"/>
              <w:spacing w:after="0" w:line="15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418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98"/>
              </w:rPr>
              <w:t>Issuance of Series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1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E Preferred Stock</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for payment of</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interest on Calm</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Note</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10,123</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w:t>
            </w: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4"/>
                <w:szCs w:val="14"/>
                <w:color w:val="auto"/>
              </w:rPr>
              <w:t>Conversion of</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line="140" w:lineRule="exact"/>
              <w:rPr>
                <w:sz w:val="20"/>
                <w:szCs w:val="20"/>
                <w:color w:val="auto"/>
              </w:rPr>
            </w:pPr>
            <w:r>
              <w:rPr>
                <w:rFonts w:ascii="Arial" w:cs="Arial" w:eastAsia="Arial" w:hAnsi="Arial"/>
                <w:sz w:val="14"/>
                <w:szCs w:val="14"/>
                <w:color w:val="auto"/>
                <w:w w:val="99"/>
              </w:rPr>
              <w:t>Series F Preferred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line="140" w:lineRule="exact"/>
              <w:rPr>
                <w:sz w:val="20"/>
                <w:szCs w:val="20"/>
                <w:color w:val="auto"/>
              </w:rPr>
            </w:pPr>
            <w:r>
              <w:rPr>
                <w:rFonts w:ascii="Arial" w:cs="Arial" w:eastAsia="Arial" w:hAnsi="Arial"/>
                <w:sz w:val="14"/>
                <w:szCs w:val="14"/>
                <w:color w:val="auto"/>
                <w:w w:val="93"/>
              </w:rPr>
              <w:t>Stock into Common</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line="159" w:lineRule="exact"/>
              <w:rPr>
                <w:sz w:val="20"/>
                <w:szCs w:val="20"/>
                <w:color w:val="auto"/>
              </w:rPr>
            </w:pPr>
            <w:r>
              <w:rPr>
                <w:rFonts w:ascii="Arial" w:cs="Arial" w:eastAsia="Arial" w:hAnsi="Arial"/>
                <w:sz w:val="14"/>
                <w:szCs w:val="14"/>
                <w:color w:val="auto"/>
              </w:rPr>
              <w:t>Stock</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w w:val="85"/>
              </w:rPr>
              <w:t>(7,465)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930,326</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jc w:val="right"/>
              <w:ind w:right="52"/>
              <w:spacing w:after="0" w:line="15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Direct offerings of</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1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2"/>
              </w:rPr>
              <w:t>Common Stock and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pre-funded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warrants, net of</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costs</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8,210,239</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4,176</w:t>
            </w: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4,258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4,258</w:t>
            </w:r>
          </w:p>
        </w:tc>
        <w:tc>
          <w:tcPr>
            <w:tcW w:w="0" w:type="dxa"/>
            <w:vAlign w:val="bottom"/>
          </w:tcPr>
          <w:p>
            <w:pPr>
              <w:spacing w:after="0"/>
              <w:rPr>
                <w:sz w:val="1"/>
                <w:szCs w:val="1"/>
                <w:color w:val="auto"/>
              </w:rPr>
            </w:pP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4"/>
                <w:szCs w:val="14"/>
                <w:color w:val="auto"/>
              </w:rPr>
              <w:t>Exercise of May</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line="140" w:lineRule="exact"/>
              <w:rPr>
                <w:sz w:val="20"/>
                <w:szCs w:val="20"/>
                <w:color w:val="auto"/>
              </w:rPr>
            </w:pPr>
            <w:r>
              <w:rPr>
                <w:rFonts w:ascii="Arial" w:cs="Arial" w:eastAsia="Arial" w:hAnsi="Arial"/>
                <w:sz w:val="14"/>
                <w:szCs w:val="14"/>
                <w:color w:val="auto"/>
              </w:rPr>
              <w:t>2018 Class A</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line="140" w:lineRule="exact"/>
              <w:rPr>
                <w:sz w:val="20"/>
                <w:szCs w:val="20"/>
                <w:color w:val="auto"/>
              </w:rPr>
            </w:pPr>
            <w:r>
              <w:rPr>
                <w:rFonts w:ascii="Arial" w:cs="Arial" w:eastAsia="Arial" w:hAnsi="Arial"/>
                <w:sz w:val="14"/>
                <w:szCs w:val="14"/>
                <w:color w:val="auto"/>
              </w:rPr>
              <w:t>Warrants into</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line="15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6"/>
              </w:rPr>
              <w:t>2,578,455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jc w:val="right"/>
              <w:ind w:right="52"/>
              <w:spacing w:after="0" w:line="15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3,096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3,122</w:t>
            </w: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96"/>
              </w:rPr>
              <w:t>Conversion of B3D</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1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Note to Common</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1,430,647</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1,321</w:t>
            </w: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4"/>
                <w:szCs w:val="14"/>
                <w:color w:val="auto"/>
              </w:rPr>
              <w:t>Issuance of</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line="140" w:lineRule="exact"/>
              <w:rPr>
                <w:sz w:val="20"/>
                <w:szCs w:val="20"/>
                <w:color w:val="auto"/>
              </w:rPr>
            </w:pPr>
            <w:r>
              <w:rPr>
                <w:rFonts w:ascii="Arial" w:cs="Arial" w:eastAsia="Arial" w:hAnsi="Arial"/>
                <w:sz w:val="14"/>
                <w:szCs w:val="14"/>
                <w:color w:val="auto"/>
                <w:w w:val="98"/>
              </w:rPr>
              <w:t>Common Stock for</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line="159" w:lineRule="exact"/>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58,333</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jc w:val="right"/>
              <w:ind w:right="52"/>
              <w:spacing w:after="0" w:line="15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134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135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Stock-based</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compensation</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w:t>
            </w: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4"/>
                <w:szCs w:val="14"/>
                <w:color w:val="auto"/>
              </w:rPr>
              <w:t>Net loss for the</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line="159" w:lineRule="exact"/>
              <w:rPr>
                <w:sz w:val="20"/>
                <w:szCs w:val="20"/>
                <w:color w:val="auto"/>
              </w:rPr>
            </w:pPr>
            <w:r>
              <w:rPr>
                <w:rFonts w:ascii="Arial" w:cs="Arial" w:eastAsia="Arial" w:hAnsi="Arial"/>
                <w:sz w:val="14"/>
                <w:szCs w:val="14"/>
                <w:color w:val="auto"/>
              </w:rPr>
              <w:t>period</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(10,616)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(10,616)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(108)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(10,724</w:t>
            </w: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99"/>
              </w:rPr>
              <w:t>Contributions from</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1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noncontrolling</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interests</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right w:val="single" w:sz="8" w:color="CCEEFF"/>
            </w:tcBorders>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117</w:t>
            </w: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87"/>
        </w:trPr>
        <w:tc>
          <w:tcPr>
            <w:tcW w:w="1160" w:type="dxa"/>
            <w:vAlign w:val="bottom"/>
          </w:tcPr>
          <w:p>
            <w:pPr>
              <w:spacing w:after="0"/>
              <w:rPr>
                <w:sz w:val="20"/>
                <w:szCs w:val="20"/>
                <w:color w:val="auto"/>
              </w:rPr>
            </w:pPr>
            <w:r>
              <w:rPr>
                <w:rFonts w:ascii="Arial" w:cs="Arial" w:eastAsia="Arial" w:hAnsi="Arial"/>
                <w:sz w:val="14"/>
                <w:szCs w:val="14"/>
                <w:b w:val="1"/>
                <w:bCs w:val="1"/>
                <w:color w:val="auto"/>
              </w:rPr>
              <w:t>March 31, 2020</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8"/>
              </w:rPr>
              <w:t>987,988</w:t>
            </w: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6"/>
              </w:rPr>
              <w:t>1,531</w:t>
            </w:r>
          </w:p>
        </w:tc>
        <w:tc>
          <w:tcPr>
            <w:tcW w:w="4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85"/>
              </w:rPr>
              <w:t>18,601,467</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w w:val="76"/>
              </w:rPr>
              <w:t>186</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0"/>
              </w:rPr>
              <w:t>311,389</w:t>
            </w:r>
          </w:p>
        </w:tc>
        <w:tc>
          <w:tcPr>
            <w:tcW w:w="140" w:type="dxa"/>
            <w:vAlign w:val="bottom"/>
          </w:tcPr>
          <w:p>
            <w:pPr>
              <w:spacing w:after="0"/>
              <w:rPr>
                <w:sz w:val="24"/>
                <w:szCs w:val="24"/>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(318,752)</w:t>
            </w:r>
          </w:p>
        </w:tc>
        <w:tc>
          <w:tcPr>
            <w:tcW w:w="32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(283)</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(7,450)</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3,712</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(3,738</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0" w:hanging="259"/>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4"/>
          <w:szCs w:val="14"/>
          <w:color w:val="auto"/>
        </w:rPr>
        <w:t>Adjusted to reflect the impact of the 1:3 reverse stock split that became effective on June 11, 2020.</w:t>
      </w:r>
    </w:p>
    <w:p>
      <w:pPr>
        <w:spacing w:after="0" w:line="133"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p>
    <w:p>
      <w:pPr>
        <w:spacing w:after="0" w:line="200" w:lineRule="exact"/>
        <w:rPr>
          <w:sz w:val="20"/>
          <w:szCs w:val="20"/>
          <w:color w:val="auto"/>
        </w:rPr>
      </w:pPr>
    </w:p>
    <w:p>
      <w:pPr>
        <w:spacing w:after="0" w:line="396"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336550</wp:posOffset>
            </wp:positionV>
            <wp:extent cx="599186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91860" cy="24130"/>
                    </a:xfrm>
                    <a:prstGeom prst="rect">
                      <a:avLst/>
                    </a:prstGeom>
                    <a:noFill/>
                  </pic:spPr>
                </pic:pic>
              </a:graphicData>
            </a:graphic>
          </wp:anchor>
        </w:drawing>
      </w:r>
    </w:p>
    <w:p>
      <w:pPr>
        <w:sectPr>
          <w:pgSz w:w="11900" w:h="16838" w:orient="portrait"/>
          <w:cols w:equalWidth="0" w:num="1">
            <w:col w:w="10480"/>
          </w:cols>
          <w:pgMar w:left="1180" w:top="496" w:right="239" w:bottom="1440" w:gutter="0" w:footer="0" w:header="0"/>
        </w:sectPr>
      </w:pPr>
    </w:p>
    <w:bookmarkStart w:id="6" w:name="page7"/>
    <w:bookmarkEnd w:id="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XpresSpa Group,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ind w:left="6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33"/>
        </w:trPr>
        <w:tc>
          <w:tcPr>
            <w:tcW w:w="67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12"/>
              <w:spacing w:after="0" w:line="133"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2"/>
              <w:spacing w:after="0" w:line="133"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1"/>
                <w:szCs w:val="11"/>
                <w:color w:val="auto"/>
              </w:rPr>
            </w:pPr>
          </w:p>
        </w:tc>
      </w:tr>
      <w:tr>
        <w:trPr>
          <w:trHeight w:val="133"/>
        </w:trPr>
        <w:tc>
          <w:tcPr>
            <w:tcW w:w="672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Net loss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(808)</w:t>
            </w:r>
          </w:p>
        </w:tc>
        <w:tc>
          <w:tcPr>
            <w:tcW w:w="140" w:type="dxa"/>
            <w:vAlign w:val="bottom"/>
          </w:tcPr>
          <w:p>
            <w:pPr>
              <w:jc w:val="right"/>
              <w:spacing w:after="0" w:line="140"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(10,724)</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6720" w:type="dxa"/>
            <w:vAlign w:val="bottom"/>
          </w:tcPr>
          <w:p>
            <w:pPr>
              <w:spacing w:after="0" w:line="140" w:lineRule="exact"/>
              <w:rPr>
                <w:sz w:val="20"/>
                <w:szCs w:val="20"/>
                <w:color w:val="auto"/>
              </w:rPr>
            </w:pPr>
            <w:r>
              <w:rPr>
                <w:rFonts w:ascii="Arial" w:cs="Arial" w:eastAsia="Arial" w:hAnsi="Arial"/>
                <w:sz w:val="14"/>
                <w:szCs w:val="14"/>
                <w:b w:val="1"/>
                <w:bCs w:val="1"/>
                <w:color w:val="auto"/>
              </w:rPr>
              <w:t>Items included in net loss not affecting operating cash flows: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Revaluation of warrants and conversion options</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5,369</w:t>
            </w:r>
          </w:p>
        </w:tc>
        <w:tc>
          <w:tcPr>
            <w:tcW w:w="20" w:type="dxa"/>
            <w:vAlign w:val="bottom"/>
          </w:tcPr>
          <w:p>
            <w:pPr>
              <w:spacing w:after="0"/>
              <w:rPr>
                <w:sz w:val="12"/>
                <w:szCs w:val="12"/>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900" w:type="dxa"/>
            <w:vAlign w:val="bottom"/>
          </w:tcPr>
          <w:p>
            <w:pPr>
              <w:jc w:val="right"/>
              <w:spacing w:after="0" w:line="140" w:lineRule="exact"/>
              <w:rPr>
                <w:sz w:val="20"/>
                <w:szCs w:val="20"/>
                <w:color w:val="auto"/>
              </w:rPr>
            </w:pPr>
            <w:r>
              <w:rPr>
                <w:rFonts w:ascii="Arial" w:cs="Arial" w:eastAsia="Arial" w:hAnsi="Arial"/>
                <w:sz w:val="14"/>
                <w:szCs w:val="14"/>
                <w:color w:val="auto"/>
              </w:rPr>
              <w:t>744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1,265</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Impairment/disposal of assets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Accretion of debt discount on notes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602</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Amortization of operating lease right of use asset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224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527</w:t>
            </w:r>
          </w:p>
        </w:tc>
        <w:tc>
          <w:tcPr>
            <w:tcW w:w="20" w:type="dxa"/>
            <w:vAlign w:val="bottom"/>
          </w:tcPr>
          <w:p>
            <w:pPr>
              <w:spacing w:after="0"/>
              <w:rPr>
                <w:sz w:val="12"/>
                <w:szCs w:val="12"/>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Issuance of shares of Common Stock for payment of interest</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420</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Issuance of shares of Series E Preferred Stock for payment of interest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Loss on the extinguishment of debt</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265</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Issuance of shares of Common Stock for services</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135</w:t>
            </w:r>
          </w:p>
        </w:tc>
        <w:tc>
          <w:tcPr>
            <w:tcW w:w="20" w:type="dxa"/>
            <w:vAlign w:val="bottom"/>
          </w:tcPr>
          <w:p>
            <w:pPr>
              <w:spacing w:after="0"/>
              <w:rPr>
                <w:sz w:val="12"/>
                <w:szCs w:val="12"/>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Amortization of debt issuance costs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87</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1,005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Gain on equity investment</w:t>
            </w:r>
          </w:p>
        </w:tc>
        <w:tc>
          <w:tcPr>
            <w:tcW w:w="120" w:type="dxa"/>
            <w:vAlign w:val="bottom"/>
          </w:tcPr>
          <w:p>
            <w:pPr>
              <w:spacing w:after="0"/>
              <w:rPr>
                <w:sz w:val="12"/>
                <w:szCs w:val="12"/>
                <w:color w:val="auto"/>
              </w:rPr>
            </w:pPr>
          </w:p>
        </w:tc>
        <w:tc>
          <w:tcPr>
            <w:tcW w:w="110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(99)</w:t>
            </w:r>
          </w:p>
        </w:tc>
        <w:tc>
          <w:tcPr>
            <w:tcW w:w="140" w:type="dxa"/>
            <w:vAlign w:val="bottom"/>
          </w:tcPr>
          <w:p>
            <w:pPr>
              <w:spacing w:after="0"/>
              <w:rPr>
                <w:sz w:val="12"/>
                <w:szCs w:val="12"/>
                <w:color w:val="auto"/>
              </w:rPr>
            </w:pP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Changes in assets and liabilities: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(Increase) decrease in inventory</w:t>
            </w:r>
          </w:p>
        </w:tc>
        <w:tc>
          <w:tcPr>
            <w:tcW w:w="120" w:type="dxa"/>
            <w:vAlign w:val="bottom"/>
          </w:tcPr>
          <w:p>
            <w:pPr>
              <w:spacing w:after="0"/>
              <w:rPr>
                <w:sz w:val="12"/>
                <w:szCs w:val="12"/>
                <w:color w:val="auto"/>
              </w:rPr>
            </w:pPr>
          </w:p>
        </w:tc>
        <w:tc>
          <w:tcPr>
            <w:tcW w:w="110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(508)</w:t>
            </w:r>
          </w:p>
        </w:tc>
        <w:tc>
          <w:tcPr>
            <w:tcW w:w="140" w:type="dxa"/>
            <w:vAlign w:val="bottom"/>
          </w:tcPr>
          <w:p>
            <w:pPr>
              <w:spacing w:after="0"/>
              <w:rPr>
                <w:sz w:val="12"/>
                <w:szCs w:val="12"/>
                <w:color w:val="auto"/>
              </w:rPr>
            </w:pP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51</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Increase in accounts receivable, net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(3,019)</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Decrease (increase) in other current assets and other assets</w:t>
            </w:r>
          </w:p>
        </w:tc>
        <w:tc>
          <w:tcPr>
            <w:tcW w:w="120" w:type="dxa"/>
            <w:vAlign w:val="bottom"/>
          </w:tcPr>
          <w:p>
            <w:pPr>
              <w:spacing w:after="0"/>
              <w:rPr>
                <w:sz w:val="12"/>
                <w:szCs w:val="12"/>
                <w:color w:val="auto"/>
              </w:rPr>
            </w:pPr>
          </w:p>
        </w:tc>
        <w:tc>
          <w:tcPr>
            <w:tcW w:w="900" w:type="dxa"/>
            <w:vAlign w:val="bottom"/>
          </w:tcPr>
          <w:p>
            <w:pPr>
              <w:jc w:val="right"/>
              <w:spacing w:after="0" w:line="140" w:lineRule="exact"/>
              <w:rPr>
                <w:sz w:val="20"/>
                <w:szCs w:val="20"/>
                <w:color w:val="auto"/>
              </w:rPr>
            </w:pPr>
            <w:r>
              <w:rPr>
                <w:rFonts w:ascii="Arial" w:cs="Arial" w:eastAsia="Arial" w:hAnsi="Arial"/>
                <w:sz w:val="14"/>
                <w:szCs w:val="14"/>
                <w:color w:val="auto"/>
              </w:rPr>
              <w:t>91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(710)</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Decrease in lease liabilities</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(825)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Decrease in accounts payable, accrued expenses and other</w:t>
            </w:r>
          </w:p>
        </w:tc>
        <w:tc>
          <w:tcPr>
            <w:tcW w:w="120" w:type="dxa"/>
            <w:vAlign w:val="bottom"/>
          </w:tcPr>
          <w:p>
            <w:pPr>
              <w:spacing w:after="0"/>
              <w:rPr>
                <w:sz w:val="12"/>
                <w:szCs w:val="12"/>
                <w:color w:val="auto"/>
              </w:rPr>
            </w:pPr>
          </w:p>
        </w:tc>
        <w:tc>
          <w:tcPr>
            <w:tcW w:w="110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(325)</w:t>
            </w:r>
          </w:p>
        </w:tc>
        <w:tc>
          <w:tcPr>
            <w:tcW w:w="140" w:type="dxa"/>
            <w:vAlign w:val="bottom"/>
          </w:tcPr>
          <w:p>
            <w:pPr>
              <w:spacing w:after="0"/>
              <w:rPr>
                <w:sz w:val="12"/>
                <w:szCs w:val="12"/>
                <w:color w:val="auto"/>
              </w:rPr>
            </w:pP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(939)</w:t>
            </w:r>
          </w:p>
        </w:tc>
        <w:tc>
          <w:tcPr>
            <w:tcW w:w="20" w:type="dxa"/>
            <w:vAlign w:val="bottom"/>
          </w:tcPr>
          <w:p>
            <w:pPr>
              <w:spacing w:after="0"/>
              <w:rPr>
                <w:sz w:val="12"/>
                <w:szCs w:val="12"/>
                <w:color w:val="auto"/>
              </w:rPr>
            </w:pPr>
          </w:p>
        </w:tc>
      </w:tr>
      <w:tr>
        <w:trPr>
          <w:trHeight w:val="133"/>
        </w:trPr>
        <w:tc>
          <w:tcPr>
            <w:tcW w:w="67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(3,498)</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(3,517)</w:t>
            </w:r>
          </w:p>
        </w:tc>
        <w:tc>
          <w:tcPr>
            <w:tcW w:w="20" w:type="dxa"/>
            <w:vAlign w:val="bottom"/>
          </w:tcPr>
          <w:p>
            <w:pPr>
              <w:spacing w:after="0"/>
              <w:rPr>
                <w:sz w:val="11"/>
                <w:szCs w:val="11"/>
                <w:color w:val="auto"/>
              </w:rPr>
            </w:pPr>
          </w:p>
        </w:tc>
      </w:tr>
      <w:tr>
        <w:trPr>
          <w:trHeight w:val="133"/>
        </w:trPr>
        <w:tc>
          <w:tcPr>
            <w:tcW w:w="6720" w:type="dxa"/>
            <w:vAlign w:val="bottom"/>
          </w:tcPr>
          <w:p>
            <w:pPr>
              <w:spacing w:after="0" w:line="133" w:lineRule="exact"/>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Acquisition of property and equipment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(986)</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(584)</w:t>
            </w:r>
          </w:p>
        </w:tc>
        <w:tc>
          <w:tcPr>
            <w:tcW w:w="20" w:type="dxa"/>
            <w:vAlign w:val="bottom"/>
          </w:tcPr>
          <w:p>
            <w:pPr>
              <w:spacing w:after="0"/>
              <w:rPr>
                <w:sz w:val="12"/>
                <w:szCs w:val="12"/>
                <w:color w:val="auto"/>
              </w:rPr>
            </w:pPr>
          </w:p>
        </w:tc>
      </w:tr>
      <w:tr>
        <w:trPr>
          <w:trHeight w:val="133"/>
        </w:trPr>
        <w:tc>
          <w:tcPr>
            <w:tcW w:w="6720" w:type="dxa"/>
            <w:vAlign w:val="bottom"/>
            <w:tcBorders>
              <w:bottom w:val="single" w:sz="8" w:color="CCEEFF"/>
            </w:tcBorders>
          </w:tcPr>
          <w:p>
            <w:pPr>
              <w:spacing w:after="0" w:line="133" w:lineRule="exact"/>
              <w:rPr>
                <w:sz w:val="20"/>
                <w:szCs w:val="20"/>
                <w:color w:val="auto"/>
              </w:rPr>
            </w:pPr>
            <w:r>
              <w:rPr>
                <w:rFonts w:ascii="Arial" w:cs="Arial" w:eastAsia="Arial" w:hAnsi="Arial"/>
                <w:sz w:val="14"/>
                <w:szCs w:val="14"/>
                <w:b w:val="1"/>
                <w:bCs w:val="1"/>
                <w:color w:val="auto"/>
              </w:rPr>
              <w:t>Net cash used in investing activities</w:t>
            </w: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(986)</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(584)</w:t>
            </w:r>
          </w:p>
        </w:tc>
        <w:tc>
          <w:tcPr>
            <w:tcW w:w="20" w:type="dxa"/>
            <w:vAlign w:val="bottom"/>
          </w:tcPr>
          <w:p>
            <w:pPr>
              <w:spacing w:after="0"/>
              <w:rPr>
                <w:sz w:val="11"/>
                <w:szCs w:val="11"/>
                <w:color w:val="auto"/>
              </w:rPr>
            </w:pPr>
          </w:p>
        </w:tc>
      </w:tr>
      <w:tr>
        <w:trPr>
          <w:trHeight w:val="133"/>
        </w:trPr>
        <w:tc>
          <w:tcPr>
            <w:tcW w:w="672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Proceeds from direct offerings of Common Stock and warrants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4,258</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Proceeds from additional borrowing from B3D</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900</w:t>
            </w:r>
          </w:p>
        </w:tc>
        <w:tc>
          <w:tcPr>
            <w:tcW w:w="20" w:type="dxa"/>
            <w:vAlign w:val="bottom"/>
          </w:tcPr>
          <w:p>
            <w:pPr>
              <w:spacing w:after="0"/>
              <w:rPr>
                <w:sz w:val="12"/>
                <w:szCs w:val="12"/>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Proceeds from funding advance</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910</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Warrant exercises, net of costs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17,007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Debt issuance costs</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(400)</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Contributions from noncontrolling interests</w:t>
            </w: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333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117</w:t>
            </w:r>
          </w:p>
        </w:tc>
        <w:tc>
          <w:tcPr>
            <w:tcW w:w="20" w:type="dxa"/>
            <w:vAlign w:val="bottom"/>
          </w:tcPr>
          <w:p>
            <w:pPr>
              <w:spacing w:after="0"/>
              <w:rPr>
                <w:sz w:val="12"/>
                <w:szCs w:val="12"/>
                <w:color w:val="auto"/>
              </w:rPr>
            </w:pPr>
          </w:p>
        </w:tc>
      </w:tr>
      <w:tr>
        <w:trPr>
          <w:trHeight w:val="133"/>
        </w:trPr>
        <w:tc>
          <w:tcPr>
            <w:tcW w:w="6720" w:type="dxa"/>
            <w:vAlign w:val="bottom"/>
            <w:tcBorders>
              <w:bottom w:val="single" w:sz="8" w:color="CCEEFF"/>
            </w:tcBorders>
          </w:tcPr>
          <w:p>
            <w:pPr>
              <w:spacing w:after="0" w:line="133" w:lineRule="exact"/>
              <w:rPr>
                <w:sz w:val="20"/>
                <w:szCs w:val="20"/>
                <w:color w:val="auto"/>
              </w:rPr>
            </w:pPr>
            <w:r>
              <w:rPr>
                <w:rFonts w:ascii="Arial" w:cs="Arial" w:eastAsia="Arial" w:hAnsi="Arial"/>
                <w:sz w:val="14"/>
                <w:szCs w:val="14"/>
                <w:b w:val="1"/>
                <w:bCs w:val="1"/>
                <w:color w:val="auto"/>
              </w:rPr>
              <w:t>Net cash provided by financing activities</w:t>
            </w: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17,340</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5,785</w:t>
            </w:r>
          </w:p>
        </w:tc>
        <w:tc>
          <w:tcPr>
            <w:tcW w:w="20" w:type="dxa"/>
            <w:vAlign w:val="bottom"/>
          </w:tcPr>
          <w:p>
            <w:pPr>
              <w:spacing w:after="0"/>
              <w:rPr>
                <w:sz w:val="11"/>
                <w:szCs w:val="11"/>
                <w:color w:val="auto"/>
              </w:rPr>
            </w:pPr>
          </w:p>
        </w:tc>
      </w:tr>
      <w:tr>
        <w:trPr>
          <w:trHeight w:val="133"/>
        </w:trPr>
        <w:tc>
          <w:tcPr>
            <w:tcW w:w="672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12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1"/>
                <w:szCs w:val="11"/>
                <w:color w:val="auto"/>
              </w:rPr>
            </w:pPr>
          </w:p>
        </w:tc>
      </w:tr>
      <w:tr>
        <w:trPr>
          <w:trHeight w:val="133"/>
        </w:trPr>
        <w:tc>
          <w:tcPr>
            <w:tcW w:w="6720" w:type="dxa"/>
            <w:vAlign w:val="bottom"/>
          </w:tcPr>
          <w:p>
            <w:pPr>
              <w:spacing w:after="0" w:line="133" w:lineRule="exact"/>
              <w:rPr>
                <w:sz w:val="20"/>
                <w:szCs w:val="20"/>
                <w:color w:val="auto"/>
              </w:rPr>
            </w:pPr>
            <w:r>
              <w:rPr>
                <w:rFonts w:ascii="Arial" w:cs="Arial" w:eastAsia="Arial" w:hAnsi="Arial"/>
                <w:sz w:val="14"/>
                <w:szCs w:val="14"/>
                <w:color w:val="auto"/>
              </w:rPr>
              <w:t>Increase (decrease) in cash, cash equivalents and restricted cash</w:t>
            </w:r>
          </w:p>
        </w:tc>
        <w:tc>
          <w:tcPr>
            <w:tcW w:w="12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Arial" w:cs="Arial" w:eastAsia="Arial" w:hAnsi="Arial"/>
                <w:sz w:val="14"/>
                <w:szCs w:val="14"/>
                <w:color w:val="auto"/>
              </w:rPr>
              <w:t>12,848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4"/>
                <w:szCs w:val="14"/>
                <w:color w:val="auto"/>
              </w:rPr>
              <w:t>1,671</w:t>
            </w:r>
          </w:p>
        </w:tc>
        <w:tc>
          <w:tcPr>
            <w:tcW w:w="20" w:type="dxa"/>
            <w:vAlign w:val="bottom"/>
          </w:tcPr>
          <w:p>
            <w:pPr>
              <w:spacing w:after="0"/>
              <w:rPr>
                <w:sz w:val="11"/>
                <w:szCs w:val="11"/>
                <w:color w:val="auto"/>
              </w:rPr>
            </w:pPr>
          </w:p>
        </w:tc>
      </w:tr>
      <w:tr>
        <w:trPr>
          <w:trHeight w:val="140"/>
        </w:trPr>
        <w:tc>
          <w:tcPr>
            <w:tcW w:w="6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Cash, cash equivalents, and restricted cash at beginning of the period</w:t>
            </w: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90,502</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2,635</w:t>
            </w:r>
          </w:p>
        </w:tc>
        <w:tc>
          <w:tcPr>
            <w:tcW w:w="20" w:type="dxa"/>
            <w:vAlign w:val="bottom"/>
          </w:tcPr>
          <w:p>
            <w:pPr>
              <w:spacing w:after="0"/>
              <w:rPr>
                <w:sz w:val="12"/>
                <w:szCs w:val="12"/>
                <w:color w:val="auto"/>
              </w:rPr>
            </w:pPr>
          </w:p>
        </w:tc>
      </w:tr>
      <w:tr>
        <w:trPr>
          <w:trHeight w:val="173"/>
        </w:trPr>
        <w:tc>
          <w:tcPr>
            <w:tcW w:w="6720" w:type="dxa"/>
            <w:vAlign w:val="bottom"/>
            <w:tcBorders>
              <w:bottom w:val="single" w:sz="8" w:color="CCEEFF"/>
            </w:tcBorders>
          </w:tcPr>
          <w:p>
            <w:pPr>
              <w:spacing w:after="0" w:line="133" w:lineRule="exact"/>
              <w:rPr>
                <w:sz w:val="20"/>
                <w:szCs w:val="20"/>
                <w:color w:val="auto"/>
              </w:rPr>
            </w:pPr>
            <w:r>
              <w:rPr>
                <w:rFonts w:ascii="Arial" w:cs="Arial" w:eastAsia="Arial" w:hAnsi="Arial"/>
                <w:sz w:val="14"/>
                <w:szCs w:val="14"/>
                <w:color w:val="auto"/>
              </w:rPr>
              <w:t>Cash, cash equivalents, and restricted cash at end of the period</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103,350</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4,306</w:t>
            </w:r>
          </w:p>
        </w:tc>
        <w:tc>
          <w:tcPr>
            <w:tcW w:w="20" w:type="dxa"/>
            <w:vAlign w:val="bottom"/>
          </w:tcPr>
          <w:p>
            <w:pPr>
              <w:spacing w:after="0"/>
              <w:rPr>
                <w:sz w:val="15"/>
                <w:szCs w:val="15"/>
                <w:color w:val="auto"/>
              </w:rPr>
            </w:pPr>
          </w:p>
        </w:tc>
      </w:tr>
      <w:tr>
        <w:trPr>
          <w:trHeight w:val="118"/>
        </w:trPr>
        <w:tc>
          <w:tcPr>
            <w:tcW w:w="672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Cash paid during the period for</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0"/>
        </w:trPr>
        <w:tc>
          <w:tcPr>
            <w:tcW w:w="6720" w:type="dxa"/>
            <w:vAlign w:val="bottom"/>
          </w:tcPr>
          <w:p>
            <w:pPr>
              <w:ind w:left="100"/>
              <w:spacing w:after="0" w:line="140" w:lineRule="exact"/>
              <w:rPr>
                <w:sz w:val="20"/>
                <w:szCs w:val="20"/>
                <w:color w:val="auto"/>
              </w:rPr>
            </w:pPr>
            <w:r>
              <w:rPr>
                <w:rFonts w:ascii="Arial" w:cs="Arial" w:eastAsia="Arial" w:hAnsi="Arial"/>
                <w:sz w:val="14"/>
                <w:szCs w:val="14"/>
                <w:color w:val="auto"/>
              </w:rPr>
              <w:t>Interest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0"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0" w:lineRule="exact"/>
              <w:rPr>
                <w:sz w:val="20"/>
                <w:szCs w:val="20"/>
                <w:color w:val="auto"/>
              </w:rPr>
            </w:pPr>
            <w:r>
              <w:rPr>
                <w:rFonts w:ascii="Arial" w:cs="Arial" w:eastAsia="Arial" w:hAnsi="Arial"/>
                <w:sz w:val="14"/>
                <w:szCs w:val="14"/>
                <w:color w:val="auto"/>
              </w:rPr>
              <w:t>169</w:t>
            </w: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Income taxes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r>
      <w:tr>
        <w:trPr>
          <w:trHeight w:val="140"/>
        </w:trPr>
        <w:tc>
          <w:tcPr>
            <w:tcW w:w="6720" w:type="dxa"/>
            <w:vAlign w:val="bottom"/>
          </w:tcPr>
          <w:p>
            <w:pPr>
              <w:spacing w:after="0" w:line="140" w:lineRule="exact"/>
              <w:rPr>
                <w:sz w:val="20"/>
                <w:szCs w:val="20"/>
                <w:color w:val="auto"/>
              </w:rPr>
            </w:pPr>
            <w:r>
              <w:rPr>
                <w:rFonts w:ascii="Arial" w:cs="Arial" w:eastAsia="Arial" w:hAnsi="Arial"/>
                <w:sz w:val="14"/>
                <w:szCs w:val="14"/>
                <w:b w:val="1"/>
                <w:bCs w:val="1"/>
                <w:color w:val="auto"/>
              </w:rPr>
              <w:t>Non-cash investing and financing transactions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6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Conversions of B3D Note into Common Stock</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1,335</w:t>
            </w:r>
          </w:p>
        </w:tc>
        <w:tc>
          <w:tcPr>
            <w:tcW w:w="20" w:type="dxa"/>
            <w:vAlign w:val="bottom"/>
          </w:tcPr>
          <w:p>
            <w:pPr>
              <w:spacing w:after="0"/>
              <w:rPr>
                <w:sz w:val="12"/>
                <w:szCs w:val="12"/>
                <w:color w:val="auto"/>
              </w:rPr>
            </w:pPr>
          </w:p>
        </w:tc>
      </w:tr>
      <w:tr>
        <w:trPr>
          <w:trHeight w:val="191"/>
        </w:trPr>
        <w:tc>
          <w:tcPr>
            <w:tcW w:w="6720" w:type="dxa"/>
            <w:vAlign w:val="bottom"/>
          </w:tcPr>
          <w:p>
            <w:pPr>
              <w:ind w:left="100"/>
              <w:spacing w:after="0"/>
              <w:rPr>
                <w:sz w:val="20"/>
                <w:szCs w:val="20"/>
                <w:color w:val="auto"/>
              </w:rPr>
            </w:pPr>
            <w:r>
              <w:rPr>
                <w:rFonts w:ascii="Arial" w:cs="Arial" w:eastAsia="Arial" w:hAnsi="Arial"/>
                <w:sz w:val="14"/>
                <w:szCs w:val="14"/>
                <w:color w:val="auto"/>
              </w:rPr>
              <w:t>Settlement of derivative liability through the issuance of Common Stock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3,122</w:t>
            </w:r>
          </w:p>
        </w:tc>
        <w:tc>
          <w:tcPr>
            <w:tcW w:w="20" w:type="dxa"/>
            <w:vAlign w:val="bottom"/>
          </w:tcPr>
          <w:p>
            <w:pPr>
              <w:spacing w:after="0"/>
              <w:rPr>
                <w:sz w:val="16"/>
                <w:szCs w:val="16"/>
                <w:color w:val="auto"/>
              </w:rPr>
            </w:pPr>
          </w:p>
        </w:tc>
      </w:tr>
      <w:tr>
        <w:trPr>
          <w:trHeight w:val="191"/>
        </w:trPr>
        <w:tc>
          <w:tcPr>
            <w:tcW w:w="6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Conversion of Series F Preferred Stock into Common Stock</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line="191"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6"/>
                <w:szCs w:val="16"/>
                <w:color w:val="auto"/>
              </w:rPr>
            </w:pPr>
          </w:p>
        </w:tc>
      </w:tr>
    </w:tbl>
    <w:p>
      <w:pPr>
        <w:jc w:val="center"/>
        <w:ind w:right="19"/>
        <w:spacing w:after="0"/>
        <w:rPr>
          <w:sz w:val="20"/>
          <w:szCs w:val="20"/>
          <w:color w:val="auto"/>
        </w:rPr>
      </w:pPr>
      <w:r>
        <w:rPr>
          <w:rFonts w:ascii="Arial" w:cs="Arial" w:eastAsia="Arial" w:hAnsi="Arial"/>
          <w:sz w:val="17"/>
          <w:szCs w:val="17"/>
          <w:color w:val="auto"/>
        </w:rPr>
        <w:t>The accompanying notes form an integral part of these unaudited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7" w:name="page8"/>
    <w:bookmarkEnd w:id="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XpresSpa Group,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for share and per share data)</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 General</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Overview</w:t>
      </w:r>
    </w:p>
    <w:p>
      <w:pPr>
        <w:spacing w:after="0" w:line="212"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XpresSpa Group, Inc. (“XpresSpa Group”) is a leading global travel health and wellness services holding company. XpresSpa Group currently has two reportable operating segments: XpresSpa and XpresTest.</w:t>
      </w:r>
    </w:p>
    <w:p>
      <w:pPr>
        <w:spacing w:after="0" w:line="165"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XpresSpa has been a global airport retailer of spa services through its XpresSpa™ spa locations, offering travelers premium spa services, including massage, nail and skin care, as well as spa and travel products (“XpresSpa”).</w:t>
      </w:r>
    </w:p>
    <w:p>
      <w:pPr>
        <w:spacing w:after="0" w:line="165"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7"/>
          <w:szCs w:val="17"/>
          <w:color w:val="auto"/>
        </w:rPr>
        <w:t>Through XpresSpa Group’s XpresTest, Inc. subsidiary (“XpresTest”), the company launched XpresCheck™ Wellness Centers, also in airports. XpresCheck offers COVID-19 and other medical diagnostic testing services to the traveling public, as well as airline, airport and concessionaire employees, and TSA and U.S. Customs and Border Protection agents. XpresTest has entered into managed services agreements (“MSAs”) with professional medical services companies that provide health care services to patients. The medical services companies pay XpresTest a monthly fee to operate in the XpresCheck Wellness Centers. Under the terms of the MSAs, we provide office space, equipment, supplies, non-licensed staff, and management services in return for a management fee.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212"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generally accepted accounting principles in the United States of America (“GAAP”) for interim financial information and the instructions to Article 8-03 of Regulation S-X, and should be read in conjunction with the Company’s Annual Report on Form 10-K for the year ended December 31, 2020, as amended. The condensed consolidated balance sheet as of December 31, 2020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months ended March 31, 2021 are not necessarily indicative of the results that may be expected for the entire fiscal year or for any other interim period. All significant intercompany balances and transactions have been eliminated in consolidation.</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u w:val="single" w:color="auto"/>
          <w:color w:val="auto"/>
        </w:rPr>
        <w:t>Effect of Novel Coronavirus on Business</w:t>
      </w:r>
    </w:p>
    <w:p>
      <w:pPr>
        <w:spacing w:after="0" w:line="21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In March 2020, the Company temporarily closed all global XpresSpa locations due to the categorization by local jurisdictions of the spa locations as “non-essential services.” Substantially all of the Company’s XpresSpa locations remain closed. The Company intends to reopen XpresSpa spa locations on a location-by-location basis and resume normal operations at such selected locations once restrictions are lifted and airport traffic returns to sufficient levels to support operations at a unit level.</w:t>
      </w:r>
    </w:p>
    <w:p>
      <w:pPr>
        <w:spacing w:after="0" w:line="163"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Since the time of that temporary closure, the Company successfully launched its XpresCheck™ Wellness Centers, offering such testing services, as described above. Also, the Company continues to evaluate alternative testing protocols and work in partnership with airlines for safe travels.</w:t>
      </w:r>
    </w:p>
    <w:p>
      <w:pPr>
        <w:spacing w:after="0" w:line="175" w:lineRule="exact"/>
        <w:rPr>
          <w:sz w:val="20"/>
          <w:szCs w:val="20"/>
          <w:color w:val="auto"/>
        </w:rPr>
      </w:pPr>
    </w:p>
    <w:p>
      <w:pPr>
        <w:jc w:val="both"/>
        <w:ind w:left="40" w:right="59"/>
        <w:spacing w:after="0" w:line="306" w:lineRule="auto"/>
        <w:rPr>
          <w:sz w:val="20"/>
          <w:szCs w:val="20"/>
          <w:color w:val="auto"/>
        </w:rPr>
      </w:pPr>
      <w:r>
        <w:rPr>
          <w:rFonts w:ascii="Arial" w:cs="Arial" w:eastAsia="Arial" w:hAnsi="Arial"/>
          <w:sz w:val="16"/>
          <w:szCs w:val="16"/>
          <w:color w:val="auto"/>
        </w:rPr>
        <w:t>While management has used all currently available information in assessing its business prospects, the ultimate impact of the COVID-19 pandemic and the Company’s XpresCheck™ Wellness Centers on its results of operations, financial</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8" w:name="page9"/>
    <w:bookmarkEnd w:id="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condition and cash flows remains uncertain. The success or failure of the Company’s XpresCheck™ Wellness Centers could also have a material effect on the Company’s business.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u w:val="single" w:color="auto"/>
          <w:color w:val="auto"/>
        </w:rPr>
        <w:t>XpresCheck™ Wellness Centers</w:t>
      </w:r>
    </w:p>
    <w:p>
      <w:pPr>
        <w:spacing w:after="0" w:line="216"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5"/>
          <w:szCs w:val="15"/>
          <w:color w:val="auto"/>
        </w:rPr>
        <w:t>Through our XpresCheck™ Wellness Centers and under the terms of Managed Services Agreements (“MSAs”) with physicians’ practices, we offer testing services from our 13 XpresCheck™ Wellness Centers at 11 Airports in 10 states to airline employees, contractors, concessionaire employees, TSA officers and U.S. Customs and Border Protection agents, as well as the traveling public. The Company has entered into MSAs with professional medical service entities that provide healthcare services to patients. Under the terms of the MSAs, XpresTest provides office space, equipment, supplies, non-licensed staff, and management services to be used for the purpose of COVID-19 and other medical diagnostic testing in return for a management fee. Since December 31, 2020, we announced the opening of the following XpresCheck™ Wellness Centers to provide diagnostic COVID-19 testing:</w:t>
      </w:r>
    </w:p>
    <w:p>
      <w:pPr>
        <w:spacing w:after="0" w:line="156" w:lineRule="exact"/>
        <w:rPr>
          <w:sz w:val="20"/>
          <w:szCs w:val="20"/>
          <w:color w:val="auto"/>
        </w:rPr>
      </w:pPr>
    </w:p>
    <w:p>
      <w:pPr>
        <w:ind w:left="40" w:right="199"/>
        <w:spacing w:after="0" w:line="274" w:lineRule="auto"/>
        <w:rPr>
          <w:sz w:val="20"/>
          <w:szCs w:val="20"/>
          <w:color w:val="auto"/>
        </w:rPr>
      </w:pPr>
      <w:r>
        <w:rPr>
          <w:rFonts w:ascii="Arial" w:cs="Arial" w:eastAsia="Arial" w:hAnsi="Arial"/>
          <w:sz w:val="17"/>
          <w:szCs w:val="17"/>
          <w:color w:val="auto"/>
        </w:rPr>
        <w:t>On January 12, 2021, the Company opened its second XpresCheck™ Wellness Center at Boston’s Logan International Airport. It contains four separate testing rooms to provide diagnostic COVID-19 testing.</w:t>
      </w:r>
    </w:p>
    <w:p>
      <w:pPr>
        <w:spacing w:after="0" w:line="165" w:lineRule="exact"/>
        <w:rPr>
          <w:sz w:val="20"/>
          <w:szCs w:val="20"/>
          <w:color w:val="auto"/>
        </w:rPr>
      </w:pPr>
    </w:p>
    <w:p>
      <w:pPr>
        <w:ind w:left="40" w:right="279"/>
        <w:spacing w:after="0" w:line="274" w:lineRule="auto"/>
        <w:rPr>
          <w:sz w:val="20"/>
          <w:szCs w:val="20"/>
          <w:color w:val="auto"/>
        </w:rPr>
      </w:pPr>
      <w:r>
        <w:rPr>
          <w:rFonts w:ascii="Arial" w:cs="Arial" w:eastAsia="Arial" w:hAnsi="Arial"/>
          <w:sz w:val="17"/>
          <w:szCs w:val="17"/>
          <w:color w:val="auto"/>
        </w:rPr>
        <w:t>On January 20, 2021, the Company announced the opening of an XpresCheck™ Wellness Center at Salt Lake City International Airport. It contains four separate testing rooms to provide diagnostic COVID-19 testing.</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 February 16, 2021, the Company announced the opening of an XpresCheck™ Wellness Center of the Company’s second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5"/>
          <w:szCs w:val="15"/>
          <w:color w:val="auto"/>
        </w:rPr>
        <w:t>XpresCheck testing facility at Newark Liberty International Airport. It contains four separate testing rooms to provide diagnostic</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COVID-19 testing.</w:t>
      </w:r>
    </w:p>
    <w:p>
      <w:pPr>
        <w:spacing w:after="0" w:line="201" w:lineRule="exact"/>
        <w:rPr>
          <w:sz w:val="20"/>
          <w:szCs w:val="20"/>
          <w:color w:val="auto"/>
        </w:rPr>
      </w:pPr>
    </w:p>
    <w:p>
      <w:pPr>
        <w:ind w:left="40" w:right="819"/>
        <w:spacing w:after="0" w:line="306" w:lineRule="auto"/>
        <w:rPr>
          <w:sz w:val="20"/>
          <w:szCs w:val="20"/>
          <w:color w:val="auto"/>
        </w:rPr>
      </w:pPr>
      <w:r>
        <w:rPr>
          <w:rFonts w:ascii="Arial" w:cs="Arial" w:eastAsia="Arial" w:hAnsi="Arial"/>
          <w:sz w:val="16"/>
          <w:szCs w:val="16"/>
          <w:color w:val="auto"/>
        </w:rPr>
        <w:t>On March 8, 2021, the Company announced the opening of an XpresCheck™ Wellness Center at Houston George Bush Intercontinental Airport. It contains four separate testing rooms to provide diagnostic COVID-19 testing.</w:t>
      </w:r>
    </w:p>
    <w:p>
      <w:pPr>
        <w:spacing w:after="0" w:line="142" w:lineRule="exact"/>
        <w:rPr>
          <w:sz w:val="20"/>
          <w:szCs w:val="20"/>
          <w:color w:val="auto"/>
        </w:rPr>
      </w:pPr>
    </w:p>
    <w:p>
      <w:pPr>
        <w:ind w:left="40" w:right="199"/>
        <w:spacing w:after="0" w:line="262" w:lineRule="auto"/>
        <w:rPr>
          <w:sz w:val="20"/>
          <w:szCs w:val="20"/>
          <w:color w:val="auto"/>
        </w:rPr>
      </w:pPr>
      <w:r>
        <w:rPr>
          <w:rFonts w:ascii="Arial" w:cs="Arial" w:eastAsia="Arial" w:hAnsi="Arial"/>
          <w:sz w:val="17"/>
          <w:szCs w:val="17"/>
          <w:color w:val="auto"/>
        </w:rPr>
        <w:t>On March 15, 2021, the Company announced the opening of XpresCheck™ Wellness Centers at Dulles International and Reagan National Airports in Virginia, containing nine and four separate testing rooms, respectively, to provide diagnostic COVID-19 testing.</w:t>
      </w:r>
    </w:p>
    <w:p>
      <w:pPr>
        <w:spacing w:after="0" w:line="175" w:lineRule="exact"/>
        <w:rPr>
          <w:sz w:val="20"/>
          <w:szCs w:val="20"/>
          <w:color w:val="auto"/>
        </w:rPr>
      </w:pPr>
    </w:p>
    <w:p>
      <w:pPr>
        <w:ind w:left="40" w:right="459"/>
        <w:spacing w:after="0" w:line="274" w:lineRule="auto"/>
        <w:rPr>
          <w:sz w:val="20"/>
          <w:szCs w:val="20"/>
          <w:color w:val="auto"/>
        </w:rPr>
      </w:pPr>
      <w:r>
        <w:rPr>
          <w:rFonts w:ascii="Arial" w:cs="Arial" w:eastAsia="Arial" w:hAnsi="Arial"/>
          <w:sz w:val="17"/>
          <w:szCs w:val="17"/>
          <w:color w:val="auto"/>
        </w:rPr>
        <w:t>On April 8, 2021, the Company announced the opening of an XpresCheck™ Wellness Center at Seattle-Tacoma International Airport. It contains eight separate testing rooms to provide diagnostic COVID-19 testing.</w:t>
      </w:r>
    </w:p>
    <w:p>
      <w:pPr>
        <w:spacing w:after="0" w:line="165" w:lineRule="exact"/>
        <w:rPr>
          <w:sz w:val="20"/>
          <w:szCs w:val="20"/>
          <w:color w:val="auto"/>
        </w:rPr>
      </w:pPr>
    </w:p>
    <w:p>
      <w:pPr>
        <w:ind w:left="40" w:right="459"/>
        <w:spacing w:after="0" w:line="274" w:lineRule="auto"/>
        <w:rPr>
          <w:sz w:val="20"/>
          <w:szCs w:val="20"/>
          <w:color w:val="auto"/>
        </w:rPr>
      </w:pPr>
      <w:r>
        <w:rPr>
          <w:rFonts w:ascii="Arial" w:cs="Arial" w:eastAsia="Arial" w:hAnsi="Arial"/>
          <w:sz w:val="17"/>
          <w:szCs w:val="17"/>
          <w:color w:val="auto"/>
        </w:rPr>
        <w:t>On April 21, 2021, the Company announced the opening of an XpresCheck™ Wellness Center at San Francisco International Airport. It contains nine separate testing rooms to provide diagnostic COVID-19 testing.</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7"/>
          <w:szCs w:val="17"/>
          <w:b w:val="1"/>
          <w:bCs w:val="1"/>
          <w:u w:val="single" w:color="auto"/>
          <w:color w:val="auto"/>
        </w:rPr>
        <w:t>Airport Rent Concessions</w:t>
      </w:r>
    </w:p>
    <w:p>
      <w:pPr>
        <w:spacing w:after="0" w:line="21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6"/>
          <w:szCs w:val="16"/>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periods of relief from these payments range from three to nineteen months and began in March 2020. The Company received minimum guaranteed payment concessions of approximately $472 and $75 in the three months ended March 31, 2021 and March 31, 2020, respectively, and $2,504 in the twelve months ended March 31, 2021. The company expects to realize additional rent concessions while our XpresSpa locations remain closed.</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Liquidity and Financial Condition</w:t>
      </w:r>
    </w:p>
    <w:p>
      <w:pPr>
        <w:spacing w:after="0" w:line="212"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As of March 31, 2021, the Company had cash and cash equivalents, excluding restricted cash, of $102,649, total current assets of $107,789, total current liabilities of $13,842 and positive working capital of $93,947, compared to a positive working capital of $78,302 as of December 31, 2020.</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9" w:name="page10"/>
    <w:bookmarkEnd w:id="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6"/>
          <w:szCs w:val="16"/>
          <w:color w:val="auto"/>
        </w:rPr>
        <w:t xml:space="preserve">During the three months ended March 31, 2021, holders of the Company’s December 2020 Investor Warrants, December 2020 Placement Agent Warrants and December 2020 Placement Agent Tail Fee Warrants exercised a total of 11,223,529 warrants for common shares. The Company received gross proceeds of approximately $19,161. In accordance with the placement agent agreements with H.C. Wainwright &amp; Co., LLC and Palladium, the Company paid cash fees of $2,154 and issued 842,588 warrants to H.C. Wainwright &amp; Co., LLC at an exercise price of $2.125 per share and 325,500 warrants to Palladium at an exercise price of $1.70 per share. See </w:t>
      </w:r>
      <w:r>
        <w:rPr>
          <w:rFonts w:ascii="Arial" w:cs="Arial" w:eastAsia="Arial" w:hAnsi="Arial"/>
          <w:sz w:val="16"/>
          <w:szCs w:val="16"/>
          <w:i w:val="1"/>
          <w:iCs w:val="1"/>
          <w:color w:val="auto"/>
        </w:rPr>
        <w:t>Note 8. Stockholders’ Equity</w:t>
      </w:r>
      <w:r>
        <w:rPr>
          <w:rFonts w:ascii="Arial" w:cs="Arial" w:eastAsia="Arial" w:hAnsi="Arial"/>
          <w:sz w:val="16"/>
          <w:szCs w:val="16"/>
          <w:color w:val="auto"/>
        </w:rPr>
        <w:t xml:space="preserve"> for related discussion.</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2. Significant Accounting and Reporting Policies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 Revenue Recognition Policy</w:t>
      </w:r>
    </w:p>
    <w:p>
      <w:pPr>
        <w:spacing w:after="0" w:line="212" w:lineRule="exact"/>
        <w:rPr>
          <w:sz w:val="20"/>
          <w:szCs w:val="20"/>
          <w:color w:val="auto"/>
        </w:rPr>
      </w:pPr>
    </w:p>
    <w:p>
      <w:pPr>
        <w:jc w:val="both"/>
        <w:ind w:left="40" w:right="59"/>
        <w:spacing w:after="0" w:line="298" w:lineRule="auto"/>
        <w:rPr>
          <w:sz w:val="20"/>
          <w:szCs w:val="20"/>
          <w:color w:val="auto"/>
        </w:rPr>
      </w:pPr>
      <w:r>
        <w:rPr>
          <w:rFonts w:ascii="Arial" w:cs="Arial" w:eastAsia="Arial" w:hAnsi="Arial"/>
          <w:sz w:val="15"/>
          <w:szCs w:val="15"/>
          <w:color w:val="auto"/>
        </w:rPr>
        <w:t>The Company recognizes revenue from the sale of XpresSpa products and services when the services are rendered at XpresSpa stores and from the sale of products at the time products are purchased at our stores or online usually by credit card, net of discounts and applicable sales taxes. Accordingly, the Company recognizes revenue for our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spacing w:after="0" w:line="152"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5"/>
          <w:szCs w:val="15"/>
          <w:color w:val="auto"/>
        </w:rPr>
        <w:t>Through its XpresCheck™ Wellness Centers and under the terms of Managed Services Agreements (“MSAs”) with a physician’s practice, the Company offers testing services to airline employees, contractors, concessionaire employees, TSA officers and U.S. Customs and Border Protection agents, as well as the traveling public. The Company has entered into MSAs with professional medical service entities that provide healthcare services to patients. Under the terms of the MSAs, XpresTest provides office space, equipment, supplies, non-licensed staff, and management services to be used for the purpose of COVID-19 and other medical diagnostic testing in return for a management fee. However, as a result of uncertainties around the cash flows of the XpresCheck™ Wellness Centers, the Company concluded in 2020 that the collectability criteria to qualify as a contract under ASC 606 was not met, and therefore, revenue associated with the monthly management fee would not be recognized until a subsequent reassessment resulted in the MSAs meeting the collectability criteria. XpresTest recognized $8,178 of revenue (including catch-up revenue of $3,186 for 2020) during the three months ended March 31, 2021, under the MSAs, pursuant to reassessments in Q1 2021, of MSA agreements executed in 2020, and assessments of MSA agreements executed in 2021 resulting in management’s conclusion that they met the collectability criteria.</w:t>
      </w:r>
    </w:p>
    <w:p>
      <w:pPr>
        <w:spacing w:after="0" w:line="165" w:lineRule="exact"/>
        <w:rPr>
          <w:sz w:val="20"/>
          <w:szCs w:val="20"/>
          <w:color w:val="auto"/>
        </w:rPr>
      </w:pPr>
    </w:p>
    <w:p>
      <w:pPr>
        <w:jc w:val="both"/>
        <w:ind w:left="40" w:right="59"/>
        <w:spacing w:after="0" w:line="256" w:lineRule="auto"/>
        <w:rPr>
          <w:sz w:val="20"/>
          <w:szCs w:val="20"/>
          <w:color w:val="auto"/>
        </w:rPr>
      </w:pPr>
      <w:r>
        <w:rPr>
          <w:rFonts w:ascii="Arial" w:cs="Arial" w:eastAsia="Arial" w:hAnsi="Arial"/>
          <w:sz w:val="17"/>
          <w:szCs w:val="17"/>
          <w:color w:val="auto"/>
        </w:rPr>
        <w:t xml:space="preserve">The Company has a franchise agreement with an unaffiliated franchisee to operate an XpresSpa location. Under the Company’s franchising model, all initial franchising fees relate to the franchise right, which is a single performance obligation that transfers over time. Upon receipt of the non-recurring, non-refundable initial franchise fee, management records a deferred revenue liability in </w:t>
      </w:r>
      <w:r>
        <w:rPr>
          <w:rFonts w:ascii="Arial" w:cs="Arial" w:eastAsia="Arial" w:hAnsi="Arial"/>
          <w:sz w:val="17"/>
          <w:szCs w:val="17"/>
          <w:i w:val="1"/>
          <w:iCs w:val="1"/>
          <w:color w:val="auto"/>
        </w:rPr>
        <w:t>Accounts payable, accrued expenses and other</w:t>
      </w:r>
      <w:r>
        <w:rPr>
          <w:rFonts w:ascii="Arial" w:cs="Arial" w:eastAsia="Arial" w:hAnsi="Arial"/>
          <w:sz w:val="17"/>
          <w:szCs w:val="17"/>
          <w:color w:val="auto"/>
        </w:rPr>
        <w:t xml:space="preserve"> on the Company’s condensed consolidated balance sheets and recognizes revenue on a straight-line basis over the life of the franchise agreement.</w:t>
      </w:r>
    </w:p>
    <w:p>
      <w:pPr>
        <w:spacing w:after="0" w:line="180" w:lineRule="exact"/>
        <w:rPr>
          <w:sz w:val="20"/>
          <w:szCs w:val="20"/>
          <w:color w:val="auto"/>
        </w:rPr>
      </w:pPr>
    </w:p>
    <w:p>
      <w:pPr>
        <w:jc w:val="both"/>
        <w:ind w:left="40" w:right="59"/>
        <w:spacing w:after="0" w:line="298" w:lineRule="auto"/>
        <w:rPr>
          <w:sz w:val="20"/>
          <w:szCs w:val="20"/>
          <w:color w:val="auto"/>
        </w:rPr>
      </w:pPr>
      <w:r>
        <w:rPr>
          <w:rFonts w:ascii="Arial" w:cs="Arial" w:eastAsia="Arial" w:hAnsi="Arial"/>
          <w:sz w:val="15"/>
          <w:szCs w:val="15"/>
          <w:color w:val="auto"/>
        </w:rPr>
        <w:t xml:space="preserve">The Company has also entered into collaborative agreements with marketing partners whereby it sells certain of its partners’ products in the Company’s XpresSpa spas. The Company acts as an agent for revenue recognition purposes and therefore records revenue net of the revenue share payable to the partners. Upon receipt of the non-recurring, non-refundable initial collaboration fee, management records a deferred revenue liability in </w:t>
      </w:r>
      <w:r>
        <w:rPr>
          <w:rFonts w:ascii="Arial" w:cs="Arial" w:eastAsia="Arial" w:hAnsi="Arial"/>
          <w:sz w:val="15"/>
          <w:szCs w:val="15"/>
          <w:i w:val="1"/>
          <w:iCs w:val="1"/>
          <w:color w:val="auto"/>
        </w:rPr>
        <w:t>Accounts payable, accrued expenses and other</w:t>
      </w:r>
      <w:r>
        <w:rPr>
          <w:rFonts w:ascii="Arial" w:cs="Arial" w:eastAsia="Arial" w:hAnsi="Arial"/>
          <w:sz w:val="15"/>
          <w:szCs w:val="15"/>
          <w:color w:val="auto"/>
        </w:rPr>
        <w:t xml:space="preserve"> on the Company’s condensed consolidated balance sheets and recognizes revenue on a straight-line basis over the life of the collaboration agreement.</w:t>
      </w:r>
    </w:p>
    <w:p>
      <w:pPr>
        <w:spacing w:after="0" w:line="152"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 xml:space="preserve">The Company excludes all sales taxes assessed to our customers from revenue. Sales taxes assessed on revenues are included in </w:t>
      </w:r>
      <w:r>
        <w:rPr>
          <w:rFonts w:ascii="Arial" w:cs="Arial" w:eastAsia="Arial" w:hAnsi="Arial"/>
          <w:sz w:val="17"/>
          <w:szCs w:val="17"/>
          <w:i w:val="1"/>
          <w:iCs w:val="1"/>
          <w:color w:val="auto"/>
        </w:rPr>
        <w:t xml:space="preserve">Accounts payable, accrued expenses and other </w:t>
      </w:r>
      <w:r>
        <w:rPr>
          <w:rFonts w:ascii="Arial" w:cs="Arial" w:eastAsia="Arial" w:hAnsi="Arial"/>
          <w:sz w:val="17"/>
          <w:szCs w:val="17"/>
          <w:color w:val="auto"/>
        </w:rPr>
        <w:t>on the Company’s condensed consolidated balance sheets until remitted to state</w:t>
      </w:r>
      <w:r>
        <w:rPr>
          <w:rFonts w:ascii="Arial" w:cs="Arial" w:eastAsia="Arial" w:hAnsi="Arial"/>
          <w:sz w:val="17"/>
          <w:szCs w:val="17"/>
          <w:i w:val="1"/>
          <w:iCs w:val="1"/>
          <w:color w:val="auto"/>
        </w:rPr>
        <w:t xml:space="preserve"> </w:t>
      </w:r>
      <w:r>
        <w:rPr>
          <w:rFonts w:ascii="Arial" w:cs="Arial" w:eastAsia="Arial" w:hAnsi="Arial"/>
          <w:sz w:val="17"/>
          <w:szCs w:val="17"/>
          <w:color w:val="auto"/>
        </w:rPr>
        <w:t>agencies.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0" w:name="page11"/>
    <w:bookmarkEnd w:id="1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 Recently issued accounting pronouncements</w:t>
      </w:r>
    </w:p>
    <w:p>
      <w:pPr>
        <w:spacing w:after="0" w:line="212"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i w:val="1"/>
          <w:iCs w:val="1"/>
          <w:color w:val="auto"/>
        </w:rPr>
        <w:t>Accounting Standards Update No. 2020-06—Debt--Debt with Conversion and Other Options (Subtopic 470-20) and Derivatives and Hedging—Contracts in Entity’s Own Equity (Subtopic 815-40)</w:t>
      </w:r>
    </w:p>
    <w:p>
      <w:pPr>
        <w:spacing w:after="0" w:line="165"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6"/>
          <w:szCs w:val="16"/>
          <w:color w:val="auto"/>
        </w:rPr>
        <w:t>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Financial Accounting Standard Board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The FASB also decided to add additional disclosure requirements in an attempt to improve the usefulness and relevance of the information being provided.</w:t>
      </w:r>
    </w:p>
    <w:p>
      <w:pPr>
        <w:spacing w:after="0" w:line="180"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The new standard is effective for fiscal years beginning after December 15, 2021, and interim periods within those fiscal years. The Company does not believe the adoption of this standard will have a material impact on its condensed consolidated financial statements.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 Recently adopted accounting pronouncements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Accounting Standards Update No. 2020-10—Codification Improvements</w:t>
      </w:r>
    </w:p>
    <w:p>
      <w:pPr>
        <w:spacing w:after="0" w:line="212" w:lineRule="exact"/>
        <w:rPr>
          <w:sz w:val="20"/>
          <w:szCs w:val="20"/>
          <w:color w:val="auto"/>
        </w:rPr>
      </w:pPr>
    </w:p>
    <w:p>
      <w:pPr>
        <w:ind w:left="40" w:right="79"/>
        <w:spacing w:after="0" w:line="286" w:lineRule="auto"/>
        <w:rPr>
          <w:sz w:val="20"/>
          <w:szCs w:val="20"/>
          <w:color w:val="auto"/>
        </w:rPr>
      </w:pPr>
      <w:r>
        <w:rPr>
          <w:rFonts w:ascii="Arial" w:cs="Arial" w:eastAsia="Arial" w:hAnsi="Arial"/>
          <w:sz w:val="16"/>
          <w:szCs w:val="16"/>
          <w:color w:val="auto"/>
        </w:rPr>
        <w:t>Issued in October 2020, this release updates various codification topics by clarifying or improving disclosure requirements to align with the SEC’s regulations. The Company adopted ASU 2020-10 as of the reporting period beginning January 1, 2021. The adoption of this update did not have a material effect on the Company’s condensed consolidated financial statements.</w:t>
      </w:r>
    </w:p>
    <w:p>
      <w:pPr>
        <w:spacing w:after="0" w:line="361"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i w:val="1"/>
          <w:iCs w:val="1"/>
          <w:color w:val="auto"/>
        </w:rPr>
        <w:t>Accounting Standards Update No. 2020-01, Investments—Equity Securities (Topic 321), Investments—Equity Method and Joint Ventures (Topic 323), and Derivatives and Hedging (Topic 815)—Clarifying the Interactions between Topic 321, Topic 323, and Topic 815</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5"/>
          <w:szCs w:val="15"/>
          <w:color w:val="auto"/>
        </w:rPr>
        <w:t>Issued in January 2020, the amendments in this update affect all entities that apply the guidance in Topics 321, 323, and 815 and</w:t>
      </w:r>
    </w:p>
    <w:p>
      <w:pPr>
        <w:spacing w:after="0" w:line="43" w:lineRule="exact"/>
        <w:rPr>
          <w:sz w:val="20"/>
          <w:szCs w:val="20"/>
          <w:color w:val="auto"/>
        </w:rPr>
      </w:pPr>
    </w:p>
    <w:p>
      <w:pPr>
        <w:jc w:val="both"/>
        <w:ind w:left="40" w:right="59" w:firstLine="5"/>
        <w:spacing w:after="0" w:line="270" w:lineRule="auto"/>
        <w:tabs>
          <w:tab w:leader="none" w:pos="290" w:val="left"/>
        </w:tabs>
        <w:numPr>
          <w:ilvl w:val="0"/>
          <w:numId w:val="4"/>
        </w:numPr>
        <w:rPr>
          <w:rFonts w:ascii="Arial" w:cs="Arial" w:eastAsia="Arial" w:hAnsi="Arial"/>
          <w:sz w:val="16"/>
          <w:szCs w:val="16"/>
          <w:color w:val="auto"/>
        </w:rPr>
      </w:pPr>
      <w:r>
        <w:rPr>
          <w:rFonts w:ascii="Arial" w:cs="Arial" w:eastAsia="Arial" w:hAnsi="Arial"/>
          <w:sz w:val="16"/>
          <w:szCs w:val="16"/>
          <w:color w:val="auto"/>
        </w:rPr>
        <w:t>elect to apply the measurement alternative or (2) enter into a forward contract or purchase an as option to purchase securities that, upon settlement of the forward contract or exercise of the purchased option, would be accounted for under the equity method of accounting. The Company applies the guidance included in Topic 815 to its derivative liabilities but does not intend on applying the new measurement alternative included in the update. The new standard is effective for fiscal years beginning after December 15, 2020, and interim periods within those fiscal years. Adoption of this standard did not have a material impact on the Company’s condensed consolidated financial statements.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Accounting Standards Update No. 2019-12—Income Taxes (Topic 740): Simplifying the Accounting for Income Taxes</w:t>
      </w:r>
    </w:p>
    <w:p>
      <w:pPr>
        <w:spacing w:after="0" w:line="212" w:lineRule="exact"/>
        <w:rPr>
          <w:sz w:val="20"/>
          <w:szCs w:val="20"/>
          <w:color w:val="auto"/>
        </w:rPr>
      </w:pPr>
    </w:p>
    <w:p>
      <w:pPr>
        <w:jc w:val="both"/>
        <w:ind w:left="40" w:right="59"/>
        <w:spacing w:after="0" w:line="256" w:lineRule="auto"/>
        <w:rPr>
          <w:sz w:val="20"/>
          <w:szCs w:val="20"/>
          <w:color w:val="auto"/>
        </w:rPr>
      </w:pPr>
      <w:r>
        <w:rPr>
          <w:rFonts w:ascii="Arial" w:cs="Arial" w:eastAsia="Arial" w:hAnsi="Arial"/>
          <w:sz w:val="17"/>
          <w:szCs w:val="17"/>
          <w:color w:val="auto"/>
        </w:rPr>
        <w:t xml:space="preserve">Issued in December 2019, the amendments in this update are effective for fiscal years, and interim periods within those fiscal years, beginning after December 15, 2020. The amendments in this update simplify </w:t>
      </w:r>
      <w:r>
        <w:rPr>
          <w:rFonts w:ascii="Arial" w:cs="Arial" w:eastAsia="Arial" w:hAnsi="Arial"/>
          <w:sz w:val="17"/>
          <w:szCs w:val="17"/>
          <w:i w:val="1"/>
          <w:iCs w:val="1"/>
          <w:color w:val="auto"/>
        </w:rPr>
        <w:t>the accounting for income taxes by removing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certain exceptions to guidance in Topic 740. The specific areas of potential simplification were submitted by stakeholders as part of the FASB’s simplification initiative. </w:t>
      </w:r>
      <w:r>
        <w:rPr>
          <w:rFonts w:ascii="Arial" w:cs="Arial" w:eastAsia="Arial" w:hAnsi="Arial"/>
          <w:sz w:val="17"/>
          <w:szCs w:val="17"/>
          <w:color w:val="auto"/>
        </w:rPr>
        <w:t>Adoption of this standard did not have a material impact on the Company’s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1" w:name="page12"/>
    <w:bookmarkEnd w:id="1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6220" w:type="dxa"/>
            <w:vAlign w:val="bottom"/>
            <w:gridSpan w:val="2"/>
          </w:tcPr>
          <w:p>
            <w:pPr>
              <w:spacing w:after="0"/>
              <w:rPr>
                <w:sz w:val="20"/>
                <w:szCs w:val="20"/>
                <w:color w:val="auto"/>
              </w:rPr>
            </w:pPr>
            <w:r>
              <w:rPr>
                <w:rFonts w:ascii="Arial" w:cs="Arial" w:eastAsia="Arial" w:hAnsi="Arial"/>
                <w:sz w:val="17"/>
                <w:szCs w:val="17"/>
                <w:b w:val="1"/>
                <w:bCs w:val="1"/>
                <w:color w:val="auto"/>
              </w:rPr>
              <w:t>Note 3. Potentially Dilutive Securities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7560" w:type="dxa"/>
            <w:vAlign w:val="bottom"/>
            <w:gridSpan w:val="5"/>
          </w:tcPr>
          <w:p>
            <w:pPr>
              <w:spacing w:after="0"/>
              <w:rPr>
                <w:sz w:val="20"/>
                <w:szCs w:val="20"/>
                <w:color w:val="auto"/>
              </w:rPr>
            </w:pPr>
            <w:r>
              <w:rPr>
                <w:rFonts w:ascii="Arial" w:cs="Arial" w:eastAsia="Arial" w:hAnsi="Arial"/>
                <w:sz w:val="17"/>
                <w:szCs w:val="17"/>
                <w:color w:val="auto"/>
              </w:rPr>
              <w:t>The table below presents the computation of basic and diluted net loss per share of Common Stock:</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4"/>
          </w:tcPr>
          <w:p>
            <w:pPr>
              <w:jc w:val="right"/>
              <w:ind w:right="435"/>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March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and diluted numerator:</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Net loss attributable to XpresSpa Group, Inc.</w:t>
            </w:r>
          </w:p>
        </w:tc>
        <w:tc>
          <w:tcPr>
            <w:tcW w:w="3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(1,056)</w:t>
            </w:r>
          </w:p>
        </w:tc>
        <w:tc>
          <w:tcPr>
            <w:tcW w:w="50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(10,616)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Less: deemed dividend on warrants and preferred stock</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36"/>
        </w:trPr>
        <w:tc>
          <w:tcPr>
            <w:tcW w:w="6220" w:type="dxa"/>
            <w:vAlign w:val="bottom"/>
            <w:gridSpan w:val="2"/>
          </w:tcPr>
          <w:p>
            <w:pPr>
              <w:spacing w:after="0"/>
              <w:rPr>
                <w:sz w:val="20"/>
                <w:szCs w:val="20"/>
                <w:color w:val="auto"/>
              </w:rPr>
            </w:pPr>
            <w:r>
              <w:rPr>
                <w:rFonts w:ascii="Arial" w:cs="Arial" w:eastAsia="Arial" w:hAnsi="Arial"/>
                <w:sz w:val="17"/>
                <w:szCs w:val="17"/>
                <w:color w:val="auto"/>
              </w:rPr>
              <w:t>Net loss attributable to common shareholders</w:t>
            </w:r>
          </w:p>
        </w:tc>
        <w:tc>
          <w:tcPr>
            <w:tcW w:w="18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(1,056)</w:t>
            </w:r>
          </w:p>
        </w:tc>
        <w:tc>
          <w:tcPr>
            <w:tcW w:w="50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(10,924)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7"/>
                <w:szCs w:val="17"/>
                <w:b w:val="1"/>
                <w:bCs w:val="1"/>
                <w:color w:val="auto"/>
              </w:rPr>
              <w:t>Basic and diluted denominator:</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220" w:type="dxa"/>
            <w:vAlign w:val="bottom"/>
            <w:gridSpan w:val="2"/>
          </w:tcPr>
          <w:p>
            <w:pPr>
              <w:spacing w:after="0"/>
              <w:rPr>
                <w:sz w:val="20"/>
                <w:szCs w:val="20"/>
                <w:color w:val="auto"/>
              </w:rPr>
            </w:pPr>
            <w:r>
              <w:rPr>
                <w:rFonts w:ascii="Arial" w:cs="Arial" w:eastAsia="Arial" w:hAnsi="Arial"/>
                <w:sz w:val="17"/>
                <w:szCs w:val="17"/>
                <w:color w:val="auto"/>
              </w:rPr>
              <w:t>Basic and diluted weighted average shares outstanding</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101,058,500</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6,276,012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Basic and diluted net loss per share</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(0.01)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w w:val="90"/>
              </w:rPr>
              <w:t>Net loss per share data presented above excludes from the calculation of diluted net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1"/>
              </w:rPr>
              <w:t>loss the following potentially dilutive securities, as they had an anti-dilutive impact: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00" w:type="dxa"/>
            <w:vAlign w:val="bottom"/>
          </w:tcPr>
          <w:p>
            <w:pPr>
              <w:spacing w:after="0" w:line="191" w:lineRule="exact"/>
              <w:rPr>
                <w:sz w:val="20"/>
                <w:szCs w:val="20"/>
                <w:color w:val="auto"/>
              </w:rPr>
            </w:pPr>
            <w:r>
              <w:rPr>
                <w:rFonts w:ascii="Arial" w:cs="Arial" w:eastAsia="Arial" w:hAnsi="Arial"/>
                <w:sz w:val="17"/>
                <w:szCs w:val="17"/>
                <w:color w:val="auto"/>
                <w:w w:val="95"/>
              </w:rPr>
              <w:t>Both vested and unvested options to purchase an equal number of shares of Common</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20" w:type="dxa"/>
            <w:vAlign w:val="bottom"/>
            <w:gridSpan w:val="2"/>
          </w:tcPr>
          <w:p>
            <w:pPr>
              <w:spacing w:after="0"/>
              <w:rPr>
                <w:sz w:val="20"/>
                <w:szCs w:val="20"/>
                <w:color w:val="auto"/>
              </w:rPr>
            </w:pPr>
            <w:r>
              <w:rPr>
                <w:rFonts w:ascii="Arial" w:cs="Arial" w:eastAsia="Arial" w:hAnsi="Arial"/>
                <w:sz w:val="17"/>
                <w:szCs w:val="17"/>
                <w:color w:val="auto"/>
              </w:rPr>
              <w:t>Stock</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3,022,185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45,964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Unvested RSUs to issue an equal number of shares of Common Stock</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105,125</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Warrants to purchase an equal number of shares of Common Stock</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37,988,940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8,832,776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on an as converted basis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802,079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Convertible notes on an as converted basis</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15,551,497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0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w w:val="92"/>
              </w:rPr>
              <w:t>Total number of potentially dilutive securities excluded from the calculation of loss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41,116,250</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1"/>
              </w:rPr>
              <w:t>25,252,316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per share attributable to common shareholders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4. Cash, Cash Equivalents, and Restricted Cash</w:t>
      </w:r>
    </w:p>
    <w:p>
      <w:pPr>
        <w:spacing w:after="0" w:line="216"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A reconciliation of the Company’s cash and cash equivalents in the Condensed Consolidated Balance Sheets to cash, cash equivalents and restricted cash in the Condensed Consolidated Statements of Cash Flows as of March 31, 2021 and December 31, 2020 is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6040" w:type="dxa"/>
            <w:vAlign w:val="bottom"/>
          </w:tcPr>
          <w:p>
            <w:pPr>
              <w:spacing w:after="0"/>
              <w:rPr>
                <w:sz w:val="19"/>
                <w:szCs w:val="19"/>
                <w:color w:val="auto"/>
              </w:rPr>
            </w:pPr>
          </w:p>
        </w:tc>
        <w:tc>
          <w:tcPr>
            <w:tcW w:w="1380" w:type="dxa"/>
            <w:vAlign w:val="bottom"/>
            <w:gridSpan w:val="3"/>
          </w:tcPr>
          <w:p>
            <w:pPr>
              <w:ind w:left="40"/>
              <w:spacing w:after="0"/>
              <w:rPr>
                <w:sz w:val="20"/>
                <w:szCs w:val="20"/>
                <w:color w:val="auto"/>
              </w:rPr>
            </w:pPr>
            <w:r>
              <w:rPr>
                <w:rFonts w:ascii="Arial" w:cs="Arial" w:eastAsia="Arial" w:hAnsi="Arial"/>
                <w:sz w:val="17"/>
                <w:szCs w:val="17"/>
                <w:b w:val="1"/>
                <w:bCs w:val="1"/>
                <w:color w:val="auto"/>
              </w:rPr>
              <w:t>March 31, 2021</w:t>
            </w:r>
          </w:p>
        </w:tc>
        <w:tc>
          <w:tcPr>
            <w:tcW w:w="1500" w:type="dxa"/>
            <w:vAlign w:val="bottom"/>
            <w:gridSpan w:val="2"/>
          </w:tcPr>
          <w:p>
            <w:pPr>
              <w:jc w:val="right"/>
              <w:spacing w:after="0"/>
              <w:rPr>
                <w:sz w:val="20"/>
                <w:szCs w:val="20"/>
                <w:color w:val="auto"/>
              </w:rPr>
            </w:pPr>
            <w:r>
              <w:rPr>
                <w:rFonts w:ascii="Arial" w:cs="Arial" w:eastAsia="Arial" w:hAnsi="Arial"/>
                <w:sz w:val="17"/>
                <w:szCs w:val="17"/>
                <w:b w:val="1"/>
                <w:bCs w:val="1"/>
                <w:color w:val="auto"/>
                <w:w w:val="92"/>
              </w:rPr>
              <w:t>December 31, 2020</w:t>
            </w:r>
          </w:p>
        </w:tc>
      </w:tr>
      <w:tr>
        <w:trPr>
          <w:trHeight w:val="197"/>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denominated in United States dollars</w:t>
            </w: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100,959</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88,636</w:t>
            </w:r>
          </w:p>
        </w:tc>
      </w:tr>
      <w:tr>
        <w:trPr>
          <w:trHeight w:val="204"/>
        </w:trPr>
        <w:tc>
          <w:tcPr>
            <w:tcW w:w="6040" w:type="dxa"/>
            <w:vAlign w:val="bottom"/>
          </w:tcPr>
          <w:p>
            <w:pPr>
              <w:spacing w:after="0"/>
              <w:rPr>
                <w:sz w:val="20"/>
                <w:szCs w:val="20"/>
                <w:color w:val="auto"/>
              </w:rPr>
            </w:pPr>
            <w:r>
              <w:rPr>
                <w:rFonts w:ascii="Arial" w:cs="Arial" w:eastAsia="Arial" w:hAnsi="Arial"/>
                <w:sz w:val="17"/>
                <w:szCs w:val="17"/>
                <w:color w:val="auto"/>
              </w:rPr>
              <w:t>Cash denominated in currency other than United States dollars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1,683</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1,158</w:t>
            </w:r>
          </w:p>
        </w:tc>
      </w:tr>
      <w:tr>
        <w:trPr>
          <w:trHeight w:val="204"/>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r>
      <w:tr>
        <w:trPr>
          <w:trHeight w:val="204"/>
        </w:trPr>
        <w:tc>
          <w:tcPr>
            <w:tcW w:w="60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196"/>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cash, cash equivalents and restricted cash</w:t>
            </w: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103,350</w:t>
            </w: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90,502</w:t>
            </w:r>
          </w:p>
        </w:tc>
      </w:tr>
      <w:tr>
        <w:trPr>
          <w:trHeight w:val="20"/>
        </w:trPr>
        <w:tc>
          <w:tcPr>
            <w:tcW w:w="6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6"/>
          <w:szCs w:val="16"/>
          <w:color w:val="auto"/>
        </w:rPr>
        <w:t>The Company places its cash and temporary cash investments with credit quality institutions. At times, such cash denominated in United States dollars may be in excess of the Federal Deposit Insurance Corporation (“FDIC”) insurance limit. At March 31, 2021 and December 31, 2020, deposits in excess of FDIC limits were $101,103 and $88,556, respectively. As of March 31, 2021 and December 31, 2020, the Company held cash balances in overseas accounts, totaling $1,683 and $1,158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2" w:name="page13"/>
    <w:bookmarkEnd w:id="1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5. Intangible Assets</w:t>
      </w:r>
    </w:p>
    <w:p>
      <w:pPr>
        <w:spacing w:after="0" w:line="216" w:lineRule="exact"/>
        <w:rPr>
          <w:sz w:val="20"/>
          <w:szCs w:val="20"/>
          <w:color w:val="auto"/>
        </w:rPr>
      </w:pPr>
    </w:p>
    <w:p>
      <w:pPr>
        <w:ind w:left="40" w:right="199"/>
        <w:spacing w:after="0" w:line="274" w:lineRule="auto"/>
        <w:rPr>
          <w:sz w:val="20"/>
          <w:szCs w:val="20"/>
          <w:color w:val="auto"/>
        </w:rPr>
      </w:pPr>
      <w:r>
        <w:rPr>
          <w:rFonts w:ascii="Arial" w:cs="Arial" w:eastAsia="Arial" w:hAnsi="Arial"/>
          <w:sz w:val="17"/>
          <w:szCs w:val="17"/>
          <w:color w:val="auto"/>
        </w:rPr>
        <w:t>The following table provides information regarding the Company’s intangible assets subject to amortization, which consist of the following:</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2"/>
              </w:rPr>
              <w:t>March 31, 2021</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7"/>
                <w:szCs w:val="17"/>
                <w:b w:val="1"/>
                <w:bCs w:val="1"/>
                <w:color w:val="auto"/>
                <w:w w:val="88"/>
              </w:rPr>
              <w:t>December 31, 2020</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r>
      <w:tr>
        <w:trPr>
          <w:trHeight w:val="181"/>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55"/>
              <w:spacing w:after="0" w:line="180" w:lineRule="exact"/>
              <w:rPr>
                <w:sz w:val="20"/>
                <w:szCs w:val="20"/>
                <w:color w:val="auto"/>
              </w:rPr>
            </w:pPr>
            <w:r>
              <w:rPr>
                <w:rFonts w:ascii="Arial" w:cs="Arial" w:eastAsia="Arial" w:hAnsi="Arial"/>
                <w:sz w:val="17"/>
                <w:szCs w:val="17"/>
                <w:b w:val="1"/>
                <w:bCs w:val="1"/>
                <w:color w:val="auto"/>
                <w:w w:val="89"/>
              </w:rPr>
              <w:t>Gross</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55"/>
              <w:spacing w:after="0" w:line="180" w:lineRule="exact"/>
              <w:rPr>
                <w:sz w:val="20"/>
                <w:szCs w:val="20"/>
                <w:color w:val="auto"/>
              </w:rPr>
            </w:pPr>
            <w:r>
              <w:rPr>
                <w:rFonts w:ascii="Arial" w:cs="Arial" w:eastAsia="Arial" w:hAnsi="Arial"/>
                <w:sz w:val="17"/>
                <w:szCs w:val="17"/>
                <w:b w:val="1"/>
                <w:bCs w:val="1"/>
                <w:color w:val="auto"/>
              </w:rPr>
              <w:t>Net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5"/>
              <w:spacing w:after="0" w:line="180" w:lineRule="exact"/>
              <w:rPr>
                <w:sz w:val="20"/>
                <w:szCs w:val="20"/>
                <w:color w:val="auto"/>
              </w:rPr>
            </w:pPr>
            <w:r>
              <w:rPr>
                <w:rFonts w:ascii="Arial" w:cs="Arial" w:eastAsia="Arial" w:hAnsi="Arial"/>
                <w:sz w:val="17"/>
                <w:szCs w:val="17"/>
                <w:b w:val="1"/>
                <w:bCs w:val="1"/>
                <w:color w:val="auto"/>
                <w:w w:val="89"/>
              </w:rPr>
              <w:t>Gross</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center"/>
              <w:ind w:right="75"/>
              <w:spacing w:after="0" w:line="180" w:lineRule="exact"/>
              <w:rPr>
                <w:sz w:val="20"/>
                <w:szCs w:val="20"/>
                <w:color w:val="auto"/>
              </w:rPr>
            </w:pPr>
            <w:r>
              <w:rPr>
                <w:rFonts w:ascii="Arial" w:cs="Arial" w:eastAsia="Arial" w:hAnsi="Arial"/>
                <w:sz w:val="17"/>
                <w:szCs w:val="17"/>
                <w:b w:val="1"/>
                <w:bCs w:val="1"/>
                <w:color w:val="auto"/>
                <w:w w:val="94"/>
              </w:rPr>
              <w:t>Net</w:t>
            </w:r>
          </w:p>
        </w:tc>
      </w:tr>
      <w:tr>
        <w:trPr>
          <w:trHeight w:val="204"/>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Arial" w:cs="Arial" w:eastAsia="Arial" w:hAnsi="Arial"/>
                <w:sz w:val="17"/>
                <w:szCs w:val="17"/>
                <w:b w:val="1"/>
                <w:bCs w:val="1"/>
                <w:color w:val="auto"/>
                <w:w w:val="97"/>
              </w:rPr>
              <w:t>Carrying</w:t>
            </w:r>
          </w:p>
        </w:tc>
        <w:tc>
          <w:tcPr>
            <w:tcW w:w="18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17"/>
                <w:szCs w:val="17"/>
                <w:b w:val="1"/>
                <w:bCs w:val="1"/>
                <w:color w:val="auto"/>
                <w:w w:val="97"/>
              </w:rPr>
              <w:t>Carrying</w:t>
            </w:r>
          </w:p>
        </w:tc>
        <w:tc>
          <w:tcPr>
            <w:tcW w:w="18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7"/>
              </w:rPr>
              <w:t>Carrying</w:t>
            </w:r>
          </w:p>
        </w:tc>
        <w:tc>
          <w:tcPr>
            <w:tcW w:w="180" w:type="dxa"/>
            <w:vAlign w:val="bottom"/>
          </w:tcPr>
          <w:p>
            <w:pPr>
              <w:spacing w:after="0"/>
              <w:rPr>
                <w:sz w:val="17"/>
                <w:szCs w:val="17"/>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9"/>
              </w:rPr>
              <w:t>Accumulated</w:t>
            </w:r>
          </w:p>
        </w:tc>
        <w:tc>
          <w:tcPr>
            <w:tcW w:w="7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4"/>
              </w:rPr>
              <w:t>Carrying</w:t>
            </w:r>
          </w:p>
        </w:tc>
      </w:tr>
      <w:tr>
        <w:trPr>
          <w:trHeight w:val="220"/>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b w:val="1"/>
                <w:bCs w:val="1"/>
                <w:color w:val="auto"/>
                <w:w w:val="96"/>
              </w:rPr>
              <w:t>Amount</w:t>
            </w:r>
          </w:p>
        </w:tc>
        <w:tc>
          <w:tcPr>
            <w:tcW w:w="180" w:type="dxa"/>
            <w:vAlign w:val="bottom"/>
          </w:tcPr>
          <w:p>
            <w:pPr>
              <w:spacing w:after="0"/>
              <w:rPr>
                <w:sz w:val="19"/>
                <w:szCs w:val="19"/>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4"/>
              </w:rPr>
              <w:t>Amortization</w:t>
            </w: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b w:val="1"/>
                <w:bCs w:val="1"/>
                <w:color w:val="auto"/>
                <w:w w:val="96"/>
              </w:rPr>
              <w:t>Amount</w:t>
            </w:r>
          </w:p>
        </w:tc>
        <w:tc>
          <w:tcPr>
            <w:tcW w:w="18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Amount</w:t>
            </w:r>
          </w:p>
        </w:tc>
        <w:tc>
          <w:tcPr>
            <w:tcW w:w="18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2"/>
              </w:rPr>
              <w:t>Amortization</w:t>
            </w:r>
          </w:p>
        </w:tc>
        <w:tc>
          <w:tcPr>
            <w:tcW w:w="7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Amount</w:t>
            </w:r>
          </w:p>
        </w:tc>
      </w:tr>
      <w:tr>
        <w:trPr>
          <w:trHeight w:val="197"/>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Trade name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1,339</w:t>
            </w: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1,339</w:t>
            </w: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w:t>
            </w:r>
          </w:p>
        </w:tc>
      </w:tr>
      <w:tr>
        <w:trPr>
          <w:trHeight w:val="204"/>
        </w:trPr>
        <w:tc>
          <w:tcPr>
            <w:tcW w:w="20" w:type="dxa"/>
            <w:vAlign w:val="bottom"/>
          </w:tcPr>
          <w:p>
            <w:pPr>
              <w:spacing w:after="0"/>
              <w:rPr>
                <w:sz w:val="17"/>
                <w:szCs w:val="17"/>
                <w:color w:val="auto"/>
              </w:rPr>
            </w:pPr>
          </w:p>
        </w:tc>
        <w:tc>
          <w:tcPr>
            <w:tcW w:w="29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Software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r>
      <w:tr>
        <w:trPr>
          <w:trHeight w:val="196"/>
        </w:trPr>
        <w:tc>
          <w:tcPr>
            <w:tcW w:w="20" w:type="dxa"/>
            <w:vAlign w:val="bottom"/>
          </w:tcPr>
          <w:p>
            <w:pPr>
              <w:spacing w:after="0"/>
              <w:rPr>
                <w:sz w:val="17"/>
                <w:szCs w:val="17"/>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2,033</w:t>
            </w: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2,033</w:t>
            </w: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The Company’s trade name relates to the value of the XpresSpa trade name, and software relates to certain capitalized third-party costs related to a new point-of-sale system and website.</w:t>
      </w:r>
    </w:p>
    <w:p>
      <w:pPr>
        <w:spacing w:after="0" w:line="165"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The Company’s intangible assets are amortized over their expected useful lives. The Company recorded amortization expense of $99 and $570 during the three months ended March 31, 2021 and 2020.</w:t>
      </w:r>
    </w:p>
    <w:p>
      <w:pPr>
        <w:spacing w:after="0" w:line="165"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Based on the intangible assets balance as of March 31, 2021, the estimated amortization expense for the remainder of the calendar year and each of the succeeding calendar years is as follows:</w:t>
      </w:r>
    </w:p>
    <w:p>
      <w:pPr>
        <w:spacing w:after="0" w:line="174" w:lineRule="exact"/>
        <w:rPr>
          <w:sz w:val="20"/>
          <w:szCs w:val="20"/>
          <w:color w:val="auto"/>
        </w:rPr>
      </w:pPr>
    </w:p>
    <w:tbl>
      <w:tblPr>
        <w:tblLayout w:type="fixed"/>
        <w:tblInd w:w="940" w:type="dxa"/>
        <w:tblCellMar>
          <w:top w:w="0" w:type="dxa"/>
          <w:left w:w="0" w:type="dxa"/>
          <w:bottom w:w="0" w:type="dxa"/>
          <w:right w:w="0" w:type="dxa"/>
        </w:tblCellMar>
      </w:tblPr>
      <w:tr>
        <w:trPr>
          <w:trHeight w:val="220"/>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Calendar Years ending December 31,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9"/>
              </w:rPr>
              <w:t>Amount</w:t>
            </w:r>
          </w:p>
        </w:tc>
      </w:tr>
      <w:tr>
        <w:trPr>
          <w:trHeight w:val="197"/>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Remaining 2021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r>
      <w:tr>
        <w:trPr>
          <w:trHeight w:val="204"/>
        </w:trPr>
        <w:tc>
          <w:tcPr>
            <w:tcW w:w="5960" w:type="dxa"/>
            <w:vAlign w:val="bottom"/>
          </w:tcPr>
          <w:p>
            <w:pPr>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04"/>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04"/>
        </w:trPr>
        <w:tc>
          <w:tcPr>
            <w:tcW w:w="59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2024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19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6. Leases</w:t>
      </w:r>
    </w:p>
    <w:p>
      <w:pPr>
        <w:spacing w:after="0" w:line="216"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6"/>
          <w:szCs w:val="16"/>
          <w:color w:val="auto"/>
        </w:rPr>
        <w:t xml:space="preserve">The Company leases its retail and diagnostic testing locations at various domestic and international airports. Additionally, the Company leases its corporate office in New York City. Certain leases entered into by the Company fall under ASU No. 2016-02,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(“ASC 842”). At inception, the Company determines if a lease qualifies under ASC 842. Certain of the Company’s lease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contain fixed payments throughout the term of the lease, while others involve a variable component to determine the lease obligation wherein a certain percentage of sales is used to calculate the lease payment.</w:t>
      </w:r>
    </w:p>
    <w:p>
      <w:pPr>
        <w:spacing w:after="0" w:line="168"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5"/>
          <w:szCs w:val="15"/>
          <w:color w:val="auto"/>
        </w:rPr>
        <w:t>All qualifying leases held by the Company are classified as operating leases. Operating lease right of use assets represent the Company’s right to use an underlying asset for the lease term and operating lease liabilities represent its obligation to make lease payments arising from the lease. Operating lease right of use assets and operating lease liabilities are recognized as of the commencement date based on the present value of lease payments over the lease term. The Company records its operating lease right of use assets and operating lease liabilities based on required guaranteed payments under each lease agreement. The Company uses its incremental borrowing rate as of the commencement date of the lease, which approximates the rate at which the Company can borrow funds on a secured basis, in determining the present value of the guaranteed lease payments.</w:t>
      </w:r>
    </w:p>
    <w:p>
      <w:pPr>
        <w:spacing w:after="0" w:line="156"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The Company reviews all of its existing lease agreements on a quarterly basis to determine whether there were any modifications to existing lease agreements and to assess if any leases should be accounted for pursuant to the guidance in ASC 842. The Company recalculates the right of use asset and lease liability based on the modified lease terms and adjusts both balances accordingly.</w:t>
      </w:r>
    </w:p>
    <w:p>
      <w:pPr>
        <w:spacing w:after="0" w:line="178" w:lineRule="exact"/>
        <w:rPr>
          <w:sz w:val="20"/>
          <w:szCs w:val="20"/>
          <w:color w:val="auto"/>
        </w:rPr>
      </w:pPr>
    </w:p>
    <w:p>
      <w:pPr>
        <w:jc w:val="both"/>
        <w:ind w:left="40" w:right="59"/>
        <w:spacing w:after="0" w:line="306" w:lineRule="auto"/>
        <w:rPr>
          <w:sz w:val="20"/>
          <w:szCs w:val="20"/>
          <w:color w:val="auto"/>
        </w:rPr>
      </w:pPr>
      <w:r>
        <w:rPr>
          <w:rFonts w:ascii="Arial" w:cs="Arial" w:eastAsia="Arial" w:hAnsi="Arial"/>
          <w:sz w:val="16"/>
          <w:szCs w:val="16"/>
          <w:color w:val="auto"/>
        </w:rPr>
        <w:t>The Company has received rent concessions from landlords on a majority of its leases, allowing for the relief of minimum guaranteed payments in exchange for percentage-of-revenue rent or providing relief from rent through payment deferrals.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3" w:name="page14"/>
    <w:bookmarkEnd w:id="1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Currently, the periods of relief from these payments range from three to nineteen months and began in March 2020. The Company received minimum guaranteed payment concessions of approximately $472 and $75 in the three months ended March 31, 2021 and March 31, 2020, respectively, and $2,504 in the twelve months ended March 31, 2021. The company expects to receive additional rent concessions while our spas remain closed.</w:t>
      </w:r>
    </w:p>
    <w:p>
      <w:pPr>
        <w:spacing w:after="0" w:line="178"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6"/>
          <w:szCs w:val="16"/>
          <w:color w:val="auto"/>
        </w:rPr>
        <w:t>The Financial Accounting Standards Board (“FASB”) issued a Q&amp;A in March 2020 that focused on the application of lease guidance in ASC 842 for lease concessions related to the effects of COVID-19. The FASB staff has said that entities can elect to not evaluate whether concessions granted by lessors related to COVID-19 are lease modifications. Entities that make this election can then apply the lease modification guidance in ASC 842 or account for the concession as if it were contemplated as part of the existing contract. XpresSpa has elected to not treat the concessions as lease modifications and will instead account for the lease concessions as if they were contemplated as part of the existing leases.</w:t>
      </w:r>
    </w:p>
    <w:p>
      <w:pPr>
        <w:spacing w:after="0" w:line="171"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When a lessor grants a concession that contractually releases a lessee from certain lease payments or defers lease payments, a lessee may account for the concession as a negative variable lease payment and recognize negative variable lease expense in the period when the rent concession becomes accruable. The Company has recorded negative variable lease expense and adjusted lease liabilities at the point in which the rent concession has become accruable.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cash flow information related to leases for the three months ended March 31, 2021 and 2020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9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8"/>
          </w:tcPr>
          <w:p>
            <w:pPr>
              <w:jc w:val="right"/>
              <w:ind w:right="55"/>
              <w:spacing w:after="0"/>
              <w:rPr>
                <w:sz w:val="20"/>
                <w:szCs w:val="20"/>
                <w:color w:val="auto"/>
              </w:rPr>
            </w:pPr>
            <w:r>
              <w:rPr>
                <w:rFonts w:ascii="Arial" w:cs="Arial" w:eastAsia="Arial" w:hAnsi="Arial"/>
                <w:sz w:val="17"/>
                <w:szCs w:val="17"/>
                <w:b w:val="1"/>
                <w:bCs w:val="1"/>
                <w:color w:val="auto"/>
                <w:w w:val="90"/>
              </w:rPr>
              <w:t>Three months ended March 31,</w:t>
            </w:r>
          </w:p>
        </w:tc>
      </w:tr>
      <w:tr>
        <w:trPr>
          <w:trHeight w:val="197"/>
        </w:trPr>
        <w:tc>
          <w:tcPr>
            <w:tcW w:w="90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7"/>
                <w:szCs w:val="17"/>
                <w:b w:val="1"/>
                <w:bCs w:val="1"/>
                <w:color w:val="auto"/>
              </w:rPr>
              <w:t>2021</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r>
      <w:tr>
        <w:trPr>
          <w:trHeight w:val="196"/>
        </w:trPr>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4"/>
        </w:trPr>
        <w:tc>
          <w:tcPr>
            <w:tcW w:w="6400" w:type="dxa"/>
            <w:vAlign w:val="bottom"/>
            <w:gridSpan w:val="2"/>
          </w:tcPr>
          <w:p>
            <w:pPr>
              <w:spacing w:after="0"/>
              <w:rPr>
                <w:sz w:val="20"/>
                <w:szCs w:val="20"/>
                <w:color w:val="auto"/>
              </w:rPr>
            </w:pPr>
            <w:r>
              <w:rPr>
                <w:rFonts w:ascii="Arial" w:cs="Arial" w:eastAsia="Arial" w:hAnsi="Arial"/>
                <w:sz w:val="17"/>
                <w:szCs w:val="17"/>
                <w:color w:val="auto"/>
              </w:rPr>
              <w:t>Operating cash flows from operating leases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5"/>
          </w:tcPr>
          <w:p>
            <w:pPr>
              <w:jc w:val="right"/>
              <w:ind w:right="60"/>
              <w:spacing w:after="0"/>
              <w:rPr>
                <w:sz w:val="20"/>
                <w:szCs w:val="20"/>
                <w:color w:val="auto"/>
              </w:rPr>
            </w:pPr>
            <w:r>
              <w:rPr>
                <w:rFonts w:ascii="Arial" w:cs="Arial" w:eastAsia="Arial" w:hAnsi="Arial"/>
                <w:sz w:val="17"/>
                <w:szCs w:val="17"/>
                <w:color w:val="auto"/>
              </w:rPr>
              <w:t>(1,073)</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(628)</w:t>
            </w:r>
          </w:p>
        </w:tc>
      </w:tr>
      <w:tr>
        <w:trPr>
          <w:trHeight w:val="204"/>
        </w:trPr>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Leased assets obtained in exchange for new and modified operating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(334)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400" w:type="dxa"/>
            <w:vAlign w:val="bottom"/>
            <w:gridSpan w:val="2"/>
          </w:tcPr>
          <w:p>
            <w:pPr>
              <w:spacing w:after="0"/>
              <w:rPr>
                <w:sz w:val="20"/>
                <w:szCs w:val="20"/>
                <w:color w:val="auto"/>
              </w:rPr>
            </w:pPr>
            <w:r>
              <w:rPr>
                <w:rFonts w:ascii="Arial" w:cs="Arial" w:eastAsia="Arial" w:hAnsi="Arial"/>
                <w:sz w:val="17"/>
                <w:szCs w:val="17"/>
                <w:color w:val="auto"/>
              </w:rPr>
              <w:t>Leased assets surrendered in exchange for termination of operating lease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599"/>
        </w:trPr>
        <w:tc>
          <w:tcPr>
            <w:tcW w:w="6400" w:type="dxa"/>
            <w:vAlign w:val="bottom"/>
            <w:gridSpan w:val="2"/>
          </w:tcPr>
          <w:p>
            <w:pPr>
              <w:spacing w:after="0"/>
              <w:rPr>
                <w:sz w:val="20"/>
                <w:szCs w:val="20"/>
                <w:color w:val="auto"/>
              </w:rPr>
            </w:pPr>
            <w:r>
              <w:rPr>
                <w:rFonts w:ascii="Arial" w:cs="Arial" w:eastAsia="Arial" w:hAnsi="Arial"/>
                <w:sz w:val="17"/>
                <w:szCs w:val="17"/>
                <w:color w:val="auto"/>
                <w:w w:val="92"/>
              </w:rPr>
              <w:t>As of March 31, 2021, operating leases contain the following future minimum commitments: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1"/>
        </w:trPr>
        <w:tc>
          <w:tcPr>
            <w:tcW w:w="6400" w:type="dxa"/>
            <w:vAlign w:val="bottom"/>
            <w:gridSpan w:val="2"/>
          </w:tcPr>
          <w:p>
            <w:pPr>
              <w:ind w:left="900"/>
              <w:spacing w:after="0"/>
              <w:rPr>
                <w:sz w:val="20"/>
                <w:szCs w:val="20"/>
                <w:color w:val="auto"/>
              </w:rPr>
            </w:pPr>
            <w:r>
              <w:rPr>
                <w:rFonts w:ascii="Arial" w:cs="Arial" w:eastAsia="Arial" w:hAnsi="Arial"/>
                <w:sz w:val="17"/>
                <w:szCs w:val="17"/>
                <w:b w:val="1"/>
                <w:bCs w:val="1"/>
                <w:color w:val="auto"/>
              </w:rPr>
              <w:t>Calendar Years ending December 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5"/>
          </w:tcPr>
          <w:p>
            <w:pPr>
              <w:jc w:val="right"/>
              <w:ind w:right="180"/>
              <w:spacing w:after="0"/>
              <w:rPr>
                <w:sz w:val="20"/>
                <w:szCs w:val="20"/>
                <w:color w:val="auto"/>
              </w:rPr>
            </w:pPr>
            <w:r>
              <w:rPr>
                <w:rFonts w:ascii="Arial" w:cs="Arial" w:eastAsia="Arial" w:hAnsi="Arial"/>
                <w:sz w:val="17"/>
                <w:szCs w:val="17"/>
                <w:b w:val="1"/>
                <w:bCs w:val="1"/>
                <w:color w:val="auto"/>
              </w:rPr>
              <w:t>Amount</w:t>
            </w:r>
          </w:p>
        </w:tc>
        <w:tc>
          <w:tcPr>
            <w:tcW w:w="880" w:type="dxa"/>
            <w:vAlign w:val="bottom"/>
          </w:tcPr>
          <w:p>
            <w:pPr>
              <w:spacing w:after="0"/>
              <w:rPr>
                <w:sz w:val="24"/>
                <w:szCs w:val="24"/>
                <w:color w:val="auto"/>
              </w:rPr>
            </w:pPr>
          </w:p>
        </w:tc>
      </w:tr>
      <w:tr>
        <w:trPr>
          <w:trHeight w:val="197"/>
        </w:trPr>
        <w:tc>
          <w:tcPr>
            <w:tcW w:w="900" w:type="dxa"/>
            <w:vAlign w:val="bottom"/>
          </w:tcPr>
          <w:p>
            <w:pPr>
              <w:spacing w:after="0"/>
              <w:rPr>
                <w:sz w:val="17"/>
                <w:szCs w:val="17"/>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Remaining 2021</w:t>
            </w: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7"/>
                <w:szCs w:val="17"/>
                <w:color w:val="auto"/>
                <w:w w:val="98"/>
              </w:rPr>
              <w:t>2,783</w:t>
            </w:r>
          </w:p>
        </w:tc>
        <w:tc>
          <w:tcPr>
            <w:tcW w:w="880" w:type="dxa"/>
            <w:vAlign w:val="bottom"/>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7"/>
                <w:szCs w:val="17"/>
                <w:color w:val="auto"/>
                <w:w w:val="98"/>
              </w:rPr>
              <w:t>2,927</w:t>
            </w:r>
          </w:p>
        </w:tc>
        <w:tc>
          <w:tcPr>
            <w:tcW w:w="880" w:type="dxa"/>
            <w:vAlign w:val="bottom"/>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w w:val="98"/>
              </w:rPr>
              <w:t>2,050</w:t>
            </w:r>
          </w:p>
        </w:tc>
        <w:tc>
          <w:tcPr>
            <w:tcW w:w="880" w:type="dxa"/>
            <w:vAlign w:val="bottom"/>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7"/>
                <w:szCs w:val="17"/>
                <w:color w:val="auto"/>
                <w:w w:val="98"/>
              </w:rPr>
              <w:t>1,409</w:t>
            </w:r>
          </w:p>
        </w:tc>
        <w:tc>
          <w:tcPr>
            <w:tcW w:w="880" w:type="dxa"/>
            <w:vAlign w:val="bottom"/>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810</w:t>
            </w:r>
          </w:p>
        </w:tc>
        <w:tc>
          <w:tcPr>
            <w:tcW w:w="880" w:type="dxa"/>
            <w:vAlign w:val="bottom"/>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color w:val="auto"/>
                <w:w w:val="98"/>
              </w:rPr>
              <w:t>1,443</w:t>
            </w:r>
          </w:p>
        </w:tc>
        <w:tc>
          <w:tcPr>
            <w:tcW w:w="8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Total future lease payments</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11,422</w:t>
            </w:r>
          </w:p>
        </w:tc>
        <w:tc>
          <w:tcPr>
            <w:tcW w:w="880" w:type="dxa"/>
            <w:vAlign w:val="bottom"/>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interest expense at incremental borrowing rate</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color w:val="auto"/>
                <w:w w:val="85"/>
              </w:rPr>
              <w:t>(2,196)</w:t>
            </w:r>
          </w:p>
        </w:tc>
        <w:tc>
          <w:tcPr>
            <w:tcW w:w="8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present value of lease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7"/>
                <w:szCs w:val="17"/>
                <w:color w:val="auto"/>
                <w:w w:val="98"/>
              </w:rPr>
              <w:t>9,226</w:t>
            </w:r>
          </w:p>
        </w:tc>
        <w:tc>
          <w:tcPr>
            <w:tcW w:w="8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assumptions and pertinent information related to the Company’s accounting for operating leases are:</w:t>
      </w:r>
    </w:p>
    <w:p>
      <w:pPr>
        <w:spacing w:after="0" w:line="237" w:lineRule="exact"/>
        <w:rPr>
          <w:sz w:val="20"/>
          <w:szCs w:val="20"/>
          <w:color w:val="auto"/>
        </w:rPr>
      </w:pPr>
    </w:p>
    <w:tbl>
      <w:tblPr>
        <w:tblLayout w:type="fixed"/>
        <w:tblInd w:w="900" w:type="dxa"/>
        <w:tblCellMar>
          <w:top w:w="0" w:type="dxa"/>
          <w:left w:w="0" w:type="dxa"/>
          <w:bottom w:w="0" w:type="dxa"/>
          <w:right w:w="0" w:type="dxa"/>
        </w:tblCellMar>
      </w:tblPr>
      <w:tr>
        <w:trPr>
          <w:trHeight w:val="204"/>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remaining lease term:</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years</w:t>
            </w:r>
          </w:p>
        </w:tc>
      </w:tr>
      <w:tr>
        <w:trPr>
          <w:trHeight w:val="191"/>
        </w:trPr>
        <w:tc>
          <w:tcPr>
            <w:tcW w:w="5940" w:type="dxa"/>
            <w:vAlign w:val="bottom"/>
          </w:tcPr>
          <w:p>
            <w:pPr>
              <w:spacing w:after="0" w:line="191" w:lineRule="exact"/>
              <w:rPr>
                <w:sz w:val="20"/>
                <w:szCs w:val="20"/>
                <w:color w:val="auto"/>
              </w:rPr>
            </w:pPr>
            <w:r>
              <w:rPr>
                <w:rFonts w:ascii="Arial" w:cs="Arial" w:eastAsia="Arial" w:hAnsi="Arial"/>
                <w:sz w:val="17"/>
                <w:szCs w:val="17"/>
                <w:color w:val="auto"/>
                <w:w w:val="94"/>
              </w:rPr>
              <w:t>Weighted average discount rate used to determine present value of operating lease</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7"/>
                <w:szCs w:val="17"/>
                <w:color w:val="auto"/>
              </w:rPr>
              <w:t>liability:</w:t>
            </w:r>
          </w:p>
        </w:tc>
        <w:tc>
          <w:tcPr>
            <w:tcW w:w="800" w:type="dxa"/>
            <w:vAlign w:val="bottom"/>
          </w:tcPr>
          <w:p>
            <w:pPr>
              <w:jc w:val="right"/>
              <w:spacing w:after="0"/>
              <w:rPr>
                <w:sz w:val="20"/>
                <w:szCs w:val="20"/>
                <w:color w:val="auto"/>
              </w:rPr>
            </w:pPr>
            <w:r>
              <w:rPr>
                <w:rFonts w:ascii="Arial" w:cs="Arial" w:eastAsia="Arial" w:hAnsi="Arial"/>
                <w:sz w:val="17"/>
                <w:szCs w:val="17"/>
                <w:color w:val="auto"/>
              </w:rPr>
              <w:t>10.26</w:t>
            </w:r>
          </w:p>
        </w:tc>
        <w:tc>
          <w:tcPr>
            <w:tcW w:w="480" w:type="dxa"/>
            <w:vAlign w:val="bottom"/>
          </w:tcPr>
          <w:p>
            <w:pPr>
              <w:jc w:val="right"/>
              <w:ind w:right="235"/>
              <w:spacing w:after="0"/>
              <w:rPr>
                <w:sz w:val="20"/>
                <w:szCs w:val="20"/>
                <w:color w:val="auto"/>
              </w:rPr>
            </w:pPr>
            <w:r>
              <w:rPr>
                <w:rFonts w:ascii="Arial" w:cs="Arial" w:eastAsia="Arial" w:hAnsi="Arial"/>
                <w:sz w:val="17"/>
                <w:szCs w:val="17"/>
                <w:color w:val="auto"/>
                <w:w w:val="92"/>
              </w:rPr>
              <w:t>%</w:t>
            </w:r>
          </w:p>
        </w:tc>
      </w:tr>
    </w:tbl>
    <w:p>
      <w:pPr>
        <w:spacing w:after="0" w:line="192" w:lineRule="exact"/>
        <w:rPr>
          <w:sz w:val="20"/>
          <w:szCs w:val="20"/>
          <w:color w:val="auto"/>
        </w:rPr>
      </w:pPr>
    </w:p>
    <w:p>
      <w:pPr>
        <w:ind w:left="40" w:right="59"/>
        <w:spacing w:after="0" w:line="274" w:lineRule="auto"/>
        <w:rPr>
          <w:sz w:val="20"/>
          <w:szCs w:val="20"/>
          <w:color w:val="auto"/>
        </w:rPr>
      </w:pPr>
      <w:r>
        <w:rPr>
          <w:rFonts w:ascii="Arial" w:cs="Arial" w:eastAsia="Arial" w:hAnsi="Arial"/>
          <w:sz w:val="17"/>
          <w:szCs w:val="17"/>
          <w:color w:val="auto"/>
        </w:rPr>
        <w:t>Cash paid for minimum annual rental obligations was $150 and $600 for the three months ended March 31, 2021 and 2020, respectively.</w:t>
      </w:r>
    </w:p>
    <w:p>
      <w:pPr>
        <w:spacing w:after="0" w:line="165" w:lineRule="exact"/>
        <w:rPr>
          <w:sz w:val="20"/>
          <w:szCs w:val="20"/>
          <w:color w:val="auto"/>
        </w:rPr>
      </w:pPr>
    </w:p>
    <w:p>
      <w:pPr>
        <w:ind w:left="40" w:right="59"/>
        <w:spacing w:after="0" w:line="274" w:lineRule="auto"/>
        <w:rPr>
          <w:sz w:val="20"/>
          <w:szCs w:val="20"/>
          <w:color w:val="auto"/>
        </w:rPr>
      </w:pPr>
      <w:r>
        <w:rPr>
          <w:rFonts w:ascii="Arial" w:cs="Arial" w:eastAsia="Arial" w:hAnsi="Arial"/>
          <w:sz w:val="17"/>
          <w:szCs w:val="17"/>
          <w:color w:val="auto"/>
        </w:rPr>
        <w:t>Variable lease payments calculated monthly as a percentage of product and services revenue were $97 and $415 for the three months ended March 31, 2021 and 2020, respectively.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4" w:name="page15"/>
    <w:bookmarkEnd w:id="1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560" w:type="dxa"/>
            <w:vAlign w:val="bottom"/>
          </w:tcPr>
          <w:p>
            <w:pPr>
              <w:spacing w:after="0"/>
              <w:rPr>
                <w:sz w:val="20"/>
                <w:szCs w:val="20"/>
                <w:color w:val="auto"/>
              </w:rPr>
            </w:pPr>
            <w:r>
              <w:rPr>
                <w:rFonts w:ascii="Arial" w:cs="Arial" w:eastAsia="Arial" w:hAnsi="Arial"/>
                <w:sz w:val="17"/>
                <w:szCs w:val="17"/>
                <w:b w:val="1"/>
                <w:bCs w:val="1"/>
                <w:color w:val="auto"/>
              </w:rPr>
              <w:t>Note 7. Debt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07"/>
        </w:trPr>
        <w:tc>
          <w:tcPr>
            <w:tcW w:w="7300" w:type="dxa"/>
            <w:vAlign w:val="bottom"/>
            <w:gridSpan w:val="4"/>
          </w:tcPr>
          <w:p>
            <w:pPr>
              <w:spacing w:after="0"/>
              <w:rPr>
                <w:sz w:val="20"/>
                <w:szCs w:val="20"/>
                <w:color w:val="auto"/>
              </w:rPr>
            </w:pPr>
            <w:r>
              <w:rPr>
                <w:rFonts w:ascii="Arial" w:cs="Arial" w:eastAsia="Arial" w:hAnsi="Arial"/>
                <w:sz w:val="17"/>
                <w:szCs w:val="17"/>
                <w:color w:val="auto"/>
              </w:rPr>
              <w:t>Total Debt as of March 31, 2021 and December 31, 2020 is comprised of the following:</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1"/>
        </w:trPr>
        <w:tc>
          <w:tcPr>
            <w:tcW w:w="5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7"/>
                <w:szCs w:val="17"/>
                <w:b w:val="1"/>
                <w:bCs w:val="1"/>
                <w:color w:val="auto"/>
              </w:rPr>
              <w:t>March 31, 2021</w:t>
            </w:r>
          </w:p>
        </w:tc>
        <w:tc>
          <w:tcPr>
            <w:tcW w:w="100" w:type="dxa"/>
            <w:vAlign w:val="bottom"/>
          </w:tcPr>
          <w:p>
            <w:pPr>
              <w:spacing w:after="0"/>
              <w:rPr>
                <w:sz w:val="24"/>
                <w:szCs w:val="24"/>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December 31, 2020</w:t>
            </w:r>
          </w:p>
        </w:tc>
      </w:tr>
      <w:tr>
        <w:trPr>
          <w:trHeight w:val="197"/>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Promissory note, unsecured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5,653</w:t>
            </w:r>
          </w:p>
        </w:tc>
      </w:tr>
      <w:tr>
        <w:trPr>
          <w:trHeight w:val="196"/>
        </w:trPr>
        <w:tc>
          <w:tcPr>
            <w:tcW w:w="5560" w:type="dxa"/>
            <w:vAlign w:val="bottom"/>
          </w:tcPr>
          <w:p>
            <w:pPr>
              <w:spacing w:after="0"/>
              <w:rPr>
                <w:sz w:val="20"/>
                <w:szCs w:val="20"/>
                <w:color w:val="auto"/>
              </w:rPr>
            </w:pPr>
            <w:r>
              <w:rPr>
                <w:rFonts w:ascii="Arial" w:cs="Arial" w:eastAsia="Arial" w:hAnsi="Arial"/>
                <w:sz w:val="17"/>
                <w:szCs w:val="17"/>
                <w:color w:val="auto"/>
              </w:rPr>
              <w:t>Total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5,653</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5,653</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Paycheck Protection Program</w:t>
      </w:r>
    </w:p>
    <w:p>
      <w:pPr>
        <w:spacing w:after="0" w:line="212"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5"/>
          <w:szCs w:val="15"/>
          <w:color w:val="auto"/>
        </w:rPr>
        <w:t xml:space="preserve">On May 1, 2020, the Company entered into a U.S. Small Business Administration (“SBA”) Paycheck Protection Program (“PPP”) promissory note in the principal amount of $5,653 payable to Bank of America, NA (the “Bank of America”) evidencing a PPP loan (the “PPP Loan”). The PPP Loan bears interest at a rate of 1% per annum. No payments will be due on the PPP Loan during a six-month deferral period commencing on May 2, 2020. Commencing one month after the expiration of the deferral period and continuing on the same day of each month thereafter until the maturity date of the PPP Loan, the Company will be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the Company’s request to the extent that PPP Loan proceeds are used to pay expenses permitted by the PPP. Bank of America may forgive interest accrued on any principal forgiven if the SBA pays the interest. At this time, there can be no assurance that any part of the PPP Loan will be forgiven. The PPP Loan contains customary borrower default provisions and lender remedies, including the right of Bank of America to require immediate repayment in full the outstanding principal balance of the PPP Loan with accrued interest. As of March 31, 2021, $51 of interest has been accrued and is included in </w:t>
      </w:r>
      <w:r>
        <w:rPr>
          <w:rFonts w:ascii="Arial" w:cs="Arial" w:eastAsia="Arial" w:hAnsi="Arial"/>
          <w:sz w:val="15"/>
          <w:szCs w:val="15"/>
          <w:i w:val="1"/>
          <w:iCs w:val="1"/>
          <w:color w:val="auto"/>
        </w:rPr>
        <w:t xml:space="preserve">Accounts payable, accrued expenses and other </w:t>
      </w:r>
      <w:r>
        <w:rPr>
          <w:rFonts w:ascii="Arial" w:cs="Arial" w:eastAsia="Arial" w:hAnsi="Arial"/>
          <w:sz w:val="15"/>
          <w:szCs w:val="15"/>
          <w:color w:val="auto"/>
        </w:rPr>
        <w:t>in the condensed consolidated balance sheet.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8. Stockholders’ Equity</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Warrants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represents the activity related to the Company’s warrants during the three months ended March 31, 2021.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5"/>
              <w:spacing w:after="0"/>
              <w:rPr>
                <w:sz w:val="20"/>
                <w:szCs w:val="20"/>
                <w:color w:val="auto"/>
              </w:rPr>
            </w:pPr>
            <w:r>
              <w:rPr>
                <w:rFonts w:ascii="Arial" w:cs="Arial" w:eastAsia="Arial" w:hAnsi="Arial"/>
                <w:sz w:val="17"/>
                <w:szCs w:val="17"/>
                <w:b w:val="1"/>
                <w:bCs w:val="1"/>
                <w:color w:val="auto"/>
                <w:w w:val="88"/>
              </w:rPr>
              <w:t>Exercise</w:t>
            </w:r>
          </w:p>
        </w:tc>
      </w:tr>
      <w:tr>
        <w:trPr>
          <w:trHeight w:val="219"/>
        </w:trPr>
        <w:tc>
          <w:tcPr>
            <w:tcW w:w="20" w:type="dxa"/>
            <w:vAlign w:val="bottom"/>
          </w:tcPr>
          <w:p>
            <w:pPr>
              <w:spacing w:after="0"/>
              <w:rPr>
                <w:sz w:val="19"/>
                <w:szCs w:val="19"/>
                <w:color w:val="auto"/>
              </w:rPr>
            </w:pPr>
          </w:p>
        </w:tc>
        <w:tc>
          <w:tcPr>
            <w:tcW w:w="62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No. of Warrants</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7"/>
                <w:szCs w:val="17"/>
                <w:b w:val="1"/>
                <w:bCs w:val="1"/>
                <w:color w:val="auto"/>
                <w:w w:val="89"/>
              </w:rPr>
              <w:t>price range</w:t>
            </w:r>
          </w:p>
        </w:tc>
      </w:tr>
      <w:tr>
        <w:trPr>
          <w:trHeight w:val="197"/>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December 31, 2020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48,044,381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1"/>
              </w:rPr>
              <w:t>0.525 – 300.00</w:t>
            </w:r>
          </w:p>
        </w:tc>
      </w:tr>
      <w:tr>
        <w:trPr>
          <w:trHeight w:val="204"/>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Granted</w:t>
            </w:r>
          </w:p>
        </w:tc>
        <w:tc>
          <w:tcPr>
            <w:tcW w:w="1260" w:type="dxa"/>
            <w:vAlign w:val="bottom"/>
          </w:tcPr>
          <w:p>
            <w:pPr>
              <w:jc w:val="right"/>
              <w:spacing w:after="0"/>
              <w:rPr>
                <w:sz w:val="20"/>
                <w:szCs w:val="20"/>
                <w:color w:val="auto"/>
              </w:rPr>
            </w:pPr>
            <w:r>
              <w:rPr>
                <w:rFonts w:ascii="Arial" w:cs="Arial" w:eastAsia="Arial" w:hAnsi="Arial"/>
                <w:sz w:val="17"/>
                <w:szCs w:val="17"/>
                <w:color w:val="auto"/>
              </w:rPr>
              <w:t>1,168,088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1.70</w:t>
            </w:r>
          </w:p>
        </w:tc>
        <w:tc>
          <w:tcPr>
            <w:tcW w:w="640" w:type="dxa"/>
            <w:vAlign w:val="bottom"/>
          </w:tcPr>
          <w:p>
            <w:pPr>
              <w:ind w:left="20"/>
              <w:spacing w:after="0"/>
              <w:rPr>
                <w:sz w:val="20"/>
                <w:szCs w:val="20"/>
                <w:color w:val="auto"/>
              </w:rPr>
            </w:pPr>
            <w:r>
              <w:rPr>
                <w:rFonts w:ascii="Arial" w:cs="Arial" w:eastAsia="Arial" w:hAnsi="Arial"/>
                <w:sz w:val="17"/>
                <w:szCs w:val="17"/>
                <w:color w:val="auto"/>
              </w:rPr>
              <w:t>- 2.125</w:t>
            </w:r>
          </w:p>
        </w:tc>
      </w:tr>
      <w:tr>
        <w:trPr>
          <w:trHeight w:val="224"/>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Exercised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(11,223,529)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- 2.125</w:t>
            </w:r>
          </w:p>
        </w:tc>
      </w:tr>
      <w:tr>
        <w:trPr>
          <w:trHeight w:val="189"/>
        </w:trPr>
        <w:tc>
          <w:tcPr>
            <w:tcW w:w="20" w:type="dxa"/>
            <w:vAlign w:val="bottom"/>
          </w:tcPr>
          <w:p>
            <w:pPr>
              <w:spacing w:after="0"/>
              <w:rPr>
                <w:sz w:val="16"/>
                <w:szCs w:val="16"/>
                <w:color w:val="auto"/>
              </w:rPr>
            </w:pPr>
          </w:p>
        </w:tc>
        <w:tc>
          <w:tcPr>
            <w:tcW w:w="6280" w:type="dxa"/>
            <w:vAlign w:val="bottom"/>
          </w:tcPr>
          <w:p>
            <w:pPr>
              <w:spacing w:after="0" w:line="189" w:lineRule="exact"/>
              <w:rPr>
                <w:sz w:val="20"/>
                <w:szCs w:val="20"/>
                <w:color w:val="auto"/>
              </w:rPr>
            </w:pPr>
            <w:r>
              <w:rPr>
                <w:rFonts w:ascii="Arial" w:cs="Arial" w:eastAsia="Arial" w:hAnsi="Arial"/>
                <w:sz w:val="17"/>
                <w:szCs w:val="17"/>
                <w:color w:val="auto"/>
              </w:rPr>
              <w:t>March 31, 2021</w:t>
            </w: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37,988,940</w:t>
            </w:r>
          </w:p>
        </w:tc>
        <w:tc>
          <w:tcPr>
            <w:tcW w:w="2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w w:val="93"/>
              </w:rPr>
              <w:t>0.525</w:t>
            </w:r>
          </w:p>
        </w:tc>
        <w:tc>
          <w:tcPr>
            <w:tcW w:w="640" w:type="dxa"/>
            <w:vAlign w:val="bottom"/>
          </w:tcPr>
          <w:p>
            <w:pPr>
              <w:ind w:left="20"/>
              <w:spacing w:after="0" w:line="189" w:lineRule="exact"/>
              <w:rPr>
                <w:sz w:val="20"/>
                <w:szCs w:val="20"/>
                <w:color w:val="auto"/>
              </w:rPr>
            </w:pPr>
            <w:r>
              <w:rPr>
                <w:rFonts w:ascii="Arial" w:cs="Arial" w:eastAsia="Arial" w:hAnsi="Arial"/>
                <w:sz w:val="17"/>
                <w:szCs w:val="17"/>
                <w:color w:val="auto"/>
                <w:w w:val="96"/>
              </w:rPr>
              <w:t>- 300.00</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7"/>
          <w:szCs w:val="17"/>
          <w:color w:val="auto"/>
        </w:rPr>
        <w:t>During the three months ended March 31, 2021, holders of the Company’s December 2020 Investor Warrants, December 2020 Placement Agent Warrants and December 2020 Placement Agent Tail Fee Warrants exercised warrants for a total of 11,223,529 common shares. The Company received gross proceeds of approximately $19,161. In accordance with the placement agent agreements with H.C. Wainwright &amp; Co., LLC and Palladium, the Company paid cash fees of $2,154 and issued 842,588 warrants to H.C. Wainwright &amp; Co., LLC at an exercise price of $2.125 per share and 325,500 warrants to Palladium at an exercise price of $1.70 per share.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Stock-based Compensation</w:t>
      </w:r>
    </w:p>
    <w:p>
      <w:pPr>
        <w:spacing w:after="0" w:line="212"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In September 2020, the Board of Directors approved a new stock-based compensation plan available to grant stock options, restricted stock and RSU’s to the Company’s directors, employees and consultants. Under the 2020 Equity Incentive Plan (the “2020 Plan”), a maximum of 5,000,000 shares of Common Stock may be issued, subject to receiving shareholder</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5" w:name="page16"/>
    <w:bookmarkEnd w:id="1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approval which was subsequently obtained on October 28, 2020. The 2012 Plan was terminated upon receipt of shareholder approval of the 2020 Plan.</w:t>
      </w:r>
    </w:p>
    <w:p>
      <w:pPr>
        <w:spacing w:after="0" w:line="165"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75"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5"/>
          <w:szCs w:val="15"/>
          <w:color w:val="auto"/>
        </w:rPr>
        <w:t>In September 2020, the Company’s XpresTest subsidiary created a stock-based compensation plan available to grant stock options, restricted stock and RSU’s to the subsidiary’s directors, employees and consultants. Under the XpresTest 2020 Equity Incentive Plan (the “XpresTest Plan”), a maximum of 200 shares of XpresTest Common Stock may be awarded, which would represent 20% of the total number of shares of common stock of XpresTest as of March 31, 2021. Certain named executive officers, consultants, and directors of the Company are eligible to participate in the XpresTest Plan. The XpresTest Plan RSAs vest upon satisfaction of certain service and performance-based conditions. The fair value of the XpresTest RSAs is determined based on the weighted average of i) Fair Value of XpresTest under the Indirect Valuation Method developing assumptions for XpresSpa Net Market Cap and XpresSpa standalone Fair Value, and ii) Direct Valuation Method developing assumptions for XpresTest Representative Forecasted Revenue for 2021 and Peer companies Revenue’s Multiples. As of March 31, 2021, there is $98 of unrecognized stock-based compensation related to the XpresTest Plan. During May 2021, the company repurchased seven common shares exercised pursuant to the XpresTest Plan, for the grantees to defray their tax liabilities related to the XpresTest Plan RSAs award.</w:t>
      </w:r>
    </w:p>
    <w:p>
      <w:pPr>
        <w:spacing w:after="0" w:line="160"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780" w:type="dxa"/>
            <w:vAlign w:val="bottom"/>
          </w:tcPr>
          <w:p>
            <w:pPr>
              <w:spacing w:after="0"/>
              <w:rPr>
                <w:sz w:val="20"/>
                <w:szCs w:val="20"/>
                <w:color w:val="auto"/>
              </w:rPr>
            </w:pPr>
            <w:r>
              <w:rPr>
                <w:rFonts w:ascii="Arial" w:cs="Arial" w:eastAsia="Arial" w:hAnsi="Arial"/>
                <w:sz w:val="17"/>
                <w:szCs w:val="17"/>
                <w:color w:val="auto"/>
              </w:rPr>
              <w:t>The following variables were used as inputs in the model:</w:t>
            </w: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7"/>
        </w:trPr>
        <w:tc>
          <w:tcPr>
            <w:tcW w:w="5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4"/>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Share price of the Company’s Common Stock on the grant date:</w:t>
            </w:r>
          </w:p>
        </w:tc>
        <w:tc>
          <w:tcPr>
            <w:tcW w:w="17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1.26 - 5.01</w:t>
            </w:r>
          </w:p>
        </w:tc>
        <w:tc>
          <w:tcPr>
            <w:tcW w:w="420" w:type="dxa"/>
            <w:vAlign w:val="bottom"/>
            <w:shd w:val="clear" w:color="auto" w:fill="CCEEFF"/>
          </w:tcPr>
          <w:p>
            <w:pPr>
              <w:spacing w:after="0"/>
              <w:rPr>
                <w:sz w:val="17"/>
                <w:szCs w:val="17"/>
                <w:color w:val="auto"/>
              </w:rPr>
            </w:pPr>
          </w:p>
        </w:tc>
      </w:tr>
      <w:tr>
        <w:trPr>
          <w:trHeight w:val="204"/>
        </w:trPr>
        <w:tc>
          <w:tcPr>
            <w:tcW w:w="5780" w:type="dxa"/>
            <w:vAlign w:val="bottom"/>
          </w:tcPr>
          <w:p>
            <w:pPr>
              <w:spacing w:after="0"/>
              <w:rPr>
                <w:sz w:val="20"/>
                <w:szCs w:val="20"/>
                <w:color w:val="auto"/>
              </w:rPr>
            </w:pPr>
            <w:r>
              <w:rPr>
                <w:rFonts w:ascii="Arial" w:cs="Arial" w:eastAsia="Arial" w:hAnsi="Arial"/>
                <w:sz w:val="17"/>
                <w:szCs w:val="17"/>
                <w:color w:val="auto"/>
              </w:rPr>
              <w:t>Exercise price:</w:t>
            </w:r>
          </w:p>
        </w:tc>
        <w:tc>
          <w:tcPr>
            <w:tcW w:w="17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1.26 - 5.01</w:t>
            </w:r>
          </w:p>
        </w:tc>
        <w:tc>
          <w:tcPr>
            <w:tcW w:w="420" w:type="dxa"/>
            <w:vAlign w:val="bottom"/>
          </w:tcPr>
          <w:p>
            <w:pPr>
              <w:spacing w:after="0"/>
              <w:rPr>
                <w:sz w:val="17"/>
                <w:szCs w:val="17"/>
                <w:color w:val="auto"/>
              </w:rPr>
            </w:pPr>
          </w:p>
        </w:tc>
      </w:tr>
      <w:tr>
        <w:trPr>
          <w:trHeight w:val="204"/>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7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r>
      <w:tr>
        <w:trPr>
          <w:trHeight w:val="204"/>
        </w:trPr>
        <w:tc>
          <w:tcPr>
            <w:tcW w:w="57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7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w:t>
            </w: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r>
      <w:tr>
        <w:trPr>
          <w:trHeight w:val="204"/>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Annual average risk-free rate:</w:t>
            </w:r>
          </w:p>
        </w:tc>
        <w:tc>
          <w:tcPr>
            <w:tcW w:w="17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r>
      <w:tr>
        <w:trPr>
          <w:trHeight w:val="215"/>
        </w:trPr>
        <w:tc>
          <w:tcPr>
            <w:tcW w:w="5780" w:type="dxa"/>
            <w:vAlign w:val="bottom"/>
          </w:tcPr>
          <w:p>
            <w:pPr>
              <w:spacing w:after="0"/>
              <w:rPr>
                <w:sz w:val="20"/>
                <w:szCs w:val="20"/>
                <w:color w:val="auto"/>
              </w:rPr>
            </w:pPr>
            <w:r>
              <w:rPr>
                <w:rFonts w:ascii="Arial" w:cs="Arial" w:eastAsia="Arial" w:hAnsi="Arial"/>
                <w:sz w:val="17"/>
                <w:szCs w:val="17"/>
                <w:color w:val="auto"/>
              </w:rPr>
              <w:t>Expected term:</w:t>
            </w:r>
          </w:p>
        </w:tc>
        <w:tc>
          <w:tcPr>
            <w:tcW w:w="17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5.38</w:t>
            </w:r>
          </w:p>
        </w:tc>
        <w:tc>
          <w:tcPr>
            <w:tcW w:w="420" w:type="dxa"/>
            <w:vAlign w:val="bottom"/>
          </w:tcPr>
          <w:p>
            <w:pPr>
              <w:ind w:left="20"/>
              <w:spacing w:after="0"/>
              <w:rPr>
                <w:sz w:val="20"/>
                <w:szCs w:val="20"/>
                <w:color w:val="auto"/>
              </w:rPr>
            </w:pPr>
            <w:r>
              <w:rPr>
                <w:rFonts w:ascii="Arial" w:cs="Arial" w:eastAsia="Arial" w:hAnsi="Arial"/>
                <w:sz w:val="17"/>
                <w:szCs w:val="17"/>
                <w:color w:val="auto"/>
                <w:w w:val="91"/>
              </w:rPr>
              <w:t>years</w:t>
            </w:r>
          </w:p>
        </w:tc>
      </w:tr>
    </w:tbl>
    <w:p>
      <w:pPr>
        <w:spacing w:after="0" w:line="384"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following table sets forth the Company’s Equity Incentive activities for the three months ended March 31, 2021:</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920" w:type="dxa"/>
            <w:vAlign w:val="bottom"/>
          </w:tcPr>
          <w:p>
            <w:pPr>
              <w:spacing w:after="0"/>
              <w:rPr>
                <w:sz w:val="19"/>
                <w:szCs w:val="19"/>
                <w:color w:val="auto"/>
              </w:rPr>
            </w:pPr>
          </w:p>
        </w:tc>
        <w:tc>
          <w:tcPr>
            <w:tcW w:w="1860" w:type="dxa"/>
            <w:vAlign w:val="bottom"/>
            <w:gridSpan w:val="5"/>
          </w:tcPr>
          <w:p>
            <w:pPr>
              <w:ind w:left="640"/>
              <w:spacing w:after="0"/>
              <w:rPr>
                <w:sz w:val="20"/>
                <w:szCs w:val="20"/>
                <w:color w:val="auto"/>
              </w:rPr>
            </w:pPr>
            <w:r>
              <w:rPr>
                <w:rFonts w:ascii="Arial" w:cs="Arial" w:eastAsia="Arial" w:hAnsi="Arial"/>
                <w:sz w:val="17"/>
                <w:szCs w:val="17"/>
                <w:b w:val="1"/>
                <w:bCs w:val="1"/>
                <w:color w:val="auto"/>
              </w:rPr>
              <w:t>RSUs</w:t>
            </w:r>
          </w:p>
        </w:tc>
        <w:tc>
          <w:tcPr>
            <w:tcW w:w="1960" w:type="dxa"/>
            <w:vAlign w:val="bottom"/>
            <w:gridSpan w:val="5"/>
          </w:tcPr>
          <w:p>
            <w:pPr>
              <w:jc w:val="center"/>
              <w:ind w:right="160"/>
              <w:spacing w:after="0"/>
              <w:rPr>
                <w:sz w:val="20"/>
                <w:szCs w:val="20"/>
                <w:color w:val="auto"/>
              </w:rPr>
            </w:pPr>
            <w:r>
              <w:rPr>
                <w:rFonts w:ascii="Arial" w:cs="Arial" w:eastAsia="Arial" w:hAnsi="Arial"/>
                <w:sz w:val="17"/>
                <w:szCs w:val="17"/>
                <w:b w:val="1"/>
                <w:bCs w:val="1"/>
                <w:color w:val="auto"/>
                <w:w w:val="87"/>
              </w:rPr>
              <w:t>XpresTest RSAs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gridSpan w:val="4"/>
          </w:tcPr>
          <w:p>
            <w:pPr>
              <w:jc w:val="right"/>
              <w:ind w:right="1015"/>
              <w:spacing w:after="0"/>
              <w:rPr>
                <w:sz w:val="20"/>
                <w:szCs w:val="20"/>
                <w:color w:val="auto"/>
              </w:rPr>
            </w:pPr>
            <w:r>
              <w:rPr>
                <w:rFonts w:ascii="Arial" w:cs="Arial" w:eastAsia="Arial" w:hAnsi="Arial"/>
                <w:sz w:val="17"/>
                <w:szCs w:val="17"/>
                <w:b w:val="1"/>
                <w:bCs w:val="1"/>
                <w:color w:val="auto"/>
                <w:w w:val="92"/>
              </w:rPr>
              <w:t>Stock options</w:t>
            </w:r>
          </w:p>
        </w:tc>
        <w:tc>
          <w:tcPr>
            <w:tcW w:w="0" w:type="dxa"/>
            <w:vAlign w:val="bottom"/>
          </w:tcPr>
          <w:p>
            <w:pPr>
              <w:spacing w:after="0"/>
              <w:rPr>
                <w:sz w:val="1"/>
                <w:szCs w:val="1"/>
                <w:color w:val="auto"/>
              </w:rPr>
            </w:pPr>
          </w:p>
        </w:tc>
      </w:tr>
      <w:tr>
        <w:trPr>
          <w:trHeight w:val="181"/>
        </w:trPr>
        <w:tc>
          <w:tcPr>
            <w:tcW w:w="19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spacing w:after="0" w:line="181" w:lineRule="exact"/>
              <w:rPr>
                <w:sz w:val="20"/>
                <w:szCs w:val="20"/>
                <w:color w:val="auto"/>
              </w:rPr>
            </w:pPr>
            <w:r>
              <w:rPr>
                <w:rFonts w:ascii="Arial" w:cs="Arial" w:eastAsia="Arial" w:hAnsi="Arial"/>
                <w:sz w:val="17"/>
                <w:szCs w:val="17"/>
                <w:b w:val="1"/>
                <w:bCs w:val="1"/>
                <w:color w:val="auto"/>
                <w:w w:val="91"/>
              </w:rPr>
              <w:t>Weighted</w:t>
            </w:r>
          </w:p>
        </w:tc>
        <w:tc>
          <w:tcPr>
            <w:tcW w:w="1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7"/>
                <w:szCs w:val="17"/>
                <w:b w:val="1"/>
                <w:bCs w:val="1"/>
                <w:color w:val="auto"/>
                <w:w w:val="88"/>
              </w:rPr>
              <w:t>Weighted</w:t>
            </w: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3"/>
          </w:tcPr>
          <w:p>
            <w:pPr>
              <w:jc w:val="center"/>
              <w:ind w:right="160"/>
              <w:spacing w:after="0" w:line="181" w:lineRule="exact"/>
              <w:rPr>
                <w:sz w:val="20"/>
                <w:szCs w:val="20"/>
                <w:color w:val="auto"/>
              </w:rPr>
            </w:pPr>
            <w:r>
              <w:rPr>
                <w:rFonts w:ascii="Arial" w:cs="Arial" w:eastAsia="Arial" w:hAnsi="Arial"/>
                <w:sz w:val="17"/>
                <w:szCs w:val="17"/>
                <w:b w:val="1"/>
                <w:bCs w:val="1"/>
                <w:color w:val="auto"/>
                <w:w w:val="88"/>
              </w:rPr>
              <w:t>Weighted</w:t>
            </w: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average</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average</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average</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8"/>
              </w:rPr>
              <w:t>Exercise</w:t>
            </w:r>
          </w:p>
        </w:tc>
        <w:tc>
          <w:tcPr>
            <w:tcW w:w="0" w:type="dxa"/>
            <w:vAlign w:val="bottom"/>
          </w:tcPr>
          <w:p>
            <w:pPr>
              <w:spacing w:after="0"/>
              <w:rPr>
                <w:sz w:val="1"/>
                <w:szCs w:val="1"/>
                <w:color w:val="auto"/>
              </w:rPr>
            </w:pPr>
          </w:p>
        </w:tc>
      </w:tr>
      <w:tr>
        <w:trPr>
          <w:trHeight w:val="204"/>
        </w:trPr>
        <w:tc>
          <w:tcPr>
            <w:tcW w:w="192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No. of</w:t>
            </w:r>
          </w:p>
        </w:tc>
        <w:tc>
          <w:tcPr>
            <w:tcW w:w="9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89"/>
              </w:rPr>
              <w:t>grant date</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No. of</w:t>
            </w:r>
          </w:p>
        </w:tc>
        <w:tc>
          <w:tcPr>
            <w:tcW w:w="10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grant date</w:t>
            </w:r>
          </w:p>
        </w:tc>
        <w:tc>
          <w:tcPr>
            <w:tcW w:w="860" w:type="dxa"/>
            <w:vAlign w:val="bottom"/>
          </w:tcPr>
          <w:p>
            <w:pPr>
              <w:jc w:val="right"/>
              <w:ind w:right="115"/>
              <w:spacing w:after="0"/>
              <w:rPr>
                <w:sz w:val="20"/>
                <w:szCs w:val="20"/>
                <w:color w:val="auto"/>
              </w:rPr>
            </w:pPr>
            <w:r>
              <w:rPr>
                <w:rFonts w:ascii="Arial" w:cs="Arial" w:eastAsia="Arial" w:hAnsi="Arial"/>
                <w:sz w:val="17"/>
                <w:szCs w:val="17"/>
                <w:b w:val="1"/>
                <w:bCs w:val="1"/>
                <w:color w:val="auto"/>
              </w:rPr>
              <w:t>No. of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exercise</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price</w:t>
            </w:r>
          </w:p>
        </w:tc>
        <w:tc>
          <w:tcPr>
            <w:tcW w:w="0" w:type="dxa"/>
            <w:vAlign w:val="bottom"/>
          </w:tcPr>
          <w:p>
            <w:pPr>
              <w:spacing w:after="0"/>
              <w:rPr>
                <w:sz w:val="1"/>
                <w:szCs w:val="1"/>
                <w:color w:val="auto"/>
              </w:rPr>
            </w:pPr>
          </w:p>
        </w:tc>
      </w:tr>
      <w:tr>
        <w:trPr>
          <w:trHeight w:val="220"/>
        </w:trPr>
        <w:tc>
          <w:tcPr>
            <w:tcW w:w="19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RSUs</w:t>
            </w:r>
          </w:p>
        </w:tc>
        <w:tc>
          <w:tcPr>
            <w:tcW w:w="9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3"/>
              </w:rPr>
              <w:t>fair value</w:t>
            </w:r>
          </w:p>
        </w:tc>
        <w:tc>
          <w:tcPr>
            <w:tcW w:w="8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RSAs</w:t>
            </w:r>
          </w:p>
        </w:tc>
        <w:tc>
          <w:tcPr>
            <w:tcW w:w="10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fair value</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auto"/>
              </w:rPr>
              <w:t>options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price</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0"/>
              </w:rPr>
              <w:t>range</w:t>
            </w:r>
          </w:p>
        </w:tc>
        <w:tc>
          <w:tcPr>
            <w:tcW w:w="0" w:type="dxa"/>
            <w:vAlign w:val="bottom"/>
          </w:tcPr>
          <w:p>
            <w:pPr>
              <w:spacing w:after="0"/>
              <w:rPr>
                <w:sz w:val="1"/>
                <w:szCs w:val="1"/>
                <w:color w:val="auto"/>
              </w:rPr>
            </w:pPr>
          </w:p>
        </w:tc>
      </w:tr>
      <w:tr>
        <w:trPr>
          <w:trHeight w:val="172"/>
        </w:trPr>
        <w:tc>
          <w:tcPr>
            <w:tcW w:w="192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7"/>
                <w:szCs w:val="17"/>
                <w:color w:val="auto"/>
              </w:rPr>
              <w:t>Outstanding as of</w:t>
            </w: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2020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11,390.35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1,353,888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$ 1.53 - 2,460.00</w:t>
            </w:r>
          </w:p>
        </w:tc>
        <w:tc>
          <w:tcPr>
            <w:tcW w:w="0" w:type="dxa"/>
            <w:vAlign w:val="bottom"/>
          </w:tcPr>
          <w:p>
            <w:pPr>
              <w:spacing w:after="0"/>
              <w:rPr>
                <w:sz w:val="1"/>
                <w:szCs w:val="1"/>
                <w:color w:val="auto"/>
              </w:rPr>
            </w:pPr>
          </w:p>
        </w:tc>
      </w:tr>
      <w:tr>
        <w:trPr>
          <w:trHeight w:val="204"/>
        </w:trPr>
        <w:tc>
          <w:tcPr>
            <w:tcW w:w="1920" w:type="dxa"/>
            <w:vAlign w:val="bottom"/>
          </w:tcPr>
          <w:p>
            <w:pPr>
              <w:spacing w:after="0"/>
              <w:rPr>
                <w:sz w:val="20"/>
                <w:szCs w:val="20"/>
                <w:color w:val="auto"/>
              </w:rPr>
            </w:pPr>
            <w:r>
              <w:rPr>
                <w:rFonts w:ascii="Arial" w:cs="Arial" w:eastAsia="Arial" w:hAnsi="Arial"/>
                <w:sz w:val="17"/>
                <w:szCs w:val="17"/>
                <w:color w:val="auto"/>
              </w:rPr>
              <w:t>Granted</w:t>
            </w:r>
          </w:p>
        </w:tc>
        <w:tc>
          <w:tcPr>
            <w:tcW w:w="700" w:type="dxa"/>
            <w:vAlign w:val="bottom"/>
          </w:tcPr>
          <w:p>
            <w:pPr>
              <w:jc w:val="right"/>
              <w:spacing w:after="0"/>
              <w:rPr>
                <w:sz w:val="20"/>
                <w:szCs w:val="20"/>
                <w:color w:val="auto"/>
              </w:rPr>
            </w:pPr>
            <w:r>
              <w:rPr>
                <w:rFonts w:ascii="Arial" w:cs="Arial" w:eastAsia="Arial" w:hAnsi="Arial"/>
                <w:sz w:val="17"/>
                <w:szCs w:val="17"/>
                <w:color w:val="auto"/>
              </w:rPr>
              <w:t>140,167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1.19</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5,227.20</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1,668,297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1.56</w:t>
            </w:r>
          </w:p>
        </w:tc>
        <w:tc>
          <w:tcPr>
            <w:tcW w:w="180" w:type="dxa"/>
            <w:vAlign w:val="bottom"/>
          </w:tcPr>
          <w:p>
            <w:pPr>
              <w:spacing w:after="0"/>
              <w:rPr>
                <w:sz w:val="17"/>
                <w:szCs w:val="17"/>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1.19 - 1.61</w:t>
            </w:r>
          </w:p>
        </w:tc>
        <w:tc>
          <w:tcPr>
            <w:tcW w:w="0" w:type="dxa"/>
            <w:vAlign w:val="bottom"/>
          </w:tcPr>
          <w:p>
            <w:pPr>
              <w:spacing w:after="0"/>
              <w:rPr>
                <w:sz w:val="1"/>
                <w:szCs w:val="1"/>
                <w:color w:val="auto"/>
              </w:rPr>
            </w:pPr>
          </w:p>
        </w:tc>
      </w:tr>
      <w:tr>
        <w:trPr>
          <w:trHeight w:val="204"/>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Exercised/Vested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(35,042)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(122.50)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5,324.17</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line="172" w:lineRule="exact"/>
              <w:rPr>
                <w:sz w:val="20"/>
                <w:szCs w:val="20"/>
                <w:color w:val="auto"/>
              </w:rPr>
            </w:pPr>
            <w:r>
              <w:rPr>
                <w:rFonts w:ascii="Arial" w:cs="Arial" w:eastAsia="Arial" w:hAnsi="Arial"/>
                <w:sz w:val="17"/>
                <w:szCs w:val="17"/>
                <w:color w:val="auto"/>
              </w:rPr>
              <w:t>Outstanding as of</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105,125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26.25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3,022,185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March 31, 2021</w:t>
            </w:r>
          </w:p>
        </w:tc>
        <w:tc>
          <w:tcPr>
            <w:tcW w:w="7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1.19</w:t>
            </w:r>
          </w:p>
        </w:tc>
        <w:tc>
          <w:tcPr>
            <w:tcW w:w="1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11,524.78</w:t>
            </w:r>
          </w:p>
        </w:tc>
        <w:tc>
          <w:tcPr>
            <w:tcW w:w="1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2.57</w:t>
            </w:r>
          </w:p>
        </w:tc>
        <w:tc>
          <w:tcPr>
            <w:tcW w:w="18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90"/>
              </w:rPr>
              <w:t>$ 1.19 - 2,460.00</w:t>
            </w: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line="144" w:lineRule="exact"/>
              <w:rPr>
                <w:sz w:val="20"/>
                <w:szCs w:val="20"/>
                <w:color w:val="auto"/>
              </w:rPr>
            </w:pPr>
            <w:r>
              <w:rPr>
                <w:rFonts w:ascii="Arial" w:cs="Arial" w:eastAsia="Arial" w:hAnsi="Arial"/>
                <w:sz w:val="16"/>
                <w:szCs w:val="16"/>
                <w:color w:val="auto"/>
              </w:rPr>
              <w:t>Exercisable as of</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732,116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March 31, 2021</w:t>
            </w: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0"/>
              </w:rPr>
              <w:t>$ 1.19 - 2,460.00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stock-based compensation for the three-month periods ended March 31, 2021 and 2020 is $1,005 and $72,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6" w:name="page17"/>
    <w:bookmarkEnd w:id="1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9. Fair Value Measurements</w:t>
      </w:r>
    </w:p>
    <w:p>
      <w:pPr>
        <w:spacing w:after="0" w:line="216" w:lineRule="exact"/>
        <w:rPr>
          <w:sz w:val="20"/>
          <w:szCs w:val="20"/>
          <w:color w:val="auto"/>
        </w:rPr>
      </w:pPr>
    </w:p>
    <w:p>
      <w:pPr>
        <w:jc w:val="both"/>
        <w:ind w:left="40" w:right="59"/>
        <w:spacing w:after="0" w:line="256" w:lineRule="auto"/>
        <w:rPr>
          <w:sz w:val="20"/>
          <w:szCs w:val="20"/>
          <w:color w:val="auto"/>
        </w:rPr>
      </w:pPr>
      <w:r>
        <w:rPr>
          <w:rFonts w:ascii="Arial" w:cs="Arial" w:eastAsia="Arial" w:hAnsi="Arial"/>
          <w:sz w:val="17"/>
          <w:szCs w:val="17"/>
          <w:color w:val="auto"/>
        </w:rPr>
        <w:t>Fair value measurements are determined based on assumptions that a market participant would use in pricing an asset or a liability. A three-tiered hierarchy distinguishes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0" w:lineRule="exact"/>
        <w:rPr>
          <w:sz w:val="20"/>
          <w:szCs w:val="20"/>
          <w:color w:val="auto"/>
        </w:rPr>
      </w:pPr>
    </w:p>
    <w:p>
      <w:pPr>
        <w:ind w:left="40" w:right="59"/>
        <w:spacing w:after="0" w:line="274" w:lineRule="auto"/>
        <w:rPr>
          <w:sz w:val="20"/>
          <w:szCs w:val="20"/>
          <w:color w:val="auto"/>
        </w:rPr>
      </w:pPr>
      <w:r>
        <w:rPr>
          <w:rFonts w:ascii="Arial" w:cs="Arial" w:eastAsia="Arial" w:hAnsi="Arial"/>
          <w:sz w:val="17"/>
          <w:szCs w:val="17"/>
          <w:color w:val="auto"/>
        </w:rPr>
        <w:t>The following table presents the placement in the fair value hierarchy measured at fair value on a recurring basis as of March 31, 2021 and December 31, 2020:</w:t>
      </w:r>
    </w:p>
    <w:p>
      <w:pPr>
        <w:spacing w:after="0" w:line="174"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7"/>
          </w:tcPr>
          <w:p>
            <w:pPr>
              <w:jc w:val="right"/>
              <w:ind w:right="335"/>
              <w:spacing w:after="0"/>
              <w:rPr>
                <w:sz w:val="20"/>
                <w:szCs w:val="20"/>
                <w:color w:val="auto"/>
              </w:rPr>
            </w:pPr>
            <w:r>
              <w:rPr>
                <w:rFonts w:ascii="Arial" w:cs="Arial" w:eastAsia="Arial" w:hAnsi="Arial"/>
                <w:sz w:val="17"/>
                <w:szCs w:val="17"/>
                <w:b w:val="1"/>
                <w:bCs w:val="1"/>
                <w:color w:val="auto"/>
                <w:w w:val="96"/>
              </w:rPr>
              <w:t>Fair value measurement at reporting date using</w:t>
            </w:r>
          </w:p>
        </w:tc>
      </w:tr>
      <w:tr>
        <w:trPr>
          <w:trHeight w:val="181"/>
        </w:trPr>
        <w:tc>
          <w:tcPr>
            <w:tcW w:w="3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spacing w:after="0" w:line="180" w:lineRule="exact"/>
              <w:rPr>
                <w:sz w:val="20"/>
                <w:szCs w:val="20"/>
                <w:color w:val="auto"/>
              </w:rPr>
            </w:pPr>
            <w:r>
              <w:rPr>
                <w:rFonts w:ascii="Arial" w:cs="Arial" w:eastAsia="Arial" w:hAnsi="Arial"/>
                <w:sz w:val="17"/>
                <w:szCs w:val="17"/>
                <w:b w:val="1"/>
                <w:bCs w:val="1"/>
                <w:color w:val="auto"/>
                <w:w w:val="89"/>
              </w:rPr>
              <w:t>Quoted prices in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4"/>
        </w:trPr>
        <w:tc>
          <w:tcPr>
            <w:tcW w:w="3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15"/>
              <w:spacing w:after="0"/>
              <w:rPr>
                <w:sz w:val="20"/>
                <w:szCs w:val="20"/>
                <w:color w:val="auto"/>
              </w:rPr>
            </w:pPr>
            <w:r>
              <w:rPr>
                <w:rFonts w:ascii="Arial" w:cs="Arial" w:eastAsia="Arial" w:hAnsi="Arial"/>
                <w:sz w:val="17"/>
                <w:szCs w:val="17"/>
                <w:b w:val="1"/>
                <w:bCs w:val="1"/>
                <w:color w:val="auto"/>
                <w:w w:val="89"/>
              </w:rPr>
              <w:t>active markets</w:t>
            </w:r>
          </w:p>
        </w:tc>
        <w:tc>
          <w:tcPr>
            <w:tcW w:w="180" w:type="dxa"/>
            <w:vAlign w:val="bottom"/>
          </w:tcPr>
          <w:p>
            <w:pPr>
              <w:spacing w:after="0"/>
              <w:rPr>
                <w:sz w:val="17"/>
                <w:szCs w:val="17"/>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9"/>
              </w:rPr>
              <w:t>Significant other</w:t>
            </w:r>
          </w:p>
        </w:tc>
        <w:tc>
          <w:tcPr>
            <w:tcW w:w="100" w:type="dxa"/>
            <w:vAlign w:val="bottom"/>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b w:val="1"/>
                <w:bCs w:val="1"/>
                <w:color w:val="auto"/>
              </w:rPr>
              <w:t>Significant</w:t>
            </w:r>
          </w:p>
        </w:tc>
      </w:tr>
      <w:tr>
        <w:trPr>
          <w:trHeight w:val="204"/>
        </w:trPr>
        <w:tc>
          <w:tcPr>
            <w:tcW w:w="3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5"/>
              <w:spacing w:after="0"/>
              <w:rPr>
                <w:sz w:val="20"/>
                <w:szCs w:val="20"/>
                <w:color w:val="auto"/>
              </w:rPr>
            </w:pPr>
            <w:r>
              <w:rPr>
                <w:rFonts w:ascii="Arial" w:cs="Arial" w:eastAsia="Arial" w:hAnsi="Arial"/>
                <w:sz w:val="17"/>
                <w:szCs w:val="17"/>
                <w:b w:val="1"/>
                <w:bCs w:val="1"/>
                <w:color w:val="auto"/>
                <w:w w:val="91"/>
              </w:rPr>
              <w:t>for identical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observable</w:t>
            </w:r>
          </w:p>
        </w:tc>
        <w:tc>
          <w:tcPr>
            <w:tcW w:w="100" w:type="dxa"/>
            <w:vAlign w:val="bottom"/>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b w:val="1"/>
                <w:bCs w:val="1"/>
                <w:color w:val="auto"/>
                <w:w w:val="88"/>
              </w:rPr>
              <w:t>unobservable</w:t>
            </w:r>
          </w:p>
        </w:tc>
      </w:tr>
      <w:tr>
        <w:trPr>
          <w:trHeight w:val="220"/>
        </w:trPr>
        <w:tc>
          <w:tcPr>
            <w:tcW w:w="3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gridSpan w:val="3"/>
          </w:tcPr>
          <w:p>
            <w:pPr>
              <w:ind w:left="20"/>
              <w:spacing w:after="0"/>
              <w:rPr>
                <w:sz w:val="20"/>
                <w:szCs w:val="20"/>
                <w:color w:val="auto"/>
              </w:rPr>
            </w:pPr>
            <w:r>
              <w:rPr>
                <w:rFonts w:ascii="Arial" w:cs="Arial" w:eastAsia="Arial" w:hAnsi="Arial"/>
                <w:sz w:val="17"/>
                <w:szCs w:val="17"/>
                <w:b w:val="1"/>
                <w:bCs w:val="1"/>
                <w:color w:val="auto"/>
              </w:rPr>
              <w:t>Balance</w:t>
            </w:r>
          </w:p>
        </w:tc>
        <w:tc>
          <w:tcPr>
            <w:tcW w:w="120" w:type="dxa"/>
            <w:vAlign w:val="bottom"/>
          </w:tcPr>
          <w:p>
            <w:pPr>
              <w:spacing w:after="0"/>
              <w:rPr>
                <w:sz w:val="19"/>
                <w:szCs w:val="19"/>
                <w:color w:val="auto"/>
              </w:rPr>
            </w:pPr>
          </w:p>
        </w:tc>
        <w:tc>
          <w:tcPr>
            <w:tcW w:w="1240" w:type="dxa"/>
            <w:vAlign w:val="bottom"/>
          </w:tcPr>
          <w:p>
            <w:pPr>
              <w:jc w:val="center"/>
              <w:ind w:right="15"/>
              <w:spacing w:after="0"/>
              <w:rPr>
                <w:sz w:val="20"/>
                <w:szCs w:val="20"/>
                <w:color w:val="auto"/>
              </w:rPr>
            </w:pPr>
            <w:r>
              <w:rPr>
                <w:rFonts w:ascii="Arial" w:cs="Arial" w:eastAsia="Arial" w:hAnsi="Arial"/>
                <w:sz w:val="17"/>
                <w:szCs w:val="17"/>
                <w:b w:val="1"/>
                <w:bCs w:val="1"/>
                <w:color w:val="auto"/>
                <w:w w:val="86"/>
              </w:rPr>
              <w:t>assets (Level 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inputs (Level 2)</w:t>
            </w:r>
          </w:p>
        </w:tc>
        <w:tc>
          <w:tcPr>
            <w:tcW w:w="1240" w:type="dxa"/>
            <w:vAlign w:val="bottom"/>
            <w:gridSpan w:val="2"/>
          </w:tcPr>
          <w:p>
            <w:pPr>
              <w:jc w:val="right"/>
              <w:spacing w:after="0"/>
              <w:rPr>
                <w:sz w:val="20"/>
                <w:szCs w:val="20"/>
                <w:color w:val="auto"/>
              </w:rPr>
            </w:pPr>
            <w:r>
              <w:rPr>
                <w:rFonts w:ascii="Arial" w:cs="Arial" w:eastAsia="Arial" w:hAnsi="Arial"/>
                <w:sz w:val="17"/>
                <w:szCs w:val="17"/>
                <w:b w:val="1"/>
                <w:bCs w:val="1"/>
                <w:color w:val="auto"/>
                <w:w w:val="92"/>
              </w:rPr>
              <w:t>inputs (Level 3)</w:t>
            </w:r>
          </w:p>
        </w:tc>
      </w:tr>
      <w:tr>
        <w:trPr>
          <w:trHeight w:val="197"/>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 of March 31, 2021:</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Recurring fair value measurements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4"/>
        </w:trPr>
        <w:tc>
          <w:tcPr>
            <w:tcW w:w="3220" w:type="dxa"/>
            <w:vAlign w:val="bottom"/>
          </w:tcPr>
          <w:p>
            <w:pPr>
              <w:ind w:left="180"/>
              <w:spacing w:after="0"/>
              <w:rPr>
                <w:sz w:val="20"/>
                <w:szCs w:val="20"/>
                <w:color w:val="auto"/>
              </w:rPr>
            </w:pPr>
            <w:r>
              <w:rPr>
                <w:rFonts w:ascii="Arial" w:cs="Arial" w:eastAsia="Arial" w:hAnsi="Arial"/>
                <w:sz w:val="17"/>
                <w:szCs w:val="17"/>
                <w:color w:val="auto"/>
              </w:rPr>
              <w:t>Route1, Inc.</w:t>
            </w:r>
          </w:p>
        </w:tc>
        <w:tc>
          <w:tcPr>
            <w:tcW w:w="6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1,867</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ind w:left="102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1,867</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equity securities</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1,867</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3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recurring fair value measurements</w:t>
            </w:r>
          </w:p>
        </w:tc>
        <w:tc>
          <w:tcPr>
            <w:tcW w:w="5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1,867</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1,867</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82"/>
        </w:trPr>
        <w:tc>
          <w:tcPr>
            <w:tcW w:w="3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7"/>
                <w:szCs w:val="17"/>
                <w:b w:val="1"/>
                <w:bCs w:val="1"/>
                <w:color w:val="auto"/>
              </w:rPr>
              <w:t>As of December 31, 2020</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Recurring fair value measurements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7"/>
                <w:szCs w:val="17"/>
                <w:color w:val="auto"/>
              </w:rPr>
              <w:t>Equity securities: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4"/>
        </w:trPr>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Route1</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1,768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3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equity securities</w:t>
            </w:r>
          </w:p>
        </w:tc>
        <w:tc>
          <w:tcPr>
            <w:tcW w:w="5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1,768</w:t>
            </w: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recurring fair value measurements</w:t>
            </w: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1,768</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0" w:right="239"/>
        <w:spacing w:after="0" w:line="256" w:lineRule="auto"/>
        <w:rPr>
          <w:sz w:val="20"/>
          <w:szCs w:val="20"/>
          <w:color w:val="auto"/>
        </w:rPr>
      </w:pPr>
      <w:r>
        <w:rPr>
          <w:rFonts w:ascii="Arial" w:cs="Arial" w:eastAsia="Arial" w:hAnsi="Arial"/>
          <w:sz w:val="17"/>
          <w:szCs w:val="17"/>
          <w:color w:val="auto"/>
        </w:rPr>
        <w:t>Equity securities pertain to common shares in Route1, Inc. obtained in the 2018 sale of Group Mobile to Route 1, Inc. On March 22, 2021, the Company executed a cashless exercise of warrants to purchase 3,000,000 common shares of Route 1, Inc.. In exchange, the Company received 1,355,443 common shares of Route 1, Inc., bringing the total number of shares owned to 3,855,443. For the three months ended March 31, 2021, we recorded an unrealized gain of $99 in connection with the remeasurement of the common shares of Route 1, Inc.</w:t>
      </w:r>
    </w:p>
    <w:p>
      <w:pPr>
        <w:spacing w:after="0" w:line="180"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In addition to the above, the Company’s financial instruments as of March 31, 2021 and December 31, 2020 consisted of cash and cash equivalents, receivables, accounts payable and debt. The carrying amounts of all the aforementioned financial instruments approximate fair value because of the short-term maturities of these instruments.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10. Income Taxes</w:t>
      </w:r>
    </w:p>
    <w:p>
      <w:pPr>
        <w:spacing w:after="0" w:line="216"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The Company’s provision for income taxes consists of federal, state, local, and foreign taxes in amounts necessary to align the Company’s year-to-date provision for income taxes with the effective tax rate that the Company expects to achieve for the full year. The income tax provision for the three-month period ended March 31, 2021 reflects a de minimis estimated global annual effective tax rate.</w:t>
      </w:r>
    </w:p>
    <w:p>
      <w:pPr>
        <w:spacing w:after="0" w:line="178"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As of March 31, 2021, deferred tax assets generated from the Company’s activities in the United States were offset by a valuation allowance because realization depends on generating future taxable income, which, in the Company’s estimation, is not more likely than not to be generated before such net operating loss carryforwards expire. Net operating losses generated for tax years beginning after December 31, 2017 do not expire. The Company expects its effective tax rate for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7" w:name="page18"/>
    <w:bookmarkEnd w:id="1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its current fiscal year to be significantly lower than the statutory rate as a result of a full valuation allowance; therefore, any loss before income taxes does not generate a corresponding income tax benefit.</w:t>
      </w:r>
    </w:p>
    <w:p>
      <w:pPr>
        <w:spacing w:after="0" w:line="165"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The Company had de minimis income tax expense for the three-month period ended March 31, 2021. This was attributable primarily to operating results in conjunction with a full valuation allowance. The final annual tax rate cannot be determined until the end of the fiscal year; therefore, the actual tax rate could differ from current estimates. The Company does not expect to record any additional material provisions for unrecognized tax benefits in the next year.</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11. Commitments and Contingencies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Litigation and legal proceedings</w:t>
      </w:r>
    </w:p>
    <w:p>
      <w:pPr>
        <w:spacing w:after="0" w:line="212"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63"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6"/>
          <w:szCs w:val="16"/>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$1,963 and $2,221 as of March 31, 2021 and December 31, 2020, respectively, which is included in </w:t>
      </w:r>
      <w:r>
        <w:rPr>
          <w:rFonts w:ascii="Arial" w:cs="Arial" w:eastAsia="Arial" w:hAnsi="Arial"/>
          <w:sz w:val="16"/>
          <w:szCs w:val="16"/>
          <w:i w:val="1"/>
          <w:iCs w:val="1"/>
          <w:color w:val="auto"/>
        </w:rPr>
        <w:t>Accounts payable,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accrued expenses and other current liabilities </w:t>
      </w:r>
      <w:r>
        <w:rPr>
          <w:rFonts w:ascii="Arial" w:cs="Arial" w:eastAsia="Arial" w:hAnsi="Arial"/>
          <w:sz w:val="16"/>
          <w:szCs w:val="16"/>
          <w:color w:val="auto"/>
        </w:rPr>
        <w:t>in the condensed consolidated balance sheets.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Company expenses legal fees in the period in which they are incurred.</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Cordial</w:t>
      </w:r>
    </w:p>
    <w:p>
      <w:pPr>
        <w:spacing w:after="0" w:line="212"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75"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After the termination of the relationship with Cordial, XpresSpa sought to substitute two new ACDBE partners in place of Cordial.</w:t>
      </w:r>
    </w:p>
    <w:p>
      <w:pPr>
        <w:spacing w:after="0" w:line="235"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on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8" w:name="page19"/>
    <w:bookmarkEnd w:id="1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and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 on the appeal went forward on March 20, 2019.</w:t>
      </w:r>
    </w:p>
    <w:p>
      <w:pPr>
        <w:spacing w:after="0" w:line="171"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6"/>
          <w:szCs w:val="16"/>
          <w:color w:val="auto"/>
        </w:rPr>
        <w:t>On March 30, 2018, Cordial filed a lawsuit against XpresSpa Group, a subsidiary of XpresSpa Group, and several additional parties in the Superior Court of Fulton County, Georgia, alleging the violation of Cordial’s civil rights, tortious interference, breach of fiduciary duty, civil conspiracy, conversion, retaliation, and unjust enrichment. Cordial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4, 2018, the defendants moved the lawsuit to the United States District Court for the Northern District of Georgia.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operating expenses. XpresSpa filed an opposition and, in a decision entered December 26, 2018, the Court denied Cordial’s TRO Motion entirely. Defendants filed a Motion to Dismiss the Complaint in its entirety on November 20, 2018.</w:t>
      </w:r>
    </w:p>
    <w:p>
      <w:pPr>
        <w:spacing w:after="0" w:line="180"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A Director’s Determination was issued by the FAA in connection with the Part 16 Complaint (“Part 16 Proceeding”) filed by Cordial against the City of Atlanta (“City”) in 2017 (“Director’s Determination”). The Company and Cordial were not parties to the FAA action, and had no opportunity to present evidence or otherwise be heard in such action. The Director’s Determination concluded that the City was not in compliance with certain Federal obligations concerning the federal government’s ACDBE program, including relating to the City’s oversight of the Joint Venture Operating Agreement between the Company and Cordial, Cordial’s termination, and Cordial’s retaliation and harassment claims, and the City was ordered to achieve compliance in accordance with the Director’s Determination. The Director’s Determination does not constitute a Final Agency Decision and it is not subject to judicial review, pursuant to 14 CFR § 16.247(b)(2). Because the Company is not a party to the Part 16 Proceeding, the Company would not be considered “a party adversely affected by the Director’s Determination” with a right of appeal to the FAA Assistant Administrator for Civil Rights.</w:t>
      </w:r>
    </w:p>
    <w:p>
      <w:pPr>
        <w:spacing w:after="0" w:line="171" w:lineRule="exact"/>
        <w:rPr>
          <w:sz w:val="20"/>
          <w:szCs w:val="20"/>
          <w:color w:val="auto"/>
        </w:rPr>
      </w:pPr>
    </w:p>
    <w:p>
      <w:pPr>
        <w:jc w:val="both"/>
        <w:ind w:left="40" w:right="59"/>
        <w:spacing w:after="0" w:line="256" w:lineRule="auto"/>
        <w:rPr>
          <w:sz w:val="20"/>
          <w:szCs w:val="20"/>
          <w:color w:val="auto"/>
        </w:rPr>
      </w:pPr>
      <w:r>
        <w:rPr>
          <w:rFonts w:ascii="Arial" w:cs="Arial" w:eastAsia="Arial" w:hAnsi="Arial"/>
          <w:sz w:val="17"/>
          <w:szCs w:val="17"/>
          <w:color w:val="auto"/>
        </w:rPr>
        <w:t>On August 7, 2019, the Company filed a response, advising the U.S. District Court that: (i) the Company is not party to the FAA proceeding and therefore had no opportunity to present evidence or otherwise be heard in such action; (ii) as non-party, the Company is not bound by the Director’s Determination; and (iii) the FAA cannot dictate the interpretation or enforceability of the contract between Cordial and the Company, which is the subject of the U.S. District Court action initiated by Cordial and the New York State Court action initiated by the Company.</w:t>
      </w:r>
    </w:p>
    <w:p>
      <w:pPr>
        <w:spacing w:after="0" w:line="180" w:lineRule="exact"/>
        <w:rPr>
          <w:sz w:val="20"/>
          <w:szCs w:val="20"/>
          <w:color w:val="auto"/>
        </w:rPr>
      </w:pPr>
    </w:p>
    <w:p>
      <w:pPr>
        <w:jc w:val="both"/>
        <w:ind w:left="40" w:right="59"/>
        <w:spacing w:after="0" w:line="256" w:lineRule="auto"/>
        <w:rPr>
          <w:sz w:val="20"/>
          <w:szCs w:val="20"/>
          <w:color w:val="auto"/>
        </w:rPr>
      </w:pPr>
      <w:r>
        <w:rPr>
          <w:rFonts w:ascii="Arial" w:cs="Arial" w:eastAsia="Arial" w:hAnsi="Arial"/>
          <w:sz w:val="17"/>
          <w:szCs w:val="17"/>
          <w:color w:val="auto"/>
        </w:rPr>
        <w:t>On August 16, 2019, the Court entered an Order granting, in part, the Company’s Motion to Dismiss. The Court dismissed all federal claims alleged in the Complaint against all Defendants, declined to exercise supplemental jurisdiction pursuant to 28 U.S.C. § 1367(c) over the remaining state law claims alleged in the Complaint, and remanded the case to the Superior Court of Fulton County. Plaintiffs filed an appeal of the federal court’s decision to the Eleventh Circuit Court of Appeals, and the case was docketed on October 15, 2019.</w:t>
      </w:r>
    </w:p>
    <w:p>
      <w:pPr>
        <w:spacing w:after="0" w:line="175"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5"/>
          <w:szCs w:val="15"/>
          <w:color w:val="0A0A0A"/>
        </w:rPr>
        <w:t xml:space="preserve">In response to the numerous complaints it received from Cordial, the City of Atlanta required the parties to engage in mediation. On November 22, 2019, a Mutual Release and Settlement Agreement (the </w:t>
      </w:r>
      <w:r>
        <w:rPr>
          <w:rFonts w:ascii="Arial" w:cs="Arial" w:eastAsia="Arial" w:hAnsi="Arial"/>
          <w:sz w:val="15"/>
          <w:szCs w:val="15"/>
          <w:color w:val="1B1B1B"/>
        </w:rPr>
        <w:t>"Settlement</w:t>
      </w:r>
      <w:r>
        <w:rPr>
          <w:rFonts w:ascii="Arial" w:cs="Arial" w:eastAsia="Arial" w:hAnsi="Arial"/>
          <w:sz w:val="15"/>
          <w:szCs w:val="15"/>
          <w:color w:val="0A0A0A"/>
        </w:rPr>
        <w:t xml:space="preserve"> Agreement") and a Confidential Payment Agreement (the </w:t>
      </w:r>
      <w:r>
        <w:rPr>
          <w:rFonts w:ascii="Arial" w:cs="Arial" w:eastAsia="Arial" w:hAnsi="Arial"/>
          <w:sz w:val="15"/>
          <w:szCs w:val="15"/>
          <w:color w:val="1B1B1B"/>
        </w:rPr>
        <w:t>"Payment</w:t>
      </w:r>
      <w:r>
        <w:rPr>
          <w:rFonts w:ascii="Arial" w:cs="Arial" w:eastAsia="Arial" w:hAnsi="Arial"/>
          <w:sz w:val="15"/>
          <w:szCs w:val="15"/>
          <w:color w:val="0A0A0A"/>
        </w:rPr>
        <w:t xml:space="preserve"> Agreement") have been executed by the applicable parties. Pursuant to the terms of the settlement, all pending litigation was dismissed. Also, pursuant to the Settlement Agreement terms, the City agreed to approve new five-year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9" w:name="page20"/>
    <w:bookmarkEnd w:id="1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5"/>
          <w:szCs w:val="15"/>
          <w:color w:val="0A0A0A"/>
        </w:rPr>
        <w:t>leases for the Company and Cordial to operate as joint venture partners for spas located on Concourse A and Concourse C of the Hartsfield-Jackson Atlanta International Airport ("together, "Leases"). The City has approved the new Leases</w:t>
      </w:r>
      <w:r>
        <w:rPr>
          <w:rFonts w:ascii="Arial" w:cs="Arial" w:eastAsia="Arial" w:hAnsi="Arial"/>
          <w:sz w:val="15"/>
          <w:szCs w:val="15"/>
          <w:color w:val="2F2F2F"/>
        </w:rPr>
        <w:t>,</w:t>
      </w:r>
      <w:r>
        <w:rPr>
          <w:rFonts w:ascii="Arial" w:cs="Arial" w:eastAsia="Arial" w:hAnsi="Arial"/>
          <w:sz w:val="15"/>
          <w:szCs w:val="15"/>
          <w:color w:val="0A0A0A"/>
        </w:rPr>
        <w:t xml:space="preserve"> and the Leases have been executed by the Company and the City. The parties are in the process of negotiating and completing an operating agreement. Such negotiations have been deferred during the XpresSpa spa location shutdowns due to the pandemic</w:t>
      </w:r>
      <w:r>
        <w:rPr>
          <w:rFonts w:ascii="Arial" w:cs="Arial" w:eastAsia="Arial" w:hAnsi="Arial"/>
          <w:sz w:val="15"/>
          <w:szCs w:val="15"/>
          <w:color w:val="2F2F2F"/>
        </w:rPr>
        <w:t>.</w:t>
      </w:r>
      <w:r>
        <w:rPr>
          <w:rFonts w:ascii="Arial" w:cs="Arial" w:eastAsia="Arial" w:hAnsi="Arial"/>
          <w:sz w:val="15"/>
          <w:szCs w:val="15"/>
          <w:color w:val="0A0A0A"/>
        </w:rPr>
        <w:t xml:space="preserve"> Pursuant to the Payment Agreement, the Company has recorded an </w:t>
      </w:r>
      <w:r>
        <w:rPr>
          <w:rFonts w:ascii="Arial" w:cs="Arial" w:eastAsia="Arial" w:hAnsi="Arial"/>
          <w:sz w:val="15"/>
          <w:szCs w:val="15"/>
          <w:color w:val="1B1B1B"/>
        </w:rPr>
        <w:t>expense,</w:t>
      </w:r>
      <w:r>
        <w:rPr>
          <w:rFonts w:ascii="Arial" w:cs="Arial" w:eastAsia="Arial" w:hAnsi="Arial"/>
          <w:sz w:val="15"/>
          <w:szCs w:val="15"/>
          <w:color w:val="0A0A0A"/>
        </w:rPr>
        <w:t xml:space="preserve"> made payments and accrued the balance of the amounts due thereunder, and has included that balance in </w:t>
      </w:r>
      <w:r>
        <w:rPr>
          <w:rFonts w:ascii="Arial" w:cs="Arial" w:eastAsia="Arial" w:hAnsi="Arial"/>
          <w:sz w:val="15"/>
          <w:szCs w:val="15"/>
          <w:i w:val="1"/>
          <w:iCs w:val="1"/>
          <w:color w:val="0A0A0A"/>
        </w:rPr>
        <w:t>Accounts payable, accrued expenses and other current liabilities.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 re Chen et al.</w:t>
      </w:r>
    </w:p>
    <w:p>
      <w:pPr>
        <w:spacing w:after="0" w:line="212"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5"/>
          <w:szCs w:val="15"/>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5"/>
          <w:szCs w:val="15"/>
          <w:i w:val="1"/>
          <w:iCs w:val="1"/>
          <w:color w:val="auto"/>
        </w:rPr>
        <w:t>In re Chen et al.</w:t>
      </w:r>
      <w:r>
        <w:rPr>
          <w:rFonts w:ascii="Arial" w:cs="Arial" w:eastAsia="Arial" w:hAnsi="Arial"/>
          <w:sz w:val="15"/>
          <w:szCs w:val="15"/>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 &amp; 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w:t>
      </w:r>
    </w:p>
    <w:p>
      <w:pPr>
        <w:spacing w:after="0" w:line="16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6"/>
          <w:szCs w:val="16"/>
          <w:color w:val="auto"/>
        </w:rPr>
        <w:t>On August 21, 2019, the Court issued an Order denying the parties’ motion for preliminary approval of the revised settlement, as the Court still had concerns about several of the settlement terms. At the December 6, 2019 status conference with the Court, the Court reiterated its denial of preliminary approval of the proposed settlement agreement. The Court instructed a notice of pendency to be disseminated to putative collective members. Notice was sent out in early February 2020 and approximately 415 individuals have joined the case. On June 6, 2020, the Company participated in a status conference with the Court, and the parties discussed the possibility of entering into a new settlement agreement that addresses the Court’s concerns. On or about August 5, 2020, the parties entered into settlement agreements and sought a preliminary approval order from the Court. On March 30, 2021, the Court issued an Order conditionally granting the motion for preliminary approval subject to resolution of certain issues pertaining to administration of the settlement. On April 6, 2021, Plaintiffs’ counsel wrote to the Court regarding their proposed resolution on such issues. Once the Court acts on this application the Company anticipates that notice of the settlement will be sent to the class members within approximately 30 days.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Kainz v. FORM Holdings Corp. et al.</w:t>
      </w:r>
    </w:p>
    <w:p>
      <w:pPr>
        <w:spacing w:after="0" w:line="212"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6"/>
          <w:szCs w:val="16"/>
          <w:color w:val="auto"/>
        </w:rPr>
        <w:t xml:space="preserve">On March 20, 2019, a second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with FORM in December 2016, alleges that the defendants violated Sections 10(b) and 20(a) of the Securities Exchange Act of 1934 by making false statements concerning,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merger and the independence of FORM’s board of directors, violated Section 12(2) of the Securities Act of 1933, breached the merger agreement by making false and misleading statements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20" w:name="page21"/>
    <w:bookmarkEnd w:id="2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concerning the merger and fraudulently induced the plaintiff into signing the joinder agreement related to the merger. On May 8, 2019, the Company and its directors and the managing director of Mistral filed a motion to dismiss the complaint. On June 5, 2019, plaintiffs opposed the motion and filed a cross-motion for a partial stay. Defendants’ motion to dismiss was fully briefed as of June 19, 2019.</w:t>
      </w:r>
    </w:p>
    <w:p>
      <w:pPr>
        <w:spacing w:after="0" w:line="178"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On November 13, 2019, the matter was dismissed in its entirety. On December 12, 2019, plaintiff filed a motion for reconsideration to vacate the order and judgment, dismissing the action, and for leave to amend the complaint. The motion was fully briefed as of February 6, 2020. On April 1, 2020, the Court denied plaintiff’s motion in full. On April 10, 2020, plaintiff filed a notice of appeal to the United States Court of Appeals for the Second Circuit. On June 1, 2020 plaintiff filed his appellate brief. On June 16, 2020, the Second Circuit entered the parties’ non-dispositive stipulation, dismissing certain defendant-appellees, including the Company. On July 6, 2020, the remaining defendants filed their opposition brief. On July 27, 2020, the plaintiff filed their reply brief. On July 28, 2020, the Second Circuit marked plaintiff’s reply brief as defective because it was filed a week late. Subsequently, plaintiff has moved to request permission to file a late reply brief. On January 11, 2021, the judgment of the Court was affirmed by the Second Circuit court.</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Route1</w:t>
      </w:r>
    </w:p>
    <w:p>
      <w:pPr>
        <w:spacing w:after="0" w:line="212"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On or about May 23, 2018, Route1 Inc., Route1 Security Corporation (together, “Route1”) and Group Mobile Int’l, LLC (“Group Mobile”) commenced a legal proceeding against the Company in the Ontario Superior Court of Justice.</w:t>
      </w:r>
    </w:p>
    <w:p>
      <w:pPr>
        <w:spacing w:after="0" w:line="165"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6"/>
          <w:szCs w:val="16"/>
          <w:color w:val="auto"/>
        </w:rPr>
        <w:t>Route1 and Group Mobile sought damages of $567,000 in relation to alleged breaches of a Membership Purchase Agreement entered into between Route1 and the Company on or about March 7, 2018, pursuant to which Route1 acquired the Company’s 100% membership interest in Group Mobile. The Company counterclaimed against the Plaintiffs for amounts owed to the Company in relation to the sale of Excluded Inventory (as defined in the Membership Purchase Agreement) and sought damages thereon. The Company delivered a draft amended counterclaim to the Plaintiffs on or around November 2019 seeking, among other things, damages. The Company sought Plaintiffs’ consent to amend its counterclaim. Examinations for discovery were scheduled to take place in Toronto, Canada in June 2020.</w:t>
      </w:r>
    </w:p>
    <w:p>
      <w:pPr>
        <w:spacing w:after="0" w:line="170"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6"/>
          <w:szCs w:val="16"/>
          <w:color w:val="auto"/>
        </w:rPr>
        <w:t>The action settled at mediation on or about September 17, 2020. The parties agreed to dismiss the claim and the counterclaim, subject to XpresSpa’s right to commence an application to seek rectification of certain shares and warrants that were issued in connection with the Membership Purchase Agreement. On September 21, 2020, the Ontario Superior Court of Justice entered an Order dismissing, without costs, the action and counterclaim. XpresSpa was granted the Order seeking the rectification of the shares and warrant and that matter was completed in March 2021.</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Rodger Jenkins and Gregory Jones v. XpresSpa Group, Inc.</w:t>
      </w:r>
    </w:p>
    <w:p>
      <w:pPr>
        <w:spacing w:after="0" w:line="212" w:lineRule="exact"/>
        <w:rPr>
          <w:sz w:val="20"/>
          <w:szCs w:val="20"/>
          <w:color w:val="auto"/>
        </w:rPr>
      </w:pPr>
    </w:p>
    <w:p>
      <w:pPr>
        <w:jc w:val="both"/>
        <w:ind w:left="40" w:right="59"/>
        <w:spacing w:after="0" w:line="298" w:lineRule="auto"/>
        <w:rPr>
          <w:sz w:val="20"/>
          <w:szCs w:val="20"/>
          <w:color w:val="auto"/>
        </w:rPr>
      </w:pPr>
      <w:r>
        <w:rPr>
          <w:rFonts w:ascii="Arial" w:cs="Arial" w:eastAsia="Arial" w:hAnsi="Arial"/>
          <w:sz w:val="15"/>
          <w:szCs w:val="15"/>
          <w:color w:val="auto"/>
        </w:rPr>
        <w:t>In March 2019, Rodger Jenkins and Gregory Jones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 When this action was first commenced, the plaintiffs had demanded cash or stock in the sum of $750. On or about January 3, 2020, the court granted the plaintiffs’ motion to amend their pleading to increase their total demand to $1,500.</w:t>
      </w:r>
    </w:p>
    <w:p>
      <w:pPr>
        <w:spacing w:after="0" w:line="152"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6"/>
          <w:szCs w:val="16"/>
          <w:color w:val="auto"/>
        </w:rPr>
        <w:t>On December 11, 2020, the court issued its decision and order on the parties’ respective motions for summary judgment in which the court: (a) awarded plaintiffs damages in the sum of $750, plus prejudgment interest; (b) granted that portion of the Company’s motion dismissing Jenkins’s claim for $600 based on his having executed a written waiver of his right to receive that sum; and (c) denied both sides’ motions with respect to Jones’s claim to recover $150 and directed Jones’s claim to be tried. The court has stated that the trial on the remaining portion of Jones’s claim will occur in May 2021. We remain confident in the Company’s defenses to the remaining portion of Jones’s claim. We further believe that the Company has meritorious arguments with respect to the claims already decided against the Company, and, accordingly, the Company plans to appeal all unfavorable rulings following the trial of Jones’s remaining claim.</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21" w:name="page22"/>
    <w:bookmarkEnd w:id="2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Kyle Collins v. Spa Products Import &amp; Distribution Co., LLC et al</w:t>
      </w:r>
    </w:p>
    <w:p>
      <w:pPr>
        <w:spacing w:after="0" w:line="212"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7"/>
          <w:szCs w:val="17"/>
          <w:color w:val="auto"/>
        </w:rPr>
        <w:t>This is a combined class action and California Private Attorney’s General Act (“PAGA”) action. Plaintiff seeks to recover wages, penalties and PAGA penalties for claims for (1) failure to provide meal periods, (2) failure to provide rest breaks, (3) failure to pay overtime, (4) inaccurate wage statements, (5) waiting time penalties, and (6) PAGA penalties of $100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parties reached a settlement in principle. The parties are currently in the process of preparing/finalizing settlement papers.</w:t>
      </w:r>
    </w:p>
    <w:p>
      <w:pPr>
        <w:spacing w:after="0" w:line="182"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7"/>
          <w:szCs w:val="17"/>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0"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In the event that an action is brought against the Company or one of its subsidiaries, the Company will investigate the allegation and vigorously defend itself.</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Leases</w:t>
      </w:r>
    </w:p>
    <w:p>
      <w:pPr>
        <w:spacing w:after="0" w:line="212"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22" w:name="page23"/>
    <w:bookmarkEnd w:id="2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12. Segment Information</w:t>
      </w:r>
    </w:p>
    <w:p>
      <w:pPr>
        <w:spacing w:after="0" w:line="216" w:lineRule="exact"/>
        <w:rPr>
          <w:sz w:val="20"/>
          <w:szCs w:val="20"/>
          <w:color w:val="auto"/>
        </w:rPr>
      </w:pPr>
    </w:p>
    <w:p>
      <w:pPr>
        <w:ind w:left="40" w:right="199"/>
        <w:spacing w:after="0" w:line="254" w:lineRule="auto"/>
        <w:rPr>
          <w:sz w:val="20"/>
          <w:szCs w:val="20"/>
          <w:color w:val="auto"/>
        </w:rPr>
      </w:pPr>
      <w:r>
        <w:rPr>
          <w:rFonts w:ascii="Arial" w:cs="Arial" w:eastAsia="Arial" w:hAnsi="Arial"/>
          <w:sz w:val="17"/>
          <w:szCs w:val="17"/>
          <w:color w:val="auto"/>
        </w:rPr>
        <w:t>We analyze the results of our business through our two reportable segments: XpresSpa and XpresTest. The XpresSpa segment provides travelers premium spa services, including massage, nail and skin care, as well as spa and travel products. The XpresTest segment provides diagnostic COVID-19 tests at XpresCheck™ Wellness Centers in airports, to airport employees and to the traveling public. The chief operating decision maker evaluates the operating results and performance of our segments through operating income. Expenses that can be specifically identified with a segment have been included as deductions in determining operating income. Any remaining expenses and other charges are included in Corporate and Other.</w:t>
      </w:r>
    </w:p>
    <w:p>
      <w:pPr>
        <w:spacing w:after="0" w:line="182"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For the three months ended March 31, 2021, Customers A, B, C, D and E comprised approximately 15%, 30%, 12%, 21% and 15%, respectively, of the Company’s net sales. As of March 31, 2021, Customers A, B, C, and D comprised approximately 20%, 44%, 14%, and 13%, respectively of the Company’s accounts receivable.</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ind w:left="20"/>
              <w:spacing w:after="0"/>
              <w:rPr>
                <w:sz w:val="20"/>
                <w:szCs w:val="20"/>
                <w:color w:val="auto"/>
              </w:rPr>
            </w:pPr>
            <w:r>
              <w:rPr>
                <w:rFonts w:ascii="Arial" w:cs="Arial" w:eastAsia="Arial" w:hAnsi="Arial"/>
                <w:sz w:val="17"/>
                <w:szCs w:val="17"/>
                <w:b w:val="1"/>
                <w:bCs w:val="1"/>
                <w:color w:val="auto"/>
                <w:w w:val="95"/>
              </w:rPr>
              <w:t>For the three months ended</w:t>
            </w:r>
          </w:p>
        </w:tc>
        <w:tc>
          <w:tcPr>
            <w:tcW w:w="0" w:type="dxa"/>
            <w:vAlign w:val="bottom"/>
          </w:tcPr>
          <w:p>
            <w:pPr>
              <w:spacing w:after="0"/>
              <w:rPr>
                <w:sz w:val="1"/>
                <w:szCs w:val="1"/>
                <w:color w:val="auto"/>
              </w:rPr>
            </w:pPr>
          </w:p>
        </w:tc>
      </w:tr>
      <w:tr>
        <w:trPr>
          <w:trHeight w:val="220"/>
        </w:trPr>
        <w:tc>
          <w:tcPr>
            <w:tcW w:w="6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tcPr>
          <w:p>
            <w:pPr>
              <w:ind w:left="100"/>
              <w:spacing w:after="0"/>
              <w:rPr>
                <w:sz w:val="20"/>
                <w:szCs w:val="20"/>
                <w:color w:val="auto"/>
              </w:rPr>
            </w:pPr>
            <w:r>
              <w:rPr>
                <w:rFonts w:ascii="Arial" w:cs="Arial" w:eastAsia="Arial" w:hAnsi="Arial"/>
                <w:sz w:val="17"/>
                <w:szCs w:val="17"/>
                <w:color w:val="auto"/>
              </w:rPr>
              <w:t>XpresSpa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333</w:t>
            </w:r>
          </w:p>
        </w:tc>
        <w:tc>
          <w:tcPr>
            <w:tcW w:w="200" w:type="dxa"/>
            <w:vAlign w:val="bottom"/>
          </w:tcPr>
          <w:p>
            <w:pPr>
              <w:spacing w:after="0"/>
              <w:rPr>
                <w:sz w:val="17"/>
                <w:szCs w:val="17"/>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7,588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XpresTest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Corporate and other</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8,512</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b w:val="1"/>
                <w:bCs w:val="1"/>
                <w:color w:val="auto"/>
              </w:rPr>
              <w:t>Operating (loss) income</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XpresSpa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(1,567)</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tcPr>
          <w:p>
            <w:pPr>
              <w:ind w:left="100"/>
              <w:spacing w:after="0"/>
              <w:rPr>
                <w:sz w:val="20"/>
                <w:szCs w:val="20"/>
                <w:color w:val="auto"/>
              </w:rPr>
            </w:pPr>
            <w:r>
              <w:rPr>
                <w:rFonts w:ascii="Arial" w:cs="Arial" w:eastAsia="Arial" w:hAnsi="Arial"/>
                <w:sz w:val="17"/>
                <w:szCs w:val="17"/>
                <w:color w:val="auto"/>
              </w:rPr>
              <w:t>XpresTest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2,177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Corporate and other</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(1,531)</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 operating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(921)</w:t>
            </w:r>
          </w:p>
        </w:tc>
        <w:tc>
          <w:tcPr>
            <w:tcW w:w="2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29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7"/>
                <w:szCs w:val="17"/>
                <w:b w:val="1"/>
                <w:bCs w:val="1"/>
                <w:color w:val="auto"/>
              </w:rPr>
              <w:t>March 31,</w:t>
            </w:r>
          </w:p>
        </w:tc>
        <w:tc>
          <w:tcPr>
            <w:tcW w:w="12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auto"/>
                <w:w w:val="94"/>
              </w:rPr>
              <w:t>March 31,</w:t>
            </w:r>
          </w:p>
        </w:tc>
        <w:tc>
          <w:tcPr>
            <w:tcW w:w="0" w:type="dxa"/>
            <w:vAlign w:val="bottom"/>
          </w:tcPr>
          <w:p>
            <w:pPr>
              <w:spacing w:after="0"/>
              <w:rPr>
                <w:sz w:val="1"/>
                <w:szCs w:val="1"/>
                <w:color w:val="auto"/>
              </w:rPr>
            </w:pPr>
          </w:p>
        </w:tc>
      </w:tr>
      <w:tr>
        <w:trPr>
          <w:trHeight w:val="204"/>
        </w:trPr>
        <w:tc>
          <w:tcPr>
            <w:tcW w:w="292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b w:val="1"/>
                <w:bCs w:val="1"/>
                <w:color w:val="auto"/>
              </w:rPr>
              <w:t>2021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XpresSpa</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25,112</w:t>
            </w:r>
          </w:p>
        </w:tc>
        <w:tc>
          <w:tcPr>
            <w:tcW w:w="0" w:type="dxa"/>
            <w:vAlign w:val="bottom"/>
          </w:tcPr>
          <w:p>
            <w:pPr>
              <w:spacing w:after="0"/>
              <w:rPr>
                <w:sz w:val="1"/>
                <w:szCs w:val="1"/>
                <w:color w:val="auto"/>
              </w:rPr>
            </w:pPr>
          </w:p>
        </w:tc>
      </w:tr>
      <w:tr>
        <w:trPr>
          <w:trHeight w:val="204"/>
        </w:trPr>
        <w:tc>
          <w:tcPr>
            <w:tcW w:w="2920" w:type="dxa"/>
            <w:vAlign w:val="bottom"/>
          </w:tcPr>
          <w:p>
            <w:pPr>
              <w:ind w:left="100"/>
              <w:spacing w:after="0"/>
              <w:rPr>
                <w:sz w:val="20"/>
                <w:szCs w:val="20"/>
                <w:color w:val="auto"/>
              </w:rPr>
            </w:pPr>
            <w:r>
              <w:rPr>
                <w:rFonts w:ascii="Arial" w:cs="Arial" w:eastAsia="Arial" w:hAnsi="Arial"/>
                <w:sz w:val="17"/>
                <w:szCs w:val="17"/>
                <w:color w:val="auto"/>
              </w:rPr>
              <w:t>XpresTest</w:t>
            </w:r>
          </w:p>
        </w:tc>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7,083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Corporate and other</w:t>
            </w:r>
          </w:p>
        </w:tc>
        <w:tc>
          <w:tcPr>
            <w:tcW w:w="3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103,690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4,078</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3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119,820</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29,190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720" w:type="dxa"/>
            <w:vAlign w:val="bottom"/>
            <w:vMerge w:val="restart"/>
          </w:tcPr>
          <w:p>
            <w:pPr>
              <w:jc w:val="right"/>
              <w:ind w:right="2015"/>
              <w:spacing w:after="0"/>
              <w:rPr>
                <w:sz w:val="20"/>
                <w:szCs w:val="20"/>
                <w:color w:val="auto"/>
              </w:rPr>
            </w:pPr>
            <w:r>
              <w:rPr>
                <w:rFonts w:ascii="Arial" w:cs="Arial" w:eastAsia="Arial" w:hAnsi="Arial"/>
                <w:sz w:val="17"/>
                <w:szCs w:val="17"/>
                <w:color w:val="auto"/>
              </w:rPr>
              <w:t>23</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9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29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6" w:right="1440" w:bottom="1440" w:gutter="0" w:footer="0" w:header="0"/>
        </w:sectPr>
      </w:pPr>
    </w:p>
    <w:bookmarkStart w:id="23" w:name="page24"/>
    <w:bookmarkEnd w:id="2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16"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5"/>
          <w:szCs w:val="15"/>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2020 filed on March 31, 2021, as subsequently amended on April 30, 2021 (the “2020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64"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i w:val="1"/>
          <w:iCs w:val="1"/>
          <w:color w:val="auto"/>
        </w:rPr>
        <w:t>All references in this Quarterly Report on Form 10-Q to “we,” “us” and “our” refer to XpresSpa Group, Inc., a Delaware corporation, and its consolidated subsidiaries.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u w:val="single" w:color="auto"/>
          <w:color w:val="auto"/>
        </w:rPr>
        <w:t>Overview</w:t>
      </w:r>
    </w:p>
    <w:p>
      <w:pPr>
        <w:spacing w:after="0" w:line="216"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XpresSpa Group, Inc. (“XpresSpa Group”) is a leading global travel health and wellness services holding company. XpresSpa Group currently has two reportable operating segments: XpresSpa and XpresTest.</w:t>
      </w:r>
    </w:p>
    <w:p>
      <w:pPr>
        <w:spacing w:after="0" w:line="165"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XpresSpa has been a global airport retailer of spa services through its XpresSpa™ spa locations, offering travelers premium spa services, including massage, nail and skin care, as well as spa and travel products (“XpresSpa”).</w:t>
      </w:r>
    </w:p>
    <w:p>
      <w:pPr>
        <w:spacing w:after="0" w:line="165"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7"/>
          <w:szCs w:val="17"/>
          <w:color w:val="auto"/>
        </w:rPr>
        <w:t>Through XpresSpa Group’s XpresTest, Inc. subsidiary (“XpresTest”), we launched XpresCheck™ Wellness Centers, also in airports. XpresCheck offers COVID-19 and other medical diagnostic testing services to the traveling public, as well as airline, airport and concessionaire employees, and TSA and U.S. Customs and Border Protection agents. XpresTest has entered into managed services agreements (“MSAs”) with professional medical services companies that provide health care services to patients. The medical services companies pay XpresTest a monthly fee to operate in the XpresCheck Wellness Centers. Under the terms of the MSAs, we provide office space, equipment, supplies, non-licensed staff, and management services in return for a management fee.</w:t>
      </w:r>
    </w:p>
    <w:p>
      <w:pPr>
        <w:spacing w:after="0" w:line="184"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5"/>
          <w:szCs w:val="15"/>
          <w:color w:val="auto"/>
        </w:rPr>
        <w:t>Furthermore, XpresSpa Group is developing a travel health and wellness brand that is positioned for a post-pandemic world. We anticipate delivering on-demand access to integrated healthcare through technology and personalized services, while leveraging XpresSpa’s historic travel wellness experience and XpresTest’s healthcare expertise under the XpresCheck brand. We see this concept evolution as an opportunity in a new niche industry where XpresSpa Group can leverage technology in addition to its existing real estate and airport experience, providing travelers with peace of mind and access to integrated care. Over the long-term, we envision that digital channels will provide growth opportunities beyond our airport locations, achieved through subscription-based services that provide care and tools supporting travel health and wellness. Furthermore, we anticipate offering upstream content that can be monetized through affiliate revenue as well as curated retail through ecommerce.</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COVID-19 Update</w:t>
      </w:r>
    </w:p>
    <w:p>
      <w:pPr>
        <w:spacing w:after="0" w:line="212" w:lineRule="exact"/>
        <w:rPr>
          <w:sz w:val="20"/>
          <w:szCs w:val="20"/>
          <w:color w:val="auto"/>
        </w:rPr>
      </w:pPr>
    </w:p>
    <w:p>
      <w:pPr>
        <w:jc w:val="both"/>
        <w:ind w:left="40" w:right="59"/>
        <w:spacing w:after="0" w:line="306" w:lineRule="auto"/>
        <w:rPr>
          <w:sz w:val="20"/>
          <w:szCs w:val="20"/>
          <w:color w:val="auto"/>
        </w:rPr>
      </w:pPr>
      <w:r>
        <w:rPr>
          <w:rFonts w:ascii="Arial" w:cs="Arial" w:eastAsia="Arial" w:hAnsi="Arial"/>
          <w:sz w:val="16"/>
          <w:szCs w:val="16"/>
          <w:color w:val="auto"/>
        </w:rPr>
        <w:t>In March 2020, we temporarily closed all global XpresSpa locations due to the categorization by local jurisdictions of the spa locations as “non-essential services.” Substantially all of our XpresSpa locations remain closed. We intend to reopen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24" w:name="page25"/>
    <w:bookmarkEnd w:id="2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XpresSpa spa locations on a location-by-location basis and resume normal operations at such selected locations once restrictions are lifted and airport traffic returns to sufficient levels to support operations at a unit level.</w:t>
      </w:r>
    </w:p>
    <w:p>
      <w:pPr>
        <w:spacing w:after="0" w:line="165"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Since the time of the temporary closure of our XpresSpa locations, we successfully launched our XpresCheck™ Wellness Centers, offering such testing services, as described above. Also, we continue to evaluate alternative testing protocols and work in partnership with airlines for safe travels.</w:t>
      </w:r>
    </w:p>
    <w:p>
      <w:pPr>
        <w:spacing w:after="0" w:line="175" w:lineRule="exact"/>
        <w:rPr>
          <w:sz w:val="20"/>
          <w:szCs w:val="20"/>
          <w:color w:val="auto"/>
        </w:rPr>
      </w:pPr>
    </w:p>
    <w:p>
      <w:pPr>
        <w:jc w:val="both"/>
        <w:ind w:left="40" w:right="59"/>
        <w:spacing w:after="0" w:line="313" w:lineRule="auto"/>
        <w:rPr>
          <w:sz w:val="20"/>
          <w:szCs w:val="20"/>
          <w:color w:val="auto"/>
        </w:rPr>
      </w:pPr>
      <w:r>
        <w:rPr>
          <w:rFonts w:ascii="Arial" w:cs="Arial" w:eastAsia="Arial" w:hAnsi="Arial"/>
          <w:sz w:val="15"/>
          <w:szCs w:val="15"/>
          <w:color w:val="auto"/>
        </w:rPr>
        <w:t>While management has used all currently available information in assessing our business prospects, the ultimate impact of the COVID-19 pandemic and our XpresCheck™ Wellness Centers on our results of operations, financial condition and cash flows remains uncertain. The success or failure of our XpresCheck™ Wellness Centers could also have a material effect on our business.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7"/>
          <w:szCs w:val="17"/>
          <w:b w:val="1"/>
          <w:bCs w:val="1"/>
          <w:u w:val="single" w:color="auto"/>
          <w:color w:val="auto"/>
        </w:rPr>
        <w:t>Recent Developments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XpresCheck™ Wellness Centers</w:t>
      </w:r>
    </w:p>
    <w:p>
      <w:pPr>
        <w:spacing w:after="0" w:line="21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Through our XpresCheck™ Wellness Centers and under the terms of MSAs with physicians’ practices, we offer diagnostic testing services. We currently have 13 such clinics in 11 airports across 10 states. Since December 31, 2020, we announced the opening of the following XpresCheck™ Wellness Centers to provide diagnostic COVID-19 testing:</w:t>
      </w:r>
    </w:p>
    <w:p>
      <w:pPr>
        <w:spacing w:after="0" w:line="157" w:lineRule="exact"/>
        <w:rPr>
          <w:sz w:val="20"/>
          <w:szCs w:val="20"/>
          <w:color w:val="auto"/>
        </w:rPr>
      </w:pPr>
    </w:p>
    <w:p>
      <w:pPr>
        <w:ind w:left="40" w:right="239"/>
        <w:spacing w:after="0" w:line="274" w:lineRule="auto"/>
        <w:rPr>
          <w:sz w:val="20"/>
          <w:szCs w:val="20"/>
          <w:color w:val="auto"/>
        </w:rPr>
      </w:pPr>
      <w:r>
        <w:rPr>
          <w:rFonts w:ascii="Arial" w:cs="Arial" w:eastAsia="Arial" w:hAnsi="Arial"/>
          <w:sz w:val="17"/>
          <w:szCs w:val="17"/>
          <w:color w:val="auto"/>
        </w:rPr>
        <w:t>On January 12, 2021, we opened our second XpresCheck™ Wellness Center at Boston’s Logan International Airport. It contains four separate testing rooms to provide diagnostic COVID-19 testing.</w:t>
      </w:r>
    </w:p>
    <w:p>
      <w:pPr>
        <w:spacing w:after="0" w:line="165" w:lineRule="exact"/>
        <w:rPr>
          <w:sz w:val="20"/>
          <w:szCs w:val="20"/>
          <w:color w:val="auto"/>
        </w:rPr>
      </w:pPr>
    </w:p>
    <w:p>
      <w:pPr>
        <w:ind w:left="40" w:right="259"/>
        <w:spacing w:after="0" w:line="274" w:lineRule="auto"/>
        <w:rPr>
          <w:sz w:val="20"/>
          <w:szCs w:val="20"/>
          <w:color w:val="auto"/>
        </w:rPr>
      </w:pPr>
      <w:r>
        <w:rPr>
          <w:rFonts w:ascii="Arial" w:cs="Arial" w:eastAsia="Arial" w:hAnsi="Arial"/>
          <w:sz w:val="17"/>
          <w:szCs w:val="17"/>
          <w:color w:val="auto"/>
        </w:rPr>
        <w:t>On January 20, 2021, we announced the opening of an XpresCheck™ Wellness Center at Salt Lake City International Airport. It contains four separate testing rooms to provide diagnostic COVID-19 testing.</w:t>
      </w:r>
    </w:p>
    <w:p>
      <w:pPr>
        <w:spacing w:after="0" w:line="165" w:lineRule="exact"/>
        <w:rPr>
          <w:sz w:val="20"/>
          <w:szCs w:val="20"/>
          <w:color w:val="auto"/>
        </w:rPr>
      </w:pPr>
    </w:p>
    <w:p>
      <w:pPr>
        <w:ind w:left="40" w:right="519"/>
        <w:spacing w:after="0" w:line="274" w:lineRule="auto"/>
        <w:rPr>
          <w:sz w:val="20"/>
          <w:szCs w:val="20"/>
          <w:color w:val="auto"/>
        </w:rPr>
      </w:pPr>
      <w:r>
        <w:rPr>
          <w:rFonts w:ascii="Arial" w:cs="Arial" w:eastAsia="Arial" w:hAnsi="Arial"/>
          <w:sz w:val="17"/>
          <w:szCs w:val="17"/>
          <w:color w:val="auto"/>
        </w:rPr>
        <w:t>On February 16, 2021, we announced the opening of our second XpresCheck testing facility at Newark Liberty International Airport. It contains four separate testing rooms to provide diagnostic COVID-19 testing.</w:t>
      </w:r>
    </w:p>
    <w:p>
      <w:pPr>
        <w:spacing w:after="0" w:line="165" w:lineRule="exact"/>
        <w:rPr>
          <w:sz w:val="20"/>
          <w:szCs w:val="20"/>
          <w:color w:val="auto"/>
        </w:rPr>
      </w:pPr>
    </w:p>
    <w:p>
      <w:pPr>
        <w:ind w:left="40" w:right="419"/>
        <w:spacing w:after="0" w:line="274" w:lineRule="auto"/>
        <w:rPr>
          <w:sz w:val="20"/>
          <w:szCs w:val="20"/>
          <w:color w:val="auto"/>
        </w:rPr>
      </w:pPr>
      <w:r>
        <w:rPr>
          <w:rFonts w:ascii="Arial" w:cs="Arial" w:eastAsia="Arial" w:hAnsi="Arial"/>
          <w:sz w:val="17"/>
          <w:szCs w:val="17"/>
          <w:color w:val="auto"/>
        </w:rPr>
        <w:t>On March 8, 2021, we announced the opening of an XpresCheck™ Wellness Center at Houston George Bush Intercontinental Airport. It contains four separate testing rooms to provide diagnostic COVID-19 testing.</w:t>
      </w:r>
    </w:p>
    <w:p>
      <w:pPr>
        <w:spacing w:after="0" w:line="165" w:lineRule="exact"/>
        <w:rPr>
          <w:sz w:val="20"/>
          <w:szCs w:val="20"/>
          <w:color w:val="auto"/>
        </w:rPr>
      </w:pPr>
    </w:p>
    <w:p>
      <w:pPr>
        <w:ind w:left="40" w:right="239"/>
        <w:spacing w:after="0" w:line="342" w:lineRule="auto"/>
        <w:rPr>
          <w:sz w:val="20"/>
          <w:szCs w:val="20"/>
          <w:color w:val="auto"/>
        </w:rPr>
      </w:pPr>
      <w:r>
        <w:rPr>
          <w:rFonts w:ascii="Arial" w:cs="Arial" w:eastAsia="Arial" w:hAnsi="Arial"/>
          <w:sz w:val="15"/>
          <w:szCs w:val="15"/>
          <w:color w:val="auto"/>
        </w:rPr>
        <w:t>On March 15, 2021, we announced the opening of XpresCheck™ Wellness Centers at Dulles International and Reagan National Airports in Virginia, containing nine and four separate testing rooms, respectively, to provide diagnostic COVID-19 testing.</w:t>
      </w:r>
    </w:p>
    <w:p>
      <w:pPr>
        <w:spacing w:after="0" w:line="120" w:lineRule="exact"/>
        <w:rPr>
          <w:sz w:val="20"/>
          <w:szCs w:val="20"/>
          <w:color w:val="auto"/>
        </w:rPr>
      </w:pPr>
    </w:p>
    <w:p>
      <w:pPr>
        <w:ind w:left="40" w:right="439"/>
        <w:spacing w:after="0" w:line="274" w:lineRule="auto"/>
        <w:rPr>
          <w:sz w:val="20"/>
          <w:szCs w:val="20"/>
          <w:color w:val="auto"/>
        </w:rPr>
      </w:pPr>
      <w:r>
        <w:rPr>
          <w:rFonts w:ascii="Arial" w:cs="Arial" w:eastAsia="Arial" w:hAnsi="Arial"/>
          <w:sz w:val="17"/>
          <w:szCs w:val="17"/>
          <w:color w:val="auto"/>
        </w:rPr>
        <w:t>On April 8, 2021, we announced the opening of an XpresCheck™ Wellness Center at Seattle-Tacoma International Airport. It contains eight separate testing rooms to provide diagnostic COVID-19 testing.</w:t>
      </w:r>
    </w:p>
    <w:p>
      <w:pPr>
        <w:spacing w:after="0" w:line="165" w:lineRule="exact"/>
        <w:rPr>
          <w:sz w:val="20"/>
          <w:szCs w:val="20"/>
          <w:color w:val="auto"/>
        </w:rPr>
      </w:pPr>
    </w:p>
    <w:p>
      <w:pPr>
        <w:ind w:left="40" w:right="399"/>
        <w:spacing w:after="0" w:line="274" w:lineRule="auto"/>
        <w:rPr>
          <w:sz w:val="20"/>
          <w:szCs w:val="20"/>
          <w:color w:val="auto"/>
        </w:rPr>
      </w:pPr>
      <w:r>
        <w:rPr>
          <w:rFonts w:ascii="Arial" w:cs="Arial" w:eastAsia="Arial" w:hAnsi="Arial"/>
          <w:sz w:val="17"/>
          <w:szCs w:val="17"/>
          <w:color w:val="auto"/>
        </w:rPr>
        <w:t>On April 21, 2021, we announced the opening of an XpresCheck™ Wellness Center at San Francisco International Airport. It contains nine separate testing rooms to provide diagnostic COVID-19 testing.</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Airport Rent Concessions</w:t>
      </w:r>
    </w:p>
    <w:p>
      <w:pPr>
        <w:spacing w:after="0" w:line="21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7"/>
          <w:szCs w:val="17"/>
          <w:color w:val="auto"/>
        </w:rPr>
        <w:t>We have received rent concessions from landlords on a majority of our XpresSpa leases, allowing for the relief of minimum guaranteed payments in exchange for percentage-of-revenue rent or providing relief from rent through payment deferrals. Currently, the periods of relief from these payments range from three to nineteen months and began in March 2020. We received minimum guaranteed payment concession of approximately $472 and $75 in the three months ended March 31, 2021 and March 31, 2020, respectively, and $2,504 in the twelve months ended March 31, 2021. We expect to realize additional rent concessions while our XpresSpa spas remain 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25" w:name="page26"/>
    <w:bookmarkEnd w:id="2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u w:val="single" w:color="auto"/>
          <w:color w:val="auto"/>
        </w:rPr>
        <w:t>Adjusted EBITDA</w:t>
      </w:r>
    </w:p>
    <w:p>
      <w:pPr>
        <w:spacing w:after="0" w:line="21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Adjusted EBITDA is a supplemental measure of financial performance that is not required by or presented in accordance with GAAP but is a measurement used by management to assess the trends in our business. In evaluating our performance as measured by Adjusted EBITDA, we recognize and consider the limitations of this measurement.</w:t>
      </w:r>
    </w:p>
    <w:p>
      <w:pPr>
        <w:spacing w:after="0" w:line="157"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We define Adjusted EBITDA as earnings before interest, taxes, depreciation and amortization expense, non-cash charges, and stock-based compensation expense.</w:t>
      </w:r>
    </w:p>
    <w:p>
      <w:pPr>
        <w:spacing w:after="0" w:line="165" w:lineRule="exact"/>
        <w:rPr>
          <w:sz w:val="20"/>
          <w:szCs w:val="20"/>
          <w:color w:val="auto"/>
        </w:rPr>
      </w:pPr>
    </w:p>
    <w:p>
      <w:pPr>
        <w:jc w:val="both"/>
        <w:ind w:left="40" w:right="59"/>
        <w:spacing w:after="0" w:line="298" w:lineRule="auto"/>
        <w:rPr>
          <w:sz w:val="20"/>
          <w:szCs w:val="20"/>
          <w:color w:val="auto"/>
        </w:rPr>
      </w:pPr>
      <w:r>
        <w:rPr>
          <w:rFonts w:ascii="Arial" w:cs="Arial" w:eastAsia="Arial" w:hAnsi="Arial"/>
          <w:sz w:val="15"/>
          <w:szCs w:val="15"/>
          <w:color w:val="auto"/>
        </w:rPr>
        <w:t>We consider Adjusted EBITDA to be an important indicator for the performance of our operating business, but it is not a measure of performance or liquidity calculated in accordance with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growth companies such as ours.</w:t>
      </w:r>
    </w:p>
    <w:p>
      <w:pPr>
        <w:spacing w:after="0" w:line="152" w:lineRule="exact"/>
        <w:rPr>
          <w:sz w:val="20"/>
          <w:szCs w:val="20"/>
          <w:color w:val="auto"/>
        </w:rPr>
      </w:pPr>
    </w:p>
    <w:p>
      <w:pPr>
        <w:jc w:val="both"/>
        <w:ind w:left="40" w:right="59"/>
        <w:spacing w:after="0" w:line="313" w:lineRule="auto"/>
        <w:rPr>
          <w:sz w:val="20"/>
          <w:szCs w:val="20"/>
          <w:color w:val="auto"/>
        </w:rPr>
      </w:pPr>
      <w:r>
        <w:rPr>
          <w:rFonts w:ascii="Arial" w:cs="Arial" w:eastAsia="Arial" w:hAnsi="Arial"/>
          <w:sz w:val="15"/>
          <w:szCs w:val="15"/>
          <w:color w:val="auto"/>
        </w:rPr>
        <w:t>In particular, we believe that it is useful for analysts and investors to understand that Adjusted EBITDA excludes certain transactions not related to our core cash operating activities, which are primarily related to our XpresCheck Wellness Centers. We believe that excluding these transactions allows investors to meaningfully analyze the performance of our core cash operations.</w:t>
      </w:r>
    </w:p>
    <w:p>
      <w:pPr>
        <w:spacing w:after="0" w:line="140"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Adjusted EBITDA should not be considered in isolation or as an alternative to cash flow from operating activities or as an alternative to operating income or as an indicator of operating performance or any other measure of performance derived in accordance with GAAP. Adjusted EBITDA does not reflect our obligations for the payment of income taxes, interest expense, or other obligations such as capital expenditures.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26" w:name="page27"/>
    <w:bookmarkEnd w:id="2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A reconciliation of operating loss presented in accordance with GAAP for the three-month periods ended March 31, 2021 and 2020 to Adjusted EBITDA (loss) is presented in the table below.</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6000" w:type="dxa"/>
            <w:vAlign w:val="bottom"/>
          </w:tcPr>
          <w:p>
            <w:pPr>
              <w:spacing w:after="0"/>
              <w:rPr>
                <w:sz w:val="20"/>
                <w:szCs w:val="20"/>
                <w:color w:val="auto"/>
              </w:rPr>
            </w:pPr>
            <w:r>
              <w:rPr>
                <w:rFonts w:ascii="Arial" w:cs="Arial" w:eastAsia="Arial" w:hAnsi="Arial"/>
                <w:sz w:val="17"/>
                <w:szCs w:val="17"/>
                <w:b w:val="1"/>
                <w:bCs w:val="1"/>
                <w:color w:val="auto"/>
              </w:rPr>
              <w:t>Q1 2021 Results of Operations and Adjusted EBITDA (loss)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6000" w:type="dxa"/>
            <w:vAlign w:val="bottom"/>
          </w:tcPr>
          <w:p>
            <w:pPr>
              <w:spacing w:after="0"/>
              <w:rPr>
                <w:sz w:val="20"/>
                <w:szCs w:val="20"/>
                <w:color w:val="auto"/>
              </w:rPr>
            </w:pPr>
            <w:r>
              <w:rPr>
                <w:rFonts w:ascii="Arial" w:cs="Arial" w:eastAsia="Arial" w:hAnsi="Arial"/>
                <w:sz w:val="17"/>
                <w:szCs w:val="17"/>
                <w:color w:val="auto"/>
              </w:rPr>
              <w:t>(amounts in thousands)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000" w:type="dxa"/>
            <w:vAlign w:val="bottom"/>
            <w:vMerge w:val="restart"/>
          </w:tcPr>
          <w:p>
            <w:pPr>
              <w:spacing w:after="0"/>
              <w:rPr>
                <w:sz w:val="20"/>
                <w:szCs w:val="20"/>
                <w:color w:val="auto"/>
              </w:rPr>
            </w:pPr>
            <w:r>
              <w:rPr>
                <w:rFonts w:ascii="Arial" w:cs="Arial" w:eastAsia="Arial" w:hAnsi="Arial"/>
                <w:sz w:val="17"/>
                <w:szCs w:val="17"/>
                <w:b w:val="1"/>
                <w:bCs w:val="1"/>
                <w:color w:val="auto"/>
              </w:rPr>
              <w:t>Revenue:</w:t>
            </w:r>
          </w:p>
        </w:tc>
        <w:tc>
          <w:tcPr>
            <w:tcW w:w="200" w:type="dxa"/>
            <w:vAlign w:val="bottom"/>
          </w:tcPr>
          <w:p>
            <w:pPr>
              <w:spacing w:after="0"/>
              <w:rPr>
                <w:sz w:val="24"/>
                <w:szCs w:val="24"/>
                <w:color w:val="auto"/>
              </w:rPr>
            </w:pPr>
          </w:p>
        </w:tc>
        <w:tc>
          <w:tcPr>
            <w:tcW w:w="2740" w:type="dxa"/>
            <w:vAlign w:val="bottom"/>
            <w:gridSpan w:val="5"/>
          </w:tcPr>
          <w:p>
            <w:pPr>
              <w:ind w:left="100"/>
              <w:spacing w:after="0"/>
              <w:rPr>
                <w:sz w:val="20"/>
                <w:szCs w:val="20"/>
                <w:color w:val="auto"/>
              </w:rPr>
            </w:pPr>
            <w:r>
              <w:rPr>
                <w:rFonts w:ascii="Arial" w:cs="Arial" w:eastAsia="Arial" w:hAnsi="Arial"/>
                <w:sz w:val="17"/>
                <w:szCs w:val="17"/>
                <w:b w:val="1"/>
                <w:bCs w:val="1"/>
                <w:color w:val="auto"/>
              </w:rPr>
              <w:t>Three months ended March 31,</w:t>
            </w:r>
          </w:p>
        </w:tc>
        <w:tc>
          <w:tcPr>
            <w:tcW w:w="0" w:type="dxa"/>
            <w:vAlign w:val="bottom"/>
          </w:tcPr>
          <w:p>
            <w:pPr>
              <w:spacing w:after="0"/>
              <w:rPr>
                <w:sz w:val="1"/>
                <w:szCs w:val="1"/>
                <w:color w:val="auto"/>
              </w:rPr>
            </w:pPr>
          </w:p>
        </w:tc>
      </w:tr>
      <w:tr>
        <w:trPr>
          <w:trHeight w:val="197"/>
        </w:trPr>
        <w:tc>
          <w:tcPr>
            <w:tcW w:w="6000" w:type="dxa"/>
            <w:vAlign w:val="bottom"/>
            <w:tcBorders>
              <w:bottom w:val="single" w:sz="8" w:color="CCEEFF"/>
            </w:tcBorders>
            <w:vMerge w:val="continue"/>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Managed services fees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8,174</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Pr>
          <w:p>
            <w:pPr>
              <w:ind w:left="100"/>
              <w:spacing w:after="0"/>
              <w:rPr>
                <w:sz w:val="20"/>
                <w:szCs w:val="20"/>
                <w:color w:val="auto"/>
              </w:rPr>
            </w:pPr>
            <w:r>
              <w:rPr>
                <w:rFonts w:ascii="Arial" w:cs="Arial" w:eastAsia="Arial" w:hAnsi="Arial"/>
                <w:sz w:val="17"/>
                <w:szCs w:val="17"/>
                <w:color w:val="auto"/>
              </w:rPr>
              <w:t>Services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6,686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Products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revenue</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8,512</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 of sales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Pr>
          <w:p>
            <w:pPr>
              <w:ind w:left="100"/>
              <w:spacing w:after="0"/>
              <w:rPr>
                <w:sz w:val="20"/>
                <w:szCs w:val="20"/>
                <w:color w:val="auto"/>
              </w:rPr>
            </w:pPr>
            <w:r>
              <w:rPr>
                <w:rFonts w:ascii="Arial" w:cs="Arial" w:eastAsia="Arial" w:hAnsi="Arial"/>
                <w:sz w:val="17"/>
                <w:szCs w:val="17"/>
                <w:color w:val="auto"/>
              </w:rPr>
              <w:t>Labor</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1,215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Occupancy</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Product and other operating costs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2,463</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cost of sales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4,159</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Pr>
          <w:p>
            <w:pPr>
              <w:ind w:left="10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744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Impairment/disposal of assets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General and administrative</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4,508</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operating expense</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9,433</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Arial" w:cs="Arial" w:eastAsia="Arial" w:hAnsi="Arial"/>
                <w:sz w:val="17"/>
                <w:szCs w:val="17"/>
                <w:b w:val="1"/>
                <w:bCs w:val="1"/>
                <w:color w:val="auto"/>
              </w:rPr>
              <w:t>Loss from operations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(921)</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income (expense)</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Pr>
          <w:p>
            <w:pPr>
              <w:ind w:left="100"/>
              <w:spacing w:after="0"/>
              <w:rPr>
                <w:sz w:val="20"/>
                <w:szCs w:val="20"/>
                <w:color w:val="auto"/>
              </w:rPr>
            </w:pPr>
            <w:r>
              <w:rPr>
                <w:rFonts w:ascii="Arial" w:cs="Arial" w:eastAsia="Arial" w:hAnsi="Arial"/>
                <w:sz w:val="17"/>
                <w:szCs w:val="17"/>
                <w:color w:val="auto"/>
              </w:rPr>
              <w:t>Loss on revaluation of warrants and conversion options</w:t>
            </w:r>
          </w:p>
        </w:tc>
        <w:tc>
          <w:tcPr>
            <w:tcW w:w="20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non-operating income (expense), net</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Arial" w:cs="Arial" w:eastAsia="Arial" w:hAnsi="Arial"/>
                <w:sz w:val="17"/>
                <w:szCs w:val="17"/>
                <w:b w:val="1"/>
                <w:bCs w:val="1"/>
                <w:color w:val="auto"/>
              </w:rPr>
              <w:t>Loss from operations before income taxes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(807)</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(10,724)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Income tax expense</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Arial" w:cs="Arial" w:eastAsia="Arial" w:hAnsi="Arial"/>
                <w:sz w:val="17"/>
                <w:szCs w:val="17"/>
                <w:b w:val="1"/>
                <w:bCs w:val="1"/>
                <w:color w:val="auto"/>
              </w:rPr>
              <w:t>Net loss</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(808)</w:t>
            </w:r>
          </w:p>
        </w:tc>
        <w:tc>
          <w:tcPr>
            <w:tcW w:w="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(10,724)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(income) loss attributable to noncontrolling interests</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(248)</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loss attributable to common shareholders</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(1,056)</w:t>
            </w:r>
          </w:p>
        </w:tc>
        <w:tc>
          <w:tcPr>
            <w:tcW w:w="2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b w:val="1"/>
                <w:bCs w:val="1"/>
                <w:color w:val="auto"/>
              </w:rPr>
              <w:t>Loss from operations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(921)</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(3,948)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Add back:</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Pr>
          <w:p>
            <w:pPr>
              <w:ind w:left="10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744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Impairment/disposal of assets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Stock-based compensation expense</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1,005</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Adjusted EBITDA</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0"/>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Revenue</w:t>
      </w:r>
    </w:p>
    <w:p>
      <w:pPr>
        <w:spacing w:after="0" w:line="216"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We recognize revenue from the sale of XpresSpa services when they are rendered at our stores and from the sale of products at the time goods are purchased at our stores or online (usually by credit card), net of discounts and applicable sales taxes. Substantially all of our spa locations remain closed and therefore generate little revenue.</w:t>
      </w:r>
    </w:p>
    <w:p>
      <w:pPr>
        <w:spacing w:after="0" w:line="175"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We have entered into managed services agreements with professional medical services companies that provide healthcare services to patients in our XpresCheck™ Wellness Centers. The medical services companies will pay XpresTest a monthly management fee to operate in the XpresCheck™ Wellness Centers. As a result of uncertainties around the cash flows of the XpresCheck™ Wellness Centers during 2020, the Company concluded that the collectability criteria to qualify as a</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27" w:name="page28"/>
    <w:bookmarkEnd w:id="2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contract under ASC 606 was not met, and no revenue associated with the monthly management fee was recognized for the year ending December 31, 2020 from the managed services agreements. Based on the reassessment performed for the three months ending March 31, 2021, the Company recognized $8,178 of revenue, including revenue of $3,186 related to 2020, for new and existing managed services agreements which meet the collectability criteria.</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Cost of sales</w:t>
      </w:r>
    </w:p>
    <w:p>
      <w:pPr>
        <w:spacing w:after="0" w:line="216"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6"/>
          <w:szCs w:val="16"/>
          <w:color w:val="auto"/>
        </w:rPr>
        <w:t>Cost of sales for our XpresSpa segment consists of store-level costs. Store-level costs include all costs that are directly attributable to the store operations, primarily payroll and related benefit costs for store personnel, occupancy costs and cost of products sold. Cost of sales of our XpresTest segment include costs related to the XpresCheck™ business, and consists of expenses directly attributable to the clinic operations under the terms of the MSAs, primarily payroll and related benefit costs for personnel, occupancy costs and cost of supplies used to administer the diagnostic COVID-19 tests.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General and administrative</w:t>
      </w:r>
    </w:p>
    <w:p>
      <w:pPr>
        <w:spacing w:after="0" w:line="216"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5"/>
          <w:szCs w:val="15"/>
          <w:color w:val="auto"/>
        </w:rPr>
        <w:t>General and administrative expenses include management and administrative personnel, overhead and occupancy costs, insurance and various professional fees, as well as stock-based compensation for directors, management and administrative personnel.</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Three-month period ended March 31, 2021 compared to the three-month period ended March 31, 2020</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600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21"/>
        </w:trPr>
        <w:tc>
          <w:tcPr>
            <w:tcW w:w="6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right="135"/>
              <w:spacing w:after="0"/>
              <w:rPr>
                <w:sz w:val="20"/>
                <w:szCs w:val="20"/>
                <w:color w:val="auto"/>
              </w:rPr>
            </w:pPr>
            <w:r>
              <w:rPr>
                <w:rFonts w:ascii="Arial" w:cs="Arial" w:eastAsia="Arial" w:hAnsi="Arial"/>
                <w:sz w:val="17"/>
                <w:szCs w:val="17"/>
                <w:b w:val="1"/>
                <w:bCs w:val="1"/>
                <w:color w:val="auto"/>
                <w:w w:val="91"/>
              </w:rPr>
              <w:t>Three months ended March 31,</w:t>
            </w:r>
          </w:p>
        </w:tc>
      </w:tr>
      <w:tr>
        <w:trPr>
          <w:trHeight w:val="197"/>
        </w:trPr>
        <w:tc>
          <w:tcPr>
            <w:tcW w:w="6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9"/>
              </w:rPr>
              <w:t>Inc/(Dec)</w:t>
            </w:r>
          </w:p>
        </w:tc>
      </w:tr>
      <w:tr>
        <w:trPr>
          <w:trHeight w:val="196"/>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7,718</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w:t>
            </w: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left="40" w:right="59"/>
        <w:spacing w:after="0" w:line="313" w:lineRule="auto"/>
        <w:rPr>
          <w:sz w:val="20"/>
          <w:szCs w:val="20"/>
          <w:color w:val="auto"/>
        </w:rPr>
      </w:pPr>
      <w:r>
        <w:rPr>
          <w:rFonts w:ascii="Arial" w:cs="Arial" w:eastAsia="Arial" w:hAnsi="Arial"/>
          <w:sz w:val="15"/>
          <w:szCs w:val="15"/>
          <w:color w:val="auto"/>
        </w:rPr>
        <w:t>The increase in revenue was almost entirely due to the rapid growth of the XpresTest segment (while the majority of XpresSpa locations remain closed) with the addition of five locations during Q1 2021, and the ability to recognize $3,186 of catch-up revenue associated with 2020 XpresTest segment on underlying MSAs meeting the collectability criteria during Q1 2021.</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6000" w:type="dxa"/>
            <w:vAlign w:val="bottom"/>
          </w:tcPr>
          <w:p>
            <w:pPr>
              <w:spacing w:after="0"/>
              <w:rPr>
                <w:sz w:val="20"/>
                <w:szCs w:val="20"/>
                <w:color w:val="auto"/>
              </w:rPr>
            </w:pPr>
            <w:r>
              <w:rPr>
                <w:rFonts w:ascii="Arial" w:cs="Arial" w:eastAsia="Arial" w:hAnsi="Arial"/>
                <w:sz w:val="17"/>
                <w:szCs w:val="17"/>
                <w:b w:val="1"/>
                <w:bCs w:val="1"/>
                <w:color w:val="auto"/>
              </w:rPr>
              <w:t>Cost of sales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0"/>
        </w:trPr>
        <w:tc>
          <w:tcPr>
            <w:tcW w:w="6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1"/>
              </w:rPr>
              <w:t>Three months ended March 31,</w:t>
            </w:r>
          </w:p>
        </w:tc>
      </w:tr>
      <w:tr>
        <w:trPr>
          <w:trHeight w:val="197"/>
        </w:trPr>
        <w:tc>
          <w:tcPr>
            <w:tcW w:w="60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9"/>
              </w:rPr>
              <w:t>Inc/(Dec)</w:t>
            </w:r>
          </w:p>
        </w:tc>
        <w:tc>
          <w:tcPr>
            <w:tcW w:w="20" w:type="dxa"/>
            <w:vAlign w:val="bottom"/>
          </w:tcPr>
          <w:p>
            <w:pPr>
              <w:spacing w:after="0"/>
              <w:rPr>
                <w:sz w:val="17"/>
                <w:szCs w:val="17"/>
                <w:color w:val="auto"/>
              </w:rPr>
            </w:pPr>
          </w:p>
        </w:tc>
      </w:tr>
      <w:tr>
        <w:trPr>
          <w:trHeight w:val="196"/>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sales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4,159</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7,168</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(3,009)</w:t>
            </w:r>
          </w:p>
        </w:tc>
        <w:tc>
          <w:tcPr>
            <w:tcW w:w="2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spacing w:after="0" w:line="313" w:lineRule="auto"/>
        <w:rPr>
          <w:sz w:val="20"/>
          <w:szCs w:val="20"/>
          <w:color w:val="auto"/>
        </w:rPr>
      </w:pPr>
      <w:r>
        <w:rPr>
          <w:rFonts w:ascii="Arial" w:cs="Arial" w:eastAsia="Arial" w:hAnsi="Arial"/>
          <w:sz w:val="15"/>
          <w:szCs w:val="15"/>
          <w:color w:val="auto"/>
        </w:rPr>
        <w:t>The decrease in cost of sales was due to the decrease in variable costs associated with the decline in XpresSpa revenues and decreases in occupancy costs as a result of rent concessions received from airports. These costs were partially offset by cost of sales of $2,679, incurred in the XpresCheck™ Wellness Centers pursuant to the XpresTest managed services agreements.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300" w:type="dxa"/>
            <w:vAlign w:val="bottom"/>
          </w:tcPr>
          <w:p>
            <w:pPr>
              <w:spacing w:after="0"/>
              <w:rPr>
                <w:sz w:val="20"/>
                <w:szCs w:val="20"/>
                <w:color w:val="auto"/>
              </w:rPr>
            </w:pPr>
            <w:r>
              <w:rPr>
                <w:rFonts w:ascii="Arial" w:cs="Arial" w:eastAsia="Arial" w:hAnsi="Arial"/>
                <w:sz w:val="17"/>
                <w:szCs w:val="17"/>
                <w:b w:val="1"/>
                <w:bCs w:val="1"/>
                <w:color w:val="auto"/>
              </w:rPr>
              <w:t>Depreciation and amortization</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1"/>
              </w:rPr>
              <w:t>Three months ended March 31,</w:t>
            </w:r>
          </w:p>
        </w:tc>
        <w:tc>
          <w:tcPr>
            <w:tcW w:w="0" w:type="dxa"/>
            <w:vAlign w:val="bottom"/>
          </w:tcPr>
          <w:p>
            <w:pPr>
              <w:spacing w:after="0"/>
              <w:rPr>
                <w:sz w:val="1"/>
                <w:szCs w:val="1"/>
                <w:color w:val="auto"/>
              </w:rPr>
            </w:pPr>
          </w:p>
        </w:tc>
      </w:tr>
      <w:tr>
        <w:trPr>
          <w:trHeight w:val="197"/>
        </w:trPr>
        <w:tc>
          <w:tcPr>
            <w:tcW w:w="3300" w:type="dxa"/>
            <w:vAlign w:val="bottom"/>
            <w:tcBorders>
              <w:bottom w:val="single" w:sz="8" w:color="CCEEFF"/>
            </w:tcBorders>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9"/>
              </w:rPr>
              <w:t>Inc/(Dec)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700" w:type="dxa"/>
            <w:vAlign w:val="bottom"/>
            <w:vMerge w:val="restart"/>
          </w:tcPr>
          <w:p>
            <w:pPr>
              <w:jc w:val="right"/>
              <w:ind w:right="1375"/>
              <w:spacing w:after="0"/>
              <w:rPr>
                <w:sz w:val="20"/>
                <w:szCs w:val="20"/>
                <w:color w:val="auto"/>
              </w:rPr>
            </w:pPr>
            <w:r>
              <w:rPr>
                <w:rFonts w:ascii="Arial" w:cs="Arial" w:eastAsia="Arial" w:hAnsi="Arial"/>
                <w:sz w:val="17"/>
                <w:szCs w:val="17"/>
                <w:color w:val="auto"/>
              </w:rPr>
              <w:t>28</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2"/>
        </w:trPr>
        <w:tc>
          <w:tcPr>
            <w:tcW w:w="33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3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6" w:right="1440" w:bottom="1440" w:gutter="0" w:footer="0" w:header="0"/>
        </w:sectPr>
      </w:pPr>
    </w:p>
    <w:bookmarkStart w:id="28" w:name="page29"/>
    <w:bookmarkEnd w:id="2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313" w:lineRule="auto"/>
        <w:rPr>
          <w:sz w:val="20"/>
          <w:szCs w:val="20"/>
          <w:color w:val="auto"/>
        </w:rPr>
      </w:pPr>
      <w:r>
        <w:rPr>
          <w:rFonts w:ascii="Arial" w:cs="Arial" w:eastAsia="Arial" w:hAnsi="Arial"/>
          <w:sz w:val="15"/>
          <w:szCs w:val="15"/>
          <w:color w:val="auto"/>
        </w:rPr>
        <w:t>The decrease in depreciation and amortization of approximately 41.2% was primarily due to impairments and disposals of assets recorded in 2020 resulting in lower depreciation and amortization of leasehold improvements in the current period. This decrease was partially offset by depreciation and amortization related to the recently opened XpresCheck™ Wellness Centers of $469.</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6000" w:type="dxa"/>
            <w:vAlign w:val="bottom"/>
          </w:tcPr>
          <w:p>
            <w:pPr>
              <w:spacing w:after="0"/>
              <w:rPr>
                <w:sz w:val="20"/>
                <w:szCs w:val="20"/>
                <w:color w:val="auto"/>
              </w:rPr>
            </w:pPr>
            <w:r>
              <w:rPr>
                <w:rFonts w:ascii="Arial" w:cs="Arial" w:eastAsia="Arial" w:hAnsi="Arial"/>
                <w:sz w:val="17"/>
                <w:szCs w:val="17"/>
                <w:b w:val="1"/>
                <w:bCs w:val="1"/>
                <w:color w:val="auto"/>
              </w:rPr>
              <w:t>General and administrative</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21"/>
        </w:trPr>
        <w:tc>
          <w:tcPr>
            <w:tcW w:w="6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right="135"/>
              <w:spacing w:after="0"/>
              <w:rPr>
                <w:sz w:val="20"/>
                <w:szCs w:val="20"/>
                <w:color w:val="auto"/>
              </w:rPr>
            </w:pPr>
            <w:r>
              <w:rPr>
                <w:rFonts w:ascii="Arial" w:cs="Arial" w:eastAsia="Arial" w:hAnsi="Arial"/>
                <w:sz w:val="17"/>
                <w:szCs w:val="17"/>
                <w:b w:val="1"/>
                <w:bCs w:val="1"/>
                <w:color w:val="auto"/>
                <w:w w:val="91"/>
              </w:rPr>
              <w:t>Three months ended March 31,</w:t>
            </w:r>
          </w:p>
        </w:tc>
      </w:tr>
      <w:tr>
        <w:trPr>
          <w:trHeight w:val="197"/>
        </w:trPr>
        <w:tc>
          <w:tcPr>
            <w:tcW w:w="6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9"/>
              </w:rPr>
              <w:t>Inc/(Dec)</w:t>
            </w:r>
          </w:p>
        </w:tc>
      </w:tr>
      <w:tr>
        <w:trPr>
          <w:trHeight w:val="196"/>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4,508</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3,233</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1,275</w:t>
            </w: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left="40" w:right="59"/>
        <w:spacing w:after="0" w:line="226" w:lineRule="auto"/>
        <w:rPr>
          <w:sz w:val="20"/>
          <w:szCs w:val="20"/>
          <w:color w:val="auto"/>
        </w:rPr>
      </w:pPr>
      <w:r>
        <w:rPr>
          <w:rFonts w:ascii="Arial" w:cs="Arial" w:eastAsia="Arial" w:hAnsi="Arial"/>
          <w:sz w:val="17"/>
          <w:szCs w:val="17"/>
          <w:color w:val="auto"/>
        </w:rPr>
        <w:t>The increase of approximately 39.4% was primarily due to start-up costs associated with the XpresTest segment and the XpresCheck</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Wellness Centers as well as additional legal fees related to the resolution of certain XpresSpa litigation matters, offset by reduced variable costs related to the closed XpresSpa locations and the realized benefits of cost cutting and control initiatives instituted throughout 2020, primarily in salaries, occupancy, and professional fees.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6000" w:type="dxa"/>
            <w:vAlign w:val="bottom"/>
          </w:tcPr>
          <w:p>
            <w:pPr>
              <w:spacing w:after="0"/>
              <w:rPr>
                <w:sz w:val="20"/>
                <w:szCs w:val="20"/>
                <w:color w:val="auto"/>
              </w:rPr>
            </w:pPr>
            <w:r>
              <w:rPr>
                <w:rFonts w:ascii="Arial" w:cs="Arial" w:eastAsia="Arial" w:hAnsi="Arial"/>
                <w:sz w:val="17"/>
                <w:szCs w:val="17"/>
                <w:b w:val="1"/>
                <w:bCs w:val="1"/>
                <w:color w:val="auto"/>
              </w:rPr>
              <w:t>Loss on revaluation of warrants and conversion options: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21"/>
        </w:trPr>
        <w:tc>
          <w:tcPr>
            <w:tcW w:w="6000" w:type="dxa"/>
            <w:vAlign w:val="bottom"/>
          </w:tcPr>
          <w:p>
            <w:pPr>
              <w:spacing w:after="0"/>
              <w:rPr>
                <w:sz w:val="24"/>
                <w:szCs w:val="24"/>
                <w:color w:val="auto"/>
              </w:rPr>
            </w:pPr>
          </w:p>
        </w:tc>
        <w:tc>
          <w:tcPr>
            <w:tcW w:w="2920" w:type="dxa"/>
            <w:vAlign w:val="bottom"/>
            <w:tcBorders>
              <w:bottom w:val="single" w:sz="8" w:color="auto"/>
            </w:tcBorders>
            <w:gridSpan w:val="7"/>
          </w:tcPr>
          <w:p>
            <w:pPr>
              <w:jc w:val="right"/>
              <w:ind w:right="255"/>
              <w:spacing w:after="0"/>
              <w:rPr>
                <w:sz w:val="20"/>
                <w:szCs w:val="20"/>
                <w:color w:val="auto"/>
              </w:rPr>
            </w:pPr>
            <w:r>
              <w:rPr>
                <w:rFonts w:ascii="Arial" w:cs="Arial" w:eastAsia="Arial" w:hAnsi="Arial"/>
                <w:sz w:val="17"/>
                <w:szCs w:val="17"/>
                <w:b w:val="1"/>
                <w:bCs w:val="1"/>
                <w:color w:val="auto"/>
              </w:rPr>
              <w:t>Three months ended March 31,</w:t>
            </w:r>
          </w:p>
        </w:tc>
      </w:tr>
      <w:tr>
        <w:trPr>
          <w:trHeight w:val="197"/>
        </w:trPr>
        <w:tc>
          <w:tcPr>
            <w:tcW w:w="6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1280" w:type="dxa"/>
            <w:vAlign w:val="bottom"/>
            <w:gridSpan w:val="3"/>
          </w:tcPr>
          <w:p>
            <w:pPr>
              <w:jc w:val="right"/>
              <w:ind w:right="175"/>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auto"/>
                <w:w w:val="89"/>
              </w:rPr>
              <w:t>Inc/(Dec)</w:t>
            </w:r>
          </w:p>
        </w:tc>
      </w:tr>
      <w:tr>
        <w:trPr>
          <w:trHeight w:val="196"/>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Loss on revaluation of warrants and conversion options</w:t>
            </w:r>
          </w:p>
        </w:tc>
        <w:tc>
          <w:tcPr>
            <w:tcW w:w="60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(5,369)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5,369</w:t>
            </w:r>
          </w:p>
        </w:tc>
      </w:tr>
      <w:tr>
        <w:trPr>
          <w:trHeight w:val="20"/>
        </w:trPr>
        <w:tc>
          <w:tcPr>
            <w:tcW w:w="6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Loss on revaluation of warrants and conversion options represents the loss resulting from the mark to market adjustments of our derivative liabilities related to convertible notes that were converted into equity in 2020. Therefore, this loss did not recur in Q1 2021. The gain or loss was mainly due to the decrease or increase, respectively, in our stock price at certain fair value measurement dates relative to the conversion price of warrants and convertible debt to Common Stock.</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6000" w:type="dxa"/>
            <w:vAlign w:val="bottom"/>
          </w:tcPr>
          <w:p>
            <w:pPr>
              <w:spacing w:after="0"/>
              <w:rPr>
                <w:sz w:val="20"/>
                <w:szCs w:val="20"/>
                <w:color w:val="auto"/>
              </w:rPr>
            </w:pPr>
            <w:r>
              <w:rPr>
                <w:rFonts w:ascii="Arial" w:cs="Arial" w:eastAsia="Arial" w:hAnsi="Arial"/>
                <w:sz w:val="17"/>
                <w:szCs w:val="17"/>
                <w:b w:val="1"/>
                <w:bCs w:val="1"/>
                <w:color w:val="auto"/>
              </w:rPr>
              <w:t>Other non-operating income (expense), net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21"/>
        </w:trPr>
        <w:tc>
          <w:tcPr>
            <w:tcW w:w="6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right="135"/>
              <w:spacing w:after="0"/>
              <w:rPr>
                <w:sz w:val="20"/>
                <w:szCs w:val="20"/>
                <w:color w:val="auto"/>
              </w:rPr>
            </w:pPr>
            <w:r>
              <w:rPr>
                <w:rFonts w:ascii="Arial" w:cs="Arial" w:eastAsia="Arial" w:hAnsi="Arial"/>
                <w:sz w:val="17"/>
                <w:szCs w:val="17"/>
                <w:b w:val="1"/>
                <w:bCs w:val="1"/>
                <w:color w:val="auto"/>
                <w:w w:val="91"/>
              </w:rPr>
              <w:t>Three months ended March 31,</w:t>
            </w:r>
          </w:p>
        </w:tc>
      </w:tr>
      <w:tr>
        <w:trPr>
          <w:trHeight w:val="197"/>
        </w:trPr>
        <w:tc>
          <w:tcPr>
            <w:tcW w:w="6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9"/>
              </w:rPr>
              <w:t>Inc/(Dec)</w:t>
            </w:r>
          </w:p>
        </w:tc>
      </w:tr>
      <w:tr>
        <w:trPr>
          <w:trHeight w:val="196"/>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non-operating income (expense), net</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w:t>
            </w: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is a summary of the transactions included in other non-operating (income) expense, net for the three months ended</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March 31, 2021 and 2020:</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6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gridSpan w:val="10"/>
          </w:tcPr>
          <w:p>
            <w:pPr>
              <w:ind w:left="80"/>
              <w:spacing w:after="0"/>
              <w:rPr>
                <w:sz w:val="20"/>
                <w:szCs w:val="20"/>
                <w:color w:val="auto"/>
              </w:rPr>
            </w:pPr>
            <w:r>
              <w:rPr>
                <w:rFonts w:ascii="Arial" w:cs="Arial" w:eastAsia="Arial" w:hAnsi="Arial"/>
                <w:sz w:val="17"/>
                <w:szCs w:val="17"/>
                <w:b w:val="1"/>
                <w:bCs w:val="1"/>
                <w:color w:val="auto"/>
                <w:w w:val="95"/>
              </w:rPr>
              <w:t>Three months ended March 31,</w:t>
            </w:r>
          </w:p>
        </w:tc>
        <w:tc>
          <w:tcPr>
            <w:tcW w:w="0" w:type="dxa"/>
            <w:vAlign w:val="bottom"/>
          </w:tcPr>
          <w:p>
            <w:pPr>
              <w:spacing w:after="0"/>
              <w:rPr>
                <w:sz w:val="1"/>
                <w:szCs w:val="1"/>
                <w:color w:val="auto"/>
              </w:rPr>
            </w:pPr>
          </w:p>
        </w:tc>
      </w:tr>
      <w:tr>
        <w:trPr>
          <w:trHeight w:val="197"/>
        </w:trPr>
        <w:tc>
          <w:tcPr>
            <w:tcW w:w="60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2021</w:t>
            </w:r>
          </w:p>
        </w:tc>
        <w:tc>
          <w:tcPr>
            <w:tcW w:w="3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9"/>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Loss on extinguishment of debt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Gain on equity investment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99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Pr>
          <w:p>
            <w:pPr>
              <w:ind w:left="100"/>
              <w:spacing w:after="0"/>
              <w:rPr>
                <w:sz w:val="20"/>
                <w:szCs w:val="20"/>
                <w:color w:val="auto"/>
              </w:rPr>
            </w:pPr>
            <w:r>
              <w:rPr>
                <w:rFonts w:ascii="Arial" w:cs="Arial" w:eastAsia="Arial" w:hAnsi="Arial"/>
                <w:sz w:val="17"/>
                <w:szCs w:val="17"/>
                <w:b w:val="1"/>
                <w:bCs w:val="1"/>
                <w:color w:val="auto"/>
              </w:rPr>
              <w:t>Total</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Borders>
              <w:bottom w:val="single" w:sz="8" w:color="auto"/>
            </w:tcBorders>
          </w:tcPr>
          <w:p>
            <w:pPr>
              <w:jc w:val="right"/>
              <w:ind w:right="240"/>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102</w:t>
            </w:r>
          </w:p>
        </w:tc>
        <w:tc>
          <w:tcPr>
            <w:tcW w:w="22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7"/>
                <w:szCs w:val="17"/>
                <w:b w:val="1"/>
                <w:bCs w:val="1"/>
                <w:color w:val="auto"/>
              </w:rPr>
              <w:t>Interest expense</w:t>
            </w: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11"/>
          </w:tcPr>
          <w:p>
            <w:pPr>
              <w:jc w:val="center"/>
              <w:ind w:right="240"/>
              <w:spacing w:after="0"/>
              <w:rPr>
                <w:sz w:val="20"/>
                <w:szCs w:val="20"/>
                <w:color w:val="auto"/>
              </w:rPr>
            </w:pPr>
            <w:r>
              <w:rPr>
                <w:rFonts w:ascii="Arial" w:cs="Arial" w:eastAsia="Arial" w:hAnsi="Arial"/>
                <w:sz w:val="17"/>
                <w:szCs w:val="17"/>
                <w:b w:val="1"/>
                <w:bCs w:val="1"/>
                <w:color w:val="auto"/>
                <w:w w:val="91"/>
              </w:rPr>
              <w:t>Three months ended March 31,</w:t>
            </w:r>
          </w:p>
        </w:tc>
        <w:tc>
          <w:tcPr>
            <w:tcW w:w="0" w:type="dxa"/>
            <w:vAlign w:val="bottom"/>
          </w:tcPr>
          <w:p>
            <w:pPr>
              <w:spacing w:after="0"/>
              <w:rPr>
                <w:sz w:val="1"/>
                <w:szCs w:val="1"/>
                <w:color w:val="auto"/>
              </w:rPr>
            </w:pPr>
          </w:p>
        </w:tc>
      </w:tr>
      <w:tr>
        <w:trPr>
          <w:trHeight w:val="197"/>
        </w:trPr>
        <w:tc>
          <w:tcPr>
            <w:tcW w:w="60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9"/>
              </w:rPr>
              <w:t>Inc/(Dec)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(income) expense</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1,061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spacing w:after="0" w:line="306" w:lineRule="auto"/>
        <w:rPr>
          <w:sz w:val="20"/>
          <w:szCs w:val="20"/>
          <w:color w:val="auto"/>
        </w:rPr>
      </w:pPr>
      <w:r>
        <w:rPr>
          <w:rFonts w:ascii="Arial" w:cs="Arial" w:eastAsia="Arial" w:hAnsi="Arial"/>
          <w:sz w:val="16"/>
          <w:szCs w:val="16"/>
          <w:color w:val="auto"/>
        </w:rPr>
        <w:t xml:space="preserve">Interest expense decreased as a result of a significantly lower interest rate associated with the remaining debt obligations offset by interest income. See Note 7. </w:t>
      </w:r>
      <w:r>
        <w:rPr>
          <w:rFonts w:ascii="Arial" w:cs="Arial" w:eastAsia="Arial" w:hAnsi="Arial"/>
          <w:sz w:val="16"/>
          <w:szCs w:val="16"/>
          <w:i w:val="1"/>
          <w:iCs w:val="1"/>
          <w:color w:val="auto"/>
        </w:rPr>
        <w:t>Debt</w:t>
      </w:r>
      <w:r>
        <w:rPr>
          <w:rFonts w:ascii="Arial" w:cs="Arial" w:eastAsia="Arial" w:hAnsi="Arial"/>
          <w:sz w:val="16"/>
          <w:szCs w:val="16"/>
          <w:color w:val="auto"/>
        </w:rPr>
        <w:t xml:space="preserve"> to the condensed consolidated financial statements for additional information.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29" w:name="page30"/>
    <w:bookmarkEnd w:id="2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Liquidity and Capital Resources</w:t>
      </w:r>
    </w:p>
    <w:p>
      <w:pPr>
        <w:spacing w:after="0" w:line="216"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As of March 31, 2021, we had cash and cash equivalents, excluding restricted cash, of $102,649, total current assets of $107,789, total current liabilities of $13,842, and positive working capital of $93,947, compared to a positive working capital of $78,302 as of December 31, 2020.</w:t>
      </w:r>
    </w:p>
    <w:p>
      <w:pPr>
        <w:spacing w:after="0" w:line="175" w:lineRule="exact"/>
        <w:rPr>
          <w:sz w:val="20"/>
          <w:szCs w:val="20"/>
          <w:color w:val="auto"/>
        </w:rPr>
      </w:pPr>
    </w:p>
    <w:p>
      <w:pPr>
        <w:jc w:val="both"/>
        <w:ind w:left="40" w:right="59"/>
        <w:spacing w:after="0" w:line="295" w:lineRule="auto"/>
        <w:rPr>
          <w:sz w:val="20"/>
          <w:szCs w:val="20"/>
          <w:color w:val="auto"/>
        </w:rPr>
      </w:pPr>
      <w:r>
        <w:rPr>
          <w:rFonts w:ascii="Arial" w:cs="Arial" w:eastAsia="Arial" w:hAnsi="Arial"/>
          <w:sz w:val="15"/>
          <w:szCs w:val="15"/>
          <w:color w:val="auto"/>
        </w:rPr>
        <w:t xml:space="preserve">During the three months ended March 31, 2021, holders of our December 2020 Investor Warrants, December 2020 Placement Agent Warrants and December 2020 Placement Agent Tail Fee Warrants exercised warrants for a total of 11,223,529 common shares. We received gross proceeds of approximately $19,161. In accordance with the placement agent agreements with H.C. Wainwright &amp; Co., LLC and Palladium, we paid cash fees of $2,154 and issued 842,588 warrants to H.C. Wainwright &amp; Co., LLC at an exercise price of $2.125 per share and 325,500 warrants to Palladium at an exercise price of $1.70 per share. See </w:t>
      </w:r>
      <w:r>
        <w:rPr>
          <w:rFonts w:ascii="Arial" w:cs="Arial" w:eastAsia="Arial" w:hAnsi="Arial"/>
          <w:sz w:val="15"/>
          <w:szCs w:val="15"/>
          <w:i w:val="1"/>
          <w:iCs w:val="1"/>
          <w:color w:val="auto"/>
        </w:rPr>
        <w:t>Note 8.</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Stockholders’ Equity </w:t>
      </w:r>
      <w:r>
        <w:rPr>
          <w:rFonts w:ascii="Arial" w:cs="Arial" w:eastAsia="Arial" w:hAnsi="Arial"/>
          <w:sz w:val="15"/>
          <w:szCs w:val="15"/>
          <w:color w:val="auto"/>
        </w:rPr>
        <w:t>to the condensed consolidated financial statements for related discussion.</w:t>
      </w:r>
    </w:p>
    <w:p>
      <w:pPr>
        <w:spacing w:after="0" w:line="154"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However, while we have addressed our working capital deficiency and long-term debt, and continue to focus on our overall operating profitability, we expect to incur net losses in the foreseeable future. In addition, the ultimate duration and severity of the ongoing COVID-19 pandemic are uncertain at this time, and may result in additional material adverse impacts on our liquidity position and access to capital.</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Critical Accounting Estimates</w:t>
      </w:r>
    </w:p>
    <w:p>
      <w:pPr>
        <w:spacing w:after="0" w:line="216"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included in our Annual Report on Form 10-K for the year ended December 31, 2020,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pacing w:after="0" w:line="164"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 required as we are a smaller reporting company.</w:t>
      </w:r>
    </w:p>
    <w:p>
      <w:pPr>
        <w:spacing w:after="0" w:line="208"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74" w:lineRule="exact"/>
        <w:rPr>
          <w:sz w:val="20"/>
          <w:szCs w:val="20"/>
          <w:color w:val="auto"/>
        </w:rPr>
      </w:pPr>
    </w:p>
    <w:p>
      <w:pPr>
        <w:jc w:val="both"/>
        <w:ind w:left="40" w:right="59"/>
        <w:spacing w:after="0" w:line="256" w:lineRule="auto"/>
        <w:rPr>
          <w:sz w:val="20"/>
          <w:szCs w:val="20"/>
          <w:color w:val="auto"/>
        </w:rPr>
      </w:pPr>
      <w:r>
        <w:rPr>
          <w:rFonts w:ascii="Arial" w:cs="Arial" w:eastAsia="Arial" w:hAnsi="Arial"/>
          <w:sz w:val="17"/>
          <w:szCs w:val="17"/>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(Principal Financial and Accounting Officer), as appropriate, to allow timely decisions regarding required disclosure.</w:t>
      </w:r>
    </w:p>
    <w:p>
      <w:pPr>
        <w:spacing w:after="0" w:line="142"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6"/>
          <w:szCs w:val="16"/>
          <w:color w:val="auto"/>
        </w:rPr>
        <w:t>As of March 31, 2021, we carried out an evaluation, under the supervision and with the participation of our management, including our Chief Executive Officer and Chief Financial Officer, of the effectiveness of the design and operation of our disclosure controls and procedures. Our evaluation as of December 31, 2019 identified a material weaknesses in our internal control over financial reporting, which remained unmitigated as of March 31, 2021, as noted below in Report of Management on Internal Control over Financial Reporting. Based on our evaluation, our chief executive officer and chief financial officer concluded that the Company’s disclosure controls and procedures were not effective as of March 31, 2021 to ensure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 Notwithstanding this conclusion, management believes that the condensed consolidated financial statements in this Quarterly Report on Form 10-Q fairly present in all material respects our financial condition, results of operations and cash flows in conformity with GAAP.</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30" w:name="page31"/>
    <w:bookmarkEnd w:id="3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i w:val="1"/>
          <w:iCs w:val="1"/>
          <w:u w:val="single" w:color="auto"/>
          <w:color w:val="auto"/>
        </w:rPr>
        <w:t>Remediation Plan for Material Weakness in Internal Control over Financial Reporting</w:t>
      </w:r>
    </w:p>
    <w:p>
      <w:pPr>
        <w:spacing w:after="0" w:line="212"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We and our Board treat the controls surrounding, and the integrity of, our financial statements with the utmost priority. Management is committed to the planning and implementation of remediation efforts to address control deficiencies and any other identified areas of risk. These remediation efforts are intended to both address the identified material weakness and to enhance our overall financial control environment. In particular:</w:t>
      </w:r>
    </w:p>
    <w:p>
      <w:pPr>
        <w:spacing w:after="0" w:line="191" w:lineRule="exact"/>
        <w:rPr>
          <w:sz w:val="20"/>
          <w:szCs w:val="20"/>
          <w:color w:val="auto"/>
        </w:rPr>
      </w:pPr>
    </w:p>
    <w:p>
      <w:pPr>
        <w:ind w:left="700" w:right="1019" w:hanging="322"/>
        <w:spacing w:after="0" w:line="257"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continue to strengthen our interim and annual financial review controls to function with a sufficient level of precision to detect and correct errors on a timely basis;</w:t>
      </w:r>
    </w:p>
    <w:p>
      <w:pPr>
        <w:ind w:left="700" w:hanging="322"/>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continue to improve the timeliness of our closing processes with respect to interim and annual periods.</w:t>
      </w:r>
    </w:p>
    <w:p>
      <w:pPr>
        <w:spacing w:after="0" w:line="213"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5"/>
          <w:szCs w:val="15"/>
          <w:color w:val="auto"/>
        </w:rPr>
        <w:t>Following identification of this control deficiency, commenced remediation efforts by implementing modifications to better ensure that the Company has appropriate and timely reviews on all financial reporting analysis. The material weakness in our internal control over financial reporting will not be considered remediated until these modifications are implemented, in operation for a sufficient period of time, tested, and concluded by management to be designed and operating effectively. In addition, as we continue to evaluate and work to improve our internal control over financial reporting, management may determine to take additional measures to address control deficiencies or determine to modify our remediation plan. Management will test and evaluate the implementation of these modifications during 2021 to ascertain whether they are designed and operating effectively to provide reasonable assurance that they will prevent or detect a material misstatement in the Company’s financial statements.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steps we took to address the deficiencies identified included:</w:t>
      </w:r>
    </w:p>
    <w:p>
      <w:pPr>
        <w:spacing w:after="0" w:line="212" w:lineRule="exact"/>
        <w:rPr>
          <w:sz w:val="20"/>
          <w:szCs w:val="20"/>
          <w:color w:val="auto"/>
        </w:rPr>
      </w:pPr>
    </w:p>
    <w:p>
      <w:pPr>
        <w:ind w:left="660" w:hanging="309"/>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hired a permanent Chief Financial Officer in December 2020;</w:t>
      </w:r>
    </w:p>
    <w:p>
      <w:pPr>
        <w:spacing w:after="0" w:line="19" w:lineRule="exact"/>
        <w:rPr>
          <w:rFonts w:ascii="Arial" w:cs="Arial" w:eastAsia="Arial" w:hAnsi="Arial"/>
          <w:sz w:val="17"/>
          <w:szCs w:val="17"/>
          <w:color w:val="auto"/>
        </w:rPr>
      </w:pPr>
    </w:p>
    <w:p>
      <w:pPr>
        <w:ind w:left="660" w:right="79" w:hanging="309"/>
        <w:spacing w:after="0" w:line="25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engaged in efforts to restructure accounting processes and revise organizational structures to enhance accurate accounting and appropriate financial reporting;</w:t>
      </w:r>
    </w:p>
    <w:p>
      <w:pPr>
        <w:ind w:left="660" w:right="79" w:hanging="309"/>
        <w:spacing w:after="0" w:line="25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engaged outside service providers to assist with the valuation and recording of key reporting areas such as leases and stock compensation expense;</w:t>
      </w:r>
    </w:p>
    <w:p>
      <w:pPr>
        <w:ind w:left="660" w:hanging="309"/>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implemented additional accounting software to aid in the accounting and financial reporting process;</w:t>
      </w:r>
    </w:p>
    <w:p>
      <w:pPr>
        <w:spacing w:after="0" w:line="8" w:lineRule="exact"/>
        <w:rPr>
          <w:rFonts w:ascii="Arial" w:cs="Arial" w:eastAsia="Arial" w:hAnsi="Arial"/>
          <w:sz w:val="17"/>
          <w:szCs w:val="17"/>
          <w:color w:val="auto"/>
        </w:rPr>
      </w:pPr>
    </w:p>
    <w:p>
      <w:pPr>
        <w:ind w:left="660" w:right="59" w:hanging="309"/>
        <w:spacing w:after="0" w:line="25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contracted an independent consulting firm to assist with the preparation of the Financial Statements and U.S. GAAP accounting research;</w:t>
      </w:r>
    </w:p>
    <w:p>
      <w:pPr>
        <w:ind w:left="660" w:right="79" w:hanging="309"/>
        <w:spacing w:after="0" w:line="26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March 2021, we hired a seasoned Certified Public Accountant as a permanent Corporate Controller, who also has a Certified Information Systems Auditor accreditation.</w:t>
      </w:r>
    </w:p>
    <w:p>
      <w:pPr>
        <w:spacing w:after="0" w:line="1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7"/>
          <w:szCs w:val="17"/>
          <w:color w:val="auto"/>
        </w:rPr>
        <w:t>We are committed to maintaining a strong internal control environment, and we believe the measures described above will strengthen our internal control over financial reporting and remediate the material weakness we have identified. Our remediation efforts have begun, and we will continue to devote significant time and attention to these remedial efforts. As we continue to evaluate and work to improve our internal control over financial reporting, management may determine to take additional measures to strengthen controls or to modify the remediation plan described above, which may require additional implementation time.</w:t>
      </w:r>
    </w:p>
    <w:p>
      <w:pPr>
        <w:spacing w:after="0" w:line="180"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As noted above, we believe that, as a result of management’s in-depth review of its accounting processes, and the additional procedures management has implemented, there are no material inaccuracies or omissions of material fact in this Form 10-Q and, to the best of our knowledge, we believe that the condensed consolidated financial statements in this Form 10-Q fairly present in all material respects our financial condition, results of operations and cash flows in conformity with GAAP.</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31" w:name="page32"/>
    <w:bookmarkEnd w:id="3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6"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5"/>
          <w:szCs w:val="15"/>
          <w:color w:val="auto"/>
        </w:rPr>
        <w:t>Based on our evaluation, management concluded that our internal control over financial reporting was not effective as of March 31, 2021, due to a material weakness in our internal control over our financial close and reporting process, which was discovered in 2019 still remaining unmitigated. Management continues to conclude that as of March 31, 2021 we still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 As a result of this evaluation, we extensively used outside consultants who possessed the appropriate levels of accounting and controls knowledge to appropriately analyze, record, and disclose accounting matters completely and accurately.</w:t>
      </w:r>
    </w:p>
    <w:p>
      <w:pPr>
        <w:spacing w:after="0" w:line="156"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7"/>
          <w:szCs w:val="17"/>
          <w:color w:val="auto"/>
        </w:rPr>
        <w:t>Other than as set forth in the foregoing paragraph, there have been no changes in our internal control over financial reporting that occurred during the quarter ended March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32" w:name="page33"/>
    <w:bookmarkEnd w:id="3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 – OTHER INFORMATION</w:t>
      </w:r>
    </w:p>
    <w:p>
      <w:pPr>
        <w:spacing w:after="0" w:line="21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16" w:lineRule="exact"/>
        <w:rPr>
          <w:sz w:val="20"/>
          <w:szCs w:val="20"/>
          <w:color w:val="auto"/>
        </w:rPr>
      </w:pPr>
    </w:p>
    <w:p>
      <w:pPr>
        <w:ind w:left="40" w:right="59"/>
        <w:spacing w:after="0" w:line="274" w:lineRule="auto"/>
        <w:rPr>
          <w:sz w:val="20"/>
          <w:szCs w:val="20"/>
          <w:color w:val="auto"/>
        </w:rPr>
      </w:pPr>
      <w:r>
        <w:rPr>
          <w:rFonts w:ascii="Arial" w:cs="Arial" w:eastAsia="Arial" w:hAnsi="Arial"/>
          <w:sz w:val="17"/>
          <w:szCs w:val="17"/>
          <w:color w:val="auto"/>
        </w:rPr>
        <w:t xml:space="preserve">For information regarding legal proceedings, see Note 11.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our notes to the condensed consolidated financial statements included in “Item 1. Financial Statements.”</w:t>
      </w:r>
    </w:p>
    <w:p>
      <w:pPr>
        <w:spacing w:after="0" w:line="161"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16" w:lineRule="exact"/>
        <w:rPr>
          <w:sz w:val="20"/>
          <w:szCs w:val="20"/>
          <w:color w:val="auto"/>
        </w:rPr>
      </w:pPr>
    </w:p>
    <w:p>
      <w:pPr>
        <w:ind w:left="40" w:right="59"/>
        <w:spacing w:after="0" w:line="274" w:lineRule="auto"/>
        <w:rPr>
          <w:sz w:val="20"/>
          <w:szCs w:val="20"/>
          <w:color w:val="auto"/>
        </w:rPr>
      </w:pPr>
      <w:r>
        <w:rPr>
          <w:rFonts w:ascii="Arial" w:cs="Arial" w:eastAsia="Arial" w:hAnsi="Arial"/>
          <w:sz w:val="17"/>
          <w:szCs w:val="17"/>
          <w:color w:val="auto"/>
        </w:rPr>
        <w:t>There have been no material changes to the risk factors discussed in Item 1A. Risk Factors in our Annual Report on Form 10-K for the year ended December 31, 2020.</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 applicable.</w:t>
      </w:r>
    </w:p>
    <w:p>
      <w:pPr>
        <w:spacing w:after="0" w:line="208"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33" w:name="page34"/>
    <w:bookmarkEnd w:id="3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820" w:type="dxa"/>
            <w:vAlign w:val="bottom"/>
            <w:gridSpan w:val="5"/>
          </w:tcPr>
          <w:p>
            <w:pPr>
              <w:spacing w:after="0"/>
              <w:rPr>
                <w:sz w:val="20"/>
                <w:szCs w:val="20"/>
                <w:color w:val="auto"/>
              </w:rPr>
            </w:pPr>
            <w:r>
              <w:rPr>
                <w:rFonts w:ascii="Arial" w:cs="Arial" w:eastAsia="Arial" w:hAnsi="Arial"/>
                <w:sz w:val="17"/>
                <w:szCs w:val="17"/>
                <w:b w:val="1"/>
                <w:bCs w:val="1"/>
                <w:color w:val="auto"/>
              </w:rPr>
              <w:t>Item 6.</w:t>
            </w:r>
          </w:p>
        </w:tc>
        <w:tc>
          <w:tcPr>
            <w:tcW w:w="8100" w:type="dxa"/>
            <w:vAlign w:val="bottom"/>
            <w:gridSpan w:val="9"/>
          </w:tcPr>
          <w:p>
            <w:pPr>
              <w:ind w:left="80"/>
              <w:spacing w:after="0"/>
              <w:rPr>
                <w:sz w:val="20"/>
                <w:szCs w:val="20"/>
                <w:color w:val="auto"/>
              </w:rPr>
            </w:pPr>
            <w:r>
              <w:rPr>
                <w:rFonts w:ascii="Arial" w:cs="Arial" w:eastAsia="Arial" w:hAnsi="Arial"/>
                <w:sz w:val="17"/>
                <w:szCs w:val="17"/>
                <w:b w:val="1"/>
                <w:bCs w:val="1"/>
                <w:color w:val="auto"/>
              </w:rPr>
              <w:t>Exhibits.</w:t>
            </w:r>
          </w:p>
        </w:tc>
      </w:tr>
      <w:tr>
        <w:trPr>
          <w:trHeight w:val="417"/>
        </w:trPr>
        <w:tc>
          <w:tcPr>
            <w:tcW w:w="820" w:type="dxa"/>
            <w:vAlign w:val="bottom"/>
            <w:gridSpan w:val="5"/>
          </w:tcPr>
          <w:p>
            <w:pPr>
              <w:spacing w:after="0"/>
              <w:rPr>
                <w:sz w:val="20"/>
                <w:szCs w:val="20"/>
                <w:color w:val="auto"/>
              </w:rPr>
            </w:pPr>
            <w:r>
              <w:rPr>
                <w:rFonts w:ascii="Arial" w:cs="Arial" w:eastAsia="Arial" w:hAnsi="Arial"/>
                <w:sz w:val="17"/>
                <w:szCs w:val="17"/>
                <w:b w:val="1"/>
                <w:bCs w:val="1"/>
                <w:color w:val="auto"/>
              </w:rPr>
              <w:t>Exhibit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820" w:type="dxa"/>
            <w:vAlign w:val="bottom"/>
            <w:gridSpan w:val="5"/>
          </w:tcPr>
          <w:p>
            <w:pPr>
              <w:spacing w:after="0"/>
              <w:rPr>
                <w:sz w:val="20"/>
                <w:szCs w:val="20"/>
                <w:color w:val="auto"/>
              </w:rPr>
            </w:pPr>
            <w:r>
              <w:rPr>
                <w:rFonts w:ascii="Arial" w:cs="Arial" w:eastAsia="Arial" w:hAnsi="Arial"/>
                <w:sz w:val="17"/>
                <w:szCs w:val="17"/>
                <w:b w:val="1"/>
                <w:bCs w:val="1"/>
                <w:color w:val="auto"/>
              </w:rPr>
              <w:t>No.</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gridSpan w:val="6"/>
          </w:tcPr>
          <w:p>
            <w:pPr>
              <w:ind w:left="3480"/>
              <w:spacing w:after="0"/>
              <w:rPr>
                <w:sz w:val="20"/>
                <w:szCs w:val="20"/>
                <w:color w:val="auto"/>
              </w:rPr>
            </w:pPr>
            <w:r>
              <w:rPr>
                <w:rFonts w:ascii="Arial" w:cs="Arial" w:eastAsia="Arial" w:hAnsi="Arial"/>
                <w:sz w:val="17"/>
                <w:szCs w:val="17"/>
                <w:b w:val="1"/>
                <w:bCs w:val="1"/>
                <w:color w:val="auto"/>
              </w:rPr>
              <w:t>Description</w:t>
            </w:r>
          </w:p>
        </w:tc>
      </w:tr>
      <w:tr>
        <w:trPr>
          <w:trHeight w:val="165"/>
        </w:trPr>
        <w:tc>
          <w:tcPr>
            <w:tcW w:w="20" w:type="dxa"/>
            <w:vAlign w:val="bottom"/>
          </w:tcPr>
          <w:p>
            <w:pPr>
              <w:spacing w:after="0"/>
              <w:rPr>
                <w:sz w:val="14"/>
                <w:szCs w:val="14"/>
                <w:color w:val="auto"/>
              </w:rPr>
            </w:pPr>
          </w:p>
        </w:tc>
        <w:tc>
          <w:tcPr>
            <w:tcW w:w="800" w:type="dxa"/>
            <w:vAlign w:val="bottom"/>
            <w:tcBorders>
              <w:top w:val="single" w:sz="8" w:color="auto"/>
            </w:tcBorders>
            <w:gridSpan w:val="4"/>
          </w:tcPr>
          <w:p>
            <w:pPr>
              <w:jc w:val="right"/>
              <w:ind w:right="440"/>
              <w:spacing w:after="0" w:line="165" w:lineRule="exact"/>
              <w:rPr>
                <w:rFonts w:ascii="Arial" w:cs="Arial" w:eastAsia="Arial" w:hAnsi="Arial"/>
                <w:sz w:val="17"/>
                <w:szCs w:val="17"/>
                <w:color w:val="0000EE"/>
                <w:w w:val="79"/>
              </w:rPr>
            </w:pPr>
            <w:hyperlink r:id="rId43">
              <w:r>
                <w:rPr>
                  <w:rFonts w:ascii="Arial" w:cs="Arial" w:eastAsia="Arial" w:hAnsi="Arial"/>
                  <w:sz w:val="17"/>
                  <w:szCs w:val="17"/>
                  <w:color w:val="0000EE"/>
                  <w:w w:val="79"/>
                </w:rPr>
                <w:t>10.</w:t>
              </w:r>
              <w:r>
                <w:rPr>
                  <w:rFonts w:ascii="Arial" w:cs="Arial" w:eastAsia="Arial" w:hAnsi="Arial"/>
                  <w:sz w:val="17"/>
                  <w:szCs w:val="17"/>
                  <w:u w:val="single" w:color="auto"/>
                  <w:color w:val="0000EE"/>
                  <w:w w:val="79"/>
                </w:rPr>
                <w:t>1</w:t>
              </w:r>
            </w:hyperlink>
            <w:r>
              <w:rPr>
                <w:rFonts w:ascii="Arial" w:cs="Arial" w:eastAsia="Arial" w:hAnsi="Arial"/>
                <w:sz w:val="17"/>
                <w:szCs w:val="17"/>
                <w:color w:val="000000"/>
                <w:w w:val="79"/>
              </w:rPr>
              <w:t>†</w:t>
            </w:r>
          </w:p>
        </w:tc>
        <w:tc>
          <w:tcPr>
            <w:tcW w:w="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40" w:type="dxa"/>
            <w:vAlign w:val="bottom"/>
            <w:tcBorders>
              <w:top w:val="single" w:sz="8" w:color="auto"/>
            </w:tcBorders>
            <w:gridSpan w:val="6"/>
          </w:tcPr>
          <w:p>
            <w:pPr>
              <w:spacing w:after="0" w:line="165" w:lineRule="exact"/>
              <w:rPr>
                <w:rFonts w:ascii="Arial" w:cs="Arial" w:eastAsia="Arial" w:hAnsi="Arial"/>
                <w:sz w:val="17"/>
                <w:szCs w:val="17"/>
                <w:color w:val="0000EE"/>
                <w:w w:val="95"/>
              </w:rPr>
            </w:pPr>
            <w:hyperlink r:id="rId43">
              <w:r>
                <w:rPr>
                  <w:rFonts w:ascii="Arial" w:cs="Arial" w:eastAsia="Arial" w:hAnsi="Arial"/>
                  <w:sz w:val="17"/>
                  <w:szCs w:val="17"/>
                  <w:color w:val="0000EE"/>
                  <w:w w:val="95"/>
                </w:rPr>
                <w:t>Form of XpresTest, Inc. Restricted Stock Award Agreement (incorporated by reference to Exhibit 10.45 to the</w:t>
              </w:r>
            </w:hyperlink>
          </w:p>
        </w:tc>
      </w:tr>
      <w:tr>
        <w:trPr>
          <w:trHeight w:val="184"/>
        </w:trPr>
        <w:tc>
          <w:tcPr>
            <w:tcW w:w="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40" w:type="dxa"/>
            <w:vAlign w:val="bottom"/>
            <w:tcBorders>
              <w:top w:val="single" w:sz="8" w:color="0000EE"/>
            </w:tcBorders>
            <w:gridSpan w:val="6"/>
          </w:tcPr>
          <w:p>
            <w:pPr>
              <w:spacing w:after="0" w:line="184" w:lineRule="exact"/>
              <w:rPr>
                <w:rFonts w:ascii="Arial" w:cs="Arial" w:eastAsia="Arial" w:hAnsi="Arial"/>
                <w:sz w:val="17"/>
                <w:szCs w:val="17"/>
                <w:color w:val="0000EE"/>
              </w:rPr>
            </w:pPr>
            <w:hyperlink r:id="rId43">
              <w:r>
                <w:rPr>
                  <w:rFonts w:ascii="Arial" w:cs="Arial" w:eastAsia="Arial" w:hAnsi="Arial"/>
                  <w:sz w:val="17"/>
                  <w:szCs w:val="17"/>
                  <w:color w:val="0000EE"/>
                </w:rPr>
                <w:t>Company’s Annual Report on Form 10-K/A filed with the SEC on April 30, 2021)</w:t>
              </w:r>
            </w:hyperlink>
          </w:p>
        </w:tc>
        <w:tc>
          <w:tcPr>
            <w:tcW w:w="20" w:type="dxa"/>
            <w:vAlign w:val="bottom"/>
          </w:tcPr>
          <w:p>
            <w:pPr>
              <w:spacing w:after="0"/>
              <w:rPr>
                <w:sz w:val="15"/>
                <w:szCs w:val="15"/>
                <w:color w:val="auto"/>
              </w:rPr>
            </w:pPr>
          </w:p>
        </w:tc>
      </w:tr>
      <w:tr>
        <w:trPr>
          <w:trHeight w:val="20"/>
        </w:trPr>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87"/>
        </w:trPr>
        <w:tc>
          <w:tcPr>
            <w:tcW w:w="820" w:type="dxa"/>
            <w:vAlign w:val="bottom"/>
            <w:gridSpan w:val="5"/>
          </w:tcPr>
          <w:p>
            <w:pPr>
              <w:jc w:val="right"/>
              <w:ind w:right="440"/>
              <w:spacing w:after="0"/>
              <w:rPr>
                <w:rFonts w:ascii="Arial" w:cs="Arial" w:eastAsia="Arial" w:hAnsi="Arial"/>
                <w:sz w:val="17"/>
                <w:szCs w:val="17"/>
                <w:color w:val="0000EE"/>
                <w:w w:val="90"/>
              </w:rPr>
            </w:pPr>
            <w:hyperlink w:anchor="page36">
              <w:r>
                <w:rPr>
                  <w:rFonts w:ascii="Arial" w:cs="Arial" w:eastAsia="Arial" w:hAnsi="Arial"/>
                  <w:sz w:val="17"/>
                  <w:szCs w:val="17"/>
                  <w:color w:val="0000EE"/>
                  <w:w w:val="90"/>
                </w:rPr>
                <w:t>31.</w:t>
              </w:r>
              <w:r>
                <w:rPr>
                  <w:rFonts w:ascii="Arial" w:cs="Arial" w:eastAsia="Arial" w:hAnsi="Arial"/>
                  <w:sz w:val="17"/>
                  <w:szCs w:val="17"/>
                  <w:u w:val="single" w:color="auto"/>
                  <w:color w:val="0000EE"/>
                  <w:w w:val="90"/>
                </w:rPr>
                <w:t>1*</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7"/>
                <w:szCs w:val="17"/>
                <w:color w:val="0000EE"/>
                <w:w w:val="97"/>
              </w:rPr>
            </w:pPr>
            <w:hyperlink w:anchor="page36">
              <w:r>
                <w:rPr>
                  <w:rFonts w:ascii="Arial" w:cs="Arial" w:eastAsia="Arial" w:hAnsi="Arial"/>
                  <w:sz w:val="17"/>
                  <w:szCs w:val="17"/>
                  <w:color w:val="0000EE"/>
                  <w:w w:val="97"/>
                </w:rPr>
                <w:t>Certification of Principal Executive Officer pursuant to Exchange Act, Rules 13a – 14(a) and 15d – 14(a), as</w:t>
              </w:r>
            </w:hyperlink>
          </w:p>
        </w:tc>
      </w:tr>
      <w:tr>
        <w:trPr>
          <w:trHeight w:val="184"/>
        </w:trPr>
        <w:tc>
          <w:tcPr>
            <w:tcW w:w="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3"/>
          </w:tcPr>
          <w:p>
            <w:pPr>
              <w:spacing w:after="0" w:line="184" w:lineRule="exact"/>
              <w:rPr>
                <w:rFonts w:ascii="Arial" w:cs="Arial" w:eastAsia="Arial" w:hAnsi="Arial"/>
                <w:sz w:val="17"/>
                <w:szCs w:val="17"/>
                <w:color w:val="0000EE"/>
                <w:w w:val="90"/>
              </w:rPr>
            </w:pPr>
            <w:hyperlink w:anchor="page36">
              <w:r>
                <w:rPr>
                  <w:rFonts w:ascii="Arial" w:cs="Arial" w:eastAsia="Arial" w:hAnsi="Arial"/>
                  <w:sz w:val="17"/>
                  <w:szCs w:val="17"/>
                  <w:color w:val="0000EE"/>
                  <w:w w:val="90"/>
                </w:rPr>
                <w:t>adopted pursuant to Section 302 of the Sarbanes-Oxley Act of 2002</w:t>
              </w:r>
            </w:hyperlink>
          </w:p>
        </w:tc>
        <w:tc>
          <w:tcPr>
            <w:tcW w:w="2740" w:type="dxa"/>
            <w:vAlign w:val="bottom"/>
            <w:tcBorders>
              <w:top w:val="single" w:sz="8" w:color="0000EE"/>
            </w:tcBorders>
            <w:gridSpan w:val="2"/>
          </w:tcPr>
          <w:p>
            <w:pPr>
              <w:spacing w:after="0"/>
              <w:rPr>
                <w:sz w:val="15"/>
                <w:szCs w:val="15"/>
                <w:color w:val="auto"/>
              </w:rPr>
            </w:pPr>
          </w:p>
        </w:tc>
        <w:tc>
          <w:tcPr>
            <w:tcW w:w="500" w:type="dxa"/>
            <w:vAlign w:val="bottom"/>
            <w:gridSpan w:val="2"/>
          </w:tcPr>
          <w:p>
            <w:pPr>
              <w:spacing w:after="0"/>
              <w:rPr>
                <w:sz w:val="15"/>
                <w:szCs w:val="15"/>
                <w:color w:val="auto"/>
              </w:rPr>
            </w:pPr>
          </w:p>
        </w:tc>
      </w:tr>
      <w:tr>
        <w:trPr>
          <w:trHeight w:val="286"/>
        </w:trPr>
        <w:tc>
          <w:tcPr>
            <w:tcW w:w="820" w:type="dxa"/>
            <w:vAlign w:val="bottom"/>
            <w:gridSpan w:val="5"/>
          </w:tcPr>
          <w:p>
            <w:pPr>
              <w:jc w:val="right"/>
              <w:ind w:right="440"/>
              <w:spacing w:after="0"/>
              <w:rPr>
                <w:rFonts w:ascii="Arial" w:cs="Arial" w:eastAsia="Arial" w:hAnsi="Arial"/>
                <w:sz w:val="17"/>
                <w:szCs w:val="17"/>
                <w:color w:val="0000EE"/>
                <w:w w:val="90"/>
              </w:rPr>
            </w:pPr>
            <w:hyperlink w:anchor="page37">
              <w:r>
                <w:rPr>
                  <w:rFonts w:ascii="Arial" w:cs="Arial" w:eastAsia="Arial" w:hAnsi="Arial"/>
                  <w:sz w:val="17"/>
                  <w:szCs w:val="17"/>
                  <w:color w:val="0000EE"/>
                  <w:w w:val="90"/>
                </w:rPr>
                <w:t>31.</w:t>
              </w:r>
              <w:r>
                <w:rPr>
                  <w:rFonts w:ascii="Arial" w:cs="Arial" w:eastAsia="Arial" w:hAnsi="Arial"/>
                  <w:sz w:val="17"/>
                  <w:szCs w:val="17"/>
                  <w:u w:val="single" w:color="auto"/>
                  <w:color w:val="0000EE"/>
                  <w:w w:val="90"/>
                </w:rPr>
                <w:t>2*</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7"/>
                <w:szCs w:val="17"/>
                <w:color w:val="0000EE"/>
                <w:w w:val="97"/>
              </w:rPr>
            </w:pPr>
            <w:hyperlink w:anchor="page37">
              <w:r>
                <w:rPr>
                  <w:rFonts w:ascii="Arial" w:cs="Arial" w:eastAsia="Arial" w:hAnsi="Arial"/>
                  <w:sz w:val="17"/>
                  <w:szCs w:val="17"/>
                  <w:color w:val="0000EE"/>
                  <w:w w:val="97"/>
                </w:rPr>
                <w:t>Certification of Principal Financial Officer pursuant to Exchange Act, Rules 13a – 14(a) and 15d – 14(a), as</w:t>
              </w:r>
            </w:hyperlink>
          </w:p>
        </w:tc>
      </w:tr>
      <w:tr>
        <w:trPr>
          <w:trHeight w:val="184"/>
        </w:trPr>
        <w:tc>
          <w:tcPr>
            <w:tcW w:w="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3"/>
          </w:tcPr>
          <w:p>
            <w:pPr>
              <w:spacing w:after="0" w:line="184" w:lineRule="exact"/>
              <w:rPr>
                <w:rFonts w:ascii="Arial" w:cs="Arial" w:eastAsia="Arial" w:hAnsi="Arial"/>
                <w:sz w:val="17"/>
                <w:szCs w:val="17"/>
                <w:color w:val="0000EE"/>
                <w:w w:val="90"/>
              </w:rPr>
            </w:pPr>
            <w:hyperlink w:anchor="page37">
              <w:r>
                <w:rPr>
                  <w:rFonts w:ascii="Arial" w:cs="Arial" w:eastAsia="Arial" w:hAnsi="Arial"/>
                  <w:sz w:val="17"/>
                  <w:szCs w:val="17"/>
                  <w:color w:val="0000EE"/>
                  <w:w w:val="90"/>
                </w:rPr>
                <w:t>adopted pursuant to Section 302 of the Sarbanes-Oxley Act of 2002</w:t>
              </w:r>
            </w:hyperlink>
          </w:p>
        </w:tc>
        <w:tc>
          <w:tcPr>
            <w:tcW w:w="3240" w:type="dxa"/>
            <w:vAlign w:val="bottom"/>
            <w:tcBorders>
              <w:top w:val="single" w:sz="8" w:color="0000EE"/>
            </w:tcBorders>
            <w:gridSpan w:val="4"/>
          </w:tcPr>
          <w:p>
            <w:pPr>
              <w:spacing w:after="0"/>
              <w:rPr>
                <w:sz w:val="15"/>
                <w:szCs w:val="15"/>
                <w:color w:val="auto"/>
              </w:rPr>
            </w:pPr>
          </w:p>
        </w:tc>
      </w:tr>
      <w:tr>
        <w:trPr>
          <w:trHeight w:val="286"/>
        </w:trPr>
        <w:tc>
          <w:tcPr>
            <w:tcW w:w="380" w:type="dxa"/>
            <w:vAlign w:val="bottom"/>
            <w:gridSpan w:val="4"/>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32**</w:t>
              </w:r>
            </w:hyperlink>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7"/>
                <w:szCs w:val="17"/>
                <w:color w:val="0000EE"/>
                <w:w w:val="91"/>
              </w:rPr>
            </w:pPr>
            <w:hyperlink w:anchor="page38">
              <w:r>
                <w:rPr>
                  <w:rFonts w:ascii="Arial" w:cs="Arial" w:eastAsia="Arial" w:hAnsi="Arial"/>
                  <w:sz w:val="17"/>
                  <w:szCs w:val="17"/>
                  <w:color w:val="0000EE"/>
                  <w:w w:val="91"/>
                </w:rPr>
                <w:t>Certifications of Principal Executive Officer and Principal Financial Officer Pursuant to 18 U.S.C. Section 1350, as</w:t>
              </w:r>
            </w:hyperlink>
          </w:p>
        </w:tc>
      </w:tr>
      <w:tr>
        <w:trPr>
          <w:trHeight w:val="184"/>
        </w:trPr>
        <w:tc>
          <w:tcPr>
            <w:tcW w:w="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0" w:type="dxa"/>
            <w:vAlign w:val="bottom"/>
            <w:tcBorders>
              <w:top w:val="single" w:sz="8" w:color="0000EE"/>
              <w:bottom w:val="single" w:sz="8" w:color="0000EE"/>
            </w:tcBorders>
            <w:gridSpan w:val="2"/>
          </w:tcPr>
          <w:p>
            <w:pPr>
              <w:spacing w:after="0" w:line="184" w:lineRule="exact"/>
              <w:rPr>
                <w:rFonts w:ascii="Arial" w:cs="Arial" w:eastAsia="Arial" w:hAnsi="Arial"/>
                <w:sz w:val="17"/>
                <w:szCs w:val="17"/>
                <w:color w:val="0000EE"/>
                <w:w w:val="89"/>
              </w:rPr>
            </w:pPr>
            <w:hyperlink w:anchor="page38">
              <w:r>
                <w:rPr>
                  <w:rFonts w:ascii="Arial" w:cs="Arial" w:eastAsia="Arial" w:hAnsi="Arial"/>
                  <w:sz w:val="17"/>
                  <w:szCs w:val="17"/>
                  <w:color w:val="0000EE"/>
                  <w:w w:val="89"/>
                </w:rPr>
                <w:t>adopted pursuant to Section 906 of the Sarbanes-Oxley Act of 2002</w:t>
              </w:r>
            </w:hyperlink>
          </w:p>
        </w:tc>
        <w:tc>
          <w:tcPr>
            <w:tcW w:w="3260" w:type="dxa"/>
            <w:vAlign w:val="bottom"/>
            <w:tcBorders>
              <w:top w:val="single" w:sz="8" w:color="0000EE"/>
            </w:tcBorders>
            <w:gridSpan w:val="5"/>
          </w:tcPr>
          <w:p>
            <w:pPr>
              <w:spacing w:after="0"/>
              <w:rPr>
                <w:sz w:val="15"/>
                <w:szCs w:val="15"/>
                <w:color w:val="auto"/>
              </w:rPr>
            </w:pPr>
          </w:p>
        </w:tc>
      </w:tr>
      <w:tr>
        <w:trPr>
          <w:trHeight w:val="323"/>
        </w:trPr>
        <w:tc>
          <w:tcPr>
            <w:tcW w:w="820" w:type="dxa"/>
            <w:vAlign w:val="bottom"/>
            <w:gridSpan w:val="5"/>
          </w:tcPr>
          <w:p>
            <w:pPr>
              <w:spacing w:after="0"/>
              <w:rPr>
                <w:sz w:val="20"/>
                <w:szCs w:val="20"/>
                <w:color w:val="auto"/>
              </w:rPr>
            </w:pPr>
            <w:r>
              <w:rPr>
                <w:rFonts w:ascii="Arial" w:cs="Arial" w:eastAsia="Arial" w:hAnsi="Arial"/>
                <w:sz w:val="17"/>
                <w:szCs w:val="17"/>
                <w:color w:val="auto"/>
              </w:rPr>
              <w:t>101.INS*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7"/>
                <w:szCs w:val="17"/>
                <w:color w:val="auto"/>
              </w:rPr>
              <w:t>XBRL Instance Document</w:t>
            </w:r>
          </w:p>
        </w:tc>
      </w:tr>
      <w:tr>
        <w:trPr>
          <w:trHeight w:val="306"/>
        </w:trPr>
        <w:tc>
          <w:tcPr>
            <w:tcW w:w="820" w:type="dxa"/>
            <w:vAlign w:val="bottom"/>
            <w:gridSpan w:val="5"/>
          </w:tcPr>
          <w:p>
            <w:pPr>
              <w:spacing w:after="0"/>
              <w:rPr>
                <w:sz w:val="20"/>
                <w:szCs w:val="20"/>
                <w:color w:val="auto"/>
              </w:rPr>
            </w:pPr>
            <w:r>
              <w:rPr>
                <w:rFonts w:ascii="Arial" w:cs="Arial" w:eastAsia="Arial" w:hAnsi="Arial"/>
                <w:sz w:val="17"/>
                <w:szCs w:val="17"/>
                <w:color w:val="auto"/>
              </w:rPr>
              <w:t>101.SCH*</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7"/>
                <w:szCs w:val="17"/>
                <w:color w:val="auto"/>
              </w:rPr>
              <w:t>XBRL Taxonomy Extension Schema Document</w:t>
            </w:r>
          </w:p>
        </w:tc>
      </w:tr>
      <w:tr>
        <w:trPr>
          <w:trHeight w:val="306"/>
        </w:trPr>
        <w:tc>
          <w:tcPr>
            <w:tcW w:w="820" w:type="dxa"/>
            <w:vAlign w:val="bottom"/>
            <w:gridSpan w:val="5"/>
          </w:tcPr>
          <w:p>
            <w:pPr>
              <w:spacing w:after="0"/>
              <w:rPr>
                <w:sz w:val="20"/>
                <w:szCs w:val="20"/>
                <w:color w:val="auto"/>
              </w:rPr>
            </w:pPr>
            <w:r>
              <w:rPr>
                <w:rFonts w:ascii="Arial" w:cs="Arial" w:eastAsia="Arial" w:hAnsi="Arial"/>
                <w:sz w:val="17"/>
                <w:szCs w:val="17"/>
                <w:color w:val="auto"/>
              </w:rPr>
              <w:t>101.CAL*</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306"/>
        </w:trPr>
        <w:tc>
          <w:tcPr>
            <w:tcW w:w="820" w:type="dxa"/>
            <w:vAlign w:val="bottom"/>
            <w:gridSpan w:val="5"/>
          </w:tcPr>
          <w:p>
            <w:pPr>
              <w:spacing w:after="0"/>
              <w:rPr>
                <w:sz w:val="20"/>
                <w:szCs w:val="20"/>
                <w:color w:val="auto"/>
              </w:rPr>
            </w:pPr>
            <w:r>
              <w:rPr>
                <w:rFonts w:ascii="Arial" w:cs="Arial" w:eastAsia="Arial" w:hAnsi="Arial"/>
                <w:sz w:val="17"/>
                <w:szCs w:val="17"/>
                <w:color w:val="auto"/>
              </w:rPr>
              <w:t>101.DEF*</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306"/>
        </w:trPr>
        <w:tc>
          <w:tcPr>
            <w:tcW w:w="820" w:type="dxa"/>
            <w:vAlign w:val="bottom"/>
            <w:gridSpan w:val="5"/>
          </w:tcPr>
          <w:p>
            <w:pPr>
              <w:spacing w:after="0"/>
              <w:rPr>
                <w:sz w:val="20"/>
                <w:szCs w:val="20"/>
                <w:color w:val="auto"/>
              </w:rPr>
            </w:pPr>
            <w:r>
              <w:rPr>
                <w:rFonts w:ascii="Arial" w:cs="Arial" w:eastAsia="Arial" w:hAnsi="Arial"/>
                <w:sz w:val="17"/>
                <w:szCs w:val="17"/>
                <w:color w:val="auto"/>
              </w:rPr>
              <w:t>101.LAB*</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306"/>
        </w:trPr>
        <w:tc>
          <w:tcPr>
            <w:tcW w:w="820" w:type="dxa"/>
            <w:vAlign w:val="bottom"/>
            <w:gridSpan w:val="5"/>
          </w:tcPr>
          <w:p>
            <w:pPr>
              <w:spacing w:after="0"/>
              <w:rPr>
                <w:sz w:val="20"/>
                <w:szCs w:val="20"/>
                <w:color w:val="auto"/>
              </w:rPr>
            </w:pPr>
            <w:r>
              <w:rPr>
                <w:rFonts w:ascii="Arial" w:cs="Arial" w:eastAsia="Arial" w:hAnsi="Arial"/>
                <w:sz w:val="17"/>
                <w:szCs w:val="17"/>
                <w:color w:val="auto"/>
              </w:rPr>
              <w:t>101.PRE*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137795</wp:posOffset>
            </wp:positionV>
            <wp:extent cx="14147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97" w:lineRule="exact"/>
        <w:rPr>
          <w:sz w:val="20"/>
          <w:szCs w:val="20"/>
          <w:color w:val="auto"/>
        </w:rPr>
      </w:pPr>
    </w:p>
    <w:p>
      <w:pPr>
        <w:ind w:left="1100" w:hanging="1053"/>
        <w:spacing w:after="0"/>
        <w:tabs>
          <w:tab w:leader="none" w:pos="11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Filed herewith.</w:t>
      </w:r>
    </w:p>
    <w:p>
      <w:pPr>
        <w:spacing w:after="0" w:line="24" w:lineRule="exact"/>
        <w:rPr>
          <w:sz w:val="20"/>
          <w:szCs w:val="20"/>
          <w:color w:val="auto"/>
        </w:rPr>
      </w:pPr>
    </w:p>
    <w:p>
      <w:pPr>
        <w:ind w:left="1100" w:hanging="1053"/>
        <w:spacing w:after="0"/>
        <w:tabs>
          <w:tab w:leader="none" w:pos="11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Furnished herein.</w:t>
      </w:r>
    </w:p>
    <w:p>
      <w:pPr>
        <w:spacing w:after="0" w:line="8" w:lineRule="exact"/>
        <w:rPr>
          <w:sz w:val="20"/>
          <w:szCs w:val="20"/>
          <w:color w:val="auto"/>
        </w:rPr>
      </w:pPr>
    </w:p>
    <w:p>
      <w:pPr>
        <w:ind w:left="1100" w:hanging="1053"/>
        <w:spacing w:after="0"/>
        <w:tabs>
          <w:tab w:leader="none" w:pos="11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Management contract or compensatory plan or arrangement.</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24" w:lineRule="exact"/>
        <w:rPr>
          <w:rFonts w:ascii="Arial" w:cs="Arial" w:eastAsia="Arial" w:hAnsi="Arial"/>
          <w:sz w:val="17"/>
          <w:szCs w:val="17"/>
          <w:b w:val="1"/>
          <w:bCs w:val="1"/>
          <w:color w:val="auto"/>
        </w:rPr>
      </w:pPr>
    </w:p>
    <w:p>
      <w:pPr>
        <w:ind w:left="4420"/>
        <w:spacing w:after="0"/>
        <w:rPr>
          <w:rFonts w:ascii="Arial" w:cs="Arial" w:eastAsia="Arial" w:hAnsi="Arial"/>
          <w:sz w:val="17"/>
          <w:szCs w:val="17"/>
          <w:b w:val="1"/>
          <w:bCs w:val="1"/>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336550</wp:posOffset>
            </wp:positionV>
            <wp:extent cx="566864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34" w:name="page35"/>
    <w:bookmarkEnd w:id="3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ind w:left="40" w:right="59"/>
        <w:spacing w:after="0" w:line="27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4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480" w:type="dxa"/>
            <w:vAlign w:val="bottom"/>
            <w:gridSpan w:val="2"/>
          </w:tcPr>
          <w:p>
            <w:pPr>
              <w:ind w:left="180"/>
              <w:spacing w:after="0"/>
              <w:rPr>
                <w:sz w:val="20"/>
                <w:szCs w:val="20"/>
                <w:color w:val="auto"/>
              </w:rPr>
            </w:pPr>
            <w:r>
              <w:rPr>
                <w:rFonts w:ascii="Arial" w:cs="Arial" w:eastAsia="Arial" w:hAnsi="Arial"/>
                <w:sz w:val="17"/>
                <w:szCs w:val="17"/>
                <w:b w:val="1"/>
                <w:bCs w:val="1"/>
                <w:color w:val="auto"/>
              </w:rPr>
              <w:t>XpresSpa Group, Inc.</w:t>
            </w:r>
          </w:p>
        </w:tc>
      </w:tr>
      <w:tr>
        <w:trPr>
          <w:trHeight w:val="612"/>
        </w:trPr>
        <w:tc>
          <w:tcPr>
            <w:tcW w:w="4440" w:type="dxa"/>
            <w:vAlign w:val="bottom"/>
            <w:gridSpan w:val="2"/>
          </w:tcPr>
          <w:p>
            <w:pPr>
              <w:spacing w:after="0"/>
              <w:rPr>
                <w:sz w:val="20"/>
                <w:szCs w:val="20"/>
                <w:color w:val="auto"/>
              </w:rPr>
            </w:pPr>
            <w:r>
              <w:rPr>
                <w:rFonts w:ascii="Arial" w:cs="Arial" w:eastAsia="Arial" w:hAnsi="Arial"/>
                <w:sz w:val="17"/>
                <w:szCs w:val="17"/>
                <w:color w:val="auto"/>
              </w:rPr>
              <w:t>Date: May 17, 2021</w:t>
            </w:r>
          </w:p>
        </w:tc>
        <w:tc>
          <w:tcPr>
            <w:tcW w:w="440" w:type="dxa"/>
            <w:vAlign w:val="bottom"/>
          </w:tcPr>
          <w:p>
            <w:pPr>
              <w:ind w:left="180"/>
              <w:spacing w:after="0"/>
              <w:rPr>
                <w:sz w:val="20"/>
                <w:szCs w:val="20"/>
                <w:color w:val="auto"/>
              </w:rPr>
            </w:pPr>
            <w:r>
              <w:rPr>
                <w:rFonts w:ascii="Arial" w:cs="Arial" w:eastAsia="Arial" w:hAnsi="Arial"/>
                <w:sz w:val="17"/>
                <w:szCs w:val="17"/>
                <w:color w:val="auto"/>
                <w:w w:val="97"/>
              </w:rPr>
              <w:t>By:</w:t>
            </w:r>
          </w:p>
        </w:tc>
        <w:tc>
          <w:tcPr>
            <w:tcW w:w="4040" w:type="dxa"/>
            <w:vAlign w:val="bottom"/>
          </w:tcPr>
          <w:p>
            <w:pPr>
              <w:jc w:val="center"/>
              <w:spacing w:after="0"/>
              <w:rPr>
                <w:sz w:val="20"/>
                <w:szCs w:val="20"/>
                <w:color w:val="auto"/>
              </w:rPr>
            </w:pPr>
            <w:r>
              <w:rPr>
                <w:rFonts w:ascii="Arial" w:cs="Arial" w:eastAsia="Arial" w:hAnsi="Arial"/>
                <w:sz w:val="17"/>
                <w:szCs w:val="17"/>
                <w:color w:val="auto"/>
                <w:w w:val="89"/>
              </w:rPr>
              <w:t>/s/ Douglas Satzman</w:t>
            </w:r>
          </w:p>
        </w:tc>
      </w:tr>
      <w:tr>
        <w:trPr>
          <w:trHeight w:val="181"/>
        </w:trPr>
        <w:tc>
          <w:tcPr>
            <w:tcW w:w="440" w:type="dxa"/>
            <w:vAlign w:val="bottom"/>
          </w:tcPr>
          <w:p>
            <w:pPr>
              <w:spacing w:after="0"/>
              <w:rPr>
                <w:sz w:val="15"/>
                <w:szCs w:val="15"/>
                <w:color w:val="auto"/>
              </w:rPr>
            </w:pPr>
          </w:p>
        </w:tc>
        <w:tc>
          <w:tcPr>
            <w:tcW w:w="40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404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7"/>
                <w:szCs w:val="17"/>
                <w:b w:val="1"/>
                <w:bCs w:val="1"/>
                <w:color w:val="auto"/>
                <w:w w:val="88"/>
              </w:rPr>
              <w:t>Douglas Satzman</w:t>
            </w:r>
          </w:p>
        </w:tc>
      </w:tr>
      <w:tr>
        <w:trPr>
          <w:trHeight w:val="204"/>
        </w:trPr>
        <w:tc>
          <w:tcPr>
            <w:tcW w:w="4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7"/>
                <w:szCs w:val="17"/>
                <w:b w:val="1"/>
                <w:bCs w:val="1"/>
                <w:color w:val="auto"/>
                <w:w w:val="92"/>
              </w:rPr>
              <w:t>Chief Executive Officer</w:t>
            </w:r>
          </w:p>
        </w:tc>
      </w:tr>
      <w:tr>
        <w:trPr>
          <w:trHeight w:val="219"/>
        </w:trPr>
        <w:tc>
          <w:tcPr>
            <w:tcW w:w="4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Arial" w:cs="Arial" w:eastAsia="Arial" w:hAnsi="Arial"/>
                <w:sz w:val="17"/>
                <w:szCs w:val="17"/>
                <w:b w:val="1"/>
                <w:bCs w:val="1"/>
                <w:color w:val="auto"/>
                <w:w w:val="91"/>
              </w:rPr>
              <w:t>(Principal Executive Officer)</w:t>
            </w:r>
          </w:p>
        </w:tc>
      </w:tr>
      <w:tr>
        <w:trPr>
          <w:trHeight w:val="612"/>
        </w:trPr>
        <w:tc>
          <w:tcPr>
            <w:tcW w:w="4440" w:type="dxa"/>
            <w:vAlign w:val="bottom"/>
            <w:gridSpan w:val="2"/>
          </w:tcPr>
          <w:p>
            <w:pPr>
              <w:spacing w:after="0"/>
              <w:rPr>
                <w:sz w:val="20"/>
                <w:szCs w:val="20"/>
                <w:color w:val="auto"/>
              </w:rPr>
            </w:pPr>
            <w:r>
              <w:rPr>
                <w:rFonts w:ascii="Arial" w:cs="Arial" w:eastAsia="Arial" w:hAnsi="Arial"/>
                <w:sz w:val="17"/>
                <w:szCs w:val="17"/>
                <w:color w:val="auto"/>
              </w:rPr>
              <w:t>Date: May 17, 2021</w:t>
            </w:r>
          </w:p>
        </w:tc>
        <w:tc>
          <w:tcPr>
            <w:tcW w:w="440" w:type="dxa"/>
            <w:vAlign w:val="bottom"/>
          </w:tcPr>
          <w:p>
            <w:pPr>
              <w:ind w:left="180"/>
              <w:spacing w:after="0"/>
              <w:rPr>
                <w:sz w:val="20"/>
                <w:szCs w:val="20"/>
                <w:color w:val="auto"/>
              </w:rPr>
            </w:pPr>
            <w:r>
              <w:rPr>
                <w:rFonts w:ascii="Arial" w:cs="Arial" w:eastAsia="Arial" w:hAnsi="Arial"/>
                <w:sz w:val="17"/>
                <w:szCs w:val="17"/>
                <w:color w:val="auto"/>
                <w:w w:val="97"/>
              </w:rPr>
              <w:t>By:</w:t>
            </w:r>
          </w:p>
        </w:tc>
        <w:tc>
          <w:tcPr>
            <w:tcW w:w="4040" w:type="dxa"/>
            <w:vAlign w:val="bottom"/>
          </w:tcPr>
          <w:p>
            <w:pPr>
              <w:jc w:val="center"/>
              <w:spacing w:after="0"/>
              <w:rPr>
                <w:sz w:val="20"/>
                <w:szCs w:val="20"/>
                <w:color w:val="auto"/>
              </w:rPr>
            </w:pPr>
            <w:r>
              <w:rPr>
                <w:rFonts w:ascii="Arial" w:cs="Arial" w:eastAsia="Arial" w:hAnsi="Arial"/>
                <w:sz w:val="17"/>
                <w:szCs w:val="17"/>
                <w:color w:val="auto"/>
                <w:w w:val="89"/>
              </w:rPr>
              <w:t>/s/ James A Berry</w:t>
            </w:r>
          </w:p>
        </w:tc>
      </w:tr>
      <w:tr>
        <w:trPr>
          <w:trHeight w:val="199"/>
        </w:trPr>
        <w:tc>
          <w:tcPr>
            <w:tcW w:w="440" w:type="dxa"/>
            <w:vAlign w:val="bottom"/>
          </w:tcPr>
          <w:p>
            <w:pPr>
              <w:spacing w:after="0"/>
              <w:rPr>
                <w:sz w:val="17"/>
                <w:szCs w:val="17"/>
                <w:color w:val="auto"/>
              </w:rPr>
            </w:pPr>
          </w:p>
        </w:tc>
        <w:tc>
          <w:tcPr>
            <w:tcW w:w="40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James A. Berry</w:t>
            </w:r>
          </w:p>
        </w:tc>
      </w:tr>
    </w:tbl>
    <w:p>
      <w:pPr>
        <w:jc w:val="center"/>
        <w:ind w:left="4860"/>
        <w:spacing w:after="0"/>
        <w:rPr>
          <w:sz w:val="20"/>
          <w:szCs w:val="20"/>
          <w:color w:val="auto"/>
        </w:rPr>
      </w:pPr>
      <w:r>
        <w:rPr>
          <w:rFonts w:ascii="Arial" w:cs="Arial" w:eastAsia="Arial" w:hAnsi="Arial"/>
          <w:sz w:val="17"/>
          <w:szCs w:val="17"/>
          <w:b w:val="1"/>
          <w:bCs w:val="1"/>
          <w:color w:val="auto"/>
        </w:rPr>
        <w:t>Chief Financial Officer</w:t>
      </w:r>
    </w:p>
    <w:p>
      <w:pPr>
        <w:spacing w:after="0" w:line="6" w:lineRule="exact"/>
        <w:rPr>
          <w:sz w:val="20"/>
          <w:szCs w:val="20"/>
          <w:color w:val="auto"/>
        </w:rPr>
      </w:pPr>
    </w:p>
    <w:p>
      <w:pPr>
        <w:jc w:val="center"/>
        <w:ind w:left="486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588010</wp:posOffset>
            </wp:positionV>
            <wp:extent cx="566864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686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Douglas Satzman, certify that:</w:t>
      </w:r>
    </w:p>
    <w:p>
      <w:pPr>
        <w:spacing w:after="0" w:line="212" w:lineRule="exact"/>
        <w:rPr>
          <w:sz w:val="20"/>
          <w:szCs w:val="20"/>
          <w:color w:val="auto"/>
        </w:rPr>
      </w:pPr>
    </w:p>
    <w:p>
      <w:pPr>
        <w:ind w:left="180" w:hanging="177"/>
        <w:spacing w:after="0"/>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XpresSpa Group, Inc.;</w:t>
      </w:r>
    </w:p>
    <w:p>
      <w:pPr>
        <w:spacing w:after="0" w:line="212" w:lineRule="exact"/>
        <w:rPr>
          <w:rFonts w:ascii="Arial" w:cs="Arial" w:eastAsia="Arial" w:hAnsi="Arial"/>
          <w:sz w:val="17"/>
          <w:szCs w:val="17"/>
          <w:color w:val="auto"/>
        </w:rPr>
      </w:pPr>
    </w:p>
    <w:p>
      <w:pPr>
        <w:jc w:val="both"/>
        <w:ind w:firstLine="3"/>
        <w:spacing w:after="0" w:line="262" w:lineRule="auto"/>
        <w:tabs>
          <w:tab w:leader="none" w:pos="1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7"/>
          <w:szCs w:val="17"/>
          <w:color w:val="auto"/>
        </w:rPr>
      </w:pPr>
    </w:p>
    <w:p>
      <w:pPr>
        <w:ind w:firstLine="3"/>
        <w:spacing w:after="0" w:line="306" w:lineRule="auto"/>
        <w:tabs>
          <w:tab w:leader="none" w:pos="174"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6"/>
          <w:szCs w:val="16"/>
          <w:color w:val="auto"/>
        </w:rPr>
      </w:pPr>
    </w:p>
    <w:p>
      <w:pPr>
        <w:ind w:firstLine="3"/>
        <w:spacing w:after="0" w:line="342" w:lineRule="auto"/>
        <w:tabs>
          <w:tab w:leader="none" w:pos="183" w:val="left"/>
        </w:tabs>
        <w:numPr>
          <w:ilvl w:val="0"/>
          <w:numId w:val="10"/>
        </w:numPr>
        <w:rPr>
          <w:rFonts w:ascii="Arial" w:cs="Arial" w:eastAsia="Arial" w:hAnsi="Arial"/>
          <w:sz w:val="15"/>
          <w:szCs w:val="15"/>
          <w:color w:val="auto"/>
        </w:rPr>
      </w:pPr>
      <w:r>
        <w:rPr>
          <w:rFonts w:ascii="Arial" w:cs="Arial" w:eastAsia="Arial" w:hAnsi="Arial"/>
          <w:sz w:val="15"/>
          <w:szCs w:val="15"/>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sz w:val="20"/>
          <w:szCs w:val="20"/>
          <w:color w:val="auto"/>
        </w:rPr>
      </w:pPr>
    </w:p>
    <w:p>
      <w:pPr>
        <w:jc w:val="both"/>
        <w:ind w:firstLine="3"/>
        <w:spacing w:after="0" w:line="262" w:lineRule="auto"/>
        <w:tabs>
          <w:tab w:leader="none" w:pos="181"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jc w:val="both"/>
        <w:ind w:firstLine="3"/>
        <w:spacing w:after="0" w:line="262" w:lineRule="auto"/>
        <w:tabs>
          <w:tab w:leader="none" w:pos="208"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firstLine="3"/>
        <w:spacing w:after="0" w:line="306" w:lineRule="auto"/>
        <w:tabs>
          <w:tab w:leader="none" w:pos="206"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jc w:val="both"/>
        <w:ind w:firstLine="3"/>
        <w:spacing w:after="0" w:line="262" w:lineRule="auto"/>
        <w:tabs>
          <w:tab w:leader="none" w:pos="189"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ind w:firstLine="3"/>
        <w:spacing w:after="0" w:line="274" w:lineRule="auto"/>
        <w:tabs>
          <w:tab w:leader="none" w:pos="19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5" w:lineRule="exact"/>
        <w:rPr>
          <w:sz w:val="20"/>
          <w:szCs w:val="20"/>
          <w:color w:val="auto"/>
        </w:rPr>
      </w:pPr>
    </w:p>
    <w:p>
      <w:pPr>
        <w:ind w:firstLine="3"/>
        <w:spacing w:after="0" w:line="274" w:lineRule="auto"/>
        <w:tabs>
          <w:tab w:leader="none" w:pos="16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firstLine="3"/>
        <w:spacing w:after="0" w:line="274" w:lineRule="auto"/>
        <w:tabs>
          <w:tab w:leader="none" w:pos="199"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Dated: May 17, 2021</w:t>
      </w:r>
    </w:p>
    <w:p>
      <w:pPr>
        <w:spacing w:after="0" w:line="225" w:lineRule="exact"/>
        <w:rPr>
          <w:sz w:val="20"/>
          <w:szCs w:val="20"/>
          <w:color w:val="auto"/>
        </w:rPr>
      </w:pPr>
    </w:p>
    <w:p>
      <w:pPr>
        <w:ind w:left="3980"/>
        <w:spacing w:after="0"/>
        <w:tabs>
          <w:tab w:leader="none" w:pos="428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DOUGLAS SATZMAN</w:t>
      </w:r>
    </w:p>
    <w:p>
      <w:pPr>
        <w:spacing w:after="0" w:line="20"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-123190</wp:posOffset>
            </wp:positionV>
            <wp:extent cx="31534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153410" cy="8255"/>
                    </a:xfrm>
                    <a:prstGeom prst="rect">
                      <a:avLst/>
                    </a:prstGeom>
                    <a:noFill/>
                  </pic:spPr>
                </pic:pic>
              </a:graphicData>
            </a:graphic>
          </wp:anchor>
        </w:drawing>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458470</wp:posOffset>
            </wp:positionV>
            <wp:extent cx="6299200"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James A. Berry, certify that:</w:t>
      </w:r>
    </w:p>
    <w:p>
      <w:pPr>
        <w:spacing w:after="0" w:line="212" w:lineRule="exact"/>
        <w:rPr>
          <w:sz w:val="20"/>
          <w:szCs w:val="20"/>
          <w:color w:val="auto"/>
        </w:rPr>
      </w:pPr>
    </w:p>
    <w:p>
      <w:pPr>
        <w:ind w:left="180" w:hanging="177"/>
        <w:spacing w:after="0"/>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XpresSpa Group, Inc.;</w:t>
      </w:r>
    </w:p>
    <w:p>
      <w:pPr>
        <w:spacing w:after="0" w:line="212" w:lineRule="exact"/>
        <w:rPr>
          <w:rFonts w:ascii="Arial" w:cs="Arial" w:eastAsia="Arial" w:hAnsi="Arial"/>
          <w:sz w:val="17"/>
          <w:szCs w:val="17"/>
          <w:color w:val="auto"/>
        </w:rPr>
      </w:pPr>
    </w:p>
    <w:p>
      <w:pPr>
        <w:jc w:val="both"/>
        <w:ind w:firstLine="3"/>
        <w:spacing w:after="0" w:line="262" w:lineRule="auto"/>
        <w:tabs>
          <w:tab w:leader="none" w:pos="1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7"/>
          <w:szCs w:val="17"/>
          <w:color w:val="auto"/>
        </w:rPr>
      </w:pPr>
    </w:p>
    <w:p>
      <w:pPr>
        <w:ind w:firstLine="3"/>
        <w:spacing w:after="0" w:line="306" w:lineRule="auto"/>
        <w:tabs>
          <w:tab w:leader="none" w:pos="174"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6"/>
          <w:szCs w:val="16"/>
          <w:color w:val="auto"/>
        </w:rPr>
      </w:pPr>
    </w:p>
    <w:p>
      <w:pPr>
        <w:ind w:firstLine="3"/>
        <w:spacing w:after="0" w:line="342" w:lineRule="auto"/>
        <w:tabs>
          <w:tab w:leader="none" w:pos="183" w:val="left"/>
        </w:tabs>
        <w:numPr>
          <w:ilvl w:val="0"/>
          <w:numId w:val="14"/>
        </w:numPr>
        <w:rPr>
          <w:rFonts w:ascii="Arial" w:cs="Arial" w:eastAsia="Arial" w:hAnsi="Arial"/>
          <w:sz w:val="15"/>
          <w:szCs w:val="15"/>
          <w:color w:val="auto"/>
        </w:rPr>
      </w:pPr>
      <w:r>
        <w:rPr>
          <w:rFonts w:ascii="Arial" w:cs="Arial" w:eastAsia="Arial" w:hAnsi="Arial"/>
          <w:sz w:val="15"/>
          <w:szCs w:val="15"/>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sz w:val="20"/>
          <w:szCs w:val="20"/>
          <w:color w:val="auto"/>
        </w:rPr>
      </w:pPr>
    </w:p>
    <w:p>
      <w:pPr>
        <w:jc w:val="both"/>
        <w:ind w:firstLine="3"/>
        <w:spacing w:after="0" w:line="262" w:lineRule="auto"/>
        <w:tabs>
          <w:tab w:leader="none" w:pos="181"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jc w:val="both"/>
        <w:ind w:firstLine="3"/>
        <w:spacing w:after="0" w:line="262" w:lineRule="auto"/>
        <w:tabs>
          <w:tab w:leader="none" w:pos="208"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firstLine="3"/>
        <w:spacing w:after="0" w:line="306" w:lineRule="auto"/>
        <w:tabs>
          <w:tab w:leader="none" w:pos="206"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jc w:val="both"/>
        <w:ind w:firstLine="3"/>
        <w:spacing w:after="0" w:line="262" w:lineRule="auto"/>
        <w:tabs>
          <w:tab w:leader="none" w:pos="189"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ind w:firstLine="3"/>
        <w:spacing w:after="0" w:line="274" w:lineRule="auto"/>
        <w:tabs>
          <w:tab w:leader="none" w:pos="19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5" w:lineRule="exact"/>
        <w:rPr>
          <w:sz w:val="20"/>
          <w:szCs w:val="20"/>
          <w:color w:val="auto"/>
        </w:rPr>
      </w:pPr>
    </w:p>
    <w:p>
      <w:pPr>
        <w:ind w:firstLine="3"/>
        <w:spacing w:after="0" w:line="274" w:lineRule="auto"/>
        <w:tabs>
          <w:tab w:leader="none" w:pos="16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firstLine="3"/>
        <w:spacing w:after="0" w:line="274" w:lineRule="auto"/>
        <w:tabs>
          <w:tab w:leader="none" w:pos="199"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Dated: May 17, 2021</w:t>
      </w:r>
    </w:p>
    <w:p>
      <w:pPr>
        <w:spacing w:after="0" w:line="225" w:lineRule="exact"/>
        <w:rPr>
          <w:sz w:val="20"/>
          <w:szCs w:val="20"/>
          <w:color w:val="auto"/>
        </w:rPr>
      </w:pPr>
    </w:p>
    <w:p>
      <w:pPr>
        <w:ind w:left="4120"/>
        <w:spacing w:after="0"/>
        <w:tabs>
          <w:tab w:leader="none" w:pos="44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JAMES A. BERRY</w:t>
      </w:r>
    </w:p>
    <w:p>
      <w:pPr>
        <w:spacing w:after="0" w:line="20"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-123190</wp:posOffset>
            </wp:positionV>
            <wp:extent cx="21024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102485" cy="825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1243330</wp:posOffset>
            </wp:positionV>
            <wp:extent cx="629920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32</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CERTIFICATIONS OF PRINCIPAL EXECUTIVE OFFICER AND PRINCIPAL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1"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Pursuant to section 906 of the Sarbanes-Oxley Act of 2002 (subsections (a) and (b) of section 1350, chapter 63 of title 18, United States Code), the undersigned officer of XpresSpa Group, Inc., a Delaware corporation (the “Company”), does hereby certify, to such officer’s knowledge, that:</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Quarterly Report for the quarter ended March 31,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Date: May 17, 2021</w:t>
      </w:r>
    </w:p>
    <w:p>
      <w:pPr>
        <w:spacing w:after="0" w:line="200" w:lineRule="exact"/>
        <w:rPr>
          <w:sz w:val="20"/>
          <w:szCs w:val="20"/>
          <w:color w:val="auto"/>
        </w:rPr>
      </w:pPr>
    </w:p>
    <w:p>
      <w:pPr>
        <w:spacing w:after="0" w:line="216" w:lineRule="exact"/>
        <w:rPr>
          <w:sz w:val="20"/>
          <w:szCs w:val="20"/>
          <w:color w:val="auto"/>
        </w:rPr>
      </w:pPr>
    </w:p>
    <w:p>
      <w:pPr>
        <w:ind w:left="3980"/>
        <w:spacing w:after="0"/>
        <w:tabs>
          <w:tab w:leader="none" w:pos="428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DOUGLAS SATZMAN</w:t>
      </w:r>
    </w:p>
    <w:p>
      <w:pPr>
        <w:spacing w:after="0" w:line="20"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-123190</wp:posOffset>
            </wp:positionV>
            <wp:extent cx="31534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153410" cy="8255"/>
                    </a:xfrm>
                    <a:prstGeom prst="rect">
                      <a:avLst/>
                    </a:prstGeom>
                    <a:noFill/>
                  </pic:spPr>
                </pic:pic>
              </a:graphicData>
            </a:graphic>
          </wp:anchor>
        </w:drawing>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Chief Executive Officer</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40"/>
        <w:spacing w:after="0"/>
        <w:tabs>
          <w:tab w:leader="none" w:pos="44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JAMES A. BERRY</w:t>
      </w:r>
    </w:p>
    <w:p>
      <w:pPr>
        <w:spacing w:after="0" w:line="20"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James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-123190</wp:posOffset>
            </wp:positionV>
            <wp:extent cx="31534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153410" cy="8255"/>
                    </a:xfrm>
                    <a:prstGeom prst="rect">
                      <a:avLst/>
                    </a:prstGeom>
                    <a:noFill/>
                  </pic:spPr>
                </pic:pic>
              </a:graphicData>
            </a:graphic>
          </wp:anchor>
        </w:drawing>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Chief Financial Officer</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458470</wp:posOffset>
            </wp:positionV>
            <wp:extent cx="6299200"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sectPr>
      <w:pgSz w:w="11900" w:h="16838" w:orient="portrait"/>
      <w:cols w:equalWidth="0" w:num="1">
        <w:col w:w="9920"/>
      </w:cols>
      <w:pgMar w:left="980" w:top="12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43" Type="http://schemas.openxmlformats.org/officeDocument/2006/relationships/hyperlink" Target="https://www.sec.gov/Archives/edgar/data/1410428/000110465920043879/tm201513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2021-05-18T00:29:50Z</dcterms:created>
  <dcterms:modified xsi:type="dcterms:W3CDTF">2021-05-18T00:29:50Z</dcterms:modified>
</cp:coreProperties>
</file>