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As filed with the Securities and Exchange Commission on April 6, 2012</w:t>
      </w:r>
    </w:p>
    <w:p>
      <w:pPr>
        <w:spacing w:after="0" w:line="154" w:lineRule="exact"/>
        <w:rPr>
          <w:sz w:val="24"/>
          <w:szCs w:val="24"/>
          <w:color w:val="auto"/>
        </w:rPr>
      </w:pPr>
    </w:p>
    <w:p>
      <w:pPr>
        <w:ind w:left="762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336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1714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40005</wp:posOffset>
            </wp:positionV>
            <wp:extent cx="336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2207260</wp:posOffset>
            </wp:positionH>
            <wp:positionV relativeFrom="paragraph">
              <wp:posOffset>191770</wp:posOffset>
            </wp:positionV>
            <wp:extent cx="1527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FORM S-4</w:t>
      </w:r>
    </w:p>
    <w:p>
      <w:pPr>
        <w:spacing w:after="0" w:line="22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REGISTRATION STATEMENT</w:t>
      </w:r>
    </w:p>
    <w:p>
      <w:pPr>
        <w:spacing w:after="0" w:line="2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2207260</wp:posOffset>
            </wp:positionH>
            <wp:positionV relativeFrom="paragraph">
              <wp:posOffset>191770</wp:posOffset>
            </wp:positionV>
            <wp:extent cx="15278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3600"/>
        <w:spacing w:after="0"/>
        <w:rPr>
          <w:sz w:val="20"/>
          <w:szCs w:val="20"/>
          <w:color w:val="auto"/>
        </w:rPr>
      </w:pPr>
      <w:r>
        <w:rPr>
          <w:rFonts w:ascii="Arial" w:cs="Arial" w:eastAsia="Arial" w:hAnsi="Arial"/>
          <w:sz w:val="32"/>
          <w:szCs w:val="32"/>
          <w:b w:val="1"/>
          <w:bCs w:val="1"/>
          <w:color w:val="auto"/>
        </w:rPr>
        <w:t>VRINGO, INC.</w:t>
      </w:r>
    </w:p>
    <w:p>
      <w:pPr>
        <w:spacing w:after="0" w:line="100"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1860" w:type="dxa"/>
            <w:vAlign w:val="bottom"/>
            <w:vMerge w:val="restart"/>
          </w:tcPr>
          <w:p>
            <w:pPr>
              <w:jc w:val="center"/>
              <w:ind w:right="63"/>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(Exact name of registrant as specified in its charter)</w:t>
            </w:r>
          </w:p>
        </w:tc>
        <w:tc>
          <w:tcPr>
            <w:tcW w:w="1560" w:type="dxa"/>
            <w:vAlign w:val="bottom"/>
            <w:vMerge w:val="restart"/>
          </w:tcPr>
          <w:p>
            <w:pPr>
              <w:jc w:val="center"/>
              <w:ind w:left="183"/>
              <w:spacing w:after="0"/>
              <w:rPr>
                <w:sz w:val="20"/>
                <w:szCs w:val="20"/>
                <w:color w:val="auto"/>
              </w:rPr>
            </w:pPr>
            <w:r>
              <w:rPr>
                <w:rFonts w:ascii="Arial" w:cs="Arial" w:eastAsia="Arial" w:hAnsi="Arial"/>
                <w:sz w:val="18"/>
                <w:szCs w:val="18"/>
                <w:b w:val="1"/>
                <w:bCs w:val="1"/>
                <w:color w:val="auto"/>
                <w:w w:val="89"/>
              </w:rPr>
              <w:t>20-4988129</w:t>
            </w:r>
          </w:p>
        </w:tc>
        <w:tc>
          <w:tcPr>
            <w:tcW w:w="0" w:type="dxa"/>
            <w:vAlign w:val="bottom"/>
          </w:tcPr>
          <w:p>
            <w:pPr>
              <w:spacing w:after="0"/>
              <w:rPr>
                <w:sz w:val="1"/>
                <w:szCs w:val="1"/>
                <w:color w:val="auto"/>
              </w:rPr>
            </w:pPr>
          </w:p>
        </w:tc>
      </w:tr>
      <w:tr>
        <w:trPr>
          <w:trHeight w:val="168"/>
        </w:trPr>
        <w:tc>
          <w:tcPr>
            <w:tcW w:w="1860" w:type="dxa"/>
            <w:vAlign w:val="bottom"/>
            <w:vMerge w:val="continue"/>
          </w:tcPr>
          <w:p>
            <w:pPr>
              <w:spacing w:after="0"/>
              <w:rPr>
                <w:sz w:val="14"/>
                <w:szCs w:val="14"/>
                <w:color w:val="auto"/>
              </w:rPr>
            </w:pPr>
          </w:p>
        </w:tc>
        <w:tc>
          <w:tcPr>
            <w:tcW w:w="3340" w:type="dxa"/>
            <w:vAlign w:val="bottom"/>
            <w:gridSpan w:val="2"/>
          </w:tcPr>
          <w:p>
            <w:pPr>
              <w:jc w:val="center"/>
              <w:ind w:left="878"/>
              <w:spacing w:after="0" w:line="169" w:lineRule="exact"/>
              <w:rPr>
                <w:sz w:val="20"/>
                <w:szCs w:val="20"/>
                <w:color w:val="auto"/>
              </w:rPr>
            </w:pPr>
            <w:r>
              <w:rPr>
                <w:rFonts w:ascii="Arial" w:cs="Arial" w:eastAsia="Arial" w:hAnsi="Arial"/>
                <w:sz w:val="18"/>
                <w:szCs w:val="18"/>
                <w:b w:val="1"/>
                <w:bCs w:val="1"/>
                <w:color w:val="auto"/>
                <w:w w:val="84"/>
              </w:rPr>
              <w:t>4899</w:t>
            </w:r>
          </w:p>
        </w:tc>
        <w:tc>
          <w:tcPr>
            <w:tcW w:w="10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860" w:type="dxa"/>
            <w:vAlign w:val="bottom"/>
          </w:tcPr>
          <w:p>
            <w:pPr>
              <w:jc w:val="center"/>
              <w:ind w:right="83"/>
              <w:spacing w:after="0" w:line="147" w:lineRule="exact"/>
              <w:rPr>
                <w:sz w:val="20"/>
                <w:szCs w:val="20"/>
                <w:color w:val="auto"/>
              </w:rPr>
            </w:pPr>
            <w:r>
              <w:rPr>
                <w:rFonts w:ascii="Arial" w:cs="Arial" w:eastAsia="Arial" w:hAnsi="Arial"/>
                <w:sz w:val="14"/>
                <w:szCs w:val="14"/>
                <w:color w:val="auto"/>
                <w:w w:val="94"/>
              </w:rPr>
              <w:t>(State or other jurisdiction of</w:t>
            </w:r>
          </w:p>
        </w:tc>
        <w:tc>
          <w:tcPr>
            <w:tcW w:w="940" w:type="dxa"/>
            <w:vAlign w:val="bottom"/>
          </w:tcPr>
          <w:p>
            <w:pPr>
              <w:spacing w:after="0"/>
              <w:rPr>
                <w:sz w:val="12"/>
                <w:szCs w:val="12"/>
                <w:color w:val="auto"/>
              </w:rPr>
            </w:pPr>
          </w:p>
        </w:tc>
        <w:tc>
          <w:tcPr>
            <w:tcW w:w="3460" w:type="dxa"/>
            <w:vAlign w:val="bottom"/>
            <w:gridSpan w:val="2"/>
          </w:tcPr>
          <w:p>
            <w:pPr>
              <w:jc w:val="center"/>
              <w:ind w:right="1040"/>
              <w:spacing w:after="0" w:line="147" w:lineRule="exact"/>
              <w:rPr>
                <w:sz w:val="20"/>
                <w:szCs w:val="20"/>
                <w:color w:val="auto"/>
              </w:rPr>
            </w:pPr>
            <w:r>
              <w:rPr>
                <w:rFonts w:ascii="Arial" w:cs="Arial" w:eastAsia="Arial" w:hAnsi="Arial"/>
                <w:sz w:val="14"/>
                <w:szCs w:val="14"/>
                <w:color w:val="auto"/>
                <w:w w:val="92"/>
              </w:rPr>
              <w:t>(Primary Standard Industrial</w:t>
            </w:r>
          </w:p>
        </w:tc>
        <w:tc>
          <w:tcPr>
            <w:tcW w:w="1560" w:type="dxa"/>
            <w:vAlign w:val="bottom"/>
          </w:tcPr>
          <w:p>
            <w:pPr>
              <w:jc w:val="center"/>
              <w:ind w:left="183"/>
              <w:spacing w:after="0" w:line="147"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1"/>
        </w:trPr>
        <w:tc>
          <w:tcPr>
            <w:tcW w:w="1860" w:type="dxa"/>
            <w:vAlign w:val="bottom"/>
          </w:tcPr>
          <w:p>
            <w:pPr>
              <w:jc w:val="center"/>
              <w:ind w:right="63"/>
              <w:spacing w:after="0"/>
              <w:rPr>
                <w:sz w:val="20"/>
                <w:szCs w:val="20"/>
                <w:color w:val="auto"/>
              </w:rPr>
            </w:pPr>
            <w:r>
              <w:rPr>
                <w:rFonts w:ascii="Arial" w:cs="Arial" w:eastAsia="Arial" w:hAnsi="Arial"/>
                <w:sz w:val="14"/>
                <w:szCs w:val="14"/>
                <w:color w:val="auto"/>
                <w:w w:val="94"/>
              </w:rPr>
              <w:t>incorporation or organization)</w:t>
            </w:r>
          </w:p>
        </w:tc>
        <w:tc>
          <w:tcPr>
            <w:tcW w:w="940" w:type="dxa"/>
            <w:vAlign w:val="bottom"/>
          </w:tcPr>
          <w:p>
            <w:pPr>
              <w:spacing w:after="0"/>
              <w:rPr>
                <w:sz w:val="15"/>
                <w:szCs w:val="15"/>
                <w:color w:val="auto"/>
              </w:rPr>
            </w:pPr>
          </w:p>
        </w:tc>
        <w:tc>
          <w:tcPr>
            <w:tcW w:w="3460" w:type="dxa"/>
            <w:vAlign w:val="bottom"/>
            <w:gridSpan w:val="2"/>
          </w:tcPr>
          <w:p>
            <w:pPr>
              <w:jc w:val="center"/>
              <w:ind w:right="1040"/>
              <w:spacing w:after="0"/>
              <w:rPr>
                <w:sz w:val="20"/>
                <w:szCs w:val="20"/>
                <w:color w:val="auto"/>
              </w:rPr>
            </w:pPr>
            <w:r>
              <w:rPr>
                <w:rFonts w:ascii="Arial" w:cs="Arial" w:eastAsia="Arial" w:hAnsi="Arial"/>
                <w:sz w:val="14"/>
                <w:szCs w:val="14"/>
                <w:color w:val="auto"/>
                <w:w w:val="93"/>
              </w:rPr>
              <w:t>Classification Code Number)</w:t>
            </w:r>
          </w:p>
        </w:tc>
        <w:tc>
          <w:tcPr>
            <w:tcW w:w="1560" w:type="dxa"/>
            <w:vAlign w:val="bottom"/>
          </w:tcPr>
          <w:p>
            <w:pPr>
              <w:jc w:val="center"/>
              <w:ind w:left="163"/>
              <w:spacing w:after="0"/>
              <w:rPr>
                <w:sz w:val="20"/>
                <w:szCs w:val="20"/>
                <w:color w:val="auto"/>
              </w:rPr>
            </w:pPr>
            <w:r>
              <w:rPr>
                <w:rFonts w:ascii="Arial" w:cs="Arial" w:eastAsia="Arial" w:hAnsi="Arial"/>
                <w:sz w:val="14"/>
                <w:szCs w:val="14"/>
                <w:color w:val="auto"/>
                <w:w w:val="96"/>
              </w:rPr>
              <w:t>Identification Number)</w:t>
            </w:r>
          </w:p>
        </w:tc>
        <w:tc>
          <w:tcPr>
            <w:tcW w:w="0" w:type="dxa"/>
            <w:vAlign w:val="bottom"/>
          </w:tcPr>
          <w:p>
            <w:pPr>
              <w:spacing w:after="0"/>
              <w:rPr>
                <w:sz w:val="1"/>
                <w:szCs w:val="1"/>
                <w:color w:val="auto"/>
              </w:rPr>
            </w:pPr>
          </w:p>
        </w:tc>
      </w:tr>
      <w:tr>
        <w:trPr>
          <w:trHeight w:val="394"/>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44 W. 28th Street, Suite 1414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New York, New York 10001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p>
        </w:tc>
        <w:tc>
          <w:tcPr>
            <w:tcW w:w="3340" w:type="dxa"/>
            <w:vAlign w:val="bottom"/>
            <w:gridSpan w:val="2"/>
          </w:tcPr>
          <w:p>
            <w:pPr>
              <w:jc w:val="center"/>
              <w:ind w:left="858"/>
              <w:spacing w:after="0"/>
              <w:rPr>
                <w:sz w:val="20"/>
                <w:szCs w:val="20"/>
                <w:color w:val="auto"/>
              </w:rPr>
            </w:pPr>
            <w:r>
              <w:rPr>
                <w:rFonts w:ascii="Arial" w:cs="Arial" w:eastAsia="Arial" w:hAnsi="Arial"/>
                <w:sz w:val="18"/>
                <w:szCs w:val="18"/>
                <w:b w:val="1"/>
                <w:bCs w:val="1"/>
                <w:color w:val="auto"/>
                <w:w w:val="90"/>
              </w:rPr>
              <w:t>(646) 525-4319</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860" w:type="dxa"/>
            <w:vAlign w:val="bottom"/>
          </w:tcPr>
          <w:p>
            <w:pPr>
              <w:spacing w:after="0"/>
              <w:rPr>
                <w:sz w:val="24"/>
                <w:szCs w:val="24"/>
                <w:color w:val="auto"/>
              </w:rPr>
            </w:pPr>
          </w:p>
        </w:tc>
        <w:tc>
          <w:tcPr>
            <w:tcW w:w="44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(Address, including zip code, and telephone number,</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860" w:type="dxa"/>
            <w:vAlign w:val="bottom"/>
          </w:tcPr>
          <w:p>
            <w:pPr>
              <w:spacing w:after="0"/>
              <w:rPr>
                <w:sz w:val="15"/>
                <w:szCs w:val="15"/>
                <w:color w:val="auto"/>
              </w:rPr>
            </w:pPr>
          </w:p>
        </w:tc>
        <w:tc>
          <w:tcPr>
            <w:tcW w:w="440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including area code, of registrant’s principal executive offices)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2"/>
              </w:rPr>
              <w:t>Andrew D. Perlman</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4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Chief Executive Officer and President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1"/>
              </w:rPr>
              <w:t>Vringo, Inc.</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44 W. 28th Street, Suite 1414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New York, New York 10001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p>
        </w:tc>
        <w:tc>
          <w:tcPr>
            <w:tcW w:w="3340" w:type="dxa"/>
            <w:vAlign w:val="bottom"/>
            <w:gridSpan w:val="2"/>
          </w:tcPr>
          <w:p>
            <w:pPr>
              <w:jc w:val="center"/>
              <w:ind w:left="858"/>
              <w:spacing w:after="0"/>
              <w:rPr>
                <w:sz w:val="20"/>
                <w:szCs w:val="20"/>
                <w:color w:val="auto"/>
              </w:rPr>
            </w:pPr>
            <w:r>
              <w:rPr>
                <w:rFonts w:ascii="Arial" w:cs="Arial" w:eastAsia="Arial" w:hAnsi="Arial"/>
                <w:sz w:val="18"/>
                <w:szCs w:val="18"/>
                <w:b w:val="1"/>
                <w:bCs w:val="1"/>
                <w:color w:val="auto"/>
                <w:w w:val="90"/>
              </w:rPr>
              <w:t>(646) 525-4319</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860" w:type="dxa"/>
            <w:vAlign w:val="bottom"/>
          </w:tcPr>
          <w:p>
            <w:pPr>
              <w:spacing w:after="0"/>
              <w:rPr>
                <w:sz w:val="24"/>
                <w:szCs w:val="24"/>
                <w:color w:val="auto"/>
              </w:rPr>
            </w:pPr>
          </w:p>
        </w:tc>
        <w:tc>
          <w:tcPr>
            <w:tcW w:w="4400" w:type="dxa"/>
            <w:vAlign w:val="bottom"/>
            <w:gridSpan w:val="3"/>
          </w:tcPr>
          <w:p>
            <w:pPr>
              <w:jc w:val="center"/>
              <w:ind w:right="60"/>
              <w:spacing w:after="0"/>
              <w:rPr>
                <w:sz w:val="20"/>
                <w:szCs w:val="20"/>
                <w:color w:val="auto"/>
              </w:rPr>
            </w:pPr>
            <w:r>
              <w:rPr>
                <w:rFonts w:ascii="Arial" w:cs="Arial" w:eastAsia="Arial" w:hAnsi="Arial"/>
                <w:sz w:val="14"/>
                <w:szCs w:val="14"/>
                <w:color w:val="auto"/>
                <w:w w:val="91"/>
              </w:rPr>
              <w:t>(Name, address, including zip code, and telephone number,</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60" w:type="dxa"/>
            <w:vAlign w:val="bottom"/>
            <w:gridSpan w:val="2"/>
          </w:tcPr>
          <w:p>
            <w:pPr>
              <w:jc w:val="center"/>
              <w:ind w:right="1000"/>
              <w:spacing w:after="0"/>
              <w:rPr>
                <w:sz w:val="20"/>
                <w:szCs w:val="20"/>
                <w:color w:val="auto"/>
              </w:rPr>
            </w:pPr>
            <w:r>
              <w:rPr>
                <w:rFonts w:ascii="Arial" w:cs="Arial" w:eastAsia="Arial" w:hAnsi="Arial"/>
                <w:sz w:val="14"/>
                <w:szCs w:val="14"/>
                <w:color w:val="auto"/>
                <w:w w:val="92"/>
              </w:rPr>
              <w:t>including area code, of agent for service)</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gridSpan w:val="2"/>
          </w:tcPr>
          <w:p>
            <w:pPr>
              <w:jc w:val="center"/>
              <w:ind w:right="1000"/>
              <w:spacing w:after="0"/>
              <w:rPr>
                <w:sz w:val="20"/>
                <w:szCs w:val="20"/>
                <w:color w:val="auto"/>
              </w:rPr>
            </w:pPr>
            <w:r>
              <w:rPr>
                <w:rFonts w:ascii="Arial" w:cs="Arial" w:eastAsia="Arial" w:hAnsi="Arial"/>
                <w:sz w:val="18"/>
                <w:szCs w:val="18"/>
                <w:i w:val="1"/>
                <w:iCs w:val="1"/>
                <w:color w:val="auto"/>
                <w:w w:val="91"/>
              </w:rPr>
              <w:t>Copies to:</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Kenneth R. Koch</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7"/>
              </w:rPr>
              <w:t>Jeffrey P. Schultz</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4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Mintz, Levin, Cohn, Ferris, Glovsky and Popeo, P.C.</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Chrysler Center</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666 Third Avenue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6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New York, New York</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p>
        </w:tc>
        <w:tc>
          <w:tcPr>
            <w:tcW w:w="3340" w:type="dxa"/>
            <w:vAlign w:val="bottom"/>
            <w:gridSpan w:val="2"/>
          </w:tcPr>
          <w:p>
            <w:pPr>
              <w:jc w:val="center"/>
              <w:ind w:left="858"/>
              <w:spacing w:after="0"/>
              <w:rPr>
                <w:sz w:val="20"/>
                <w:szCs w:val="20"/>
                <w:color w:val="auto"/>
              </w:rPr>
            </w:pPr>
            <w:r>
              <w:rPr>
                <w:rFonts w:ascii="Arial" w:cs="Arial" w:eastAsia="Arial" w:hAnsi="Arial"/>
                <w:sz w:val="18"/>
                <w:szCs w:val="18"/>
                <w:b w:val="1"/>
                <w:bCs w:val="1"/>
                <w:color w:val="auto"/>
                <w:w w:val="90"/>
              </w:rPr>
              <w:t>(212) 935-3000</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-4360545</wp:posOffset>
            </wp:positionV>
            <wp:extent cx="6017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7260" cy="825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187960</wp:posOffset>
            </wp:positionV>
            <wp:extent cx="15278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both"/>
        <w:ind w:right="639" w:firstLine="267"/>
        <w:spacing w:after="0" w:line="261"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this registration statement and the satisfaction or waiver of all other conditions under the merger agreement described herein.</w:t>
      </w:r>
    </w:p>
    <w:p>
      <w:pPr>
        <w:spacing w:after="0" w:line="77" w:lineRule="exact"/>
        <w:rPr>
          <w:sz w:val="24"/>
          <w:szCs w:val="24"/>
          <w:color w:val="auto"/>
        </w:rPr>
      </w:pPr>
    </w:p>
    <w:p>
      <w:pPr>
        <w:jc w:val="both"/>
        <w:ind w:right="639" w:firstLine="267"/>
        <w:spacing w:after="0" w:line="270"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69" w:lineRule="exact"/>
        <w:rPr>
          <w:sz w:val="24"/>
          <w:szCs w:val="24"/>
          <w:color w:val="auto"/>
        </w:rPr>
      </w:pPr>
    </w:p>
    <w:p>
      <w:pPr>
        <w:jc w:val="both"/>
        <w:ind w:right="619" w:firstLine="267"/>
        <w:spacing w:after="0" w:line="259"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number for the same offering. o</w:t>
      </w:r>
    </w:p>
    <w:p>
      <w:pPr>
        <w:spacing w:after="0" w:line="78" w:lineRule="exact"/>
        <w:rPr>
          <w:sz w:val="24"/>
          <w:szCs w:val="24"/>
          <w:color w:val="auto"/>
        </w:rPr>
      </w:pPr>
    </w:p>
    <w:p>
      <w:pPr>
        <w:jc w:val="both"/>
        <w:ind w:right="639" w:firstLine="267"/>
        <w:spacing w:after="0" w:line="300"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6" w:lineRule="exact"/>
        <w:rPr>
          <w:sz w:val="24"/>
          <w:szCs w:val="24"/>
          <w:color w:val="auto"/>
        </w:rPr>
      </w:pPr>
    </w:p>
    <w:p>
      <w:pPr>
        <w:jc w:val="both"/>
        <w:ind w:right="619" w:firstLine="267"/>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w:t>
      </w:r>
    </w:p>
    <w:p>
      <w:pPr>
        <w:sectPr>
          <w:pgSz w:w="11900" w:h="16852" w:orient="portrait"/>
          <w:cols w:equalWidth="0" w:num="1">
            <w:col w:w="10039"/>
          </w:cols>
          <w:pgMar w:left="420" w:top="455" w:right="1440" w:bottom="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-70485</wp:posOffset>
            </wp:positionV>
            <wp:extent cx="269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ind w:left="140"/>
        <w:spacing w:after="0"/>
        <w:tabs>
          <w:tab w:leader="none" w:pos="25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right="1179" w:firstLine="580"/>
        <w:spacing w:after="0" w:line="270" w:lineRule="auto"/>
        <w:rPr>
          <w:sz w:val="20"/>
          <w:szCs w:val="20"/>
          <w:color w:val="auto"/>
        </w:rPr>
      </w:pPr>
      <w:r>
        <w:rPr>
          <w:rFonts w:ascii="Arial" w:cs="Arial" w:eastAsia="Arial" w:hAnsi="Arial"/>
          <w:sz w:val="18"/>
          <w:szCs w:val="18"/>
          <w:color w:val="auto"/>
        </w:rPr>
        <w:t>Non-accelerated filer o Smaller reporting company x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244475</wp:posOffset>
            </wp:positionH>
            <wp:positionV relativeFrom="paragraph">
              <wp:posOffset>-362585</wp:posOffset>
            </wp:positionV>
            <wp:extent cx="2936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69" w:lineRule="exact"/>
        <w:rPr>
          <w:sz w:val="24"/>
          <w:szCs w:val="24"/>
          <w:color w:val="auto"/>
        </w:rPr>
      </w:pPr>
    </w:p>
    <w:p>
      <w:pPr>
        <w:sectPr>
          <w:pgSz w:w="11900" w:h="16852" w:orient="portrait"/>
          <w:cols w:equalWidth="0" w:num="2">
            <w:col w:w="3880" w:space="120"/>
            <w:col w:w="6039"/>
          </w:cols>
          <w:pgMar w:left="420" w:top="455" w:right="1440" w:bottom="0" w:gutter="0" w:footer="0" w:header="0"/>
          <w:type w:val="continuous"/>
        </w:sectPr>
      </w:pPr>
    </w:p>
    <w:p>
      <w:pPr>
        <w:ind w:left="28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137" w:lineRule="exact"/>
        <w:rPr>
          <w:sz w:val="24"/>
          <w:szCs w:val="24"/>
          <w:color w:val="auto"/>
        </w:rPr>
      </w:pPr>
    </w:p>
    <w:p>
      <w:pPr>
        <w:ind w:left="280"/>
        <w:spacing w:after="0"/>
        <w:rPr>
          <w:sz w:val="20"/>
          <w:szCs w:val="20"/>
          <w:color w:val="auto"/>
        </w:rPr>
      </w:pPr>
      <w:r>
        <w:rPr>
          <w:rFonts w:ascii="Arial" w:cs="Arial" w:eastAsia="Arial" w:hAnsi="Arial"/>
          <w:sz w:val="18"/>
          <w:szCs w:val="18"/>
          <w:color w:val="auto"/>
        </w:rPr>
        <w:t>Exchange Act Rule 13e-4(i) (Cross-Border Issuer Tender Offer) o</w:t>
      </w:r>
    </w:p>
    <w:p>
      <w:pPr>
        <w:sectPr>
          <w:pgSz w:w="11900" w:h="16852" w:orient="portrait"/>
          <w:cols w:equalWidth="0" w:num="1">
            <w:col w:w="10039"/>
          </w:cols>
          <w:pgMar w:left="420" w:top="455" w:right="1440"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Exchange Act Rule 14d-1(d) (Cross-Border Third-Party Tend</w:t>
      </w:r>
      <w:r>
        <w:rPr>
          <w:rFonts w:ascii="Arial" w:cs="Arial" w:eastAsia="Arial" w:hAnsi="Arial"/>
          <w:sz w:val="16"/>
          <w:szCs w:val="16"/>
          <w:u w:val="single" w:color="auto"/>
          <w:color w:val="auto"/>
        </w:rPr>
        <w:t>e</w:t>
      </w:r>
      <w:r>
        <w:rPr>
          <w:rFonts w:ascii="Arial" w:cs="Arial" w:eastAsia="Arial" w:hAnsi="Arial"/>
          <w:sz w:val="16"/>
          <w:szCs w:val="16"/>
          <w:color w:val="auto"/>
        </w:rPr>
        <w:t>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753745</wp:posOffset>
            </wp:positionV>
            <wp:extent cx="6051550" cy="59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51550" cy="590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36830</wp:posOffset>
            </wp:positionV>
            <wp:extent cx="336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17145"/>
                    </a:xfrm>
                    <a:prstGeom prst="rect">
                      <a:avLst/>
                    </a:prstGeom>
                    <a:noFill/>
                  </pic:spPr>
                </pic:pic>
              </a:graphicData>
            </a:graphic>
          </wp:anchor>
        </w:drawing>
      </w:r>
    </w:p>
    <w:p>
      <w:pPr>
        <w:sectPr>
          <w:pgSz w:w="11900" w:h="16838" w:orient="portrait"/>
          <w:cols w:equalWidth="0" w:num="1">
            <w:col w:w="9759"/>
          </w:cols>
          <w:pgMar w:left="700" w:top="192" w:right="1440"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Title of Each Class of</w:t>
            </w:r>
          </w:p>
        </w:tc>
        <w:tc>
          <w:tcPr>
            <w:tcW w:w="60" w:type="dxa"/>
            <w:vAlign w:val="bottom"/>
          </w:tcPr>
          <w:p>
            <w:pPr>
              <w:spacing w:after="0"/>
              <w:rPr>
                <w:sz w:val="14"/>
                <w:szCs w:val="14"/>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b w:val="1"/>
                <w:bCs w:val="1"/>
                <w:color w:val="auto"/>
              </w:rPr>
              <w:t>Amount to be</w:t>
            </w:r>
          </w:p>
        </w:tc>
        <w:tc>
          <w:tcPr>
            <w:tcW w:w="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74"/>
              <w:spacing w:after="0"/>
              <w:rPr>
                <w:sz w:val="20"/>
                <w:szCs w:val="20"/>
                <w:color w:val="auto"/>
              </w:rPr>
            </w:pPr>
            <w:r>
              <w:rPr>
                <w:rFonts w:ascii="Arial" w:cs="Arial" w:eastAsia="Arial" w:hAnsi="Arial"/>
                <w:sz w:val="14"/>
                <w:szCs w:val="14"/>
                <w:b w:val="1"/>
                <w:bCs w:val="1"/>
                <w:color w:val="auto"/>
              </w:rPr>
              <w:t>Amount of</w:t>
            </w:r>
          </w:p>
        </w:tc>
      </w:tr>
      <w:tr>
        <w:trPr>
          <w:trHeight w:val="18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Securities to be Registered</w:t>
            </w:r>
          </w:p>
        </w:tc>
        <w:tc>
          <w:tcPr>
            <w:tcW w:w="6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Registered†</w:t>
            </w:r>
          </w:p>
        </w:tc>
        <w:tc>
          <w:tcPr>
            <w:tcW w:w="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5"/>
                <w:szCs w:val="15"/>
                <w:color w:val="auto"/>
              </w:rPr>
            </w:pPr>
          </w:p>
        </w:tc>
        <w:tc>
          <w:tcPr>
            <w:tcW w:w="1180" w:type="dxa"/>
            <w:vAlign w:val="bottom"/>
            <w:gridSpan w:val="2"/>
          </w:tcPr>
          <w:p>
            <w:pPr>
              <w:ind w:left="20"/>
              <w:spacing w:after="0" w:line="183" w:lineRule="exact"/>
              <w:rPr>
                <w:sz w:val="20"/>
                <w:szCs w:val="20"/>
                <w:color w:val="auto"/>
              </w:rPr>
            </w:pPr>
            <w:r>
              <w:rPr>
                <w:rFonts w:ascii="Arial" w:cs="Arial" w:eastAsia="Arial" w:hAnsi="Arial"/>
                <w:sz w:val="13"/>
                <w:szCs w:val="13"/>
                <w:b w:val="1"/>
                <w:bCs w:val="1"/>
                <w:color w:val="auto"/>
                <w:w w:val="95"/>
              </w:rPr>
              <w:t>Registration Fee</w:t>
            </w:r>
            <w:r>
              <w:rPr>
                <w:rFonts w:ascii="Arial" w:cs="Arial" w:eastAsia="Arial" w:hAnsi="Arial"/>
                <w:sz w:val="21"/>
                <w:szCs w:val="21"/>
                <w:b w:val="1"/>
                <w:bCs w:val="1"/>
                <w:color w:val="auto"/>
                <w:w w:val="95"/>
                <w:vertAlign w:val="superscript"/>
              </w:rPr>
              <w:t>(3)</w:t>
            </w:r>
          </w:p>
        </w:tc>
      </w:tr>
      <w:tr>
        <w:trPr>
          <w:trHeight w:val="134"/>
        </w:trPr>
        <w:tc>
          <w:tcPr>
            <w:tcW w:w="3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9"/>
              <w:spacing w:after="0" w:line="134" w:lineRule="exact"/>
              <w:rPr>
                <w:sz w:val="20"/>
                <w:szCs w:val="20"/>
                <w:color w:val="auto"/>
              </w:rPr>
            </w:pPr>
            <w:r>
              <w:rPr>
                <w:rFonts w:ascii="Arial" w:cs="Arial" w:eastAsia="Arial" w:hAnsi="Arial"/>
                <w:sz w:val="14"/>
                <w:szCs w:val="14"/>
                <w:b w:val="1"/>
                <w:bCs w:val="1"/>
                <w:color w:val="auto"/>
                <w:w w:val="94"/>
              </w:rPr>
              <w:t>Offering Price</w:t>
            </w: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233"/>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Common Stock, par value</w:t>
            </w:r>
          </w:p>
        </w:tc>
        <w:tc>
          <w:tcPr>
            <w:tcW w:w="1140" w:type="dxa"/>
            <w:vAlign w:val="bottom"/>
            <w:gridSpan w:val="2"/>
            <w:shd w:val="clear" w:color="auto" w:fill="CCFFCC"/>
          </w:tcPr>
          <w:p>
            <w:pPr>
              <w:jc w:val="right"/>
              <w:spacing w:after="0" w:line="233" w:lineRule="exact"/>
              <w:rPr>
                <w:sz w:val="20"/>
                <w:szCs w:val="20"/>
                <w:color w:val="auto"/>
              </w:rPr>
            </w:pPr>
            <w:r>
              <w:rPr>
                <w:rFonts w:ascii="Arial" w:cs="Arial" w:eastAsia="Arial" w:hAnsi="Arial"/>
                <w:sz w:val="17"/>
                <w:szCs w:val="17"/>
                <w:color w:val="auto"/>
                <w:w w:val="98"/>
              </w:rPr>
              <w:t>55,080,630</w:t>
            </w:r>
            <w:r>
              <w:rPr>
                <w:rFonts w:ascii="Arial" w:cs="Arial" w:eastAsia="Arial" w:hAnsi="Arial"/>
                <w:sz w:val="27"/>
                <w:szCs w:val="27"/>
                <w:color w:val="auto"/>
                <w:w w:val="98"/>
                <w:vertAlign w:val="superscript"/>
              </w:rPr>
              <w:t>(1)</w:t>
            </w:r>
          </w:p>
        </w:tc>
        <w:tc>
          <w:tcPr>
            <w:tcW w:w="60" w:type="dxa"/>
            <w:vAlign w:val="bottom"/>
            <w:shd w:val="clear" w:color="auto" w:fill="CCFFCC"/>
          </w:tcPr>
          <w:p>
            <w:pPr>
              <w:spacing w:after="0"/>
              <w:rPr>
                <w:sz w:val="20"/>
                <w:szCs w:val="20"/>
                <w:color w:val="auto"/>
              </w:rPr>
            </w:pPr>
          </w:p>
        </w:tc>
        <w:tc>
          <w:tcPr>
            <w:tcW w:w="1280" w:type="dxa"/>
            <w:vAlign w:val="bottom"/>
            <w:shd w:val="clear" w:color="auto" w:fill="CCFFCC"/>
          </w:tcPr>
          <w:p>
            <w:pPr>
              <w:ind w:left="780"/>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line="233" w:lineRule="exact"/>
              <w:rPr>
                <w:sz w:val="20"/>
                <w:szCs w:val="20"/>
                <w:color w:val="auto"/>
              </w:rPr>
            </w:pPr>
            <w:r>
              <w:rPr>
                <w:rFonts w:ascii="Arial" w:cs="Arial" w:eastAsia="Arial" w:hAnsi="Arial"/>
                <w:sz w:val="17"/>
                <w:szCs w:val="17"/>
                <w:color w:val="auto"/>
              </w:rPr>
              <w:t>428.54</w:t>
            </w:r>
            <w:r>
              <w:rPr>
                <w:rFonts w:ascii="Arial" w:cs="Arial" w:eastAsia="Arial" w:hAnsi="Arial"/>
                <w:sz w:val="27"/>
                <w:szCs w:val="27"/>
                <w:color w:val="auto"/>
                <w:vertAlign w:val="superscript"/>
              </w:rPr>
              <w:t>(2)</w:t>
            </w:r>
          </w:p>
        </w:tc>
        <w:tc>
          <w:tcPr>
            <w:tcW w:w="2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214"/>
              <w:spacing w:after="0"/>
              <w:rPr>
                <w:sz w:val="20"/>
                <w:szCs w:val="20"/>
                <w:color w:val="auto"/>
              </w:rPr>
            </w:pPr>
            <w:r>
              <w:rPr>
                <w:rFonts w:ascii="Arial" w:cs="Arial" w:eastAsia="Arial" w:hAnsi="Arial"/>
                <w:sz w:val="18"/>
                <w:szCs w:val="18"/>
                <w:color w:val="auto"/>
              </w:rPr>
              <w:t>0.05</w:t>
            </w:r>
          </w:p>
        </w:tc>
      </w:tr>
      <w:tr>
        <w:trPr>
          <w:trHeight w:val="228"/>
        </w:trPr>
        <w:tc>
          <w:tcPr>
            <w:tcW w:w="30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$0.01 per share</w:t>
            </w:r>
          </w:p>
        </w:tc>
        <w:tc>
          <w:tcPr>
            <w:tcW w:w="6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rPr>
              <w:t>Preferred Stock, par value</w:t>
            </w:r>
          </w:p>
        </w:tc>
        <w:tc>
          <w:tcPr>
            <w:tcW w:w="1140" w:type="dxa"/>
            <w:vAlign w:val="bottom"/>
            <w:gridSpan w:val="2"/>
          </w:tcPr>
          <w:p>
            <w:pPr>
              <w:jc w:val="right"/>
              <w:spacing w:after="0" w:line="240" w:lineRule="exact"/>
              <w:rPr>
                <w:sz w:val="20"/>
                <w:szCs w:val="20"/>
                <w:color w:val="auto"/>
              </w:rPr>
            </w:pPr>
            <w:r>
              <w:rPr>
                <w:rFonts w:ascii="Arial" w:cs="Arial" w:eastAsia="Arial" w:hAnsi="Arial"/>
                <w:sz w:val="17"/>
                <w:szCs w:val="17"/>
                <w:color w:val="auto"/>
              </w:rPr>
              <w:t>6,818</w:t>
            </w:r>
            <w:r>
              <w:rPr>
                <w:rFonts w:ascii="Arial" w:cs="Arial" w:eastAsia="Arial" w:hAnsi="Arial"/>
                <w:sz w:val="27"/>
                <w:szCs w:val="27"/>
                <w:color w:val="auto"/>
                <w:vertAlign w:val="superscript"/>
              </w:rPr>
              <w:t>(4)</w:t>
            </w:r>
          </w:p>
        </w:tc>
        <w:tc>
          <w:tcPr>
            <w:tcW w:w="60" w:type="dxa"/>
            <w:vAlign w:val="bottom"/>
          </w:tcPr>
          <w:p>
            <w:pPr>
              <w:spacing w:after="0"/>
              <w:rPr>
                <w:sz w:val="20"/>
                <w:szCs w:val="20"/>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N/A</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40" w:lineRule="exact"/>
              <w:rPr>
                <w:sz w:val="20"/>
                <w:szCs w:val="20"/>
                <w:color w:val="auto"/>
              </w:rPr>
            </w:pPr>
            <w:r>
              <w:rPr>
                <w:rFonts w:ascii="Arial" w:cs="Arial" w:eastAsia="Arial" w:hAnsi="Arial"/>
                <w:sz w:val="17"/>
                <w:szCs w:val="17"/>
                <w:color w:val="auto"/>
              </w:rPr>
              <w:t>0.23</w:t>
            </w:r>
            <w:r>
              <w:rPr>
                <w:rFonts w:ascii="Arial" w:cs="Arial" w:eastAsia="Arial" w:hAnsi="Arial"/>
                <w:sz w:val="27"/>
                <w:szCs w:val="27"/>
                <w:color w:val="auto"/>
                <w:vertAlign w:val="superscript"/>
              </w:rPr>
              <w:t>(5)</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0.01</w:t>
            </w:r>
          </w:p>
        </w:tc>
      </w:tr>
      <w:tr>
        <w:trPr>
          <w:trHeight w:val="227"/>
        </w:trPr>
        <w:tc>
          <w:tcPr>
            <w:tcW w:w="3000" w:type="dxa"/>
            <w:vAlign w:val="bottom"/>
          </w:tcPr>
          <w:p>
            <w:pPr>
              <w:ind w:left="180"/>
              <w:spacing w:after="0"/>
              <w:rPr>
                <w:sz w:val="20"/>
                <w:szCs w:val="20"/>
                <w:color w:val="auto"/>
              </w:rPr>
            </w:pPr>
            <w:r>
              <w:rPr>
                <w:rFonts w:ascii="Arial" w:cs="Arial" w:eastAsia="Arial" w:hAnsi="Arial"/>
                <w:sz w:val="18"/>
                <w:szCs w:val="18"/>
                <w:color w:val="auto"/>
              </w:rPr>
              <w:t>$0.01 per share</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5"/>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8"/>
              </w:rPr>
              <w:t>Warrants to purchase Common Stock</w:t>
            </w:r>
          </w:p>
        </w:tc>
        <w:tc>
          <w:tcPr>
            <w:tcW w:w="1140" w:type="dxa"/>
            <w:vAlign w:val="bottom"/>
            <w:gridSpan w:val="2"/>
            <w:shd w:val="clear" w:color="auto" w:fill="CCFFCC"/>
          </w:tcPr>
          <w:p>
            <w:pPr>
              <w:jc w:val="right"/>
              <w:spacing w:after="0" w:line="255" w:lineRule="exact"/>
              <w:rPr>
                <w:sz w:val="20"/>
                <w:szCs w:val="20"/>
                <w:color w:val="auto"/>
              </w:rPr>
            </w:pPr>
            <w:r>
              <w:rPr>
                <w:rFonts w:ascii="Arial" w:cs="Arial" w:eastAsia="Arial" w:hAnsi="Arial"/>
                <w:sz w:val="18"/>
                <w:szCs w:val="18"/>
                <w:color w:val="auto"/>
                <w:w w:val="93"/>
              </w:rPr>
              <w:t>16,809,838</w:t>
            </w:r>
            <w:r>
              <w:rPr>
                <w:rFonts w:ascii="Arial" w:cs="Arial" w:eastAsia="Arial" w:hAnsi="Arial"/>
                <w:sz w:val="29"/>
                <w:szCs w:val="29"/>
                <w:color w:val="auto"/>
                <w:w w:val="93"/>
                <w:vertAlign w:val="superscript"/>
              </w:rPr>
              <w:t>(6)</w:t>
            </w:r>
          </w:p>
        </w:tc>
        <w:tc>
          <w:tcPr>
            <w:tcW w:w="60" w:type="dxa"/>
            <w:vAlign w:val="bottom"/>
            <w:shd w:val="clear" w:color="auto" w:fill="CCFFCC"/>
          </w:tcPr>
          <w:p>
            <w:pPr>
              <w:spacing w:after="0"/>
              <w:rPr>
                <w:sz w:val="22"/>
                <w:szCs w:val="22"/>
                <w:color w:val="auto"/>
              </w:rPr>
            </w:pPr>
          </w:p>
        </w:tc>
        <w:tc>
          <w:tcPr>
            <w:tcW w:w="1280" w:type="dxa"/>
            <w:vAlign w:val="bottom"/>
            <w:shd w:val="clear" w:color="auto" w:fill="CCFFCC"/>
          </w:tcPr>
          <w:p>
            <w:pPr>
              <w:ind w:left="78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60" w:type="dxa"/>
            <w:vAlign w:val="bottom"/>
            <w:shd w:val="clear" w:color="auto" w:fill="CCFFCC"/>
          </w:tcPr>
          <w:p>
            <w:pPr>
              <w:jc w:val="right"/>
              <w:ind w:right="159"/>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000" w:type="dxa"/>
            <w:vAlign w:val="bottom"/>
            <w:shd w:val="clear" w:color="auto" w:fill="CCFFCC"/>
          </w:tcPr>
          <w:p>
            <w:pPr>
              <w:jc w:val="right"/>
              <w:ind w:right="34"/>
              <w:spacing w:after="0" w:line="255"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(7)</w:t>
            </w:r>
          </w:p>
        </w:tc>
      </w:tr>
      <w:tr>
        <w:trPr>
          <w:trHeight w:val="240"/>
        </w:trPr>
        <w:tc>
          <w:tcPr>
            <w:tcW w:w="3000" w:type="dxa"/>
            <w:vAlign w:val="bottom"/>
          </w:tcPr>
          <w:p>
            <w:pPr>
              <w:ind w:left="20"/>
              <w:spacing w:after="0"/>
              <w:rPr>
                <w:sz w:val="20"/>
                <w:szCs w:val="20"/>
                <w:color w:val="auto"/>
              </w:rPr>
            </w:pPr>
            <w:r>
              <w:rPr>
                <w:rFonts w:ascii="Arial" w:cs="Arial" w:eastAsia="Arial" w:hAnsi="Arial"/>
                <w:sz w:val="18"/>
                <w:szCs w:val="18"/>
                <w:color w:val="auto"/>
                <w:w w:val="89"/>
              </w:rPr>
              <w:t>Common Stock issuable upon exercise of</w:t>
            </w:r>
          </w:p>
        </w:tc>
        <w:tc>
          <w:tcPr>
            <w:tcW w:w="1140" w:type="dxa"/>
            <w:vAlign w:val="bottom"/>
            <w:gridSpan w:val="2"/>
          </w:tcPr>
          <w:p>
            <w:pPr>
              <w:jc w:val="right"/>
              <w:spacing w:after="0" w:line="240" w:lineRule="exact"/>
              <w:rPr>
                <w:sz w:val="20"/>
                <w:szCs w:val="20"/>
                <w:color w:val="auto"/>
              </w:rPr>
            </w:pPr>
            <w:r>
              <w:rPr>
                <w:rFonts w:ascii="Arial" w:cs="Arial" w:eastAsia="Arial" w:hAnsi="Arial"/>
                <w:sz w:val="17"/>
                <w:szCs w:val="17"/>
                <w:color w:val="auto"/>
                <w:w w:val="98"/>
              </w:rPr>
              <w:t>16,809,838</w:t>
            </w:r>
            <w:r>
              <w:rPr>
                <w:rFonts w:ascii="Arial" w:cs="Arial" w:eastAsia="Arial" w:hAnsi="Arial"/>
                <w:sz w:val="27"/>
                <w:szCs w:val="27"/>
                <w:color w:val="auto"/>
                <w:w w:val="98"/>
                <w:vertAlign w:val="superscript"/>
              </w:rPr>
              <w:t>(8)</w:t>
            </w:r>
          </w:p>
        </w:tc>
        <w:tc>
          <w:tcPr>
            <w:tcW w:w="60" w:type="dxa"/>
            <w:vAlign w:val="bottom"/>
          </w:tcPr>
          <w:p>
            <w:pPr>
              <w:spacing w:after="0"/>
              <w:rPr>
                <w:sz w:val="20"/>
                <w:szCs w:val="20"/>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N/A</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40" w:lineRule="exact"/>
              <w:rPr>
                <w:sz w:val="20"/>
                <w:szCs w:val="20"/>
                <w:color w:val="auto"/>
              </w:rPr>
            </w:pPr>
            <w:r>
              <w:rPr>
                <w:rFonts w:ascii="Arial" w:cs="Arial" w:eastAsia="Arial" w:hAnsi="Arial"/>
                <w:sz w:val="17"/>
                <w:szCs w:val="17"/>
                <w:color w:val="auto"/>
                <w:w w:val="90"/>
              </w:rPr>
              <w:t>29,585,314.88</w:t>
            </w:r>
            <w:r>
              <w:rPr>
                <w:rFonts w:ascii="Arial" w:cs="Arial" w:eastAsia="Arial" w:hAnsi="Arial"/>
                <w:sz w:val="27"/>
                <w:szCs w:val="27"/>
                <w:color w:val="auto"/>
                <w:w w:val="90"/>
                <w:vertAlign w:val="superscript"/>
              </w:rPr>
              <w:t>(9)</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w w:val="96"/>
              </w:rPr>
              <w:t>3,390.48</w:t>
            </w:r>
          </w:p>
        </w:tc>
      </w:tr>
      <w:tr>
        <w:trPr>
          <w:trHeight w:val="227"/>
        </w:trPr>
        <w:tc>
          <w:tcPr>
            <w:tcW w:w="3000" w:type="dxa"/>
            <w:vAlign w:val="bottom"/>
          </w:tcPr>
          <w:p>
            <w:pPr>
              <w:ind w:left="180"/>
              <w:spacing w:after="0"/>
              <w:rPr>
                <w:sz w:val="20"/>
                <w:szCs w:val="20"/>
                <w:color w:val="auto"/>
              </w:rPr>
            </w:pPr>
            <w:r>
              <w:rPr>
                <w:rFonts w:ascii="Arial" w:cs="Arial" w:eastAsia="Arial" w:hAnsi="Arial"/>
                <w:sz w:val="18"/>
                <w:szCs w:val="18"/>
                <w:color w:val="auto"/>
              </w:rPr>
              <w:t>the Warrants</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170815</wp:posOffset>
            </wp:positionV>
            <wp:extent cx="610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00" w:right="639" w:hanging="275"/>
        <w:spacing w:after="0" w:line="270"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this registration statement also covers an indeterminate number of additional securities of Vringo as may be issuable as a result of stock splits, stock dividends or similar transactions.</w:t>
      </w:r>
    </w:p>
    <w:p>
      <w:pPr>
        <w:spacing w:after="0" w:line="69" w:lineRule="exact"/>
        <w:rPr>
          <w:sz w:val="20"/>
          <w:szCs w:val="20"/>
          <w:color w:val="auto"/>
        </w:rPr>
      </w:pPr>
    </w:p>
    <w:p>
      <w:pPr>
        <w:jc w:val="both"/>
        <w:ind w:left="300" w:right="639" w:hanging="275"/>
        <w:spacing w:after="0" w:line="252"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maximum number of shares of Vringo common stock, par value $0.01 per share, estimated to be issuable to holders of Innovate/Protect capital stock in the transactions described in the proxy statement/prospectus. If Vringo effects a reverse stock split as described in the proxy statement/prospectus, all Vringo common stock, including the securities covered by this Registration Statement, will be reclassified and combined by a reverse stock split into a lesser amount of Vringo common stock, and the amount of undistributed common stock deemed to be covered by this Registration Statement shall be proportionately reduced.</w:t>
      </w:r>
    </w:p>
    <w:p>
      <w:pPr>
        <w:spacing w:after="0" w:line="86" w:lineRule="exact"/>
        <w:rPr>
          <w:rFonts w:ascii="Arial" w:cs="Arial" w:eastAsia="Arial" w:hAnsi="Arial"/>
          <w:sz w:val="18"/>
          <w:szCs w:val="18"/>
          <w:color w:val="auto"/>
        </w:rPr>
      </w:pPr>
    </w:p>
    <w:p>
      <w:pPr>
        <w:jc w:val="both"/>
        <w:ind w:left="300" w:right="619" w:hanging="275"/>
        <w:spacing w:after="0" w:line="272"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457(f)(2) under the Securities Act. As Innovate/Protect, the issuer of the securities to be acquired and cancelled in the proposed transaction, has an accumulated capital deficit of approximately $2.754 million as of December 31, 2011, the offering price shown is calculated based on one-third of the aggregate $0.0001 par value per share of Innovate/Protect common stock to be cancelled in the Merger or underlying preferred stock, options and warrants to be assumed or exchanged in the Merger.</w:t>
      </w:r>
    </w:p>
    <w:p>
      <w:pPr>
        <w:spacing w:after="0" w:line="68" w:lineRule="exact"/>
        <w:rPr>
          <w:rFonts w:ascii="Arial" w:cs="Arial" w:eastAsia="Arial" w:hAnsi="Arial"/>
          <w:sz w:val="17"/>
          <w:szCs w:val="17"/>
          <w:color w:val="auto"/>
        </w:rPr>
      </w:pPr>
    </w:p>
    <w:p>
      <w:pPr>
        <w:ind w:left="300" w:right="63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Determined in accordance with Section 6(b) of the Securities Act of 1933 by multiplying 0.0001146 by the proposed maximum aggregate offering price.</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maximum number of shares of Vringo convertible preferred stock to be issued by Vringo at the completion of the Merger.</w:t>
      </w:r>
    </w:p>
    <w:p>
      <w:pPr>
        <w:spacing w:after="0" w:line="68" w:lineRule="exact"/>
        <w:rPr>
          <w:rFonts w:ascii="Arial" w:cs="Arial" w:eastAsia="Arial" w:hAnsi="Arial"/>
          <w:sz w:val="18"/>
          <w:szCs w:val="18"/>
          <w:color w:val="auto"/>
        </w:rPr>
      </w:pPr>
    </w:p>
    <w:p>
      <w:pPr>
        <w:ind w:left="300" w:right="61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offering price shown is calculated based on one-third of the aggregate $0.0001 par value per share of Innovate/Protect preferred stock to be cancelled in the Merger.</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maximum number of warrants to purchase Vringo common stock to be issued by Vringo at the completion of the Merger in exchange for the then outstanding Innovate/Protect warrant.</w:t>
      </w:r>
    </w:p>
    <w:p>
      <w:pPr>
        <w:spacing w:after="0" w:line="68" w:lineRule="exact"/>
        <w:rPr>
          <w:rFonts w:ascii="Arial" w:cs="Arial" w:eastAsia="Arial" w:hAnsi="Arial"/>
          <w:sz w:val="18"/>
          <w:szCs w:val="18"/>
          <w:color w:val="auto"/>
        </w:rPr>
      </w:pPr>
    </w:p>
    <w:p>
      <w:pPr>
        <w:jc w:val="both"/>
        <w:ind w:left="300" w:right="619" w:hanging="275"/>
        <w:spacing w:after="0" w:line="259"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accordance with existing SEC interpretations, the entire registration fee for the warrants is allocated to the Vringo common stock registered underlying the warrants, and no separate fee is recorded for the warrants to purchase shares of Vringo common stock.</w:t>
      </w:r>
    </w:p>
    <w:p>
      <w:pPr>
        <w:spacing w:after="0" w:line="7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maximum number of shares of Vringo common stock issuable upon exercise of the warrants, to be issued by Vringo in the Merger.</w:t>
      </w:r>
    </w:p>
    <w:p>
      <w:pPr>
        <w:spacing w:after="0" w:line="68" w:lineRule="exact"/>
        <w:rPr>
          <w:rFonts w:ascii="Arial" w:cs="Arial" w:eastAsia="Arial" w:hAnsi="Arial"/>
          <w:sz w:val="18"/>
          <w:szCs w:val="18"/>
          <w:color w:val="auto"/>
        </w:rPr>
      </w:pPr>
    </w:p>
    <w:p>
      <w:pPr>
        <w:ind w:left="300" w:right="619" w:hanging="275"/>
        <w:spacing w:after="0" w:line="27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proposed maximum aggregate offering price of the registrant’s warrants to purchase Vringo common stock is calculated based on the $1.76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171450</wp:posOffset>
            </wp:positionV>
            <wp:extent cx="1527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441960</wp:posOffset>
            </wp:positionV>
            <wp:extent cx="6051550" cy="59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012815" cy="937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2815" cy="937895"/>
                    </a:xfrm>
                    <a:prstGeom prst="rect">
                      <a:avLst/>
                    </a:prstGeom>
                    <a:noFill/>
                  </pic:spPr>
                </pic:pic>
              </a:graphicData>
            </a:graphic>
          </wp:anchor>
        </w:drawing>
      </w:r>
    </w:p>
    <w:p>
      <w:pPr>
        <w:spacing w:after="0" w:line="215" w:lineRule="exact"/>
        <w:rPr>
          <w:sz w:val="20"/>
          <w:szCs w:val="20"/>
          <w:color w:val="auto"/>
        </w:rPr>
      </w:pPr>
    </w:p>
    <w:p>
      <w:pPr>
        <w:ind w:left="80" w:right="719"/>
        <w:spacing w:after="0" w:line="252" w:lineRule="auto"/>
        <w:rPr>
          <w:sz w:val="20"/>
          <w:szCs w:val="20"/>
          <w:color w:val="auto"/>
        </w:rPr>
      </w:pPr>
      <w:r>
        <w:rPr>
          <w:rFonts w:ascii="Arial" w:cs="Arial" w:eastAsia="Arial" w:hAnsi="Arial"/>
          <w:sz w:val="18"/>
          <w:szCs w:val="18"/>
          <w:color w:val="FF0000"/>
        </w:rPr>
        <w:t>The information in this proxy statement/prospectus is not complete and may be changed. Vringo, Inc. may not sell these securities until the registration statement filed with the Securities and Exchange Commission, of which this proxy statement/prospectus is a part, is declared effective. This proxy statement/prospectus is not an offer to sell these securities and it is not the solicitation of an offer to buy these securities in any jurisdiction where the offer, solicitation or sale is not permitted or would be unlawful prior to registration or qualification under the securities laws of any such jurisdiction. Any representation to the contrary is a criminal offense.</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PRELIMINARY — SUBJECT TO COMPLETION — DATED 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83820</wp:posOffset>
            </wp:positionV>
            <wp:extent cx="2096135" cy="1103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6135" cy="110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PROPOSED MERGER — YOUR VOTE IS VERY IMPORTANT</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 Inc. (“</w:t>
      </w:r>
      <w:r>
        <w:rPr>
          <w:rFonts w:ascii="Arial" w:cs="Arial" w:eastAsia="Arial" w:hAnsi="Arial"/>
          <w:sz w:val="18"/>
          <w:szCs w:val="18"/>
          <w:b w:val="1"/>
          <w:bCs w:val="1"/>
          <w:color w:val="auto"/>
        </w:rPr>
        <w:t>Vringo</w:t>
      </w:r>
      <w:r>
        <w:rPr>
          <w:rFonts w:ascii="Arial" w:cs="Arial" w:eastAsia="Arial" w:hAnsi="Arial"/>
          <w:sz w:val="18"/>
          <w:szCs w:val="18"/>
          <w:color w:val="auto"/>
        </w:rPr>
        <w:t>”), VIP Merger Sub, Inc., a wholly-owned subsidiary of Vringo (“</w:t>
      </w:r>
      <w:r>
        <w:rPr>
          <w:rFonts w:ascii="Arial" w:cs="Arial" w:eastAsia="Arial" w:hAnsi="Arial"/>
          <w:sz w:val="18"/>
          <w:szCs w:val="18"/>
          <w:b w:val="1"/>
          <w:bCs w:val="1"/>
          <w:color w:val="auto"/>
        </w:rPr>
        <w:t>Merger Sub</w:t>
      </w:r>
      <w:r>
        <w:rPr>
          <w:rFonts w:ascii="Arial" w:cs="Arial" w:eastAsia="Arial" w:hAnsi="Arial"/>
          <w:sz w:val="18"/>
          <w:szCs w:val="18"/>
          <w:color w:val="auto"/>
        </w:rPr>
        <w:t>”), and Innovate/Protect, Inc. (“</w:t>
      </w:r>
      <w:r>
        <w:rPr>
          <w:rFonts w:ascii="Arial" w:cs="Arial" w:eastAsia="Arial" w:hAnsi="Arial"/>
          <w:sz w:val="18"/>
          <w:szCs w:val="18"/>
          <w:b w:val="1"/>
          <w:bCs w:val="1"/>
          <w:color w:val="auto"/>
        </w:rPr>
        <w:t>Innovate/Protect</w:t>
      </w:r>
      <w:r>
        <w:rPr>
          <w:rFonts w:ascii="Arial" w:cs="Arial" w:eastAsia="Arial" w:hAnsi="Arial"/>
          <w:sz w:val="18"/>
          <w:szCs w:val="18"/>
          <w:color w:val="auto"/>
        </w:rPr>
        <w:t>”) entered into a Merger Agreement on March 12, 2012 (as may be amended or modified,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Innovate/Protect will merge with and into Merger Sub, with Merger Sub surviving the merger as a</w:t>
      </w:r>
      <w:r>
        <w:rPr>
          <w:rFonts w:ascii="Arial" w:cs="Arial" w:eastAsia="Arial" w:hAnsi="Arial"/>
          <w:sz w:val="18"/>
          <w:szCs w:val="18"/>
          <w:b w:val="1"/>
          <w:bCs w:val="1"/>
          <w:color w:val="auto"/>
        </w:rPr>
        <w:t xml:space="preserve"> </w:t>
      </w:r>
      <w:r>
        <w:rPr>
          <w:rFonts w:ascii="Arial" w:cs="Arial" w:eastAsia="Arial" w:hAnsi="Arial"/>
          <w:sz w:val="18"/>
          <w:szCs w:val="18"/>
          <w:color w:val="auto"/>
        </w:rPr>
        <w:t>wholly-owned subsidiary of Vringo (the “</w:t>
      </w:r>
      <w:r>
        <w:rPr>
          <w:rFonts w:ascii="Arial" w:cs="Arial" w:eastAsia="Arial" w:hAnsi="Arial"/>
          <w:sz w:val="18"/>
          <w:szCs w:val="18"/>
          <w:b w:val="1"/>
          <w:bCs w:val="1"/>
          <w:color w:val="auto"/>
        </w:rPr>
        <w:t>Merger</w:t>
      </w:r>
      <w:r>
        <w:rPr>
          <w:rFonts w:ascii="Arial" w:cs="Arial" w:eastAsia="Arial" w:hAnsi="Arial"/>
          <w:sz w:val="18"/>
          <w:szCs w:val="18"/>
          <w:color w:val="auto"/>
        </w:rPr>
        <w:t>”). The board of directors of Vringo has unanimously approved the Merger Agreement and the Merger. In addition, the board of directors of Innovate/Protect has unanimously approved the Merger Agreement and the Merger.</w:t>
      </w:r>
    </w:p>
    <w:p>
      <w:pPr>
        <w:spacing w:after="0" w:line="85" w:lineRule="exact"/>
        <w:rPr>
          <w:sz w:val="20"/>
          <w:szCs w:val="20"/>
          <w:color w:val="auto"/>
        </w:rPr>
      </w:pPr>
    </w:p>
    <w:p>
      <w:pPr>
        <w:jc w:val="both"/>
        <w:ind w:left="40" w:right="619" w:firstLine="267"/>
        <w:spacing w:after="0" w:line="280" w:lineRule="auto"/>
        <w:rPr>
          <w:sz w:val="20"/>
          <w:szCs w:val="20"/>
          <w:color w:val="auto"/>
        </w:rPr>
      </w:pPr>
      <w:r>
        <w:rPr>
          <w:rFonts w:ascii="Arial" w:cs="Arial" w:eastAsia="Arial" w:hAnsi="Arial"/>
          <w:sz w:val="16"/>
          <w:szCs w:val="16"/>
          <w:color w:val="auto"/>
        </w:rPr>
        <w:t xml:space="preserve">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6,818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6,818 shares, as of April 5, 2012, shall be initially convertible into an aggregate of 20,573,998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6"/>
          <w:szCs w:val="16"/>
          <w:i w:val="1"/>
          <w:iCs w:val="1"/>
          <w:color w:val="auto"/>
        </w:rPr>
        <w:t xml:space="preserve">rata </w:t>
      </w:r>
      <w:r>
        <w:rPr>
          <w:rFonts w:ascii="Arial" w:cs="Arial" w:eastAsia="Arial" w:hAnsi="Arial"/>
          <w:sz w:val="16"/>
          <w:szCs w:val="16"/>
          <w:color w:val="auto"/>
        </w:rPr>
        <w:t>as-converted basis) an aggregate of 15,959,838 warrants to purchase an aggregate of 15,959,838 shares of Vringo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(without taking into account any shares of Vringo common stock held by Innovate/Protect stockholders prior to the completion of the Merger), the former stockholders of Innovate/Protect are expected to own approximately 56.05% of the outstanding common stock of the combined company (or 67.55% of the outstanding common stock of the combined company calculated on a fully diluted basis) and the current stockholders of Vringo are expected to own approximately 43.95% of the outstanding common stock of the combined company (or 32.45% of the outstanding common stock of the combined company calculated on a fully diluted basis).</w:t>
      </w:r>
    </w:p>
    <w:p>
      <w:pPr>
        <w:spacing w:after="0" w:line="2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common stock is listed on the NYSE Amex and trades under the symbol “VRNG.” On ________, 2012, the latest</w:t>
      </w:r>
    </w:p>
    <w:p>
      <w:pPr>
        <w:spacing w:after="0" w:line="31" w:lineRule="exact"/>
        <w:rPr>
          <w:sz w:val="20"/>
          <w:szCs w:val="20"/>
          <w:color w:val="auto"/>
        </w:rPr>
      </w:pPr>
    </w:p>
    <w:p>
      <w:pPr>
        <w:jc w:val="both"/>
        <w:ind w:left="40" w:right="619"/>
        <w:spacing w:after="0" w:line="251" w:lineRule="auto"/>
        <w:rPr>
          <w:sz w:val="20"/>
          <w:szCs w:val="20"/>
          <w:color w:val="auto"/>
        </w:rPr>
      </w:pPr>
      <w:r>
        <w:rPr>
          <w:rFonts w:ascii="Arial" w:cs="Arial" w:eastAsia="Arial" w:hAnsi="Arial"/>
          <w:sz w:val="18"/>
          <w:szCs w:val="18"/>
          <w:color w:val="auto"/>
        </w:rPr>
        <w:t>practicable date before the printing of this proxy statement/prospectus, the closing sale price of Vringo common stock was $________ per share. Innovate/Protect is a privately held intellectual property company. Following the completion of the Merger, the combined company is expected to be publicly traded on the NYSE Amex.</w:t>
      </w:r>
    </w:p>
    <w:p>
      <w:pPr>
        <w:spacing w:after="0" w:line="86"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Vringo is soliciting proxies for use at an annual meeting of its stockholders to consider and vote upon (i) a proposal to approve the Merger, including, but not limited to the issuance of shares of Vringo common stock and Vringo preferred stock and warrants to purchase shares of Vringo common stock to the Innovate/Protect stockholders and warrantholder in connection with the Merger, (ii) a proposal to approve an amendment to Vringo’s certificate of incorporation to effect a reverse stock split of Vringo common stock within the range of one-for-two to one-for-four, (iii) a proposal to approve an amendment to Vringo’s certificate of incorporation to increase the number of authorized shares of Vringo common stock to up to a maximum of 150,000,000 shares, (iv) a proposal to elect seven (7) director nominees to the Vringo board of directors, (v) a proposal to approve the Vringo, Inc. 2012 Employee, Director and Consultant Equity Incentive Plan, (vi) a proposal to ratify the appointment of Vringo’s independent registered public accounting firm and (vii) an adjournment of the Vringo annual meeting, if necessary, to solicit additional proxies if there are not sufficient votes in favor of the proposals referred to in clauses (i) through (vi). </w:t>
      </w:r>
      <w:r>
        <w:rPr>
          <w:rFonts w:ascii="Arial" w:cs="Arial" w:eastAsia="Arial" w:hAnsi="Arial"/>
          <w:sz w:val="16"/>
          <w:szCs w:val="16"/>
          <w:b w:val="1"/>
          <w:bCs w:val="1"/>
          <w:color w:val="auto"/>
        </w:rPr>
        <w:t>The board of directors of Vringo recommends</w:t>
      </w:r>
    </w:p>
    <w:p>
      <w:pPr>
        <w:sectPr>
          <w:pgSz w:w="11900" w:h="16838" w:orient="portrait"/>
          <w:cols w:equalWidth="0" w:num="1">
            <w:col w:w="10079"/>
          </w:cols>
          <w:pgMar w:left="380" w:top="785" w:right="1440" w:bottom="0" w:gutter="0" w:footer="0" w:header="0"/>
        </w:sectPr>
      </w:pPr>
    </w:p>
    <w:bookmarkStart w:id="4" w:name="page5"/>
    <w:bookmarkEnd w:id="4"/>
    <w:p>
      <w:pPr>
        <w:jc w:val="both"/>
        <w:ind w:right="639"/>
        <w:spacing w:after="0" w:line="275" w:lineRule="auto"/>
        <w:rPr>
          <w:sz w:val="20"/>
          <w:szCs w:val="20"/>
          <w:color w:val="auto"/>
        </w:rPr>
      </w:pPr>
      <w:r>
        <w:rPr>
          <w:rFonts w:ascii="Arial" w:cs="Arial" w:eastAsia="Arial" w:hAnsi="Arial"/>
          <w:sz w:val="18"/>
          <w:szCs w:val="18"/>
          <w:b w:val="1"/>
          <w:bCs w:val="1"/>
          <w:color w:val="auto"/>
        </w:rPr>
        <w:t>that Vringo stockholders vote FOR each of the foregoing proposals. Approval of the foregoing proposals (i) through (iv) is necessary to complete the Merger</w:t>
      </w:r>
      <w:r>
        <w:rPr>
          <w:rFonts w:ascii="Arial" w:cs="Arial" w:eastAsia="Arial" w:hAnsi="Arial"/>
          <w:sz w:val="18"/>
          <w:szCs w:val="18"/>
          <w:color w:val="auto"/>
        </w:rPr>
        <w:t>.</w:t>
      </w:r>
    </w:p>
    <w:p>
      <w:pPr>
        <w:spacing w:after="0" w:line="60" w:lineRule="exact"/>
        <w:rPr>
          <w:sz w:val="20"/>
          <w:szCs w:val="20"/>
          <w:color w:val="auto"/>
        </w:rPr>
      </w:pPr>
    </w:p>
    <w:p>
      <w:pPr>
        <w:jc w:val="both"/>
        <w:ind w:right="619" w:firstLine="267"/>
        <w:spacing w:after="0" w:line="257" w:lineRule="auto"/>
        <w:rPr>
          <w:sz w:val="20"/>
          <w:szCs w:val="20"/>
          <w:color w:val="auto"/>
        </w:rPr>
      </w:pPr>
      <w:r>
        <w:rPr>
          <w:rFonts w:ascii="Arial" w:cs="Arial" w:eastAsia="Arial" w:hAnsi="Arial"/>
          <w:sz w:val="18"/>
          <w:szCs w:val="18"/>
          <w:b w:val="1"/>
          <w:bCs w:val="1"/>
          <w:color w:val="auto"/>
        </w:rPr>
        <w:t>Your vote is very important</w:t>
      </w:r>
      <w:r>
        <w:rPr>
          <w:rFonts w:ascii="Arial" w:cs="Arial" w:eastAsia="Arial" w:hAnsi="Arial"/>
          <w:sz w:val="18"/>
          <w:szCs w:val="18"/>
          <w:color w:val="auto"/>
        </w:rPr>
        <w:t>. Whether or not you plan to attend the Vringo annual meeting of stockholders, please submit</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as promptly as possible (i) through the Internet, (ii) by telephone or (iii) by marking, signing and dating the enclosed proxy card and returning it in the postage-paid envelope provided to make sure that your shares are represented at the annual meeting.</w:t>
      </w:r>
    </w:p>
    <w:p>
      <w:pPr>
        <w:spacing w:after="0" w:line="80" w:lineRule="exact"/>
        <w:rPr>
          <w:sz w:val="20"/>
          <w:szCs w:val="20"/>
          <w:color w:val="auto"/>
        </w:rPr>
      </w:pPr>
    </w:p>
    <w:p>
      <w:pPr>
        <w:jc w:val="both"/>
        <w:ind w:right="619" w:firstLine="267"/>
        <w:spacing w:after="0" w:line="334" w:lineRule="auto"/>
        <w:rPr>
          <w:sz w:val="20"/>
          <w:szCs w:val="20"/>
          <w:color w:val="auto"/>
        </w:rPr>
      </w:pPr>
      <w:r>
        <w:rPr>
          <w:rFonts w:ascii="Arial" w:cs="Arial" w:eastAsia="Arial" w:hAnsi="Arial"/>
          <w:sz w:val="16"/>
          <w:szCs w:val="16"/>
          <w:color w:val="auto"/>
        </w:rPr>
        <w:t>This proxy statement/prospectus provides you with detailed information about the Vringo annual meeting, the Merger and the other business to be considered by Vringo stockholders at the annual meeting. In addition to being a proxy statement,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392430</wp:posOffset>
            </wp:positionV>
            <wp:extent cx="6051550" cy="59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39"/>
          </w:cols>
          <w:pgMar w:left="420" w:top="121"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880"/>
        <w:spacing w:after="0" w:line="284" w:lineRule="auto"/>
        <w:rPr>
          <w:sz w:val="20"/>
          <w:szCs w:val="20"/>
          <w:color w:val="auto"/>
        </w:rPr>
      </w:pPr>
      <w:r>
        <w:rPr>
          <w:rFonts w:ascii="Arial" w:cs="Arial" w:eastAsia="Arial" w:hAnsi="Arial"/>
          <w:sz w:val="16"/>
          <w:szCs w:val="16"/>
          <w:color w:val="auto"/>
        </w:rPr>
        <w:t xml:space="preserve">is also a prospectus to be used by Vringo when issuing Vringo common stock and preferred stock, the warrants to purchase common stock and the shares of common stock underlying such preferred stock and warrants to be issued to the Innovate/Protect stockholders and warrantholder in connection with the Merger. </w:t>
      </w:r>
      <w:r>
        <w:rPr>
          <w:rFonts w:ascii="Arial" w:cs="Arial" w:eastAsia="Arial" w:hAnsi="Arial"/>
          <w:sz w:val="16"/>
          <w:szCs w:val="16"/>
          <w:b w:val="1"/>
          <w:bCs w:val="1"/>
          <w:color w:val="auto"/>
        </w:rPr>
        <w:t>Vringo encourages you to read the entire document carefully.</w:t>
      </w:r>
    </w:p>
    <w:p>
      <w:pPr>
        <w:spacing w:after="0" w:line="1" w:lineRule="exact"/>
        <w:rPr>
          <w:sz w:val="20"/>
          <w:szCs w:val="20"/>
          <w:color w:val="auto"/>
        </w:rPr>
      </w:pPr>
    </w:p>
    <w:p>
      <w:pPr>
        <w:jc w:val="both"/>
        <w:ind w:left="40" w:right="860"/>
        <w:spacing w:after="0" w:line="251" w:lineRule="auto"/>
        <w:rPr>
          <w:sz w:val="20"/>
          <w:szCs w:val="20"/>
          <w:color w:val="auto"/>
        </w:rPr>
      </w:pPr>
      <w:r>
        <w:rPr>
          <w:rFonts w:ascii="Arial" w:cs="Arial" w:eastAsia="Arial" w:hAnsi="Arial"/>
          <w:sz w:val="18"/>
          <w:szCs w:val="18"/>
          <w:b w:val="1"/>
          <w:bCs w:val="1"/>
          <w:color w:val="auto"/>
        </w:rPr>
        <w:t xml:space="preserve">Please pay particular attention to the section entitled “Risk Factors” beginning on page </w:t>
      </w:r>
      <w:r>
        <w:rPr>
          <w:rFonts w:ascii="Arial" w:cs="Arial" w:eastAsia="Arial" w:hAnsi="Arial"/>
          <w:sz w:val="18"/>
          <w:szCs w:val="18"/>
          <w:b w:val="1"/>
          <w:bCs w:val="1"/>
          <w:u w:val="single" w:color="auto"/>
          <w:color w:val="0000EE"/>
        </w:rPr>
        <w:t>38</w:t>
      </w:r>
      <w:r>
        <w:rPr>
          <w:rFonts w:ascii="Arial" w:cs="Arial" w:eastAsia="Arial" w:hAnsi="Arial"/>
          <w:sz w:val="18"/>
          <w:szCs w:val="18"/>
          <w:b w:val="1"/>
          <w:bCs w:val="1"/>
          <w:color w:val="auto"/>
        </w:rPr>
        <w:t xml:space="preserve"> for a discussion of the risks related to the Merger, the combined company following the completion of the Merger, and the business and operations of each of Vringo and Innovate/Protect.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Andrew D. Perlman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spacing w:after="0" w:line="97" w:lineRule="exact"/>
        <w:rPr>
          <w:sz w:val="20"/>
          <w:szCs w:val="20"/>
          <w:color w:val="auto"/>
        </w:rPr>
      </w:pPr>
    </w:p>
    <w:p>
      <w:pPr>
        <w:jc w:val="both"/>
        <w:ind w:left="40" w:right="860" w:firstLine="267"/>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in connection with the Merger or determined if this proxy statement/prospectus is accurate or complete. Any representation to the contrary is a criminal offense.</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8"/>
              </w:rPr>
              <w:t>This proxy statement/prospectus is dated</w:t>
            </w:r>
          </w:p>
        </w:tc>
        <w:tc>
          <w:tcPr>
            <w:tcW w:w="640" w:type="dxa"/>
            <w:vAlign w:val="bottom"/>
            <w:tcBorders>
              <w:bottom w:val="single" w:sz="8" w:color="auto"/>
            </w:tcBorders>
          </w:tcPr>
          <w:p>
            <w:pPr>
              <w:spacing w:after="0"/>
              <w:rPr>
                <w:sz w:val="13"/>
                <w:szCs w:val="13"/>
                <w:color w:val="auto"/>
              </w:rPr>
            </w:pPr>
          </w:p>
        </w:tc>
        <w:tc>
          <w:tcPr>
            <w:tcW w:w="6320" w:type="dxa"/>
            <w:vAlign w:val="bottom"/>
            <w:vMerge w:val="restart"/>
          </w:tcPr>
          <w:p>
            <w:pPr>
              <w:spacing w:after="0"/>
              <w:rPr>
                <w:sz w:val="20"/>
                <w:szCs w:val="20"/>
                <w:color w:val="auto"/>
              </w:rPr>
            </w:pPr>
            <w:r>
              <w:rPr>
                <w:rFonts w:ascii="Arial" w:cs="Arial" w:eastAsia="Arial" w:hAnsi="Arial"/>
                <w:sz w:val="18"/>
                <w:szCs w:val="18"/>
                <w:color w:val="auto"/>
              </w:rPr>
              <w:t>, 2012 and is first being mailed to the stockholders of Vringo on or about</w:t>
            </w:r>
          </w:p>
        </w:tc>
        <w:tc>
          <w:tcPr>
            <w:tcW w:w="0" w:type="dxa"/>
            <w:vAlign w:val="bottom"/>
          </w:tcPr>
          <w:p>
            <w:pPr>
              <w:spacing w:after="0"/>
              <w:rPr>
                <w:sz w:val="1"/>
                <w:szCs w:val="1"/>
                <w:color w:val="auto"/>
              </w:rPr>
            </w:pPr>
          </w:p>
        </w:tc>
      </w:tr>
      <w:tr>
        <w:trPr>
          <w:trHeight w:val="39"/>
        </w:trPr>
        <w:tc>
          <w:tcPr>
            <w:tcW w:w="33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6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tcBorders>
              <w:bottom w:val="single" w:sz="8" w:color="auto"/>
            </w:tcBorders>
          </w:tcPr>
          <w:p>
            <w:pPr>
              <w:spacing w:after="0"/>
              <w:rPr>
                <w:sz w:val="13"/>
                <w:szCs w:val="13"/>
                <w:color w:val="auto"/>
              </w:rPr>
            </w:pPr>
          </w:p>
        </w:tc>
        <w:tc>
          <w:tcPr>
            <w:tcW w:w="2680" w:type="dxa"/>
            <w:vAlign w:val="bottom"/>
            <w:gridSpan w:val="2"/>
            <w:vMerge w:val="restart"/>
          </w:tcPr>
          <w:p>
            <w:pPr>
              <w:jc w:val="right"/>
              <w:ind w:right="2180"/>
              <w:spacing w:after="0"/>
              <w:rPr>
                <w:sz w:val="20"/>
                <w:szCs w:val="20"/>
                <w:color w:val="auto"/>
              </w:rPr>
            </w:pPr>
            <w:r>
              <w:rPr>
                <w:rFonts w:ascii="Arial" w:cs="Arial" w:eastAsia="Arial" w:hAnsi="Arial"/>
                <w:sz w:val="18"/>
                <w:szCs w:val="18"/>
                <w:color w:val="auto"/>
                <w:w w:val="87"/>
              </w:rPr>
              <w:t>, 2012.</w:t>
            </w: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640" w:type="dxa"/>
            <w:vAlign w:val="bottom"/>
          </w:tcPr>
          <w:p>
            <w:pPr>
              <w:spacing w:after="0"/>
              <w:rPr>
                <w:sz w:val="4"/>
                <w:szCs w:val="4"/>
                <w:color w:val="auto"/>
              </w:rPr>
            </w:pPr>
          </w:p>
        </w:tc>
        <w:tc>
          <w:tcPr>
            <w:tcW w:w="2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6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0"/>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6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-45720</wp:posOffset>
            </wp:positionV>
            <wp:extent cx="33655" cy="59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-45720</wp:posOffset>
            </wp:positionV>
            <wp:extent cx="33655" cy="59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20"/>
          </w:cols>
          <w:pgMar w:left="380" w:top="785" w:right="119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REFERENCES TO ADDITIONAL INFORMATION</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This proxy statement/prospectus references important business and financial information about Vringo that is not included in or delivered with this proxy statement/prospectus. Vringo will provide you with copies of this information (excluding all exhibits) relating to Vringo, without charge, upon written or oral request. You can obtain these documents, which are referred to in this proxy statement/prospectus, by requesting them in writing or by telephone from Vringo at the following address and telephone number:</w:t>
      </w:r>
    </w:p>
    <w:p>
      <w:pPr>
        <w:spacing w:after="0" w:line="52"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44 W. 28th Street, Suite 1414</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Attn: Corporate Secretary</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(646) 525-4319</w:t>
      </w:r>
    </w:p>
    <w:p>
      <w:pPr>
        <w:spacing w:after="0" w:line="101"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 order for you to receive timely delivery of the documents in advance of the Vringo annual meeting you must request the information no later than __________, 2012.</w:t>
      </w:r>
    </w:p>
    <w:p>
      <w:pPr>
        <w:spacing w:after="0" w:line="65"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2012 Annual Meeting of Stockholders of Vringo to be held on ____________. This proxy statement/prospectus, a form of proxy card and Vringo’s Annual Report to Stockholders for 2011 are available on the Internet at </w:t>
      </w:r>
      <w:r>
        <w:rPr>
          <w:rFonts w:ascii="Arial" w:cs="Arial" w:eastAsia="Arial" w:hAnsi="Arial"/>
          <w:sz w:val="17"/>
          <w:szCs w:val="17"/>
          <w:b w:val="1"/>
          <w:bCs w:val="1"/>
          <w:i w:val="1"/>
          <w:iCs w:val="1"/>
          <w:color w:val="auto"/>
        </w:rPr>
        <w:t>https://materials.proxyvote.com/92911N.</w:t>
      </w:r>
    </w:p>
    <w:p>
      <w:pPr>
        <w:spacing w:after="0" w:line="16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ABOUT THIS PROXY STATEMENT/PROSPECTUS</w:t>
      </w:r>
    </w:p>
    <w:p>
      <w:pPr>
        <w:spacing w:after="0" w:line="118" w:lineRule="exact"/>
        <w:rPr>
          <w:sz w:val="20"/>
          <w:szCs w:val="20"/>
          <w:color w:val="auto"/>
        </w:rPr>
      </w:pPr>
    </w:p>
    <w:p>
      <w:pPr>
        <w:jc w:val="both"/>
        <w:ind w:left="40" w:right="639" w:firstLine="267"/>
        <w:spacing w:after="0" w:line="287" w:lineRule="auto"/>
        <w:rPr>
          <w:sz w:val="20"/>
          <w:szCs w:val="20"/>
          <w:color w:val="auto"/>
        </w:rPr>
      </w:pPr>
      <w:r>
        <w:rPr>
          <w:rFonts w:ascii="Arial" w:cs="Arial" w:eastAsia="Arial" w:hAnsi="Arial"/>
          <w:sz w:val="16"/>
          <w:szCs w:val="16"/>
          <w:color w:val="auto"/>
        </w:rPr>
        <w:t>This proxy statement/prospectus, which forms a part of a Registration Statement on Form S-4 filed with the Securities and Exchange Commission by Vringo (File No. 333-___________), constitutes a prospectus of Vringo under Section 5 of the Securities</w:t>
      </w:r>
    </w:p>
    <w:p>
      <w:pPr>
        <w:spacing w:after="0" w:line="1" w:lineRule="exact"/>
        <w:rPr>
          <w:sz w:val="20"/>
          <w:szCs w:val="20"/>
          <w:color w:val="auto"/>
        </w:rPr>
      </w:pPr>
    </w:p>
    <w:p>
      <w:pPr>
        <w:jc w:val="both"/>
        <w:ind w:left="40" w:right="619"/>
        <w:spacing w:after="0" w:line="251" w:lineRule="auto"/>
        <w:rPr>
          <w:sz w:val="20"/>
          <w:szCs w:val="20"/>
          <w:color w:val="auto"/>
        </w:rPr>
      </w:pPr>
      <w:r>
        <w:rPr>
          <w:rFonts w:ascii="Arial" w:cs="Arial" w:eastAsia="Arial" w:hAnsi="Arial"/>
          <w:sz w:val="18"/>
          <w:szCs w:val="18"/>
          <w:color w:val="auto"/>
        </w:rPr>
        <w:t>Act of 1933, as amended, with respect to the shares of Vringo common stock and preferred stock and the warrants (and the shares of common stock issuable upon conversion of the preferred stock and the exercise of the warrants) to be issued to the Innovate/Protect stockholders and warrantholder in connection with the Merger.</w:t>
      </w:r>
    </w:p>
    <w:p>
      <w:pPr>
        <w:spacing w:after="0" w:line="86" w:lineRule="exact"/>
        <w:rPr>
          <w:sz w:val="20"/>
          <w:szCs w:val="20"/>
          <w:color w:val="auto"/>
        </w:rPr>
      </w:pPr>
    </w:p>
    <w:p>
      <w:pPr>
        <w:jc w:val="both"/>
        <w:ind w:left="40" w:right="639" w:firstLine="267"/>
        <w:spacing w:after="0" w:line="280" w:lineRule="auto"/>
        <w:rPr>
          <w:sz w:val="20"/>
          <w:szCs w:val="20"/>
          <w:color w:val="auto"/>
        </w:rPr>
      </w:pPr>
      <w:r>
        <w:rPr>
          <w:rFonts w:ascii="Arial" w:cs="Arial" w:eastAsia="Arial" w:hAnsi="Arial"/>
          <w:sz w:val="16"/>
          <w:szCs w:val="16"/>
          <w:color w:val="auto"/>
        </w:rPr>
        <w:t>This proxy statement/prospectus also constitutes a notice of meeting and a proxy statement under Section 14(a) of the Securities Exchange Act of 1934, as amended, with respect to a Vringo annual meeting, at which Vringo stockholders will be asked to consider and vote upon certain proposals, including (i) a proposal to approve the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(ii) a proposal to amend Vringo’s certificate of incorporation to effect a reverse stock split of Vringo’s issued and outstanding common stock, (iii) a proposal to amend Vringo’s certificate of incorporation to increase the number of authorized shares of Vringo common stock, (iv) a proposal to elect seven (7) director nominees to the Vringo board of directors, (v) a proposal to approve the Vringo, Inc. 2012 Employee, Director and Consultant Equity Incentive Plan, (vi) a proposal to ratify the appointment of ________, as Vringo’s independent registered public accounting firm for the fiscal year ending December 31, 2012</w:t>
      </w:r>
    </w:p>
    <w:p>
      <w:pPr>
        <w:spacing w:after="0" w:line="5" w:lineRule="exact"/>
        <w:rPr>
          <w:sz w:val="20"/>
          <w:szCs w:val="20"/>
          <w:color w:val="auto"/>
        </w:rPr>
      </w:pPr>
    </w:p>
    <w:p>
      <w:pPr>
        <w:jc w:val="both"/>
        <w:ind w:left="40" w:right="619"/>
        <w:spacing w:after="0" w:line="255" w:lineRule="auto"/>
        <w:rPr>
          <w:sz w:val="20"/>
          <w:szCs w:val="20"/>
          <w:color w:val="auto"/>
        </w:rPr>
      </w:pPr>
      <w:r>
        <w:rPr>
          <w:rFonts w:ascii="Arial" w:cs="Arial" w:eastAsia="Arial" w:hAnsi="Arial"/>
          <w:sz w:val="18"/>
          <w:szCs w:val="18"/>
          <w:color w:val="auto"/>
        </w:rPr>
        <w:t>and (vii) a proposal to approve the adjournment of the Vringo annual meeting, if necessary, to solicit additional proxies if there are not sufficient votes in favor of proposals (i) –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430530</wp:posOffset>
            </wp:positionV>
            <wp:extent cx="6051550" cy="59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132715</wp:posOffset>
            </wp:positionV>
            <wp:extent cx="2096135" cy="1103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96135" cy="110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44 W. 28th Street, Suite 1414</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(646) 525-4319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191770</wp:posOffset>
            </wp:positionV>
            <wp:extent cx="15278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TO BE HELD ON _________________, 2012</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of Vringo, Inc.:</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annual meeting of stockholders of Vringo, Inc., a Delaware corporation, will be held on ________, at 10:00 a.m., local</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time, at the offices of Mintz, Levin, Cohn, Ferris, Glovsky and Popeo, P.C., the Chrysler Center, 666 Third Avenue, 32nd floor,</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 10017, for the following purposes:</w:t>
      </w:r>
    </w:p>
    <w:p>
      <w:pPr>
        <w:spacing w:after="0" w:line="101" w:lineRule="exact"/>
        <w:rPr>
          <w:sz w:val="20"/>
          <w:szCs w:val="20"/>
          <w:color w:val="auto"/>
        </w:rPr>
      </w:pPr>
    </w:p>
    <w:p>
      <w:pPr>
        <w:jc w:val="both"/>
        <w:ind w:left="540" w:right="619" w:hanging="268"/>
        <w:spacing w:after="0" w:line="25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contemplated by the Agreement and Plan of Merger, dated as of March 12, 2012, by and among Vringo, Innovate/Protect and VIP Merger Sub, Inc., a wholly-owned subsidiary of Vringo;</w:t>
      </w:r>
    </w:p>
    <w:p>
      <w:pPr>
        <w:spacing w:after="0" w:line="85" w:lineRule="exact"/>
        <w:rPr>
          <w:rFonts w:ascii="Arial" w:cs="Arial" w:eastAsia="Arial" w:hAnsi="Arial"/>
          <w:sz w:val="18"/>
          <w:szCs w:val="18"/>
          <w:color w:val="auto"/>
        </w:rPr>
      </w:pPr>
    </w:p>
    <w:p>
      <w:pPr>
        <w:jc w:val="both"/>
        <w:ind w:left="540" w:right="639" w:hanging="268"/>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amend Vringo’s amended and restated certificate of incorporation to effect a reverse stock split of Vringo’s issued and outstanding common stock within the range of one-for-two to one-for-four (with the exact amount to be determined prior to the completion of the merger);</w:t>
      </w:r>
    </w:p>
    <w:p>
      <w:pPr>
        <w:spacing w:after="0" w:line="78" w:lineRule="exact"/>
        <w:rPr>
          <w:rFonts w:ascii="Arial" w:cs="Arial" w:eastAsia="Arial" w:hAnsi="Arial"/>
          <w:sz w:val="18"/>
          <w:szCs w:val="18"/>
          <w:color w:val="auto"/>
        </w:rPr>
      </w:pPr>
    </w:p>
    <w:p>
      <w:pPr>
        <w:jc w:val="both"/>
        <w:ind w:left="540" w:right="639" w:hanging="268"/>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amend Vringo’s amended and restated certificate of incorporation to increase the number of authorized shares of Vringo common stock from 28,000,000 to up to a maximum of 150,000,000 shares (with the exact amount to be determined prior to the completion of the merger);</w:t>
      </w:r>
    </w:p>
    <w:p>
      <w:pPr>
        <w:spacing w:after="0" w:line="78" w:lineRule="exact"/>
        <w:rPr>
          <w:rFonts w:ascii="Arial" w:cs="Arial" w:eastAsia="Arial" w:hAnsi="Arial"/>
          <w:sz w:val="18"/>
          <w:szCs w:val="18"/>
          <w:color w:val="auto"/>
        </w:rPr>
      </w:pPr>
    </w:p>
    <w:p>
      <w:pPr>
        <w:jc w:val="both"/>
        <w:ind w:left="540" w:right="639" w:hanging="268"/>
        <w:spacing w:after="0" w:line="306"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w:t>
      </w:r>
    </w:p>
    <w:p>
      <w:pPr>
        <w:spacing w:after="0" w:line="44" w:lineRule="exact"/>
        <w:rPr>
          <w:rFonts w:ascii="Arial" w:cs="Arial" w:eastAsia="Arial" w:hAnsi="Arial"/>
          <w:sz w:val="16"/>
          <w:szCs w:val="16"/>
          <w:color w:val="auto"/>
        </w:rPr>
      </w:pPr>
    </w:p>
    <w:p>
      <w:pPr>
        <w:ind w:left="540" w:right="639" w:hanging="268"/>
        <w:spacing w:after="0" w:line="27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Vringo, Inc. 2012 Employee, Director and Consultant Equity Incentive Plan, as approved by the Vringo board of directors on _____________, 2012;</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_____________, as Vringo’s independent registered public accounting firm for the fiscal year ending December 31, 2012;</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adjournment of the Vringo annual meeting, if necessary, to solicit additional proxies if there are not sufficient votes in favor of Vringo Proposal Nos. 1, 2, 3, 4, 5 or 6; and</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any other business as may properly come before the Vringo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422275</wp:posOffset>
            </wp:positionV>
            <wp:extent cx="6051550" cy="59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The Vringo board of directors has determined that the merger, upon the terms and conditions set forth in the merger agreement, and the other transactions contemplated by the merger agreement are advisable and fair to, and in the best interests of, Vringo and its stockholders. The board of directors makes its recommendation to the Vringo stockholders after consideration of the factors described in this proxy statement/prospectus. </w:t>
      </w:r>
      <w:r>
        <w:rPr>
          <w:rFonts w:ascii="Arial" w:cs="Arial" w:eastAsia="Arial" w:hAnsi="Arial"/>
          <w:sz w:val="18"/>
          <w:szCs w:val="18"/>
          <w:b w:val="1"/>
          <w:bCs w:val="1"/>
          <w:color w:val="auto"/>
        </w:rPr>
        <w:t>The Vringo board of directors unanimously recommends that Vringo</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stockholders vote FOR each of the foregoing proposals.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Vringo board of directors has fixed __________, 2012 as the record date for the determination of stockholders entitled to</w:t>
      </w:r>
    </w:p>
    <w:p>
      <w:pPr>
        <w:spacing w:after="0" w:line="43" w:lineRule="exact"/>
        <w:rPr>
          <w:sz w:val="20"/>
          <w:szCs w:val="20"/>
          <w:color w:val="auto"/>
        </w:rPr>
      </w:pPr>
    </w:p>
    <w:p>
      <w:pPr>
        <w:jc w:val="both"/>
        <w:ind w:left="40" w:right="619"/>
        <w:spacing w:after="0" w:line="250" w:lineRule="auto"/>
        <w:rPr>
          <w:sz w:val="20"/>
          <w:szCs w:val="20"/>
          <w:color w:val="auto"/>
        </w:rPr>
      </w:pPr>
      <w:r>
        <w:rPr>
          <w:rFonts w:ascii="Arial" w:cs="Arial" w:eastAsia="Arial" w:hAnsi="Arial"/>
          <w:sz w:val="18"/>
          <w:szCs w:val="18"/>
          <w:color w:val="auto"/>
        </w:rPr>
        <w:t>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__________shares of common stock outstanding and entitled to vote.</w:t>
      </w:r>
    </w:p>
    <w:p>
      <w:pPr>
        <w:spacing w:after="0" w:line="83"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b w:val="1"/>
          <w:bCs w:val="1"/>
          <w:color w:val="auto"/>
        </w:rPr>
        <w:t>Your vote is important</w:t>
      </w:r>
      <w:r>
        <w:rPr>
          <w:rFonts w:ascii="Arial" w:cs="Arial" w:eastAsia="Arial" w:hAnsi="Arial"/>
          <w:sz w:val="16"/>
          <w:szCs w:val="16"/>
          <w:color w:val="auto"/>
        </w:rPr>
        <w:t>. The affirmative vote of the holders of a majority of the shares of Vringo common stock present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on the matter either in person or by proxy at the Vringo annual meeting is required for approval of Vringo Proposal Nos. 1, 5, 6 and 7. The affirmative vote of the holders of a majority of the outstanding shares of Vringo common stock entitled to vote on the matter either in person or by proxy at the Vringo annual meeting is required for approval of Vringo Proposal Nos. 2 and</w:t>
      </w:r>
    </w:p>
    <w:p>
      <w:pPr>
        <w:spacing w:after="0" w:line="1" w:lineRule="exact"/>
        <w:rPr>
          <w:sz w:val="20"/>
          <w:szCs w:val="20"/>
          <w:color w:val="auto"/>
        </w:rPr>
      </w:pPr>
    </w:p>
    <w:p>
      <w:pPr>
        <w:ind w:left="40" w:right="639" w:firstLine="5"/>
        <w:spacing w:after="0" w:line="255" w:lineRule="auto"/>
        <w:tabs>
          <w:tab w:leader="none" w:pos="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affirmative vote of a plurality of the voting power of the shares present or represented by proxy at the meeting and entitled to vote is required for the election of the directors set forth in Vringo Proposal No. 4.</w:t>
      </w:r>
    </w:p>
    <w:p>
      <w:pPr>
        <w:spacing w:after="0" w:line="7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All Vringo stockholders of record are cordially invited to attend the Vringo annual meeting in person. </w:t>
      </w:r>
      <w:r>
        <w:rPr>
          <w:rFonts w:ascii="Arial" w:cs="Arial" w:eastAsia="Arial" w:hAnsi="Arial"/>
          <w:sz w:val="16"/>
          <w:szCs w:val="16"/>
          <w:b w:val="1"/>
          <w:bCs w:val="1"/>
          <w:color w:val="auto"/>
        </w:rPr>
        <w:t>However, even if you</w:t>
      </w:r>
      <w:r>
        <w:rPr>
          <w:rFonts w:ascii="Arial" w:cs="Arial" w:eastAsia="Arial" w:hAnsi="Arial"/>
          <w:sz w:val="16"/>
          <w:szCs w:val="16"/>
          <w:color w:val="auto"/>
        </w:rPr>
        <w:t xml:space="preserve"> </w:t>
      </w:r>
      <w:r>
        <w:rPr>
          <w:rFonts w:ascii="Arial" w:cs="Arial" w:eastAsia="Arial" w:hAnsi="Arial"/>
          <w:sz w:val="16"/>
          <w:szCs w:val="16"/>
          <w:b w:val="1"/>
          <w:bCs w:val="1"/>
          <w:color w:val="auto"/>
        </w:rPr>
        <w:t>plan to attend the Vringo annual meeting in person, Vringo urges you to submit your proxy as promptly as possible (i) through the Internet, (ii) by telephone or (iii) by marking, signing and dating the enclosed proxy card and returning it in the postage-paid envelope as instructed on the enclosed proxy card to ensure that your shares of Vringo common stock will be represented at the Vringo annual meeting if you are unable to attend. If you sign, date and mail your proxy card without indicating how you wish to vote, all of your shares will be voted FOR Vringo Proposal Nos. 1, 2, 3, 4, 5, 6 and 7. If you fail to submit your proxy as instructed on the enclosed proxy card, the effect will be that your shares will not be counted for purposes of determining whether a quorum is present at the Vringo annual meeting and will have the same effect as a vote against Vringo Proposal Nos. 2 and 3 but such failure will have no effect with respect to Vringo Proposal Nos. 1, 4, 5, 6 and 7. If you do attend the Vringo annual meeting and wish to vote in person, you may withdraw your proxy and vote in person.</w:t>
      </w:r>
    </w:p>
    <w:p>
      <w:pPr>
        <w:spacing w:after="0" w:line="65"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 xml:space="preserve">Pursuant to rules adopted by the Securities and Exchange Commission, Vringo has elected to provide access to the proxy materials of Vringo both by sending you this full set of proxy materials, including a proxy card, and by making a copy of the proxy materials available to you on the Internet. This proxy statement/prospectus, a form of proxy card and Vringo’s Annual Report to Stockholders for the year ended December 31, 2011 are available on the Internet at </w:t>
      </w:r>
      <w:r>
        <w:rPr>
          <w:rFonts w:ascii="Arial" w:cs="Arial" w:eastAsia="Arial" w:hAnsi="Arial"/>
          <w:sz w:val="16"/>
          <w:szCs w:val="16"/>
          <w:i w:val="1"/>
          <w:iCs w:val="1"/>
          <w:color w:val="auto"/>
        </w:rPr>
        <w:t>https://materials.proxyvote.com/92911N</w:t>
      </w:r>
      <w:r>
        <w:rPr>
          <w:rFonts w:ascii="Arial" w:cs="Arial" w:eastAsia="Arial" w:hAnsi="Arial"/>
          <w:sz w:val="16"/>
          <w:szCs w:val="16"/>
          <w:color w:val="auto"/>
        </w:rPr>
        <w:t>.</w:t>
      </w:r>
    </w:p>
    <w:p>
      <w:pPr>
        <w:spacing w:after="0" w:line="52"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This proxy statement/prospectus provides you with detailed information about the merger and the other business to be considered by Vringo stockholders at the annual meeting. </w:t>
      </w:r>
      <w:r>
        <w:rPr>
          <w:rFonts w:ascii="Arial" w:cs="Arial" w:eastAsia="Arial" w:hAnsi="Arial"/>
          <w:sz w:val="18"/>
          <w:szCs w:val="18"/>
          <w:b w:val="1"/>
          <w:bCs w:val="1"/>
          <w:color w:val="auto"/>
        </w:rPr>
        <w:t>Vringo encourages you to read the entire document carefully. Please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pay particular attention to the section entitled “Risk Factors” beginning on page </w:t>
      </w:r>
      <w:r>
        <w:rPr>
          <w:rFonts w:ascii="Arial" w:cs="Arial" w:eastAsia="Arial" w:hAnsi="Arial"/>
          <w:sz w:val="18"/>
          <w:szCs w:val="18"/>
          <w:b w:val="1"/>
          <w:bCs w:val="1"/>
          <w:u w:val="single" w:color="auto"/>
          <w:color w:val="0000EE"/>
        </w:rPr>
        <w:t>38</w:t>
      </w:r>
      <w:r>
        <w:rPr>
          <w:rFonts w:ascii="Arial" w:cs="Arial" w:eastAsia="Arial" w:hAnsi="Arial"/>
          <w:sz w:val="18"/>
          <w:szCs w:val="18"/>
          <w:b w:val="1"/>
          <w:bCs w:val="1"/>
          <w:color w:val="auto"/>
        </w:rPr>
        <w:t xml:space="preserve"> for a discussion of the risks related to the merger, the combined company following the completion of the merger, and the business and operations of each of Vringo and Innovate/Protect.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442595</wp:posOffset>
            </wp:positionV>
            <wp:extent cx="6051550" cy="59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173355</wp:posOffset>
            </wp:positionV>
            <wp:extent cx="5996305" cy="139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96305" cy="1396365"/>
                    </a:xfrm>
                    <a:prstGeom prst="rect">
                      <a:avLst/>
                    </a:prstGeom>
                    <a:noFill/>
                  </pic:spPr>
                </pic:pic>
              </a:graphicData>
            </a:graphic>
          </wp:anchor>
        </w:drawing>
      </w:r>
    </w:p>
    <w:p>
      <w:pPr>
        <w:spacing w:after="0" w:line="31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IMPORTANT</w:t>
      </w:r>
    </w:p>
    <w:p>
      <w:pPr>
        <w:spacing w:after="0" w:line="274" w:lineRule="exact"/>
        <w:rPr>
          <w:sz w:val="20"/>
          <w:szCs w:val="20"/>
          <w:color w:val="auto"/>
        </w:rPr>
      </w:pPr>
    </w:p>
    <w:p>
      <w:pPr>
        <w:jc w:val="both"/>
        <w:ind w:left="360" w:right="659"/>
        <w:spacing w:after="0" w:line="289" w:lineRule="auto"/>
        <w:rPr>
          <w:sz w:val="20"/>
          <w:szCs w:val="20"/>
          <w:color w:val="auto"/>
        </w:rPr>
      </w:pPr>
      <w:r>
        <w:rPr>
          <w:rFonts w:ascii="Arial" w:cs="Arial" w:eastAsia="Arial" w:hAnsi="Arial"/>
          <w:sz w:val="16"/>
          <w:szCs w:val="16"/>
          <w:b w:val="1"/>
          <w:bCs w:val="1"/>
          <w:color w:val="auto"/>
        </w:rPr>
        <w:t>Your vote is important. Whether or not you expect to attend the Vringo annual meeting, please submit your proxy (i) through the Internet, (ii) by telephone or (iii) by marking, signing and dating the enclosed proxy card and returning it in the postage-paid envelope provided, as instructed in these materials as promptly as possible in order to ensure that your shares of Vringo common stock will be represented at the Vringo annual meeting. Even if you have voted by proxy, you may still vote in person if you attend the Vringo annual meeting and revoke your proxy. Please note, however, that if your shares are held in “street name” by a broker or other nominee and you wish to vote at the Vringo annual meeting, you must obtain a proxy issued in your name from such record holder prior to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609600</wp:posOffset>
            </wp:positionV>
            <wp:extent cx="6051550" cy="59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gridSpan w:val="20"/>
          </w:tcPr>
          <w:p>
            <w:pPr>
              <w:ind w:left="10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7840" w:type="dxa"/>
            <w:vAlign w:val="bottom"/>
            <w:gridSpan w:val="41"/>
          </w:tcPr>
          <w:p>
            <w:pPr>
              <w:spacing w:after="0" w:line="189" w:lineRule="exact"/>
              <w:rPr>
                <w:sz w:val="20"/>
                <w:szCs w:val="20"/>
                <w:color w:val="auto"/>
              </w:rPr>
            </w:pPr>
            <w:r>
              <w:rPr>
                <w:rFonts w:ascii="Arial" w:cs="Arial" w:eastAsia="Arial" w:hAnsi="Arial"/>
                <w:sz w:val="18"/>
                <w:szCs w:val="18"/>
                <w:color w:val="0000EE"/>
              </w:rPr>
              <w:t>QUESTIONS AND ANSWERS ABOUT THE MERGER AND THE VRINGO</w:t>
            </w:r>
          </w:p>
        </w:tc>
        <w:tc>
          <w:tcPr>
            <w:tcW w:w="28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0000EE"/>
              </w:rPr>
              <w:t>1</w:t>
            </w:r>
          </w:p>
        </w:tc>
      </w:tr>
      <w:tr>
        <w:trPr>
          <w:trHeight w:val="194"/>
        </w:trPr>
        <w:tc>
          <w:tcPr>
            <w:tcW w:w="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540" w:type="dxa"/>
            <w:vAlign w:val="bottom"/>
            <w:tcBorders>
              <w:top w:val="single" w:sz="8" w:color="0000EE"/>
            </w:tcBorders>
            <w:gridSpan w:val="34"/>
          </w:tcPr>
          <w:p>
            <w:pPr>
              <w:spacing w:after="0" w:line="194" w:lineRule="exact"/>
              <w:rPr>
                <w:sz w:val="20"/>
                <w:szCs w:val="20"/>
                <w:color w:val="auto"/>
              </w:rPr>
            </w:pPr>
            <w:r>
              <w:rPr>
                <w:rFonts w:ascii="Arial" w:cs="Arial" w:eastAsia="Arial" w:hAnsi="Arial"/>
                <w:sz w:val="18"/>
                <w:szCs w:val="18"/>
                <w:color w:val="0000EE"/>
              </w:rPr>
              <w:t>ANNUAL MEETING</w:t>
            </w:r>
          </w:p>
        </w:tc>
        <w:tc>
          <w:tcPr>
            <w:tcW w:w="2140" w:type="dxa"/>
            <w:vAlign w:val="bottom"/>
            <w:gridSpan w:val="6"/>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SUMMARY</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12</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The Companies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860" w:type="dxa"/>
            <w:vAlign w:val="bottom"/>
            <w:tcBorders>
              <w:bottom w:val="single" w:sz="8" w:color="0000EE"/>
            </w:tcBorders>
            <w:gridSpan w:val="3"/>
            <w:shd w:val="clear" w:color="auto" w:fill="CCFFCC"/>
          </w:tcPr>
          <w:p>
            <w:pPr>
              <w:spacing w:after="0" w:line="174" w:lineRule="exact"/>
              <w:rPr>
                <w:sz w:val="20"/>
                <w:szCs w:val="20"/>
                <w:color w:val="auto"/>
              </w:rPr>
            </w:pPr>
            <w:r>
              <w:rPr>
                <w:rFonts w:ascii="Arial" w:cs="Arial" w:eastAsia="Arial" w:hAnsi="Arial"/>
                <w:sz w:val="18"/>
                <w:szCs w:val="18"/>
                <w:color w:val="0000EE"/>
                <w:w w:val="90"/>
              </w:rPr>
              <w:t>The Merger</w:t>
            </w:r>
          </w:p>
        </w:tc>
        <w:tc>
          <w:tcPr>
            <w:tcW w:w="6820" w:type="dxa"/>
            <w:vAlign w:val="bottom"/>
            <w:tcBorders>
              <w:bottom w:val="single" w:sz="8" w:color="CCFFCC"/>
            </w:tcBorders>
            <w:gridSpan w:val="37"/>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13</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What Innovate/Protect Stockholders Will Receive in the Merger</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5360" w:type="dxa"/>
            <w:vAlign w:val="bottom"/>
            <w:tcBorders>
              <w:bottom w:val="single" w:sz="8" w:color="0000EE"/>
            </w:tcBorders>
            <w:gridSpan w:val="32"/>
            <w:shd w:val="clear" w:color="auto" w:fill="CCFFCC"/>
          </w:tcPr>
          <w:p>
            <w:pPr>
              <w:spacing w:after="0" w:line="174" w:lineRule="exact"/>
              <w:rPr>
                <w:sz w:val="20"/>
                <w:szCs w:val="20"/>
                <w:color w:val="auto"/>
              </w:rPr>
            </w:pPr>
            <w:r>
              <w:rPr>
                <w:rFonts w:ascii="Arial" w:cs="Arial" w:eastAsia="Arial" w:hAnsi="Arial"/>
                <w:sz w:val="18"/>
                <w:szCs w:val="18"/>
                <w:color w:val="0000EE"/>
                <w:w w:val="91"/>
              </w:rPr>
              <w:t>Ownership of the Combined Company After the Completion of the Merger</w:t>
            </w:r>
          </w:p>
        </w:tc>
        <w:tc>
          <w:tcPr>
            <w:tcW w:w="2320" w:type="dxa"/>
            <w:vAlign w:val="bottom"/>
            <w:tcBorders>
              <w:bottom w:val="single" w:sz="8" w:color="CCFFCC"/>
            </w:tcBorders>
            <w:gridSpan w:val="8"/>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14</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Treatment of Innovate/Protect Stock Options and Warrants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Treatment of Vringo Stock Options; Change of Control Payments</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15</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580" w:type="dxa"/>
            <w:vAlign w:val="bottom"/>
            <w:tcBorders>
              <w:bottom w:val="single" w:sz="8" w:color="0000EE"/>
            </w:tcBorders>
            <w:gridSpan w:val="38"/>
          </w:tcPr>
          <w:p>
            <w:pPr>
              <w:spacing w:after="0" w:line="174" w:lineRule="exact"/>
              <w:rPr>
                <w:sz w:val="20"/>
                <w:szCs w:val="20"/>
                <w:color w:val="auto"/>
              </w:rPr>
            </w:pPr>
            <w:r>
              <w:rPr>
                <w:rFonts w:ascii="Arial" w:cs="Arial" w:eastAsia="Arial" w:hAnsi="Arial"/>
                <w:sz w:val="18"/>
                <w:szCs w:val="18"/>
                <w:color w:val="0000EE"/>
                <w:w w:val="91"/>
              </w:rPr>
              <w:t>Board of Directors and Executive Officers of the Combined Company After the Completion</w:t>
            </w:r>
          </w:p>
        </w:tc>
        <w:tc>
          <w:tcPr>
            <w:tcW w:w="110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15</w:t>
            </w:r>
          </w:p>
        </w:tc>
        <w:tc>
          <w:tcPr>
            <w:tcW w:w="1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80" w:type="dxa"/>
            <w:vAlign w:val="bottom"/>
            <w:gridSpan w:val="40"/>
          </w:tcPr>
          <w:p>
            <w:pPr>
              <w:ind w:left="180"/>
              <w:spacing w:after="0" w:line="194" w:lineRule="exact"/>
              <w:rPr>
                <w:sz w:val="20"/>
                <w:szCs w:val="20"/>
                <w:color w:val="auto"/>
              </w:rPr>
            </w:pPr>
            <w:r>
              <w:rPr>
                <w:rFonts w:ascii="Arial" w:cs="Arial" w:eastAsia="Arial" w:hAnsi="Arial"/>
                <w:sz w:val="18"/>
                <w:szCs w:val="18"/>
                <w:color w:val="0000EE"/>
              </w:rPr>
              <w:t>of the Merger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Recommendations of the Vringo Board of Directors and its Reasons for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15</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5940" w:type="dxa"/>
            <w:vAlign w:val="bottom"/>
            <w:tcBorders>
              <w:top w:val="single" w:sz="8" w:color="0000EE"/>
            </w:tcBorders>
            <w:gridSpan w:val="36"/>
          </w:tcPr>
          <w:p>
            <w:pPr>
              <w:spacing w:after="0" w:line="174" w:lineRule="exact"/>
              <w:rPr>
                <w:sz w:val="20"/>
                <w:szCs w:val="20"/>
                <w:color w:val="auto"/>
              </w:rPr>
            </w:pPr>
            <w:r>
              <w:rPr>
                <w:rFonts w:ascii="Arial" w:cs="Arial" w:eastAsia="Arial" w:hAnsi="Arial"/>
                <w:sz w:val="18"/>
                <w:szCs w:val="18"/>
                <w:color w:val="0000EE"/>
              </w:rPr>
              <w:t>Opinion of Etico Capital to the Vringo Board of Directors</w:t>
            </w:r>
          </w:p>
        </w:tc>
        <w:tc>
          <w:tcPr>
            <w:tcW w:w="1740" w:type="dxa"/>
            <w:vAlign w:val="bottom"/>
            <w:tcBorders>
              <w:top w:val="single" w:sz="8" w:color="CCFFCC"/>
            </w:tcBorders>
            <w:gridSpan w:val="4"/>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16</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Interests of Vringo Directors and Executive Officers in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16</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740" w:type="dxa"/>
            <w:vAlign w:val="bottom"/>
            <w:tcBorders>
              <w:top w:val="single" w:sz="8" w:color="0000EE"/>
            </w:tcBorders>
            <w:gridSpan w:val="30"/>
          </w:tcPr>
          <w:p>
            <w:pPr>
              <w:spacing w:after="0" w:line="174" w:lineRule="exact"/>
              <w:rPr>
                <w:sz w:val="20"/>
                <w:szCs w:val="20"/>
                <w:color w:val="auto"/>
              </w:rPr>
            </w:pPr>
            <w:r>
              <w:rPr>
                <w:rFonts w:ascii="Arial" w:cs="Arial" w:eastAsia="Arial" w:hAnsi="Arial"/>
                <w:sz w:val="18"/>
                <w:szCs w:val="18"/>
                <w:color w:val="0000EE"/>
              </w:rPr>
              <w:t>Anticipated Accounting Treatment of the Merger</w:t>
            </w:r>
          </w:p>
        </w:tc>
        <w:tc>
          <w:tcPr>
            <w:tcW w:w="2940" w:type="dxa"/>
            <w:vAlign w:val="bottom"/>
            <w:tcBorders>
              <w:top w:val="single" w:sz="8" w:color="CCFFCC"/>
            </w:tcBorders>
            <w:gridSpan w:val="10"/>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18</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Material U.S. Federal Income Tax Consequences of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18</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w w:val="94"/>
              </w:rPr>
              <w:t>Restrictions on Sales of Shares of Vringo Common Stock Received By Innovate/Protect Stockholders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18</w:t>
            </w: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60" w:type="dxa"/>
            <w:vAlign w:val="bottom"/>
            <w:tcBorders>
              <w:top w:val="single" w:sz="8" w:color="0000EE"/>
            </w:tcBorders>
            <w:gridSpan w:val="39"/>
          </w:tcPr>
          <w:p>
            <w:pPr>
              <w:ind w:left="180"/>
              <w:spacing w:after="0" w:line="194" w:lineRule="exact"/>
              <w:rPr>
                <w:sz w:val="20"/>
                <w:szCs w:val="20"/>
                <w:color w:val="auto"/>
              </w:rPr>
            </w:pPr>
            <w:r>
              <w:rPr>
                <w:rFonts w:ascii="Arial" w:cs="Arial" w:eastAsia="Arial" w:hAnsi="Arial"/>
                <w:sz w:val="18"/>
                <w:szCs w:val="18"/>
                <w:color w:val="0000EE"/>
              </w:rPr>
              <w:t>in the Merger</w:t>
            </w:r>
          </w:p>
        </w:tc>
        <w:tc>
          <w:tcPr>
            <w:tcW w:w="42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220" w:type="dxa"/>
            <w:vAlign w:val="bottom"/>
            <w:tcBorders>
              <w:bottom w:val="single" w:sz="8" w:color="0000EE"/>
            </w:tcBorders>
            <w:gridSpan w:val="10"/>
            <w:shd w:val="clear" w:color="auto" w:fill="CCFFCC"/>
          </w:tcPr>
          <w:p>
            <w:pPr>
              <w:spacing w:after="0" w:line="174" w:lineRule="exact"/>
              <w:rPr>
                <w:sz w:val="20"/>
                <w:szCs w:val="20"/>
                <w:color w:val="auto"/>
              </w:rPr>
            </w:pPr>
            <w:r>
              <w:rPr>
                <w:rFonts w:ascii="Arial" w:cs="Arial" w:eastAsia="Arial" w:hAnsi="Arial"/>
                <w:sz w:val="18"/>
                <w:szCs w:val="18"/>
                <w:color w:val="0000EE"/>
                <w:w w:val="91"/>
              </w:rPr>
              <w:t>Appraisal Rights</w:t>
            </w:r>
          </w:p>
        </w:tc>
        <w:tc>
          <w:tcPr>
            <w:tcW w:w="6460" w:type="dxa"/>
            <w:vAlign w:val="bottom"/>
            <w:tcBorders>
              <w:bottom w:val="single" w:sz="8" w:color="CCFFCC"/>
            </w:tcBorders>
            <w:gridSpan w:val="30"/>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19</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Regulatory Approvals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19</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Conditions to the Completion of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19</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140" w:type="dxa"/>
            <w:vAlign w:val="bottom"/>
            <w:tcBorders>
              <w:top w:val="single" w:sz="8" w:color="0000EE"/>
            </w:tcBorders>
            <w:gridSpan w:val="18"/>
          </w:tcPr>
          <w:p>
            <w:pPr>
              <w:spacing w:after="0" w:line="174" w:lineRule="exact"/>
              <w:rPr>
                <w:sz w:val="20"/>
                <w:szCs w:val="20"/>
                <w:color w:val="auto"/>
              </w:rPr>
            </w:pPr>
            <w:r>
              <w:rPr>
                <w:rFonts w:ascii="Arial" w:cs="Arial" w:eastAsia="Arial" w:hAnsi="Arial"/>
                <w:sz w:val="18"/>
                <w:szCs w:val="18"/>
                <w:color w:val="0000EE"/>
              </w:rPr>
              <w:t>No Solicitation</w:t>
            </w:r>
          </w:p>
        </w:tc>
        <w:tc>
          <w:tcPr>
            <w:tcW w:w="4540" w:type="dxa"/>
            <w:vAlign w:val="bottom"/>
            <w:tcBorders>
              <w:top w:val="single" w:sz="8" w:color="CCFFCC"/>
            </w:tcBorders>
            <w:gridSpan w:val="22"/>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20</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2740" w:type="dxa"/>
            <w:vAlign w:val="bottom"/>
            <w:tcBorders>
              <w:bottom w:val="single" w:sz="8" w:color="0000EE"/>
            </w:tcBorders>
            <w:gridSpan w:val="17"/>
            <w:shd w:val="clear" w:color="auto" w:fill="CCFFCC"/>
          </w:tcPr>
          <w:p>
            <w:pPr>
              <w:spacing w:after="0" w:line="174" w:lineRule="exact"/>
              <w:rPr>
                <w:sz w:val="20"/>
                <w:szCs w:val="20"/>
                <w:color w:val="auto"/>
              </w:rPr>
            </w:pPr>
            <w:r>
              <w:rPr>
                <w:rFonts w:ascii="Arial" w:cs="Arial" w:eastAsia="Arial" w:hAnsi="Arial"/>
                <w:sz w:val="18"/>
                <w:szCs w:val="18"/>
                <w:color w:val="0000EE"/>
                <w:w w:val="90"/>
              </w:rPr>
              <w:t>Termination of the Merger Agreement</w:t>
            </w:r>
          </w:p>
        </w:tc>
        <w:tc>
          <w:tcPr>
            <w:tcW w:w="4940" w:type="dxa"/>
            <w:vAlign w:val="bottom"/>
            <w:tcBorders>
              <w:bottom w:val="single" w:sz="8" w:color="CCFFCC"/>
            </w:tcBorders>
            <w:gridSpan w:val="23"/>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21</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Termination Fees and Expenses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22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640" w:type="dxa"/>
            <w:vAlign w:val="bottom"/>
            <w:tcBorders>
              <w:bottom w:val="single" w:sz="8" w:color="0000EE"/>
            </w:tcBorders>
            <w:gridSpan w:val="21"/>
            <w:shd w:val="clear" w:color="auto" w:fill="CCFFCC"/>
          </w:tcPr>
          <w:p>
            <w:pPr>
              <w:spacing w:after="0" w:line="174" w:lineRule="exact"/>
              <w:rPr>
                <w:sz w:val="20"/>
                <w:szCs w:val="20"/>
                <w:color w:val="auto"/>
              </w:rPr>
            </w:pPr>
            <w:r>
              <w:rPr>
                <w:rFonts w:ascii="Arial" w:cs="Arial" w:eastAsia="Arial" w:hAnsi="Arial"/>
                <w:sz w:val="18"/>
                <w:szCs w:val="18"/>
                <w:color w:val="0000EE"/>
                <w:w w:val="91"/>
              </w:rPr>
              <w:t>Voting by Vringo Directors and Executive Officers</w:t>
            </w:r>
          </w:p>
        </w:tc>
        <w:tc>
          <w:tcPr>
            <w:tcW w:w="4040" w:type="dxa"/>
            <w:vAlign w:val="bottom"/>
            <w:tcBorders>
              <w:bottom w:val="single" w:sz="8" w:color="CCFFCC"/>
            </w:tcBorders>
            <w:gridSpan w:val="19"/>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22</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Rights of Innovate/Protect Stockholders Will Change as a Result of the Merger</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22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Risk Factors</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22</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Matters to Be Considered at the Vringo Annual Meeting</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23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SELECTED HISTORICAL FINANCIAL DATA OF VRINGO</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24</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gridSpan w:val="41"/>
          </w:tcPr>
          <w:p>
            <w:pPr>
              <w:spacing w:after="0" w:line="174" w:lineRule="exact"/>
              <w:rPr>
                <w:sz w:val="20"/>
                <w:szCs w:val="20"/>
                <w:color w:val="auto"/>
              </w:rPr>
            </w:pPr>
            <w:r>
              <w:rPr>
                <w:rFonts w:ascii="Arial" w:cs="Arial" w:eastAsia="Arial" w:hAnsi="Arial"/>
                <w:sz w:val="18"/>
                <w:szCs w:val="18"/>
                <w:color w:val="0000EE"/>
              </w:rPr>
              <w:t>SELECTED HISTORICAL FINANCIAL DATA OF INNOVATE/PROTECT</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25</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SUMMARY UNAUDITED PRO FORMA COMBINED FINANCIAL DATA</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26</w:t>
            </w:r>
          </w:p>
        </w:tc>
      </w:tr>
      <w:tr>
        <w:trPr>
          <w:trHeight w:val="174"/>
        </w:trPr>
        <w:tc>
          <w:tcPr>
            <w:tcW w:w="20" w:type="dxa"/>
            <w:vAlign w:val="bottom"/>
            <w:tcBorders>
              <w:top w:val="single" w:sz="8" w:color="CCFFCC"/>
            </w:tcBorders>
          </w:tcPr>
          <w:p>
            <w:pPr>
              <w:spacing w:after="0"/>
              <w:rPr>
                <w:sz w:val="15"/>
                <w:szCs w:val="15"/>
                <w:color w:val="auto"/>
              </w:rPr>
            </w:pPr>
          </w:p>
        </w:tc>
        <w:tc>
          <w:tcPr>
            <w:tcW w:w="5560" w:type="dxa"/>
            <w:vAlign w:val="bottom"/>
            <w:tcBorders>
              <w:top w:val="single" w:sz="8" w:color="0000EE"/>
            </w:tcBorders>
            <w:gridSpan w:val="34"/>
          </w:tcPr>
          <w:p>
            <w:pPr>
              <w:spacing w:after="0" w:line="174" w:lineRule="exact"/>
              <w:rPr>
                <w:sz w:val="20"/>
                <w:szCs w:val="20"/>
                <w:color w:val="auto"/>
              </w:rPr>
            </w:pPr>
            <w:r>
              <w:rPr>
                <w:rFonts w:ascii="Arial" w:cs="Arial" w:eastAsia="Arial" w:hAnsi="Arial"/>
                <w:sz w:val="18"/>
                <w:szCs w:val="18"/>
                <w:color w:val="0000EE"/>
              </w:rPr>
              <w:t>MARKET PRICE DATA AND DIVIDEND INFORMATION</w:t>
            </w:r>
          </w:p>
        </w:tc>
        <w:tc>
          <w:tcPr>
            <w:tcW w:w="2280" w:type="dxa"/>
            <w:vAlign w:val="bottom"/>
            <w:tcBorders>
              <w:top w:val="single" w:sz="8" w:color="CCFFCC"/>
            </w:tcBorders>
            <w:gridSpan w:val="7"/>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32</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CAUTIONARY STATEMENT REGARDING FORWARD-LOOKING STATEMENTS</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36</w:t>
            </w:r>
          </w:p>
        </w:tc>
      </w:tr>
      <w:tr>
        <w:trPr>
          <w:trHeight w:val="174"/>
        </w:trPr>
        <w:tc>
          <w:tcPr>
            <w:tcW w:w="20" w:type="dxa"/>
            <w:vAlign w:val="bottom"/>
            <w:tcBorders>
              <w:top w:val="single" w:sz="8" w:color="CCFFCC"/>
            </w:tcBorders>
          </w:tcPr>
          <w:p>
            <w:pPr>
              <w:spacing w:after="0"/>
              <w:rPr>
                <w:sz w:val="15"/>
                <w:szCs w:val="15"/>
                <w:color w:val="auto"/>
              </w:rPr>
            </w:pPr>
          </w:p>
        </w:tc>
        <w:tc>
          <w:tcPr>
            <w:tcW w:w="6260" w:type="dxa"/>
            <w:vAlign w:val="bottom"/>
            <w:tcBorders>
              <w:top w:val="single" w:sz="8" w:color="0000EE"/>
            </w:tcBorders>
            <w:gridSpan w:val="38"/>
          </w:tcPr>
          <w:p>
            <w:pPr>
              <w:spacing w:after="0" w:line="174" w:lineRule="exact"/>
              <w:rPr>
                <w:sz w:val="20"/>
                <w:szCs w:val="20"/>
                <w:color w:val="auto"/>
              </w:rPr>
            </w:pPr>
            <w:r>
              <w:rPr>
                <w:rFonts w:ascii="Arial" w:cs="Arial" w:eastAsia="Arial" w:hAnsi="Arial"/>
                <w:sz w:val="18"/>
                <w:szCs w:val="18"/>
                <w:color w:val="0000EE"/>
              </w:rPr>
              <w:t>RISK FACTORS</w:t>
            </w:r>
          </w:p>
        </w:tc>
        <w:tc>
          <w:tcPr>
            <w:tcW w:w="1580" w:type="dxa"/>
            <w:vAlign w:val="bottom"/>
            <w:tcBorders>
              <w:top w:val="single" w:sz="8" w:color="CCFFCC"/>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38</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Risks Related to 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38</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Risks Related to the Combined Company if the Merger Is Completed</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41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2520" w:type="dxa"/>
            <w:vAlign w:val="bottom"/>
            <w:tcBorders>
              <w:bottom w:val="single" w:sz="8" w:color="0000EE"/>
            </w:tcBorders>
            <w:gridSpan w:val="16"/>
            <w:shd w:val="clear" w:color="auto" w:fill="CCFFCC"/>
          </w:tcPr>
          <w:p>
            <w:pPr>
              <w:spacing w:after="0" w:line="174" w:lineRule="exact"/>
              <w:rPr>
                <w:sz w:val="20"/>
                <w:szCs w:val="20"/>
                <w:color w:val="auto"/>
              </w:rPr>
            </w:pPr>
            <w:r>
              <w:rPr>
                <w:rFonts w:ascii="Arial" w:cs="Arial" w:eastAsia="Arial" w:hAnsi="Arial"/>
                <w:sz w:val="18"/>
                <w:szCs w:val="18"/>
                <w:color w:val="0000EE"/>
                <w:w w:val="89"/>
              </w:rPr>
              <w:t>Risks Related to Vringo’s Business</w:t>
            </w:r>
          </w:p>
        </w:tc>
        <w:tc>
          <w:tcPr>
            <w:tcW w:w="5160" w:type="dxa"/>
            <w:vAlign w:val="bottom"/>
            <w:tcBorders>
              <w:bottom w:val="single" w:sz="8" w:color="CCFFCC"/>
            </w:tcBorders>
            <w:gridSpan w:val="24"/>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46</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Risks Related to Innovate/Protect’s Business</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54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840" w:type="dxa"/>
            <w:vAlign w:val="bottom"/>
            <w:gridSpan w:val="41"/>
            <w:shd w:val="clear" w:color="auto" w:fill="CCFFCC"/>
          </w:tcPr>
          <w:p>
            <w:pPr>
              <w:spacing w:after="0" w:line="174" w:lineRule="exact"/>
              <w:rPr>
                <w:sz w:val="20"/>
                <w:szCs w:val="20"/>
                <w:color w:val="auto"/>
              </w:rPr>
            </w:pPr>
            <w:r>
              <w:rPr>
                <w:rFonts w:ascii="Arial" w:cs="Arial" w:eastAsia="Arial" w:hAnsi="Arial"/>
                <w:sz w:val="18"/>
                <w:szCs w:val="18"/>
                <w:color w:val="0000EE"/>
              </w:rPr>
              <w:t>THE MERGER</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59</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Structure of the Merger</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59</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4580" w:type="dxa"/>
            <w:vAlign w:val="bottom"/>
            <w:tcBorders>
              <w:bottom w:val="single" w:sz="8" w:color="0000EE"/>
            </w:tcBorders>
            <w:gridSpan w:val="28"/>
            <w:shd w:val="clear" w:color="auto" w:fill="CCFFCC"/>
          </w:tcPr>
          <w:p>
            <w:pPr>
              <w:spacing w:after="0" w:line="174" w:lineRule="exact"/>
              <w:rPr>
                <w:sz w:val="20"/>
                <w:szCs w:val="20"/>
                <w:color w:val="auto"/>
              </w:rPr>
            </w:pPr>
            <w:r>
              <w:rPr>
                <w:rFonts w:ascii="Arial" w:cs="Arial" w:eastAsia="Arial" w:hAnsi="Arial"/>
                <w:sz w:val="18"/>
                <w:szCs w:val="18"/>
                <w:color w:val="0000EE"/>
                <w:w w:val="90"/>
              </w:rPr>
              <w:t>What Innovate/Protect Stockholders Will Receive in the Merger</w:t>
            </w:r>
          </w:p>
        </w:tc>
        <w:tc>
          <w:tcPr>
            <w:tcW w:w="3100" w:type="dxa"/>
            <w:vAlign w:val="bottom"/>
            <w:tcBorders>
              <w:bottom w:val="single" w:sz="8" w:color="CCFFCC"/>
            </w:tcBorders>
            <w:gridSpan w:val="12"/>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59</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0"/>
          </w:tcPr>
          <w:p>
            <w:pPr>
              <w:spacing w:after="0" w:line="174" w:lineRule="exact"/>
              <w:rPr>
                <w:sz w:val="20"/>
                <w:szCs w:val="20"/>
                <w:color w:val="auto"/>
              </w:rPr>
            </w:pPr>
            <w:r>
              <w:rPr>
                <w:rFonts w:ascii="Arial" w:cs="Arial" w:eastAsia="Arial" w:hAnsi="Arial"/>
                <w:sz w:val="18"/>
                <w:szCs w:val="18"/>
                <w:color w:val="0000EE"/>
              </w:rPr>
              <w:t>Ownership of the Combined Company After the Completion of the Merger</w:t>
            </w:r>
          </w:p>
        </w:tc>
        <w:tc>
          <w:tcPr>
            <w:tcW w:w="280" w:type="dxa"/>
            <w:vAlign w:val="bottom"/>
            <w:gridSpan w:val="3"/>
          </w:tcPr>
          <w:p>
            <w:pPr>
              <w:jc w:val="right"/>
              <w:ind w:right="100"/>
              <w:spacing w:after="0" w:line="174" w:lineRule="exact"/>
              <w:rPr>
                <w:sz w:val="20"/>
                <w:szCs w:val="20"/>
                <w:color w:val="auto"/>
              </w:rPr>
            </w:pPr>
            <w:r>
              <w:rPr>
                <w:rFonts w:ascii="Arial" w:cs="Arial" w:eastAsia="Arial" w:hAnsi="Arial"/>
                <w:sz w:val="18"/>
                <w:szCs w:val="18"/>
                <w:color w:val="0000EE"/>
                <w:w w:val="79"/>
              </w:rPr>
              <w:t>60</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Treatment of Innovate/Protect Stock Options and Warrants</w:t>
            </w:r>
          </w:p>
        </w:tc>
        <w:tc>
          <w:tcPr>
            <w:tcW w:w="280" w:type="dxa"/>
            <w:vAlign w:val="bottom"/>
            <w:gridSpan w:val="3"/>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60</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-5915025</wp:posOffset>
            </wp:positionV>
            <wp:extent cx="51600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gridSpan w:val="47"/>
          </w:tcPr>
          <w:p>
            <w:pPr>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gridSpan w:val="10"/>
          </w:tcPr>
          <w:p>
            <w:pPr>
              <w:spacing w:after="0" w:line="154" w:lineRule="exact"/>
              <w:rPr>
                <w:sz w:val="20"/>
                <w:szCs w:val="20"/>
                <w:color w:val="auto"/>
              </w:rPr>
            </w:pPr>
            <w:r>
              <w:rPr>
                <w:rFonts w:ascii="Arial" w:cs="Arial" w:eastAsia="Arial" w:hAnsi="Arial"/>
                <w:sz w:val="17"/>
                <w:szCs w:val="17"/>
                <w:color w:val="0000EE"/>
                <w:w w:val="97"/>
              </w:rPr>
              <w:t>Background of the</w:t>
            </w:r>
          </w:p>
        </w:tc>
        <w:tc>
          <w:tcPr>
            <w:tcW w:w="6320" w:type="dxa"/>
            <w:vAlign w:val="bottom"/>
            <w:gridSpan w:val="36"/>
          </w:tcPr>
          <w:p>
            <w:pPr>
              <w:ind w:left="20"/>
              <w:spacing w:after="0" w:line="154" w:lineRule="exact"/>
              <w:rPr>
                <w:sz w:val="20"/>
                <w:szCs w:val="20"/>
                <w:color w:val="auto"/>
              </w:rPr>
            </w:pPr>
            <w:r>
              <w:rPr>
                <w:rFonts w:ascii="Arial" w:cs="Arial" w:eastAsia="Arial" w:hAnsi="Arial"/>
                <w:sz w:val="17"/>
                <w:szCs w:val="17"/>
                <w:color w:val="0000EE"/>
              </w:rPr>
              <w:t>Merger</w:t>
            </w:r>
          </w:p>
        </w:tc>
        <w:tc>
          <w:tcPr>
            <w:tcW w:w="280" w:type="dxa"/>
            <w:vAlign w:val="bottom"/>
            <w:gridSpan w:val="2"/>
          </w:tcPr>
          <w:p>
            <w:pPr>
              <w:jc w:val="right"/>
              <w:ind w:right="100"/>
              <w:spacing w:after="0" w:line="154" w:lineRule="exact"/>
              <w:rPr>
                <w:sz w:val="20"/>
                <w:szCs w:val="20"/>
                <w:color w:val="auto"/>
              </w:rPr>
            </w:pPr>
            <w:r>
              <w:rPr>
                <w:rFonts w:ascii="Arial" w:cs="Arial" w:eastAsia="Arial" w:hAnsi="Arial"/>
                <w:sz w:val="17"/>
                <w:szCs w:val="17"/>
                <w:color w:val="0000EE"/>
                <w:w w:val="84"/>
              </w:rPr>
              <w:t>61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Recommendations of the Vringo Board of Directors and its Reasons for the Merger</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65</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5940" w:type="dxa"/>
            <w:vAlign w:val="bottom"/>
            <w:tcBorders>
              <w:top w:val="single" w:sz="8" w:color="0000EE"/>
            </w:tcBorders>
            <w:gridSpan w:val="42"/>
          </w:tcPr>
          <w:p>
            <w:pPr>
              <w:spacing w:after="0" w:line="174" w:lineRule="exact"/>
              <w:rPr>
                <w:sz w:val="20"/>
                <w:szCs w:val="20"/>
                <w:color w:val="auto"/>
              </w:rPr>
            </w:pPr>
            <w:r>
              <w:rPr>
                <w:rFonts w:ascii="Arial" w:cs="Arial" w:eastAsia="Arial" w:hAnsi="Arial"/>
                <w:sz w:val="18"/>
                <w:szCs w:val="18"/>
                <w:color w:val="0000EE"/>
              </w:rPr>
              <w:t>Opinion of Etico Capital to the Vringo Board of Directors</w:t>
            </w:r>
          </w:p>
        </w:tc>
        <w:tc>
          <w:tcPr>
            <w:tcW w:w="1740" w:type="dxa"/>
            <w:vAlign w:val="bottom"/>
            <w:tcBorders>
              <w:top w:val="single" w:sz="8" w:color="CCFFCC"/>
            </w:tcBorders>
            <w:gridSpan w:val="4"/>
          </w:tcPr>
          <w:p>
            <w:pPr>
              <w:spacing w:after="0"/>
              <w:rPr>
                <w:sz w:val="15"/>
                <w:szCs w:val="15"/>
                <w:color w:val="auto"/>
              </w:rPr>
            </w:pPr>
          </w:p>
        </w:tc>
        <w:tc>
          <w:tcPr>
            <w:tcW w:w="180" w:type="dxa"/>
            <w:vAlign w:val="bottom"/>
            <w:tcBorders>
              <w:top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66</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6920" w:type="dxa"/>
            <w:vAlign w:val="bottom"/>
            <w:tcBorders>
              <w:bottom w:val="single" w:sz="8" w:color="0000EE"/>
            </w:tcBorders>
            <w:gridSpan w:val="44"/>
            <w:shd w:val="clear" w:color="auto" w:fill="CCFFCC"/>
          </w:tcPr>
          <w:p>
            <w:pPr>
              <w:spacing w:after="0" w:line="174" w:lineRule="exact"/>
              <w:rPr>
                <w:sz w:val="20"/>
                <w:szCs w:val="20"/>
                <w:color w:val="auto"/>
              </w:rPr>
            </w:pPr>
            <w:r>
              <w:rPr>
                <w:rFonts w:ascii="Arial" w:cs="Arial" w:eastAsia="Arial" w:hAnsi="Arial"/>
                <w:sz w:val="18"/>
                <w:szCs w:val="18"/>
                <w:color w:val="0000EE"/>
                <w:w w:val="91"/>
              </w:rPr>
              <w:t>Board of Directors, Executive Officers and Key Employees of the Combined Company After the</w:t>
            </w:r>
          </w:p>
        </w:tc>
        <w:tc>
          <w:tcPr>
            <w:tcW w:w="760" w:type="dxa"/>
            <w:vAlign w:val="bottom"/>
            <w:tcBorders>
              <w:bottom w:val="single" w:sz="8" w:color="CCFFCC"/>
            </w:tcBorders>
            <w:gridSpan w:val="2"/>
            <w:shd w:val="clear" w:color="auto" w:fill="CCFFCC"/>
          </w:tcPr>
          <w:p>
            <w:pPr>
              <w:spacing w:after="0"/>
              <w:rPr>
                <w:sz w:val="15"/>
                <w:szCs w:val="15"/>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73</w:t>
            </w:r>
          </w:p>
        </w:tc>
        <w:tc>
          <w:tcPr>
            <w:tcW w:w="100" w:type="dxa"/>
            <w:vAlign w:val="bottom"/>
            <w:tcBorders>
              <w:bottom w:val="single" w:sz="8" w:color="CCFFCC"/>
            </w:tcBorders>
            <w:shd w:val="clear" w:color="auto" w:fill="CCFFCC"/>
          </w:tcPr>
          <w:p>
            <w:pPr>
              <w:spacing w:after="0"/>
              <w:rPr>
                <w:sz w:val="15"/>
                <w:szCs w:val="15"/>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7500" w:type="dxa"/>
            <w:vAlign w:val="bottom"/>
            <w:gridSpan w:val="45"/>
            <w:shd w:val="clear" w:color="auto" w:fill="CCFFCC"/>
          </w:tcPr>
          <w:p>
            <w:pPr>
              <w:spacing w:after="0" w:line="194" w:lineRule="exact"/>
              <w:rPr>
                <w:sz w:val="20"/>
                <w:szCs w:val="20"/>
                <w:color w:val="auto"/>
              </w:rPr>
            </w:pPr>
            <w:r>
              <w:rPr>
                <w:rFonts w:ascii="Arial" w:cs="Arial" w:eastAsia="Arial" w:hAnsi="Arial"/>
                <w:sz w:val="18"/>
                <w:szCs w:val="18"/>
                <w:color w:val="0000EE"/>
              </w:rPr>
              <w:t>Completion of the Merger</w:t>
            </w:r>
          </w:p>
        </w:tc>
        <w:tc>
          <w:tcPr>
            <w:tcW w:w="1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Interests of Vringo Directors and Executive Officers in the Merger</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73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Anticipated Accounting Treatment</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75</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2480" w:type="dxa"/>
            <w:vAlign w:val="bottom"/>
            <w:tcBorders>
              <w:top w:val="single" w:sz="8" w:color="0000EE"/>
            </w:tcBorders>
            <w:gridSpan w:val="25"/>
          </w:tcPr>
          <w:p>
            <w:pPr>
              <w:spacing w:after="0" w:line="174" w:lineRule="exact"/>
              <w:rPr>
                <w:sz w:val="20"/>
                <w:szCs w:val="20"/>
                <w:color w:val="auto"/>
              </w:rPr>
            </w:pPr>
            <w:r>
              <w:rPr>
                <w:rFonts w:ascii="Arial" w:cs="Arial" w:eastAsia="Arial" w:hAnsi="Arial"/>
                <w:sz w:val="18"/>
                <w:szCs w:val="18"/>
                <w:color w:val="0000EE"/>
              </w:rPr>
              <w:t>Tax Treatment of the Merger</w:t>
            </w:r>
          </w:p>
        </w:tc>
        <w:tc>
          <w:tcPr>
            <w:tcW w:w="5200" w:type="dxa"/>
            <w:vAlign w:val="bottom"/>
            <w:tcBorders>
              <w:top w:val="single" w:sz="8" w:color="CCFFCC"/>
            </w:tcBorders>
            <w:gridSpan w:val="21"/>
          </w:tcPr>
          <w:p>
            <w:pPr>
              <w:spacing w:after="0"/>
              <w:rPr>
                <w:sz w:val="15"/>
                <w:szCs w:val="15"/>
                <w:color w:val="auto"/>
              </w:rPr>
            </w:pPr>
          </w:p>
        </w:tc>
        <w:tc>
          <w:tcPr>
            <w:tcW w:w="180" w:type="dxa"/>
            <w:vAlign w:val="bottom"/>
            <w:tcBorders>
              <w:top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75</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Regulatory Approvals Required for the Merger</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75</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40" w:type="dxa"/>
            <w:vAlign w:val="bottom"/>
            <w:tcBorders>
              <w:bottom w:val="single" w:sz="8" w:color="0000EE"/>
            </w:tcBorders>
            <w:gridSpan w:val="45"/>
          </w:tcPr>
          <w:p>
            <w:pPr>
              <w:spacing w:after="0" w:line="174" w:lineRule="exact"/>
              <w:rPr>
                <w:sz w:val="20"/>
                <w:szCs w:val="20"/>
                <w:color w:val="auto"/>
              </w:rPr>
            </w:pPr>
            <w:r>
              <w:rPr>
                <w:rFonts w:ascii="Arial" w:cs="Arial" w:eastAsia="Arial" w:hAnsi="Arial"/>
                <w:sz w:val="18"/>
                <w:szCs w:val="18"/>
                <w:color w:val="0000EE"/>
                <w:w w:val="89"/>
              </w:rPr>
              <w:t>Restrictions on Sales of Shares of Vringo Common Stock Received by Innovate/Protect Stockholders</w:t>
            </w:r>
          </w:p>
        </w:tc>
        <w:tc>
          <w:tcPr>
            <w:tcW w:w="440" w:type="dxa"/>
            <w:vAlign w:val="bottom"/>
          </w:tcPr>
          <w:p>
            <w:pPr>
              <w:spacing w:after="0"/>
              <w:rPr>
                <w:sz w:val="15"/>
                <w:szCs w:val="15"/>
                <w:color w:val="auto"/>
              </w:rPr>
            </w:pPr>
          </w:p>
        </w:tc>
        <w:tc>
          <w:tcPr>
            <w:tcW w:w="180" w:type="dxa"/>
            <w:vAlign w:val="bottom"/>
            <w:tcBorders>
              <w:bottom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75</w:t>
            </w:r>
          </w:p>
        </w:tc>
        <w:tc>
          <w:tcPr>
            <w:tcW w:w="10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80" w:type="dxa"/>
            <w:vAlign w:val="bottom"/>
            <w:gridSpan w:val="46"/>
          </w:tcPr>
          <w:p>
            <w:pPr>
              <w:ind w:left="180"/>
              <w:spacing w:after="0" w:line="194" w:lineRule="exact"/>
              <w:rPr>
                <w:sz w:val="20"/>
                <w:szCs w:val="20"/>
                <w:color w:val="auto"/>
              </w:rPr>
            </w:pPr>
            <w:r>
              <w:rPr>
                <w:rFonts w:ascii="Arial" w:cs="Arial" w:eastAsia="Arial" w:hAnsi="Arial"/>
                <w:sz w:val="18"/>
                <w:szCs w:val="18"/>
                <w:color w:val="0000EE"/>
              </w:rPr>
              <w:t>in the Merger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220" w:type="dxa"/>
            <w:vAlign w:val="bottom"/>
            <w:tcBorders>
              <w:bottom w:val="single" w:sz="8" w:color="0000EE"/>
            </w:tcBorders>
            <w:gridSpan w:val="9"/>
            <w:shd w:val="clear" w:color="auto" w:fill="CCFFCC"/>
          </w:tcPr>
          <w:p>
            <w:pPr>
              <w:spacing w:after="0" w:line="174" w:lineRule="exact"/>
              <w:rPr>
                <w:sz w:val="20"/>
                <w:szCs w:val="20"/>
                <w:color w:val="auto"/>
              </w:rPr>
            </w:pPr>
            <w:r>
              <w:rPr>
                <w:rFonts w:ascii="Arial" w:cs="Arial" w:eastAsia="Arial" w:hAnsi="Arial"/>
                <w:sz w:val="18"/>
                <w:szCs w:val="18"/>
                <w:color w:val="0000EE"/>
                <w:w w:val="91"/>
              </w:rPr>
              <w:t>Appraisal Rights</w:t>
            </w:r>
          </w:p>
        </w:tc>
        <w:tc>
          <w:tcPr>
            <w:tcW w:w="6460" w:type="dxa"/>
            <w:vAlign w:val="bottom"/>
            <w:tcBorders>
              <w:bottom w:val="single" w:sz="8" w:color="CCFFCC"/>
            </w:tcBorders>
            <w:gridSpan w:val="37"/>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76</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NYSE Amex Listing of Vringo Common Stock</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76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7840" w:type="dxa"/>
            <w:vAlign w:val="bottom"/>
            <w:gridSpan w:val="47"/>
            <w:shd w:val="clear" w:color="auto" w:fill="CCFFCC"/>
          </w:tcPr>
          <w:p>
            <w:pPr>
              <w:spacing w:after="0" w:line="174" w:lineRule="exact"/>
              <w:rPr>
                <w:sz w:val="20"/>
                <w:szCs w:val="20"/>
                <w:color w:val="auto"/>
              </w:rPr>
            </w:pPr>
            <w:r>
              <w:rPr>
                <w:rFonts w:ascii="Arial" w:cs="Arial" w:eastAsia="Arial" w:hAnsi="Arial"/>
                <w:sz w:val="18"/>
                <w:szCs w:val="18"/>
                <w:color w:val="0000EE"/>
              </w:rPr>
              <w:t>MATERIAL U.S. FEDERAL INCOME TAX CONSEQUENCES OF THE MERGER</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77</w:t>
            </w:r>
          </w:p>
        </w:tc>
      </w:tr>
      <w:tr>
        <w:trPr>
          <w:trHeight w:val="174"/>
        </w:trPr>
        <w:tc>
          <w:tcPr>
            <w:tcW w:w="20" w:type="dxa"/>
            <w:vAlign w:val="bottom"/>
            <w:tcBorders>
              <w:top w:val="single" w:sz="8" w:color="CCFFCC"/>
            </w:tcBorders>
          </w:tcPr>
          <w:p>
            <w:pPr>
              <w:spacing w:after="0"/>
              <w:rPr>
                <w:sz w:val="15"/>
                <w:szCs w:val="15"/>
                <w:color w:val="auto"/>
              </w:rPr>
            </w:pPr>
          </w:p>
        </w:tc>
        <w:tc>
          <w:tcPr>
            <w:tcW w:w="6140" w:type="dxa"/>
            <w:vAlign w:val="bottom"/>
            <w:tcBorders>
              <w:top w:val="single" w:sz="8" w:color="0000EE"/>
            </w:tcBorders>
            <w:gridSpan w:val="44"/>
          </w:tcPr>
          <w:p>
            <w:pPr>
              <w:spacing w:after="0" w:line="174" w:lineRule="exact"/>
              <w:rPr>
                <w:sz w:val="20"/>
                <w:szCs w:val="20"/>
                <w:color w:val="auto"/>
              </w:rPr>
            </w:pPr>
            <w:r>
              <w:rPr>
                <w:rFonts w:ascii="Arial" w:cs="Arial" w:eastAsia="Arial" w:hAnsi="Arial"/>
                <w:sz w:val="18"/>
                <w:szCs w:val="18"/>
                <w:color w:val="0000EE"/>
              </w:rPr>
              <w:t>THE MERGER AGREEMENT</w:t>
            </w:r>
          </w:p>
        </w:tc>
        <w:tc>
          <w:tcPr>
            <w:tcW w:w="1700" w:type="dxa"/>
            <w:vAlign w:val="bottom"/>
            <w:tcBorders>
              <w:top w:val="single" w:sz="8" w:color="CCFFCC"/>
            </w:tcBorders>
            <w:gridSpan w:val="3"/>
          </w:tcPr>
          <w:p>
            <w:pPr>
              <w:spacing w:after="0"/>
              <w:rPr>
                <w:sz w:val="15"/>
                <w:szCs w:val="15"/>
                <w:color w:val="auto"/>
              </w:rPr>
            </w:pPr>
          </w:p>
        </w:tc>
        <w:tc>
          <w:tcPr>
            <w:tcW w:w="180" w:type="dxa"/>
            <w:vAlign w:val="bottom"/>
            <w:tcBorders>
              <w:top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80</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480" w:type="dxa"/>
            <w:vAlign w:val="bottom"/>
            <w:tcBorders>
              <w:bottom w:val="single" w:sz="8" w:color="0000EE"/>
            </w:tcBorders>
            <w:gridSpan w:val="11"/>
            <w:shd w:val="clear" w:color="auto" w:fill="CCFFCC"/>
          </w:tcPr>
          <w:p>
            <w:pPr>
              <w:spacing w:after="0" w:line="174" w:lineRule="exact"/>
              <w:rPr>
                <w:sz w:val="20"/>
                <w:szCs w:val="20"/>
                <w:color w:val="auto"/>
              </w:rPr>
            </w:pPr>
            <w:r>
              <w:rPr>
                <w:rFonts w:ascii="Arial" w:cs="Arial" w:eastAsia="Arial" w:hAnsi="Arial"/>
                <w:sz w:val="18"/>
                <w:szCs w:val="18"/>
                <w:color w:val="0000EE"/>
                <w:w w:val="89"/>
              </w:rPr>
              <w:t>Terms of the Merger</w:t>
            </w:r>
          </w:p>
        </w:tc>
        <w:tc>
          <w:tcPr>
            <w:tcW w:w="6200" w:type="dxa"/>
            <w:vAlign w:val="bottom"/>
            <w:tcBorders>
              <w:bottom w:val="single" w:sz="8" w:color="CCFFCC"/>
            </w:tcBorders>
            <w:gridSpan w:val="35"/>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80</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Completion of the Merger</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80</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Certificate of Incorporation; Bylaws; Directors and Officers</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80</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280" w:type="dxa"/>
            <w:vAlign w:val="bottom"/>
            <w:tcBorders>
              <w:top w:val="single" w:sz="8" w:color="0000EE"/>
            </w:tcBorders>
            <w:gridSpan w:val="38"/>
          </w:tcPr>
          <w:p>
            <w:pPr>
              <w:spacing w:after="0" w:line="174" w:lineRule="exact"/>
              <w:rPr>
                <w:sz w:val="20"/>
                <w:szCs w:val="20"/>
                <w:color w:val="auto"/>
              </w:rPr>
            </w:pPr>
            <w:r>
              <w:rPr>
                <w:rFonts w:ascii="Arial" w:cs="Arial" w:eastAsia="Arial" w:hAnsi="Arial"/>
                <w:sz w:val="18"/>
                <w:szCs w:val="18"/>
                <w:color w:val="0000EE"/>
              </w:rPr>
              <w:t>Merger Consideration</w:t>
            </w:r>
          </w:p>
        </w:tc>
        <w:tc>
          <w:tcPr>
            <w:tcW w:w="3400" w:type="dxa"/>
            <w:vAlign w:val="bottom"/>
            <w:tcBorders>
              <w:top w:val="single" w:sz="8" w:color="CCFFCC"/>
            </w:tcBorders>
            <w:gridSpan w:val="8"/>
          </w:tcPr>
          <w:p>
            <w:pPr>
              <w:spacing w:after="0"/>
              <w:rPr>
                <w:sz w:val="15"/>
                <w:szCs w:val="15"/>
                <w:color w:val="auto"/>
              </w:rPr>
            </w:pPr>
          </w:p>
        </w:tc>
        <w:tc>
          <w:tcPr>
            <w:tcW w:w="180" w:type="dxa"/>
            <w:vAlign w:val="bottom"/>
            <w:tcBorders>
              <w:top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81</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Exchange of Innovate/Protect Stock Certificates</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82</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440" w:type="dxa"/>
            <w:vAlign w:val="bottom"/>
            <w:tcBorders>
              <w:top w:val="single" w:sz="8" w:color="0000EE"/>
            </w:tcBorders>
            <w:gridSpan w:val="35"/>
          </w:tcPr>
          <w:p>
            <w:pPr>
              <w:spacing w:after="0" w:line="174" w:lineRule="exact"/>
              <w:rPr>
                <w:sz w:val="20"/>
                <w:szCs w:val="20"/>
                <w:color w:val="auto"/>
              </w:rPr>
            </w:pPr>
            <w:r>
              <w:rPr>
                <w:rFonts w:ascii="Arial" w:cs="Arial" w:eastAsia="Arial" w:hAnsi="Arial"/>
                <w:sz w:val="18"/>
                <w:szCs w:val="18"/>
                <w:color w:val="0000EE"/>
              </w:rPr>
              <w:t>Representations and Warranties</w:t>
            </w:r>
          </w:p>
        </w:tc>
        <w:tc>
          <w:tcPr>
            <w:tcW w:w="4240" w:type="dxa"/>
            <w:vAlign w:val="bottom"/>
            <w:tcBorders>
              <w:top w:val="single" w:sz="8" w:color="CCFFCC"/>
            </w:tcBorders>
            <w:gridSpan w:val="11"/>
          </w:tcPr>
          <w:p>
            <w:pPr>
              <w:spacing w:after="0"/>
              <w:rPr>
                <w:sz w:val="15"/>
                <w:szCs w:val="15"/>
                <w:color w:val="auto"/>
              </w:rPr>
            </w:pPr>
          </w:p>
        </w:tc>
        <w:tc>
          <w:tcPr>
            <w:tcW w:w="180" w:type="dxa"/>
            <w:vAlign w:val="bottom"/>
            <w:tcBorders>
              <w:top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82</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Material Adverse Effect</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82</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Certain Covenants of the Parties</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84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100" w:type="dxa"/>
            <w:vAlign w:val="bottom"/>
            <w:tcBorders>
              <w:bottom w:val="single" w:sz="8" w:color="0000EE"/>
            </w:tcBorders>
            <w:gridSpan w:val="6"/>
            <w:shd w:val="clear" w:color="auto" w:fill="CCFFCC"/>
          </w:tcPr>
          <w:p>
            <w:pPr>
              <w:spacing w:after="0" w:line="174" w:lineRule="exact"/>
              <w:rPr>
                <w:sz w:val="20"/>
                <w:szCs w:val="20"/>
                <w:color w:val="auto"/>
              </w:rPr>
            </w:pPr>
            <w:r>
              <w:rPr>
                <w:rFonts w:ascii="Arial" w:cs="Arial" w:eastAsia="Arial" w:hAnsi="Arial"/>
                <w:sz w:val="18"/>
                <w:szCs w:val="18"/>
                <w:color w:val="0000EE"/>
                <w:w w:val="93"/>
              </w:rPr>
              <w:t>No Solicitation</w:t>
            </w:r>
          </w:p>
        </w:tc>
        <w:tc>
          <w:tcPr>
            <w:tcW w:w="6580" w:type="dxa"/>
            <w:vAlign w:val="bottom"/>
            <w:tcBorders>
              <w:bottom w:val="single" w:sz="8" w:color="CCFFCC"/>
            </w:tcBorders>
            <w:gridSpan w:val="40"/>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85</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Board Recommendations</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86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860" w:type="dxa"/>
            <w:vAlign w:val="bottom"/>
            <w:tcBorders>
              <w:bottom w:val="single" w:sz="8" w:color="0000EE"/>
            </w:tcBorders>
            <w:gridSpan w:val="16"/>
            <w:shd w:val="clear" w:color="auto" w:fill="CCFFCC"/>
          </w:tcPr>
          <w:p>
            <w:pPr>
              <w:spacing w:after="0" w:line="174" w:lineRule="exact"/>
              <w:rPr>
                <w:sz w:val="20"/>
                <w:szCs w:val="20"/>
                <w:color w:val="auto"/>
              </w:rPr>
            </w:pPr>
            <w:r>
              <w:rPr>
                <w:rFonts w:ascii="Arial" w:cs="Arial" w:eastAsia="Arial" w:hAnsi="Arial"/>
                <w:sz w:val="18"/>
                <w:szCs w:val="18"/>
                <w:color w:val="0000EE"/>
                <w:w w:val="91"/>
              </w:rPr>
              <w:t>Approval of Stockholders</w:t>
            </w:r>
          </w:p>
        </w:tc>
        <w:tc>
          <w:tcPr>
            <w:tcW w:w="5820" w:type="dxa"/>
            <w:vAlign w:val="bottom"/>
            <w:tcBorders>
              <w:bottom w:val="single" w:sz="8" w:color="CCFFCC"/>
            </w:tcBorders>
            <w:gridSpan w:val="30"/>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87</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Indemnification of Directors and Officers</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87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Conditions to the Completion of the Merger</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87</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140" w:type="dxa"/>
            <w:vAlign w:val="bottom"/>
            <w:tcBorders>
              <w:top w:val="single" w:sz="8" w:color="0000EE"/>
            </w:tcBorders>
            <w:gridSpan w:val="30"/>
          </w:tcPr>
          <w:p>
            <w:pPr>
              <w:spacing w:after="0" w:line="174" w:lineRule="exact"/>
              <w:rPr>
                <w:sz w:val="20"/>
                <w:szCs w:val="20"/>
                <w:color w:val="auto"/>
              </w:rPr>
            </w:pPr>
            <w:r>
              <w:rPr>
                <w:rFonts w:ascii="Arial" w:cs="Arial" w:eastAsia="Arial" w:hAnsi="Arial"/>
                <w:sz w:val="18"/>
                <w:szCs w:val="18"/>
                <w:color w:val="0000EE"/>
              </w:rPr>
              <w:t>Termination of the Merger Agreement</w:t>
            </w:r>
          </w:p>
        </w:tc>
        <w:tc>
          <w:tcPr>
            <w:tcW w:w="4540" w:type="dxa"/>
            <w:vAlign w:val="bottom"/>
            <w:tcBorders>
              <w:top w:val="single" w:sz="8" w:color="CCFFCC"/>
            </w:tcBorders>
            <w:gridSpan w:val="16"/>
          </w:tcPr>
          <w:p>
            <w:pPr>
              <w:spacing w:after="0"/>
              <w:rPr>
                <w:sz w:val="15"/>
                <w:szCs w:val="15"/>
                <w:color w:val="auto"/>
              </w:rPr>
            </w:pPr>
          </w:p>
        </w:tc>
        <w:tc>
          <w:tcPr>
            <w:tcW w:w="180" w:type="dxa"/>
            <w:vAlign w:val="bottom"/>
            <w:tcBorders>
              <w:top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88</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Termination Fees and Expenses</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88</w:t>
            </w: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2260" w:type="dxa"/>
            <w:vAlign w:val="bottom"/>
            <w:tcBorders>
              <w:top w:val="single" w:sz="8" w:color="0000EE"/>
            </w:tcBorders>
            <w:gridSpan w:val="23"/>
          </w:tcPr>
          <w:p>
            <w:pPr>
              <w:spacing w:after="0" w:line="174" w:lineRule="exact"/>
              <w:rPr>
                <w:sz w:val="20"/>
                <w:szCs w:val="20"/>
                <w:color w:val="auto"/>
              </w:rPr>
            </w:pPr>
            <w:r>
              <w:rPr>
                <w:rFonts w:ascii="Arial" w:cs="Arial" w:eastAsia="Arial" w:hAnsi="Arial"/>
                <w:sz w:val="18"/>
                <w:szCs w:val="18"/>
                <w:color w:val="0000EE"/>
              </w:rPr>
              <w:t>Amendments</w:t>
            </w:r>
          </w:p>
        </w:tc>
        <w:tc>
          <w:tcPr>
            <w:tcW w:w="5420" w:type="dxa"/>
            <w:vAlign w:val="bottom"/>
            <w:tcBorders>
              <w:top w:val="single" w:sz="8" w:color="CCFFCC"/>
            </w:tcBorders>
            <w:gridSpan w:val="23"/>
          </w:tcPr>
          <w:p>
            <w:pPr>
              <w:spacing w:after="0"/>
              <w:rPr>
                <w:sz w:val="15"/>
                <w:szCs w:val="15"/>
                <w:color w:val="auto"/>
              </w:rPr>
            </w:pPr>
          </w:p>
        </w:tc>
        <w:tc>
          <w:tcPr>
            <w:tcW w:w="180" w:type="dxa"/>
            <w:vAlign w:val="bottom"/>
            <w:tcBorders>
              <w:top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89</w:t>
            </w:r>
          </w:p>
        </w:tc>
        <w:tc>
          <w:tcPr>
            <w:tcW w:w="100" w:type="dxa"/>
            <w:vAlign w:val="bottom"/>
            <w:tcBorders>
              <w:top w:val="single" w:sz="8" w:color="CCFFCC"/>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140" w:type="dxa"/>
            <w:vAlign w:val="bottom"/>
            <w:tcBorders>
              <w:bottom w:val="single" w:sz="8" w:color="0000EE"/>
            </w:tcBorders>
            <w:gridSpan w:val="7"/>
            <w:shd w:val="clear" w:color="auto" w:fill="CCFFCC"/>
          </w:tcPr>
          <w:p>
            <w:pPr>
              <w:spacing w:after="0" w:line="174" w:lineRule="exact"/>
              <w:rPr>
                <w:sz w:val="20"/>
                <w:szCs w:val="20"/>
                <w:color w:val="auto"/>
              </w:rPr>
            </w:pPr>
            <w:r>
              <w:rPr>
                <w:rFonts w:ascii="Arial" w:cs="Arial" w:eastAsia="Arial" w:hAnsi="Arial"/>
                <w:sz w:val="18"/>
                <w:szCs w:val="18"/>
                <w:color w:val="0000EE"/>
                <w:w w:val="92"/>
              </w:rPr>
              <w:t>Governing Law</w:t>
            </w:r>
          </w:p>
        </w:tc>
        <w:tc>
          <w:tcPr>
            <w:tcW w:w="6540" w:type="dxa"/>
            <w:vAlign w:val="bottom"/>
            <w:tcBorders>
              <w:bottom w:val="single" w:sz="8" w:color="CCFFCC"/>
            </w:tcBorders>
            <w:gridSpan w:val="39"/>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89</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840" w:type="dxa"/>
            <w:vAlign w:val="bottom"/>
            <w:gridSpan w:val="47"/>
          </w:tcPr>
          <w:p>
            <w:pPr>
              <w:spacing w:after="0" w:line="174" w:lineRule="exact"/>
              <w:rPr>
                <w:sz w:val="20"/>
                <w:szCs w:val="20"/>
                <w:color w:val="auto"/>
              </w:rPr>
            </w:pPr>
            <w:r>
              <w:rPr>
                <w:rFonts w:ascii="Arial" w:cs="Arial" w:eastAsia="Arial" w:hAnsi="Arial"/>
                <w:sz w:val="18"/>
                <w:szCs w:val="18"/>
                <w:color w:val="0000EE"/>
              </w:rPr>
              <w:t>INFORMATION ABOUT THE COMPANIES</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90</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Vringo, Inc</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90</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Innovate/Protect, Inc.</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91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VIP Merger Sub, Inc.</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91</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gridSpan w:val="47"/>
          </w:tcPr>
          <w:p>
            <w:pPr>
              <w:spacing w:after="0" w:line="174" w:lineRule="exact"/>
              <w:rPr>
                <w:sz w:val="20"/>
                <w:szCs w:val="20"/>
                <w:color w:val="auto"/>
              </w:rPr>
            </w:pPr>
            <w:r>
              <w:rPr>
                <w:rFonts w:ascii="Arial" w:cs="Arial" w:eastAsia="Arial" w:hAnsi="Arial"/>
                <w:sz w:val="18"/>
                <w:szCs w:val="18"/>
                <w:color w:val="0000EE"/>
              </w:rPr>
              <w:t>THE ANNUAL MEETING OF VRINGO STOCKHOLDERS</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92</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540" w:type="dxa"/>
            <w:vAlign w:val="bottom"/>
            <w:tcBorders>
              <w:bottom w:val="single" w:sz="8" w:color="0000EE"/>
            </w:tcBorders>
            <w:gridSpan w:val="12"/>
            <w:shd w:val="clear" w:color="auto" w:fill="CCFFCC"/>
          </w:tcPr>
          <w:p>
            <w:pPr>
              <w:spacing w:after="0" w:line="174" w:lineRule="exact"/>
              <w:rPr>
                <w:sz w:val="20"/>
                <w:szCs w:val="20"/>
                <w:color w:val="auto"/>
              </w:rPr>
            </w:pPr>
            <w:r>
              <w:rPr>
                <w:rFonts w:ascii="Arial" w:cs="Arial" w:eastAsia="Arial" w:hAnsi="Arial"/>
                <w:sz w:val="18"/>
                <w:szCs w:val="18"/>
                <w:color w:val="0000EE"/>
                <w:w w:val="87"/>
              </w:rPr>
              <w:t>Date, Time and Place</w:t>
            </w:r>
          </w:p>
        </w:tc>
        <w:tc>
          <w:tcPr>
            <w:tcW w:w="6140" w:type="dxa"/>
            <w:vAlign w:val="bottom"/>
            <w:tcBorders>
              <w:bottom w:val="single" w:sz="8" w:color="CCFFCC"/>
            </w:tcBorders>
            <w:gridSpan w:val="34"/>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92</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Purpose of the Vringo Annual Meeting</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92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180" w:type="dxa"/>
            <w:vAlign w:val="bottom"/>
            <w:tcBorders>
              <w:bottom w:val="single" w:sz="8" w:color="0000EE"/>
            </w:tcBorders>
            <w:gridSpan w:val="32"/>
            <w:shd w:val="clear" w:color="auto" w:fill="CCFFCC"/>
          </w:tcPr>
          <w:p>
            <w:pPr>
              <w:spacing w:after="0" w:line="174" w:lineRule="exact"/>
              <w:rPr>
                <w:sz w:val="20"/>
                <w:szCs w:val="20"/>
                <w:color w:val="auto"/>
              </w:rPr>
            </w:pPr>
            <w:r>
              <w:rPr>
                <w:rFonts w:ascii="Arial" w:cs="Arial" w:eastAsia="Arial" w:hAnsi="Arial"/>
                <w:sz w:val="18"/>
                <w:szCs w:val="18"/>
                <w:color w:val="0000EE"/>
                <w:w w:val="89"/>
              </w:rPr>
              <w:t>Vringo Record Date; Shares Entitled to Vote</w:t>
            </w:r>
          </w:p>
        </w:tc>
        <w:tc>
          <w:tcPr>
            <w:tcW w:w="4500" w:type="dxa"/>
            <w:vAlign w:val="bottom"/>
            <w:tcBorders>
              <w:bottom w:val="single" w:sz="8" w:color="CCFFCC"/>
            </w:tcBorders>
            <w:gridSpan w:val="14"/>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92</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Quorum</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92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040" w:type="dxa"/>
            <w:vAlign w:val="bottom"/>
            <w:tcBorders>
              <w:bottom w:val="single" w:sz="8" w:color="0000EE"/>
            </w:tcBorders>
            <w:gridSpan w:val="5"/>
            <w:shd w:val="clear" w:color="auto" w:fill="CCFFCC"/>
          </w:tcPr>
          <w:p>
            <w:pPr>
              <w:spacing w:after="0" w:line="174" w:lineRule="exact"/>
              <w:rPr>
                <w:sz w:val="20"/>
                <w:szCs w:val="20"/>
                <w:color w:val="auto"/>
              </w:rPr>
            </w:pPr>
            <w:r>
              <w:rPr>
                <w:rFonts w:ascii="Arial" w:cs="Arial" w:eastAsia="Arial" w:hAnsi="Arial"/>
                <w:sz w:val="18"/>
                <w:szCs w:val="18"/>
                <w:color w:val="0000EE"/>
                <w:w w:val="88"/>
              </w:rPr>
              <w:t>Required Vote</w:t>
            </w:r>
          </w:p>
        </w:tc>
        <w:tc>
          <w:tcPr>
            <w:tcW w:w="6640" w:type="dxa"/>
            <w:vAlign w:val="bottom"/>
            <w:tcBorders>
              <w:bottom w:val="single" w:sz="8" w:color="CCFFCC"/>
            </w:tcBorders>
            <w:gridSpan w:val="41"/>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92</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Counting of Votes; Treatment of Abstentions and Incomplete Proxies</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93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640" w:type="dxa"/>
            <w:vAlign w:val="bottom"/>
            <w:tcBorders>
              <w:bottom w:val="single" w:sz="8" w:color="0000EE"/>
            </w:tcBorders>
            <w:gridSpan w:val="36"/>
            <w:shd w:val="clear" w:color="auto" w:fill="CCFFCC"/>
          </w:tcPr>
          <w:p>
            <w:pPr>
              <w:spacing w:after="0" w:line="174" w:lineRule="exact"/>
              <w:rPr>
                <w:sz w:val="20"/>
                <w:szCs w:val="20"/>
                <w:color w:val="auto"/>
              </w:rPr>
            </w:pPr>
            <w:r>
              <w:rPr>
                <w:rFonts w:ascii="Arial" w:cs="Arial" w:eastAsia="Arial" w:hAnsi="Arial"/>
                <w:sz w:val="18"/>
                <w:szCs w:val="18"/>
                <w:color w:val="0000EE"/>
                <w:w w:val="91"/>
              </w:rPr>
              <w:t>Voting by Vringo Directors and Executive Officers</w:t>
            </w:r>
          </w:p>
        </w:tc>
        <w:tc>
          <w:tcPr>
            <w:tcW w:w="4040" w:type="dxa"/>
            <w:vAlign w:val="bottom"/>
            <w:tcBorders>
              <w:bottom w:val="single" w:sz="8" w:color="CCFFCC"/>
            </w:tcBorders>
            <w:gridSpan w:val="10"/>
            <w:shd w:val="clear" w:color="auto" w:fill="CCFFCC"/>
          </w:tcPr>
          <w:p>
            <w:pPr>
              <w:spacing w:after="0"/>
              <w:rPr>
                <w:sz w:val="16"/>
                <w:szCs w:val="16"/>
                <w:color w:val="auto"/>
              </w:rPr>
            </w:pPr>
          </w:p>
        </w:tc>
        <w:tc>
          <w:tcPr>
            <w:tcW w:w="180" w:type="dxa"/>
            <w:vAlign w:val="bottom"/>
            <w:tcBorders>
              <w:bottom w:val="single" w:sz="8" w:color="0000EE"/>
            </w:tcBorders>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93</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46"/>
          </w:tcPr>
          <w:p>
            <w:pPr>
              <w:spacing w:after="0" w:line="174" w:lineRule="exact"/>
              <w:rPr>
                <w:sz w:val="20"/>
                <w:szCs w:val="20"/>
                <w:color w:val="auto"/>
              </w:rPr>
            </w:pPr>
            <w:r>
              <w:rPr>
                <w:rFonts w:ascii="Arial" w:cs="Arial" w:eastAsia="Arial" w:hAnsi="Arial"/>
                <w:sz w:val="18"/>
                <w:szCs w:val="18"/>
                <w:color w:val="0000EE"/>
              </w:rPr>
              <w:t>Voting of Proxies by Registered Holders</w:t>
            </w:r>
          </w:p>
        </w:tc>
        <w:tc>
          <w:tcPr>
            <w:tcW w:w="280" w:type="dxa"/>
            <w:vAlign w:val="bottom"/>
            <w:gridSpan w:val="2"/>
          </w:tcPr>
          <w:p>
            <w:pPr>
              <w:jc w:val="right"/>
              <w:ind w:right="100"/>
              <w:spacing w:after="0" w:line="174" w:lineRule="exact"/>
              <w:rPr>
                <w:sz w:val="20"/>
                <w:szCs w:val="20"/>
                <w:color w:val="auto"/>
              </w:rPr>
            </w:pPr>
            <w:r>
              <w:rPr>
                <w:rFonts w:ascii="Arial" w:cs="Arial" w:eastAsia="Arial" w:hAnsi="Arial"/>
                <w:sz w:val="18"/>
                <w:szCs w:val="18"/>
                <w:color w:val="0000EE"/>
                <w:w w:val="79"/>
              </w:rPr>
              <w:t>94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80" w:type="dxa"/>
            <w:vAlign w:val="bottom"/>
            <w:gridSpan w:val="46"/>
            <w:shd w:val="clear" w:color="auto" w:fill="CCFFCC"/>
          </w:tcPr>
          <w:p>
            <w:pPr>
              <w:spacing w:after="0" w:line="174" w:lineRule="exact"/>
              <w:rPr>
                <w:sz w:val="20"/>
                <w:szCs w:val="20"/>
                <w:color w:val="auto"/>
              </w:rPr>
            </w:pPr>
            <w:r>
              <w:rPr>
                <w:rFonts w:ascii="Arial" w:cs="Arial" w:eastAsia="Arial" w:hAnsi="Arial"/>
                <w:sz w:val="18"/>
                <w:szCs w:val="18"/>
                <w:color w:val="0000EE"/>
              </w:rPr>
              <w:t>Shares Held in Street Name</w:t>
            </w:r>
          </w:p>
        </w:tc>
        <w:tc>
          <w:tcPr>
            <w:tcW w:w="280" w:type="dxa"/>
            <w:vAlign w:val="bottom"/>
            <w:gridSpan w:val="2"/>
            <w:shd w:val="clear" w:color="auto" w:fill="CCFFCC"/>
          </w:tcPr>
          <w:p>
            <w:pPr>
              <w:jc w:val="right"/>
              <w:ind w:right="100"/>
              <w:spacing w:after="0" w:line="174" w:lineRule="exact"/>
              <w:rPr>
                <w:sz w:val="20"/>
                <w:szCs w:val="20"/>
                <w:color w:val="auto"/>
              </w:rPr>
            </w:pPr>
            <w:r>
              <w:rPr>
                <w:rFonts w:ascii="Arial" w:cs="Arial" w:eastAsia="Arial" w:hAnsi="Arial"/>
                <w:sz w:val="18"/>
                <w:szCs w:val="18"/>
                <w:color w:val="0000EE"/>
                <w:w w:val="79"/>
              </w:rPr>
              <w:t>94</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00" w:type="dxa"/>
            <w:vAlign w:val="bottom"/>
            <w:tcBorders>
              <w:bottom w:val="single" w:sz="8" w:color="0000EE"/>
            </w:tcBorders>
            <w:gridSpan w:val="40"/>
          </w:tcPr>
          <w:p>
            <w:pPr>
              <w:spacing w:after="0" w:line="174" w:lineRule="exact"/>
              <w:rPr>
                <w:sz w:val="20"/>
                <w:szCs w:val="20"/>
                <w:color w:val="auto"/>
              </w:rPr>
            </w:pPr>
            <w:r>
              <w:rPr>
                <w:rFonts w:ascii="Arial" w:cs="Arial" w:eastAsia="Arial" w:hAnsi="Arial"/>
                <w:sz w:val="18"/>
                <w:szCs w:val="18"/>
                <w:color w:val="0000EE"/>
                <w:w w:val="90"/>
              </w:rPr>
              <w:t>Revocability of Proxies and Changes to a Vringo Stockholder’s Vote</w:t>
            </w:r>
          </w:p>
        </w:tc>
        <w:tc>
          <w:tcPr>
            <w:tcW w:w="2780" w:type="dxa"/>
            <w:vAlign w:val="bottom"/>
            <w:gridSpan w:val="6"/>
          </w:tcPr>
          <w:p>
            <w:pPr>
              <w:spacing w:after="0"/>
              <w:rPr>
                <w:sz w:val="15"/>
                <w:szCs w:val="15"/>
                <w:color w:val="auto"/>
              </w:rPr>
            </w:pPr>
          </w:p>
        </w:tc>
        <w:tc>
          <w:tcPr>
            <w:tcW w:w="180" w:type="dxa"/>
            <w:vAlign w:val="bottom"/>
            <w:tcBorders>
              <w:bottom w:val="single" w:sz="8" w:color="0000EE"/>
            </w:tcBorders>
          </w:tcPr>
          <w:p>
            <w:pPr>
              <w:jc w:val="right"/>
              <w:spacing w:after="0" w:line="174" w:lineRule="exact"/>
              <w:rPr>
                <w:sz w:val="20"/>
                <w:szCs w:val="20"/>
                <w:color w:val="auto"/>
              </w:rPr>
            </w:pPr>
            <w:r>
              <w:rPr>
                <w:rFonts w:ascii="Arial" w:cs="Arial" w:eastAsia="Arial" w:hAnsi="Arial"/>
                <w:sz w:val="18"/>
                <w:szCs w:val="18"/>
                <w:color w:val="0000EE"/>
                <w:w w:val="79"/>
              </w:rPr>
              <w:t>94</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-6440805</wp:posOffset>
            </wp:positionV>
            <wp:extent cx="51600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b w:val="1"/>
                <w:bCs w:val="1"/>
                <w:color w:val="0000EE"/>
                <w:w w:val="99"/>
              </w:rPr>
              <w:t>TABLE OF CONTENTS</w:t>
            </w:r>
          </w:p>
        </w:tc>
        <w:tc>
          <w:tcPr>
            <w:tcW w:w="6260" w:type="dxa"/>
            <w:vAlign w:val="bottom"/>
            <w:gridSpan w:val="32"/>
          </w:tcPr>
          <w:p>
            <w:pPr>
              <w:spacing w:after="0"/>
              <w:rPr>
                <w:sz w:val="14"/>
                <w:szCs w:val="14"/>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20" w:type="dxa"/>
            <w:vAlign w:val="bottom"/>
            <w:gridSpan w:val="39"/>
          </w:tcPr>
          <w:p>
            <w:pPr>
              <w:spacing w:after="0" w:line="154" w:lineRule="exact"/>
              <w:rPr>
                <w:sz w:val="20"/>
                <w:szCs w:val="20"/>
                <w:color w:val="auto"/>
              </w:rPr>
            </w:pPr>
            <w:r>
              <w:rPr>
                <w:rFonts w:ascii="Arial" w:cs="Arial" w:eastAsia="Arial" w:hAnsi="Arial"/>
                <w:sz w:val="17"/>
                <w:szCs w:val="17"/>
                <w:color w:val="0000EE"/>
              </w:rPr>
              <w:t>Solicitation of Proxies</w:t>
            </w:r>
          </w:p>
        </w:tc>
        <w:tc>
          <w:tcPr>
            <w:tcW w:w="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39"/>
            <w:shd w:val="clear" w:color="auto" w:fill="CCFFCC"/>
          </w:tcPr>
          <w:p>
            <w:pPr>
              <w:spacing w:after="0" w:line="174" w:lineRule="exact"/>
              <w:rPr>
                <w:sz w:val="20"/>
                <w:szCs w:val="20"/>
                <w:color w:val="auto"/>
              </w:rPr>
            </w:pPr>
            <w:r>
              <w:rPr>
                <w:rFonts w:ascii="Arial" w:cs="Arial" w:eastAsia="Arial" w:hAnsi="Arial"/>
                <w:sz w:val="18"/>
                <w:szCs w:val="18"/>
                <w:color w:val="0000EE"/>
              </w:rPr>
              <w:t>Delivery of Proxy Materials to Households Where Two or More Vringo Stockholders Reside</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95</w:t>
            </w:r>
          </w:p>
        </w:tc>
        <w:tc>
          <w:tcPr>
            <w:tcW w:w="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6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20" w:type="dxa"/>
            <w:vAlign w:val="bottom"/>
            <w:gridSpan w:val="29"/>
          </w:tcPr>
          <w:p>
            <w:pPr>
              <w:spacing w:after="0" w:line="174" w:lineRule="exact"/>
              <w:rPr>
                <w:sz w:val="20"/>
                <w:szCs w:val="20"/>
                <w:color w:val="auto"/>
              </w:rPr>
            </w:pPr>
            <w:r>
              <w:rPr>
                <w:rFonts w:ascii="Arial" w:cs="Arial" w:eastAsia="Arial" w:hAnsi="Arial"/>
                <w:sz w:val="18"/>
                <w:szCs w:val="18"/>
                <w:color w:val="0000EE"/>
              </w:rPr>
              <w:t>Attending the Vringo Annual Meeting</w:t>
            </w:r>
          </w:p>
        </w:tc>
        <w:tc>
          <w:tcPr>
            <w:tcW w:w="1000" w:type="dxa"/>
            <w:vAlign w:val="bottom"/>
            <w:gridSpan w:val="10"/>
          </w:tcPr>
          <w:p>
            <w:pPr>
              <w:spacing w:after="0"/>
              <w:rPr>
                <w:sz w:val="15"/>
                <w:szCs w:val="15"/>
                <w:color w:val="auto"/>
              </w:rPr>
            </w:pP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740" w:type="dxa"/>
            <w:vAlign w:val="bottom"/>
            <w:gridSpan w:val="11"/>
            <w:shd w:val="clear" w:color="auto" w:fill="CCFFCC"/>
          </w:tcPr>
          <w:p>
            <w:pPr>
              <w:spacing w:after="0" w:line="174" w:lineRule="exact"/>
              <w:rPr>
                <w:sz w:val="20"/>
                <w:szCs w:val="20"/>
                <w:color w:val="auto"/>
              </w:rPr>
            </w:pPr>
            <w:r>
              <w:rPr>
                <w:rFonts w:ascii="Arial" w:cs="Arial" w:eastAsia="Arial" w:hAnsi="Arial"/>
                <w:sz w:val="18"/>
                <w:szCs w:val="18"/>
                <w:color w:val="0000EE"/>
                <w:w w:val="91"/>
              </w:rPr>
              <w:t>VRINGO PROPOSALS</w:t>
            </w:r>
          </w:p>
        </w:tc>
        <w:tc>
          <w:tcPr>
            <w:tcW w:w="6040" w:type="dxa"/>
            <w:vAlign w:val="bottom"/>
            <w:gridSpan w:val="29"/>
            <w:shd w:val="clear" w:color="auto" w:fill="CCFFCC"/>
          </w:tcPr>
          <w:p>
            <w:pPr>
              <w:spacing w:after="0"/>
              <w:rPr>
                <w:sz w:val="15"/>
                <w:szCs w:val="15"/>
                <w:color w:val="auto"/>
              </w:rPr>
            </w:pP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96</w:t>
            </w:r>
          </w:p>
        </w:tc>
        <w:tc>
          <w:tcPr>
            <w:tcW w:w="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w w:val="96"/>
              </w:rPr>
              <w:t>Vringo Proposal No. 1: Approval of the Issuance of Vringo Common Stock and Preferred Stock and</w:t>
            </w:r>
          </w:p>
        </w:tc>
        <w:tc>
          <w:tcPr>
            <w:tcW w:w="260" w:type="dxa"/>
            <w:vAlign w:val="bottom"/>
            <w:gridSpan w:val="2"/>
          </w:tcPr>
          <w:p>
            <w:pPr>
              <w:jc w:val="right"/>
              <w:spacing w:after="0" w:line="174" w:lineRule="exact"/>
              <w:rPr>
                <w:sz w:val="20"/>
                <w:szCs w:val="20"/>
                <w:color w:val="auto"/>
              </w:rPr>
            </w:pPr>
            <w:r>
              <w:rPr>
                <w:rFonts w:ascii="Arial" w:cs="Arial" w:eastAsia="Arial" w:hAnsi="Arial"/>
                <w:sz w:val="18"/>
                <w:szCs w:val="18"/>
                <w:color w:val="0000EE"/>
              </w:rPr>
              <w:t>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960" w:type="dxa"/>
            <w:vAlign w:val="bottom"/>
            <w:tcBorders>
              <w:top w:val="single" w:sz="8" w:color="0000EE"/>
            </w:tcBorders>
            <w:gridSpan w:val="34"/>
          </w:tcPr>
          <w:p>
            <w:pPr>
              <w:spacing w:after="0" w:line="194" w:lineRule="exact"/>
              <w:rPr>
                <w:sz w:val="20"/>
                <w:szCs w:val="20"/>
                <w:color w:val="auto"/>
              </w:rPr>
            </w:pPr>
            <w:r>
              <w:rPr>
                <w:rFonts w:ascii="Arial" w:cs="Arial" w:eastAsia="Arial" w:hAnsi="Arial"/>
                <w:sz w:val="18"/>
                <w:szCs w:val="18"/>
                <w:color w:val="0000EE"/>
              </w:rPr>
              <w:t>Warrants in Connection with the Merger</w:t>
            </w:r>
          </w:p>
        </w:tc>
        <w:tc>
          <w:tcPr>
            <w:tcW w:w="48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240" w:type="dxa"/>
            <w:vAlign w:val="bottom"/>
            <w:gridSpan w:val="38"/>
            <w:shd w:val="clear" w:color="auto" w:fill="CCFFCC"/>
          </w:tcPr>
          <w:p>
            <w:pPr>
              <w:spacing w:after="0" w:line="174" w:lineRule="exact"/>
              <w:rPr>
                <w:sz w:val="20"/>
                <w:szCs w:val="20"/>
                <w:color w:val="auto"/>
              </w:rPr>
            </w:pPr>
            <w:r>
              <w:rPr>
                <w:rFonts w:ascii="Arial" w:cs="Arial" w:eastAsia="Arial" w:hAnsi="Arial"/>
                <w:sz w:val="18"/>
                <w:szCs w:val="18"/>
                <w:color w:val="0000EE"/>
                <w:w w:val="90"/>
              </w:rPr>
              <w:t>Vringo Proposal No. 2: Approval of an Amendment to Vringo’s Amended and Restated Certificate of</w:t>
            </w:r>
          </w:p>
        </w:tc>
        <w:tc>
          <w:tcPr>
            <w:tcW w:w="380" w:type="dxa"/>
            <w:vAlign w:val="bottom"/>
            <w:shd w:val="clear" w:color="auto" w:fill="CCFFCC"/>
          </w:tcPr>
          <w:p>
            <w:pPr>
              <w:spacing w:after="0"/>
              <w:rPr>
                <w:sz w:val="15"/>
                <w:szCs w:val="15"/>
                <w:color w:val="auto"/>
              </w:rPr>
            </w:pP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rPr>
              <w:t>98</w:t>
            </w:r>
          </w:p>
        </w:tc>
        <w:tc>
          <w:tcPr>
            <w:tcW w:w="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0000EE"/>
              <w:bottom w:val="single" w:sz="8" w:color="CCFFCC"/>
            </w:tcBorders>
            <w:shd w:val="clear" w:color="auto" w:fill="CCFFCC"/>
          </w:tcPr>
          <w:p>
            <w:pPr>
              <w:spacing w:after="0"/>
              <w:rPr>
                <w:sz w:val="18"/>
                <w:szCs w:val="18"/>
                <w:color w:val="auto"/>
              </w:rPr>
            </w:pPr>
          </w:p>
        </w:tc>
        <w:tc>
          <w:tcPr>
            <w:tcW w:w="5100" w:type="dxa"/>
            <w:vAlign w:val="bottom"/>
            <w:tcBorders>
              <w:top w:val="single" w:sz="8" w:color="0000EE"/>
              <w:bottom w:val="single" w:sz="8" w:color="0000EE"/>
            </w:tcBorders>
            <w:gridSpan w:val="25"/>
            <w:shd w:val="clear" w:color="auto" w:fill="CCFFCC"/>
          </w:tcPr>
          <w:p>
            <w:pPr>
              <w:spacing w:after="0" w:line="194" w:lineRule="exact"/>
              <w:rPr>
                <w:sz w:val="20"/>
                <w:szCs w:val="20"/>
                <w:color w:val="auto"/>
              </w:rPr>
            </w:pPr>
            <w:r>
              <w:rPr>
                <w:rFonts w:ascii="Arial" w:cs="Arial" w:eastAsia="Arial" w:hAnsi="Arial"/>
                <w:sz w:val="18"/>
                <w:szCs w:val="18"/>
                <w:color w:val="0000EE"/>
                <w:w w:val="90"/>
              </w:rPr>
              <w:t>Incorporation to Effect a Reverse Stock Split of Vringo Common Stock</w:t>
            </w:r>
          </w:p>
        </w:tc>
        <w:tc>
          <w:tcPr>
            <w:tcW w:w="1960" w:type="dxa"/>
            <w:vAlign w:val="bottom"/>
            <w:tcBorders>
              <w:top w:val="single" w:sz="8" w:color="0000EE"/>
              <w:bottom w:val="single" w:sz="8" w:color="CCFFCC"/>
            </w:tcBorders>
            <w:gridSpan w:val="12"/>
            <w:shd w:val="clear" w:color="auto" w:fill="CCFFCC"/>
          </w:tcPr>
          <w:p>
            <w:pPr>
              <w:spacing w:after="0"/>
              <w:rPr>
                <w:sz w:val="18"/>
                <w:szCs w:val="18"/>
                <w:color w:val="auto"/>
              </w:rPr>
            </w:pPr>
          </w:p>
        </w:tc>
        <w:tc>
          <w:tcPr>
            <w:tcW w:w="380" w:type="dxa"/>
            <w:vAlign w:val="bottom"/>
            <w:tcBorders>
              <w:top w:val="single" w:sz="8" w:color="CCFFCC"/>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40" w:type="dxa"/>
            <w:vAlign w:val="bottom"/>
            <w:tcBorders>
              <w:bottom w:val="single" w:sz="8" w:color="0000EE"/>
            </w:tcBorders>
            <w:gridSpan w:val="38"/>
          </w:tcPr>
          <w:p>
            <w:pPr>
              <w:spacing w:after="0" w:line="174" w:lineRule="exact"/>
              <w:rPr>
                <w:sz w:val="20"/>
                <w:szCs w:val="20"/>
                <w:color w:val="auto"/>
              </w:rPr>
            </w:pPr>
            <w:r>
              <w:rPr>
                <w:rFonts w:ascii="Arial" w:cs="Arial" w:eastAsia="Arial" w:hAnsi="Arial"/>
                <w:sz w:val="18"/>
                <w:szCs w:val="18"/>
                <w:color w:val="0000EE"/>
                <w:w w:val="90"/>
              </w:rPr>
              <w:t>Vringo Proposal No. 3: Approval of an Amendment to Vringo’s Amended and Restated Certificate of</w:t>
            </w:r>
          </w:p>
        </w:tc>
        <w:tc>
          <w:tcPr>
            <w:tcW w:w="380" w:type="dxa"/>
            <w:vAlign w:val="bottom"/>
          </w:tcPr>
          <w:p>
            <w:pPr>
              <w:spacing w:after="0"/>
              <w:rPr>
                <w:sz w:val="15"/>
                <w:szCs w:val="15"/>
                <w:color w:val="auto"/>
              </w:rPr>
            </w:pPr>
          </w:p>
        </w:tc>
        <w:tc>
          <w:tcPr>
            <w:tcW w:w="26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00" w:type="dxa"/>
            <w:vAlign w:val="bottom"/>
            <w:tcBorders>
              <w:bottom w:val="single" w:sz="8" w:color="0000EE"/>
            </w:tcBorders>
            <w:gridSpan w:val="33"/>
          </w:tcPr>
          <w:p>
            <w:pPr>
              <w:spacing w:after="0" w:line="194" w:lineRule="exact"/>
              <w:rPr>
                <w:sz w:val="20"/>
                <w:szCs w:val="20"/>
                <w:color w:val="auto"/>
              </w:rPr>
            </w:pPr>
            <w:r>
              <w:rPr>
                <w:rFonts w:ascii="Arial" w:cs="Arial" w:eastAsia="Arial" w:hAnsi="Arial"/>
                <w:sz w:val="18"/>
                <w:szCs w:val="18"/>
                <w:color w:val="0000EE"/>
                <w:w w:val="90"/>
              </w:rPr>
              <w:t>Incorporation to Increase the Number of Shares of Common Stock Authorized for Issuance from</w:t>
            </w:r>
          </w:p>
        </w:tc>
        <w:tc>
          <w:tcPr>
            <w:tcW w:w="540" w:type="dxa"/>
            <w:vAlign w:val="bottom"/>
            <w:gridSpan w:val="5"/>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40" w:type="dxa"/>
            <w:vAlign w:val="bottom"/>
            <w:gridSpan w:val="38"/>
          </w:tcPr>
          <w:p>
            <w:pPr>
              <w:spacing w:after="0" w:line="194" w:lineRule="exact"/>
              <w:rPr>
                <w:sz w:val="20"/>
                <w:szCs w:val="20"/>
                <w:color w:val="auto"/>
              </w:rPr>
            </w:pPr>
            <w:r>
              <w:rPr>
                <w:rFonts w:ascii="Arial" w:cs="Arial" w:eastAsia="Arial" w:hAnsi="Arial"/>
                <w:sz w:val="18"/>
                <w:szCs w:val="18"/>
                <w:color w:val="0000EE"/>
              </w:rPr>
              <w:t>28,000,000 to up to a maximum of 150,000,000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200" w:type="dxa"/>
            <w:vAlign w:val="bottom"/>
            <w:tcBorders>
              <w:bottom w:val="single" w:sz="8" w:color="0000EE"/>
            </w:tcBorders>
            <w:gridSpan w:val="20"/>
            <w:shd w:val="clear" w:color="auto" w:fill="CCFFCC"/>
          </w:tcPr>
          <w:p>
            <w:pPr>
              <w:spacing w:after="0" w:line="174" w:lineRule="exact"/>
              <w:rPr>
                <w:sz w:val="20"/>
                <w:szCs w:val="20"/>
                <w:color w:val="auto"/>
              </w:rPr>
            </w:pPr>
            <w:r>
              <w:rPr>
                <w:rFonts w:ascii="Arial" w:cs="Arial" w:eastAsia="Arial" w:hAnsi="Arial"/>
                <w:sz w:val="18"/>
                <w:szCs w:val="18"/>
                <w:color w:val="0000EE"/>
                <w:w w:val="91"/>
              </w:rPr>
              <w:t>Vringo Proposal No. 4: Election of Directors</w:t>
            </w:r>
          </w:p>
        </w:tc>
        <w:tc>
          <w:tcPr>
            <w:tcW w:w="4420" w:type="dxa"/>
            <w:vAlign w:val="bottom"/>
            <w:tcBorders>
              <w:bottom w:val="single" w:sz="8" w:color="CCFFCC"/>
            </w:tcBorders>
            <w:gridSpan w:val="19"/>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105</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w w:val="96"/>
              </w:rPr>
              <w:t>Vringo Proposal No. 5: Approval of the Vringo, Inc. 2012 Employee, Director and Consultant Equity</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040" w:type="dxa"/>
            <w:vAlign w:val="bottom"/>
            <w:tcBorders>
              <w:top w:val="single" w:sz="8" w:color="0000EE"/>
            </w:tcBorders>
            <w:gridSpan w:val="36"/>
          </w:tcPr>
          <w:p>
            <w:pPr>
              <w:spacing w:after="0" w:line="194" w:lineRule="exact"/>
              <w:rPr>
                <w:sz w:val="20"/>
                <w:szCs w:val="20"/>
                <w:color w:val="auto"/>
              </w:rPr>
            </w:pPr>
            <w:r>
              <w:rPr>
                <w:rFonts w:ascii="Arial" w:cs="Arial" w:eastAsia="Arial" w:hAnsi="Arial"/>
                <w:sz w:val="18"/>
                <w:szCs w:val="18"/>
                <w:color w:val="0000EE"/>
              </w:rPr>
              <w:t>Incentive Plan</w:t>
            </w:r>
          </w:p>
        </w:tc>
        <w:tc>
          <w:tcPr>
            <w:tcW w:w="400" w:type="dxa"/>
            <w:vAlign w:val="bottom"/>
            <w:gridSpan w:val="2"/>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39"/>
            <w:shd w:val="clear" w:color="auto" w:fill="CCFFCC"/>
          </w:tcPr>
          <w:p>
            <w:pPr>
              <w:spacing w:after="0" w:line="174" w:lineRule="exact"/>
              <w:rPr>
                <w:sz w:val="20"/>
                <w:szCs w:val="20"/>
                <w:color w:val="auto"/>
              </w:rPr>
            </w:pPr>
            <w:r>
              <w:rPr>
                <w:rFonts w:ascii="Arial" w:cs="Arial" w:eastAsia="Arial" w:hAnsi="Arial"/>
                <w:sz w:val="18"/>
                <w:szCs w:val="18"/>
                <w:color w:val="0000EE"/>
                <w:w w:val="98"/>
              </w:rPr>
              <w:t>Vringo Proposal No. 6: Ratification of the Appointment of Vringo’s Independent Registered Public</w:t>
            </w:r>
          </w:p>
        </w:tc>
        <w:tc>
          <w:tcPr>
            <w:tcW w:w="260" w:type="dxa"/>
            <w:vAlign w:val="bottom"/>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111</w:t>
            </w:r>
          </w:p>
        </w:tc>
        <w:tc>
          <w:tcPr>
            <w:tcW w:w="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0000EE"/>
            </w:tcBorders>
            <w:shd w:val="clear" w:color="auto" w:fill="CCFFCC"/>
          </w:tcPr>
          <w:p>
            <w:pPr>
              <w:spacing w:after="0"/>
              <w:rPr>
                <w:sz w:val="16"/>
                <w:szCs w:val="16"/>
                <w:color w:val="auto"/>
              </w:rPr>
            </w:pPr>
          </w:p>
        </w:tc>
        <w:tc>
          <w:tcPr>
            <w:tcW w:w="6880" w:type="dxa"/>
            <w:vAlign w:val="bottom"/>
            <w:tcBorders>
              <w:top w:val="single" w:sz="8" w:color="0000EE"/>
            </w:tcBorders>
            <w:gridSpan w:val="32"/>
            <w:shd w:val="clear" w:color="auto" w:fill="CCFFCC"/>
          </w:tcPr>
          <w:p>
            <w:pPr>
              <w:spacing w:after="0" w:line="194" w:lineRule="exact"/>
              <w:rPr>
                <w:sz w:val="20"/>
                <w:szCs w:val="20"/>
                <w:color w:val="auto"/>
              </w:rPr>
            </w:pPr>
            <w:r>
              <w:rPr>
                <w:rFonts w:ascii="Arial" w:cs="Arial" w:eastAsia="Arial" w:hAnsi="Arial"/>
                <w:sz w:val="18"/>
                <w:szCs w:val="18"/>
                <w:color w:val="0000EE"/>
              </w:rPr>
              <w:t>Accounting Firm</w:t>
            </w:r>
          </w:p>
        </w:tc>
        <w:tc>
          <w:tcPr>
            <w:tcW w:w="560" w:type="dxa"/>
            <w:vAlign w:val="bottom"/>
            <w:tcBorders>
              <w:top w:val="single" w:sz="8" w:color="CCFFCC"/>
            </w:tcBorders>
            <w:gridSpan w:val="6"/>
            <w:shd w:val="clear" w:color="auto" w:fill="CCFFCC"/>
          </w:tcPr>
          <w:p>
            <w:pPr>
              <w:spacing w:after="0"/>
              <w:rPr>
                <w:sz w:val="16"/>
                <w:szCs w:val="16"/>
                <w:color w:val="auto"/>
              </w:rPr>
            </w:pPr>
          </w:p>
        </w:tc>
        <w:tc>
          <w:tcPr>
            <w:tcW w:w="80" w:type="dxa"/>
            <w:vAlign w:val="bottom"/>
            <w:tcBorders>
              <w:top w:val="single" w:sz="8" w:color="0000EE"/>
            </w:tcBorders>
            <w:shd w:val="clear" w:color="auto" w:fill="CCFFCC"/>
          </w:tcPr>
          <w:p>
            <w:pPr>
              <w:spacing w:after="0"/>
              <w:rPr>
                <w:sz w:val="16"/>
                <w:szCs w:val="16"/>
                <w:color w:val="auto"/>
              </w:rPr>
            </w:pPr>
          </w:p>
        </w:tc>
        <w:tc>
          <w:tcPr>
            <w:tcW w:w="180" w:type="dxa"/>
            <w:vAlign w:val="bottom"/>
            <w:tcBorders>
              <w:top w:val="single" w:sz="8" w:color="0000EE"/>
            </w:tcBorders>
            <w:shd w:val="clear" w:color="auto" w:fill="CCFFCC"/>
          </w:tcPr>
          <w:p>
            <w:pPr>
              <w:spacing w:after="0"/>
              <w:rPr>
                <w:sz w:val="16"/>
                <w:szCs w:val="16"/>
                <w:color w:val="auto"/>
              </w:rPr>
            </w:pPr>
          </w:p>
        </w:tc>
        <w:tc>
          <w:tcPr>
            <w:tcW w:w="8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20" w:type="dxa"/>
            <w:vAlign w:val="bottom"/>
            <w:tcBorders>
              <w:bottom w:val="single" w:sz="8" w:color="0000EE"/>
            </w:tcBorders>
            <w:gridSpan w:val="37"/>
          </w:tcPr>
          <w:p>
            <w:pPr>
              <w:spacing w:after="0" w:line="174" w:lineRule="exact"/>
              <w:rPr>
                <w:sz w:val="20"/>
                <w:szCs w:val="20"/>
                <w:color w:val="auto"/>
              </w:rPr>
            </w:pPr>
            <w:r>
              <w:rPr>
                <w:rFonts w:ascii="Arial" w:cs="Arial" w:eastAsia="Arial" w:hAnsi="Arial"/>
                <w:sz w:val="18"/>
                <w:szCs w:val="18"/>
                <w:color w:val="0000EE"/>
                <w:w w:val="91"/>
              </w:rPr>
              <w:t>Vringo Proposal No. 7: Approval of the Adjournment of the Vringo Annual Meeting, if Necessary, to</w:t>
            </w:r>
          </w:p>
        </w:tc>
        <w:tc>
          <w:tcPr>
            <w:tcW w:w="400" w:type="dxa"/>
            <w:vAlign w:val="bottom"/>
            <w:gridSpan w:val="2"/>
          </w:tcPr>
          <w:p>
            <w:pPr>
              <w:spacing w:after="0"/>
              <w:rPr>
                <w:sz w:val="15"/>
                <w:szCs w:val="15"/>
                <w:color w:val="auto"/>
              </w:rPr>
            </w:pPr>
          </w:p>
        </w:tc>
        <w:tc>
          <w:tcPr>
            <w:tcW w:w="26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80" w:type="dxa"/>
            <w:vAlign w:val="bottom"/>
            <w:tcBorders>
              <w:bottom w:val="single" w:sz="8" w:color="0000EE"/>
            </w:tcBorders>
            <w:gridSpan w:val="29"/>
          </w:tcPr>
          <w:p>
            <w:pPr>
              <w:spacing w:after="0" w:line="194" w:lineRule="exact"/>
              <w:rPr>
                <w:sz w:val="20"/>
                <w:szCs w:val="20"/>
                <w:color w:val="auto"/>
              </w:rPr>
            </w:pPr>
            <w:r>
              <w:rPr>
                <w:rFonts w:ascii="Arial" w:cs="Arial" w:eastAsia="Arial" w:hAnsi="Arial"/>
                <w:sz w:val="18"/>
                <w:szCs w:val="18"/>
                <w:color w:val="0000EE"/>
                <w:w w:val="92"/>
              </w:rPr>
              <w:t>Solicit Additional Proxies if There Are Not Sufficient Votes in Favor of the Vringo Merger</w:t>
            </w:r>
          </w:p>
        </w:tc>
        <w:tc>
          <w:tcPr>
            <w:tcW w:w="960" w:type="dxa"/>
            <w:vAlign w:val="bottom"/>
            <w:gridSpan w:val="9"/>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40" w:type="dxa"/>
            <w:vAlign w:val="bottom"/>
            <w:gridSpan w:val="38"/>
          </w:tcPr>
          <w:p>
            <w:pPr>
              <w:spacing w:after="0" w:line="194" w:lineRule="exact"/>
              <w:rPr>
                <w:sz w:val="20"/>
                <w:szCs w:val="20"/>
                <w:color w:val="auto"/>
              </w:rPr>
            </w:pPr>
            <w:r>
              <w:rPr>
                <w:rFonts w:ascii="Arial" w:cs="Arial" w:eastAsia="Arial" w:hAnsi="Arial"/>
                <w:sz w:val="18"/>
                <w:szCs w:val="18"/>
                <w:color w:val="0000EE"/>
              </w:rPr>
              <w:t>Proposals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VRINGO’S BUSINESS</w:t>
            </w:r>
          </w:p>
        </w:tc>
        <w:tc>
          <w:tcPr>
            <w:tcW w:w="340" w:type="dxa"/>
            <w:vAlign w:val="bottom"/>
            <w:gridSpan w:val="3"/>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113</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080" w:type="dxa"/>
            <w:vAlign w:val="bottom"/>
            <w:tcBorders>
              <w:bottom w:val="single" w:sz="8" w:color="0000EE"/>
            </w:tcBorders>
            <w:gridSpan w:val="33"/>
          </w:tcPr>
          <w:p>
            <w:pPr>
              <w:spacing w:after="0" w:line="174" w:lineRule="exact"/>
              <w:rPr>
                <w:sz w:val="20"/>
                <w:szCs w:val="20"/>
                <w:color w:val="auto"/>
              </w:rPr>
            </w:pPr>
            <w:r>
              <w:rPr>
                <w:rFonts w:ascii="Arial" w:cs="Arial" w:eastAsia="Arial" w:hAnsi="Arial"/>
                <w:sz w:val="18"/>
                <w:szCs w:val="18"/>
                <w:color w:val="0000EE"/>
                <w:w w:val="97"/>
              </w:rPr>
              <w:t>VRINGO’S MANAGEMENT’S DISCUSSION AND ANALYSIS OF FINANCIAL CONDITION</w:t>
            </w:r>
          </w:p>
        </w:tc>
        <w:tc>
          <w:tcPr>
            <w:tcW w:w="700" w:type="dxa"/>
            <w:vAlign w:val="bottom"/>
            <w:gridSpan w:val="7"/>
          </w:tcPr>
          <w:p>
            <w:pPr>
              <w:spacing w:after="0"/>
              <w:rPr>
                <w:sz w:val="15"/>
                <w:szCs w:val="15"/>
                <w:color w:val="auto"/>
              </w:rPr>
            </w:pPr>
          </w:p>
        </w:tc>
        <w:tc>
          <w:tcPr>
            <w:tcW w:w="26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20" w:type="dxa"/>
            <w:vAlign w:val="bottom"/>
            <w:gridSpan w:val="39"/>
          </w:tcPr>
          <w:p>
            <w:pPr>
              <w:spacing w:after="0" w:line="194" w:lineRule="exact"/>
              <w:rPr>
                <w:sz w:val="20"/>
                <w:szCs w:val="20"/>
                <w:color w:val="auto"/>
              </w:rPr>
            </w:pPr>
            <w:r>
              <w:rPr>
                <w:rFonts w:ascii="Arial" w:cs="Arial" w:eastAsia="Arial" w:hAnsi="Arial"/>
                <w:sz w:val="18"/>
                <w:szCs w:val="18"/>
                <w:color w:val="0000EE"/>
              </w:rPr>
              <w:t>AND RESULTS OF OPERATIONS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2760" w:type="dxa"/>
            <w:vAlign w:val="bottom"/>
            <w:tcBorders>
              <w:bottom w:val="single" w:sz="8" w:color="0000EE"/>
            </w:tcBorders>
            <w:gridSpan w:val="17"/>
            <w:shd w:val="clear" w:color="auto" w:fill="CCFFCC"/>
          </w:tcPr>
          <w:p>
            <w:pPr>
              <w:spacing w:after="0" w:line="174" w:lineRule="exact"/>
              <w:rPr>
                <w:sz w:val="20"/>
                <w:szCs w:val="20"/>
                <w:color w:val="auto"/>
              </w:rPr>
            </w:pPr>
            <w:r>
              <w:rPr>
                <w:rFonts w:ascii="Arial" w:cs="Arial" w:eastAsia="Arial" w:hAnsi="Arial"/>
                <w:sz w:val="18"/>
                <w:szCs w:val="18"/>
                <w:color w:val="0000EE"/>
                <w:w w:val="92"/>
              </w:rPr>
              <w:t>INNOVATE/PROTECT’S BUSINESS</w:t>
            </w:r>
          </w:p>
        </w:tc>
        <w:tc>
          <w:tcPr>
            <w:tcW w:w="5020" w:type="dxa"/>
            <w:vAlign w:val="bottom"/>
            <w:tcBorders>
              <w:bottom w:val="single" w:sz="8" w:color="CCFFCC"/>
            </w:tcBorders>
            <w:gridSpan w:val="23"/>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132</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gridSpan w:val="40"/>
          </w:tcPr>
          <w:p>
            <w:pPr>
              <w:spacing w:after="0" w:line="174" w:lineRule="exact"/>
              <w:rPr>
                <w:sz w:val="20"/>
                <w:szCs w:val="20"/>
                <w:color w:val="auto"/>
              </w:rPr>
            </w:pPr>
            <w:r>
              <w:rPr>
                <w:rFonts w:ascii="Arial" w:cs="Arial" w:eastAsia="Arial" w:hAnsi="Arial"/>
                <w:sz w:val="18"/>
                <w:szCs w:val="18"/>
                <w:color w:val="0000EE"/>
              </w:rPr>
              <w:t>INNOVATE/PROTECT’S MANAGEMENT’S DISCUSSION AND ANALYSIS OF FINANCIAL</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900" w:type="dxa"/>
            <w:vAlign w:val="bottom"/>
            <w:tcBorders>
              <w:top w:val="single" w:sz="8" w:color="0000EE"/>
            </w:tcBorders>
            <w:gridSpan w:val="31"/>
          </w:tcPr>
          <w:p>
            <w:pPr>
              <w:spacing w:after="0" w:line="194" w:lineRule="exact"/>
              <w:rPr>
                <w:sz w:val="20"/>
                <w:szCs w:val="20"/>
                <w:color w:val="auto"/>
              </w:rPr>
            </w:pPr>
            <w:r>
              <w:rPr>
                <w:rFonts w:ascii="Arial" w:cs="Arial" w:eastAsia="Arial" w:hAnsi="Arial"/>
                <w:sz w:val="18"/>
                <w:szCs w:val="18"/>
                <w:color w:val="0000EE"/>
              </w:rPr>
              <w:t>CONDITION AND RESULTS OF OPERATIONS</w:t>
            </w:r>
          </w:p>
        </w:tc>
        <w:tc>
          <w:tcPr>
            <w:tcW w:w="720" w:type="dxa"/>
            <w:vAlign w:val="bottom"/>
            <w:gridSpan w:val="8"/>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6140" w:type="dxa"/>
            <w:vAlign w:val="bottom"/>
            <w:tcBorders>
              <w:bottom w:val="single" w:sz="8" w:color="0000EE"/>
            </w:tcBorders>
            <w:gridSpan w:val="29"/>
            <w:shd w:val="clear" w:color="auto" w:fill="CCFFCC"/>
          </w:tcPr>
          <w:p>
            <w:pPr>
              <w:spacing w:after="0" w:line="174" w:lineRule="exact"/>
              <w:rPr>
                <w:sz w:val="20"/>
                <w:szCs w:val="20"/>
                <w:color w:val="auto"/>
              </w:rPr>
            </w:pPr>
            <w:r>
              <w:rPr>
                <w:rFonts w:ascii="Arial" w:cs="Arial" w:eastAsia="Arial" w:hAnsi="Arial"/>
                <w:sz w:val="18"/>
                <w:szCs w:val="18"/>
                <w:color w:val="0000EE"/>
                <w:w w:val="96"/>
              </w:rPr>
              <w:t>MANAGEMENT OF THE COMBINED COMPANY FOLLOWING THE MERGER</w:t>
            </w:r>
          </w:p>
        </w:tc>
        <w:tc>
          <w:tcPr>
            <w:tcW w:w="1640" w:type="dxa"/>
            <w:vAlign w:val="bottom"/>
            <w:tcBorders>
              <w:bottom w:val="single" w:sz="8" w:color="CCFFCC"/>
            </w:tcBorders>
            <w:gridSpan w:val="11"/>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145</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Executive Officers and Directors</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3840" w:type="dxa"/>
            <w:vAlign w:val="bottom"/>
            <w:tcBorders>
              <w:bottom w:val="single" w:sz="8" w:color="0000EE"/>
            </w:tcBorders>
            <w:gridSpan w:val="23"/>
            <w:shd w:val="clear" w:color="auto" w:fill="CCFFCC"/>
          </w:tcPr>
          <w:p>
            <w:pPr>
              <w:spacing w:after="0" w:line="174" w:lineRule="exact"/>
              <w:rPr>
                <w:sz w:val="20"/>
                <w:szCs w:val="20"/>
                <w:color w:val="auto"/>
              </w:rPr>
            </w:pPr>
            <w:r>
              <w:rPr>
                <w:rFonts w:ascii="Arial" w:cs="Arial" w:eastAsia="Arial" w:hAnsi="Arial"/>
                <w:sz w:val="18"/>
                <w:szCs w:val="18"/>
                <w:color w:val="0000EE"/>
                <w:w w:val="89"/>
              </w:rPr>
              <w:t>Composition of the Board and Director Independence</w:t>
            </w:r>
          </w:p>
        </w:tc>
        <w:tc>
          <w:tcPr>
            <w:tcW w:w="3780" w:type="dxa"/>
            <w:vAlign w:val="bottom"/>
            <w:tcBorders>
              <w:bottom w:val="single" w:sz="8" w:color="CCFFCC"/>
            </w:tcBorders>
            <w:gridSpan w:val="16"/>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148</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Committees of the Board of Directors</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5680" w:type="dxa"/>
            <w:vAlign w:val="bottom"/>
            <w:tcBorders>
              <w:bottom w:val="single" w:sz="8" w:color="0000EE"/>
            </w:tcBorders>
            <w:gridSpan w:val="27"/>
            <w:shd w:val="clear" w:color="auto" w:fill="CCFFCC"/>
          </w:tcPr>
          <w:p>
            <w:pPr>
              <w:spacing w:after="0" w:line="174" w:lineRule="exact"/>
              <w:rPr>
                <w:sz w:val="20"/>
                <w:szCs w:val="20"/>
                <w:color w:val="auto"/>
              </w:rPr>
            </w:pPr>
            <w:r>
              <w:rPr>
                <w:rFonts w:ascii="Arial" w:cs="Arial" w:eastAsia="Arial" w:hAnsi="Arial"/>
                <w:sz w:val="18"/>
                <w:szCs w:val="18"/>
                <w:color w:val="0000EE"/>
                <w:w w:val="89"/>
              </w:rPr>
              <w:t>Board Leadership Structure, Executive Sessions of Non-Management Directors</w:t>
            </w:r>
          </w:p>
        </w:tc>
        <w:tc>
          <w:tcPr>
            <w:tcW w:w="1940" w:type="dxa"/>
            <w:vAlign w:val="bottom"/>
            <w:tcBorders>
              <w:bottom w:val="single" w:sz="8" w:color="CCFFCC"/>
            </w:tcBorders>
            <w:gridSpan w:val="12"/>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150</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Risk Oversight</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20" w:type="dxa"/>
            <w:vAlign w:val="bottom"/>
            <w:gridSpan w:val="39"/>
            <w:shd w:val="clear" w:color="auto" w:fill="CCFFCC"/>
          </w:tcPr>
          <w:p>
            <w:pPr>
              <w:spacing w:after="0" w:line="174" w:lineRule="exact"/>
              <w:rPr>
                <w:sz w:val="20"/>
                <w:szCs w:val="20"/>
                <w:color w:val="auto"/>
              </w:rPr>
            </w:pPr>
            <w:r>
              <w:rPr>
                <w:rFonts w:ascii="Arial" w:cs="Arial" w:eastAsia="Arial" w:hAnsi="Arial"/>
                <w:sz w:val="18"/>
                <w:szCs w:val="18"/>
                <w:color w:val="0000EE"/>
              </w:rPr>
              <w:t>Code of Ethics</w:t>
            </w:r>
          </w:p>
        </w:tc>
        <w:tc>
          <w:tcPr>
            <w:tcW w:w="340" w:type="dxa"/>
            <w:vAlign w:val="bottom"/>
            <w:gridSpan w:val="3"/>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150</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Section 16(a) Beneficial Ownership Reporting Compliance</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2040" w:type="dxa"/>
            <w:vAlign w:val="bottom"/>
            <w:tcBorders>
              <w:bottom w:val="single" w:sz="8" w:color="0000EE"/>
            </w:tcBorders>
            <w:gridSpan w:val="14"/>
            <w:shd w:val="clear" w:color="auto" w:fill="CCFFCC"/>
          </w:tcPr>
          <w:p>
            <w:pPr>
              <w:spacing w:after="0" w:line="174" w:lineRule="exact"/>
              <w:rPr>
                <w:sz w:val="20"/>
                <w:szCs w:val="20"/>
                <w:color w:val="auto"/>
              </w:rPr>
            </w:pPr>
            <w:r>
              <w:rPr>
                <w:rFonts w:ascii="Arial" w:cs="Arial" w:eastAsia="Arial" w:hAnsi="Arial"/>
                <w:sz w:val="18"/>
                <w:szCs w:val="18"/>
                <w:color w:val="0000EE"/>
                <w:w w:val="87"/>
              </w:rPr>
              <w:t>Related Person Transactions</w:t>
            </w:r>
          </w:p>
        </w:tc>
        <w:tc>
          <w:tcPr>
            <w:tcW w:w="5580" w:type="dxa"/>
            <w:vAlign w:val="bottom"/>
            <w:tcBorders>
              <w:bottom w:val="single" w:sz="8" w:color="CCFFCC"/>
            </w:tcBorders>
            <w:gridSpan w:val="25"/>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151</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gridSpan w:val="39"/>
          </w:tcPr>
          <w:p>
            <w:pPr>
              <w:spacing w:after="0" w:line="174" w:lineRule="exact"/>
              <w:rPr>
                <w:sz w:val="20"/>
                <w:szCs w:val="20"/>
                <w:color w:val="auto"/>
              </w:rPr>
            </w:pPr>
            <w:r>
              <w:rPr>
                <w:rFonts w:ascii="Arial" w:cs="Arial" w:eastAsia="Arial" w:hAnsi="Arial"/>
                <w:sz w:val="18"/>
                <w:szCs w:val="18"/>
                <w:color w:val="0000EE"/>
              </w:rPr>
              <w:t>Director Compensation</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800" w:type="dxa"/>
            <w:vAlign w:val="bottom"/>
            <w:tcBorders>
              <w:bottom w:val="single" w:sz="8" w:color="0000EE"/>
            </w:tcBorders>
            <w:gridSpan w:val="13"/>
            <w:shd w:val="clear" w:color="auto" w:fill="CCFFCC"/>
          </w:tcPr>
          <w:p>
            <w:pPr>
              <w:spacing w:after="0" w:line="174" w:lineRule="exact"/>
              <w:rPr>
                <w:sz w:val="20"/>
                <w:szCs w:val="20"/>
                <w:color w:val="auto"/>
              </w:rPr>
            </w:pPr>
            <w:r>
              <w:rPr>
                <w:rFonts w:ascii="Arial" w:cs="Arial" w:eastAsia="Arial" w:hAnsi="Arial"/>
                <w:sz w:val="18"/>
                <w:szCs w:val="18"/>
                <w:color w:val="0000EE"/>
                <w:w w:val="89"/>
              </w:rPr>
              <w:t>Executive Compensation</w:t>
            </w:r>
          </w:p>
        </w:tc>
        <w:tc>
          <w:tcPr>
            <w:tcW w:w="5820" w:type="dxa"/>
            <w:vAlign w:val="bottom"/>
            <w:tcBorders>
              <w:bottom w:val="single" w:sz="8" w:color="CCFFCC"/>
            </w:tcBorders>
            <w:gridSpan w:val="26"/>
            <w:shd w:val="clear" w:color="auto" w:fill="CCFFCC"/>
          </w:tcPr>
          <w:p>
            <w:pPr>
              <w:spacing w:after="0"/>
              <w:rPr>
                <w:sz w:val="16"/>
                <w:szCs w:val="16"/>
                <w:color w:val="auto"/>
              </w:rPr>
            </w:pPr>
          </w:p>
        </w:tc>
        <w:tc>
          <w:tcPr>
            <w:tcW w:w="26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79"/>
              </w:rPr>
              <w:t>153</w:t>
            </w: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gridSpan w:val="40"/>
          </w:tcPr>
          <w:p>
            <w:pPr>
              <w:spacing w:after="0" w:line="174" w:lineRule="exact"/>
              <w:rPr>
                <w:sz w:val="20"/>
                <w:szCs w:val="20"/>
                <w:color w:val="auto"/>
              </w:rPr>
            </w:pPr>
            <w:r>
              <w:rPr>
                <w:rFonts w:ascii="Arial" w:cs="Arial" w:eastAsia="Arial" w:hAnsi="Arial"/>
                <w:sz w:val="18"/>
                <w:szCs w:val="18"/>
                <w:color w:val="0000EE"/>
              </w:rPr>
              <w:t>VRINGO SECURITY OWNERSHIP OF CERTAIN BENEFICIAL OWNERS AND MANAGEMENT</w:t>
            </w:r>
          </w:p>
        </w:tc>
        <w:tc>
          <w:tcPr>
            <w:tcW w:w="340" w:type="dxa"/>
            <w:vAlign w:val="bottom"/>
            <w:gridSpan w:val="3"/>
          </w:tcPr>
          <w:p>
            <w:pPr>
              <w:jc w:val="right"/>
              <w:ind w:right="80"/>
              <w:spacing w:after="0" w:line="174" w:lineRule="exact"/>
              <w:rPr>
                <w:sz w:val="20"/>
                <w:szCs w:val="20"/>
                <w:color w:val="auto"/>
              </w:rPr>
            </w:pPr>
            <w:r>
              <w:rPr>
                <w:rFonts w:ascii="Arial" w:cs="Arial" w:eastAsia="Arial" w:hAnsi="Arial"/>
                <w:sz w:val="18"/>
                <w:szCs w:val="18"/>
                <w:color w:val="0000EE"/>
                <w:w w:val="79"/>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80" w:type="dxa"/>
            <w:vAlign w:val="bottom"/>
            <w:gridSpan w:val="40"/>
            <w:shd w:val="clear" w:color="auto" w:fill="CCFFCC"/>
          </w:tcPr>
          <w:p>
            <w:pPr>
              <w:spacing w:after="0" w:line="174" w:lineRule="exact"/>
              <w:rPr>
                <w:sz w:val="20"/>
                <w:szCs w:val="20"/>
                <w:color w:val="auto"/>
              </w:rPr>
            </w:pPr>
            <w:r>
              <w:rPr>
                <w:rFonts w:ascii="Arial" w:cs="Arial" w:eastAsia="Arial" w:hAnsi="Arial"/>
                <w:sz w:val="18"/>
                <w:szCs w:val="18"/>
                <w:color w:val="0000EE"/>
              </w:rPr>
              <w:t>INNOVATE/PROTECT SECURITY OWNERSHIP OF CERTAIN BENEFICIAL OWNERS AND</w:t>
            </w:r>
          </w:p>
        </w:tc>
        <w:tc>
          <w:tcPr>
            <w:tcW w:w="340" w:type="dxa"/>
            <w:vAlign w:val="bottom"/>
            <w:gridSpan w:val="3"/>
            <w:shd w:val="clear" w:color="auto" w:fill="CCFFCC"/>
          </w:tcPr>
          <w:p>
            <w:pPr>
              <w:jc w:val="right"/>
              <w:ind w:right="80"/>
              <w:spacing w:after="0" w:line="174" w:lineRule="exact"/>
              <w:rPr>
                <w:sz w:val="20"/>
                <w:szCs w:val="20"/>
                <w:color w:val="auto"/>
              </w:rPr>
            </w:pPr>
            <w:r>
              <w:rPr>
                <w:rFonts w:ascii="Arial" w:cs="Arial" w:eastAsia="Arial" w:hAnsi="Arial"/>
                <w:sz w:val="18"/>
                <w:szCs w:val="18"/>
                <w:color w:val="0000EE"/>
                <w:w w:val="79"/>
              </w:rPr>
              <w:t>158</w:t>
            </w:r>
          </w:p>
        </w:tc>
        <w:tc>
          <w:tcPr>
            <w:tcW w:w="0" w:type="dxa"/>
            <w:vAlign w:val="bottom"/>
          </w:tcPr>
          <w:p>
            <w:pPr>
              <w:spacing w:after="0"/>
              <w:rPr>
                <w:sz w:val="1"/>
                <w:szCs w:val="1"/>
                <w:color w:val="auto"/>
              </w:rPr>
            </w:pPr>
          </w:p>
        </w:tc>
      </w:tr>
      <w:tr>
        <w:trPr>
          <w:trHeight w:val="214"/>
        </w:trPr>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0000EE"/>
              <w:bottom w:val="single" w:sz="8" w:color="CCFFCC"/>
            </w:tcBorders>
            <w:shd w:val="clear" w:color="auto" w:fill="CCFFCC"/>
          </w:tcPr>
          <w:p>
            <w:pPr>
              <w:spacing w:after="0"/>
              <w:rPr>
                <w:sz w:val="18"/>
                <w:szCs w:val="18"/>
                <w:color w:val="auto"/>
              </w:rPr>
            </w:pPr>
          </w:p>
        </w:tc>
        <w:tc>
          <w:tcPr>
            <w:tcW w:w="1300" w:type="dxa"/>
            <w:vAlign w:val="bottom"/>
            <w:tcBorders>
              <w:top w:val="single" w:sz="8" w:color="0000EE"/>
              <w:bottom w:val="single" w:sz="8" w:color="0000EE"/>
            </w:tcBorders>
            <w:gridSpan w:val="6"/>
            <w:shd w:val="clear" w:color="auto" w:fill="CCFFCC"/>
          </w:tcPr>
          <w:p>
            <w:pPr>
              <w:spacing w:after="0" w:line="194" w:lineRule="exact"/>
              <w:rPr>
                <w:sz w:val="20"/>
                <w:szCs w:val="20"/>
                <w:color w:val="auto"/>
              </w:rPr>
            </w:pPr>
            <w:r>
              <w:rPr>
                <w:rFonts w:ascii="Arial" w:cs="Arial" w:eastAsia="Arial" w:hAnsi="Arial"/>
                <w:sz w:val="18"/>
                <w:szCs w:val="18"/>
                <w:color w:val="0000EE"/>
                <w:w w:val="99"/>
              </w:rPr>
              <w:t>MANAGEMENT</w:t>
            </w:r>
          </w:p>
        </w:tc>
        <w:tc>
          <w:tcPr>
            <w:tcW w:w="5620" w:type="dxa"/>
            <w:vAlign w:val="bottom"/>
            <w:tcBorders>
              <w:top w:val="single" w:sz="8" w:color="0000EE"/>
              <w:bottom w:val="single" w:sz="8" w:color="CCFFCC"/>
            </w:tcBorders>
            <w:gridSpan w:val="26"/>
            <w:shd w:val="clear" w:color="auto" w:fill="CCFFCC"/>
          </w:tcPr>
          <w:p>
            <w:pPr>
              <w:spacing w:after="0"/>
              <w:rPr>
                <w:sz w:val="18"/>
                <w:szCs w:val="18"/>
                <w:color w:val="auto"/>
              </w:rPr>
            </w:pPr>
          </w:p>
        </w:tc>
        <w:tc>
          <w:tcPr>
            <w:tcW w:w="700" w:type="dxa"/>
            <w:vAlign w:val="bottom"/>
            <w:tcBorders>
              <w:top w:val="single" w:sz="8" w:color="CCFFCC"/>
              <w:bottom w:val="single" w:sz="8" w:color="CCFFCC"/>
            </w:tcBorders>
            <w:gridSpan w:val="7"/>
            <w:shd w:val="clear" w:color="auto" w:fill="CCFFCC"/>
          </w:tcPr>
          <w:p>
            <w:pPr>
              <w:spacing w:after="0"/>
              <w:rPr>
                <w:sz w:val="18"/>
                <w:szCs w:val="18"/>
                <w:color w:val="auto"/>
              </w:rPr>
            </w:pPr>
          </w:p>
        </w:tc>
        <w:tc>
          <w:tcPr>
            <w:tcW w:w="80" w:type="dxa"/>
            <w:vAlign w:val="bottom"/>
            <w:tcBorders>
              <w:top w:val="single" w:sz="8" w:color="0000EE"/>
              <w:bottom w:val="single" w:sz="8" w:color="CCFFCC"/>
            </w:tcBorders>
            <w:shd w:val="clear" w:color="auto" w:fill="CCFFCC"/>
          </w:tcPr>
          <w:p>
            <w:pPr>
              <w:spacing w:after="0"/>
              <w:rPr>
                <w:sz w:val="18"/>
                <w:szCs w:val="18"/>
                <w:color w:val="auto"/>
              </w:rPr>
            </w:pPr>
          </w:p>
        </w:tc>
        <w:tc>
          <w:tcPr>
            <w:tcW w:w="18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Borders>
              <w:bottom w:val="single" w:sz="8" w:color="0000EE"/>
            </w:tcBorders>
            <w:gridSpan w:val="37"/>
          </w:tcPr>
          <w:p>
            <w:pPr>
              <w:spacing w:after="0" w:line="174" w:lineRule="exact"/>
              <w:rPr>
                <w:sz w:val="20"/>
                <w:szCs w:val="20"/>
                <w:color w:val="auto"/>
              </w:rPr>
            </w:pPr>
            <w:r>
              <w:rPr>
                <w:rFonts w:ascii="Arial" w:cs="Arial" w:eastAsia="Arial" w:hAnsi="Arial"/>
                <w:sz w:val="18"/>
                <w:szCs w:val="18"/>
                <w:color w:val="0000EE"/>
                <w:w w:val="95"/>
              </w:rPr>
              <w:t>SECURITY OWNERSHIP OF CERTAIN BENEFICIAL OWNERS AND MANAGEMENT OF THE</w:t>
            </w:r>
          </w:p>
        </w:tc>
        <w:tc>
          <w:tcPr>
            <w:tcW w:w="460" w:type="dxa"/>
            <w:vAlign w:val="bottom"/>
            <w:gridSpan w:val="3"/>
          </w:tcPr>
          <w:p>
            <w:pPr>
              <w:spacing w:after="0"/>
              <w:rPr>
                <w:sz w:val="15"/>
                <w:szCs w:val="15"/>
                <w:color w:val="auto"/>
              </w:rPr>
            </w:pPr>
          </w:p>
        </w:tc>
        <w:tc>
          <w:tcPr>
            <w:tcW w:w="26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79"/>
              </w:rPr>
              <w:t>160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tcBorders>
              <w:bottom w:val="single" w:sz="8" w:color="0000EE"/>
            </w:tcBorders>
            <w:gridSpan w:val="24"/>
          </w:tcPr>
          <w:p>
            <w:pPr>
              <w:spacing w:after="0" w:line="194" w:lineRule="exact"/>
              <w:rPr>
                <w:sz w:val="20"/>
                <w:szCs w:val="20"/>
                <w:color w:val="auto"/>
              </w:rPr>
            </w:pPr>
            <w:r>
              <w:rPr>
                <w:rFonts w:ascii="Arial" w:cs="Arial" w:eastAsia="Arial" w:hAnsi="Arial"/>
                <w:sz w:val="18"/>
                <w:szCs w:val="18"/>
                <w:color w:val="0000EE"/>
                <w:w w:val="96"/>
              </w:rPr>
              <w:t>COMBINED COMPANY FOLLOWING THE MERGER</w:t>
            </w:r>
          </w:p>
        </w:tc>
        <w:tc>
          <w:tcPr>
            <w:tcW w:w="3460" w:type="dxa"/>
            <w:vAlign w:val="bottom"/>
            <w:gridSpan w:val="15"/>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-5626100</wp:posOffset>
            </wp:positionV>
            <wp:extent cx="51600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gridSpan w:val="16"/>
          </w:tcPr>
          <w:p>
            <w:pPr>
              <w:spacing w:after="0"/>
              <w:rPr>
                <w:sz w:val="20"/>
                <w:szCs w:val="20"/>
                <w:color w:val="auto"/>
              </w:rPr>
            </w:pPr>
            <w:r>
              <w:rPr>
                <w:rFonts w:ascii="Arial" w:cs="Arial" w:eastAsia="Arial" w:hAnsi="Arial"/>
                <w:sz w:val="14"/>
                <w:szCs w:val="14"/>
                <w:b w:val="1"/>
                <w:bCs w:val="1"/>
                <w:color w:val="0000EE"/>
              </w:rPr>
              <w:t>TABLE OF CONTENTS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1520" w:type="dxa"/>
            <w:vAlign w:val="bottom"/>
            <w:tcBorders>
              <w:top w:val="single" w:sz="8" w:color="0000EE"/>
            </w:tcBorders>
            <w:gridSpan w:val="6"/>
          </w:tcPr>
          <w:p>
            <w:pPr>
              <w:spacing w:after="0" w:line="154" w:lineRule="exact"/>
              <w:rPr>
                <w:sz w:val="20"/>
                <w:szCs w:val="20"/>
                <w:color w:val="auto"/>
              </w:rPr>
            </w:pPr>
            <w:r>
              <w:rPr>
                <w:rFonts w:ascii="Arial" w:cs="Arial" w:eastAsia="Arial" w:hAnsi="Arial"/>
                <w:sz w:val="17"/>
                <w:szCs w:val="17"/>
                <w:color w:val="0000EE"/>
              </w:rPr>
              <w:t>DESCRIPTION OF</w:t>
            </w:r>
          </w:p>
        </w:tc>
        <w:tc>
          <w:tcPr>
            <w:tcW w:w="6200" w:type="dxa"/>
            <w:vAlign w:val="bottom"/>
            <w:gridSpan w:val="10"/>
          </w:tcPr>
          <w:p>
            <w:pPr>
              <w:spacing w:after="0" w:line="154" w:lineRule="exact"/>
              <w:rPr>
                <w:sz w:val="20"/>
                <w:szCs w:val="20"/>
                <w:color w:val="auto"/>
              </w:rPr>
            </w:pPr>
            <w:r>
              <w:rPr>
                <w:rFonts w:ascii="Arial" w:cs="Arial" w:eastAsia="Arial" w:hAnsi="Arial"/>
                <w:sz w:val="17"/>
                <w:szCs w:val="17"/>
                <w:color w:val="0000EE"/>
              </w:rPr>
              <w:t>CAPITAL STOCK</w:t>
            </w:r>
          </w:p>
        </w:tc>
        <w:tc>
          <w:tcPr>
            <w:tcW w:w="400" w:type="dxa"/>
            <w:vAlign w:val="bottom"/>
            <w:gridSpan w:val="4"/>
          </w:tcPr>
          <w:p>
            <w:pPr>
              <w:jc w:val="right"/>
              <w:ind w:right="60"/>
              <w:spacing w:after="0" w:line="154" w:lineRule="exact"/>
              <w:rPr>
                <w:sz w:val="20"/>
                <w:szCs w:val="20"/>
                <w:color w:val="auto"/>
              </w:rPr>
            </w:pPr>
            <w:r>
              <w:rPr>
                <w:rFonts w:ascii="Arial" w:cs="Arial" w:eastAsia="Arial" w:hAnsi="Arial"/>
                <w:sz w:val="17"/>
                <w:szCs w:val="17"/>
                <w:color w:val="0000EE"/>
              </w:rPr>
              <w:t>163</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560" w:type="dxa"/>
            <w:vAlign w:val="bottom"/>
            <w:gridSpan w:val="15"/>
            <w:shd w:val="clear" w:color="auto" w:fill="CCFFCC"/>
          </w:tcPr>
          <w:p>
            <w:pPr>
              <w:spacing w:after="0" w:line="174" w:lineRule="exact"/>
              <w:rPr>
                <w:sz w:val="20"/>
                <w:szCs w:val="20"/>
                <w:color w:val="auto"/>
              </w:rPr>
            </w:pPr>
            <w:r>
              <w:rPr>
                <w:rFonts w:ascii="Arial" w:cs="Arial" w:eastAsia="Arial" w:hAnsi="Arial"/>
                <w:sz w:val="18"/>
                <w:szCs w:val="18"/>
                <w:color w:val="0000EE"/>
              </w:rPr>
              <w:t>Common Stock</w:t>
            </w:r>
          </w:p>
        </w:tc>
        <w:tc>
          <w:tcPr>
            <w:tcW w:w="400" w:type="dxa"/>
            <w:vAlign w:val="bottom"/>
            <w:gridSpan w:val="4"/>
            <w:shd w:val="clear" w:color="auto" w:fill="CCFFCC"/>
          </w:tcPr>
          <w:p>
            <w:pPr>
              <w:jc w:val="right"/>
              <w:ind w:right="60"/>
              <w:spacing w:after="0" w:line="174" w:lineRule="exact"/>
              <w:rPr>
                <w:sz w:val="20"/>
                <w:szCs w:val="20"/>
                <w:color w:val="auto"/>
              </w:rPr>
            </w:pPr>
            <w:r>
              <w:rPr>
                <w:rFonts w:ascii="Arial" w:cs="Arial" w:eastAsia="Arial" w:hAnsi="Arial"/>
                <w:sz w:val="18"/>
                <w:szCs w:val="18"/>
                <w:color w:val="0000EE"/>
              </w:rPr>
              <w:t>163</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15"/>
          </w:tcPr>
          <w:p>
            <w:pPr>
              <w:spacing w:after="0" w:line="174" w:lineRule="exact"/>
              <w:rPr>
                <w:sz w:val="20"/>
                <w:szCs w:val="20"/>
                <w:color w:val="auto"/>
              </w:rPr>
            </w:pPr>
            <w:r>
              <w:rPr>
                <w:rFonts w:ascii="Arial" w:cs="Arial" w:eastAsia="Arial" w:hAnsi="Arial"/>
                <w:sz w:val="18"/>
                <w:szCs w:val="18"/>
                <w:color w:val="0000EE"/>
              </w:rPr>
              <w:t>Preferred Stock</w:t>
            </w:r>
          </w:p>
        </w:tc>
        <w:tc>
          <w:tcPr>
            <w:tcW w:w="40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0000EE"/>
              </w:rPr>
              <w:t>163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560" w:type="dxa"/>
            <w:vAlign w:val="bottom"/>
            <w:gridSpan w:val="15"/>
            <w:shd w:val="clear" w:color="auto" w:fill="CCFFCC"/>
          </w:tcPr>
          <w:p>
            <w:pPr>
              <w:spacing w:after="0" w:line="174" w:lineRule="exact"/>
              <w:rPr>
                <w:sz w:val="20"/>
                <w:szCs w:val="20"/>
                <w:color w:val="auto"/>
              </w:rPr>
            </w:pPr>
            <w:r>
              <w:rPr>
                <w:rFonts w:ascii="Arial" w:cs="Arial" w:eastAsia="Arial" w:hAnsi="Arial"/>
                <w:sz w:val="18"/>
                <w:szCs w:val="18"/>
                <w:color w:val="0000EE"/>
              </w:rPr>
              <w:t>Warrants</w:t>
            </w:r>
          </w:p>
        </w:tc>
        <w:tc>
          <w:tcPr>
            <w:tcW w:w="400" w:type="dxa"/>
            <w:vAlign w:val="bottom"/>
            <w:gridSpan w:val="4"/>
            <w:shd w:val="clear" w:color="auto" w:fill="CCFFCC"/>
          </w:tcPr>
          <w:p>
            <w:pPr>
              <w:jc w:val="right"/>
              <w:ind w:right="60"/>
              <w:spacing w:after="0" w:line="174" w:lineRule="exact"/>
              <w:rPr>
                <w:sz w:val="20"/>
                <w:szCs w:val="20"/>
                <w:color w:val="auto"/>
              </w:rPr>
            </w:pPr>
            <w:r>
              <w:rPr>
                <w:rFonts w:ascii="Arial" w:cs="Arial" w:eastAsia="Arial" w:hAnsi="Arial"/>
                <w:sz w:val="18"/>
                <w:szCs w:val="18"/>
                <w:color w:val="0000EE"/>
              </w:rPr>
              <w:t>164</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60" w:type="dxa"/>
            <w:vAlign w:val="bottom"/>
            <w:gridSpan w:val="15"/>
          </w:tcPr>
          <w:p>
            <w:pPr>
              <w:spacing w:after="0" w:line="174" w:lineRule="exact"/>
              <w:rPr>
                <w:sz w:val="20"/>
                <w:szCs w:val="20"/>
                <w:color w:val="auto"/>
              </w:rPr>
            </w:pPr>
            <w:r>
              <w:rPr>
                <w:rFonts w:ascii="Arial" w:cs="Arial" w:eastAsia="Arial" w:hAnsi="Arial"/>
                <w:sz w:val="18"/>
                <w:szCs w:val="18"/>
                <w:color w:val="0000EE"/>
              </w:rPr>
              <w:t>Delaware Statutory Business Combinations Provision</w:t>
            </w:r>
          </w:p>
        </w:tc>
        <w:tc>
          <w:tcPr>
            <w:tcW w:w="40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0000EE"/>
              </w:rPr>
              <w:t>165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5280" w:type="dxa"/>
            <w:vAlign w:val="bottom"/>
            <w:tcBorders>
              <w:bottom w:val="single" w:sz="8" w:color="0000EE"/>
            </w:tcBorders>
            <w:gridSpan w:val="13"/>
            <w:shd w:val="clear" w:color="auto" w:fill="CCFFCC"/>
          </w:tcPr>
          <w:p>
            <w:pPr>
              <w:spacing w:after="0" w:line="174" w:lineRule="exact"/>
              <w:rPr>
                <w:sz w:val="20"/>
                <w:szCs w:val="20"/>
                <w:color w:val="auto"/>
              </w:rPr>
            </w:pPr>
            <w:r>
              <w:rPr>
                <w:rFonts w:ascii="Arial" w:cs="Arial" w:eastAsia="Arial" w:hAnsi="Arial"/>
                <w:sz w:val="18"/>
                <w:szCs w:val="18"/>
                <w:color w:val="0000EE"/>
                <w:w w:val="96"/>
              </w:rPr>
              <w:t>UNAUDITED PRO FORMA COMBINED FINANCIAL STATEMENTS</w:t>
            </w:r>
          </w:p>
        </w:tc>
        <w:tc>
          <w:tcPr>
            <w:tcW w:w="2440" w:type="dxa"/>
            <w:vAlign w:val="bottom"/>
            <w:tcBorders>
              <w:bottom w:val="single" w:sz="8" w:color="CCFFCC"/>
            </w:tcBorders>
            <w:gridSpan w:val="3"/>
            <w:shd w:val="clear" w:color="auto" w:fill="CCFFCC"/>
          </w:tcPr>
          <w:p>
            <w:pPr>
              <w:spacing w:after="0"/>
              <w:rPr>
                <w:sz w:val="16"/>
                <w:szCs w:val="16"/>
                <w:color w:val="auto"/>
              </w:rPr>
            </w:pPr>
          </w:p>
        </w:tc>
        <w:tc>
          <w:tcPr>
            <w:tcW w:w="60" w:type="dxa"/>
            <w:vAlign w:val="bottom"/>
            <w:tcBorders>
              <w:bottom w:val="single" w:sz="8" w:color="CCFFCC"/>
            </w:tcBorders>
            <w:shd w:val="clear" w:color="auto" w:fill="CCFFCC"/>
          </w:tcPr>
          <w:p>
            <w:pPr>
              <w:spacing w:after="0"/>
              <w:rPr>
                <w:sz w:val="16"/>
                <w:szCs w:val="16"/>
                <w:color w:val="auto"/>
              </w:rPr>
            </w:pPr>
          </w:p>
        </w:tc>
        <w:tc>
          <w:tcPr>
            <w:tcW w:w="2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86"/>
              </w:rPr>
              <w:t>166</w:t>
            </w:r>
          </w:p>
        </w:tc>
        <w:tc>
          <w:tcPr>
            <w:tcW w:w="6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6760" w:type="dxa"/>
            <w:vAlign w:val="bottom"/>
            <w:tcBorders>
              <w:bottom w:val="single" w:sz="8" w:color="0000EE"/>
            </w:tcBorders>
            <w:gridSpan w:val="15"/>
          </w:tcPr>
          <w:p>
            <w:pPr>
              <w:spacing w:after="0" w:line="174" w:lineRule="exact"/>
              <w:rPr>
                <w:sz w:val="20"/>
                <w:szCs w:val="20"/>
                <w:color w:val="auto"/>
              </w:rPr>
            </w:pPr>
            <w:r>
              <w:rPr>
                <w:rFonts w:ascii="Arial" w:cs="Arial" w:eastAsia="Arial" w:hAnsi="Arial"/>
                <w:sz w:val="18"/>
                <w:szCs w:val="18"/>
                <w:color w:val="0000EE"/>
                <w:w w:val="93"/>
              </w:rPr>
              <w:t>COMPARISON OF RIGHTS OF VRINGO STOCKHOLDERS AND INNOVATE/PROTECT</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0000EE"/>
            </w:tcBorders>
            <w:gridSpan w:val="2"/>
          </w:tcPr>
          <w:p>
            <w:pPr>
              <w:jc w:val="right"/>
              <w:spacing w:after="0" w:line="174" w:lineRule="exact"/>
              <w:rPr>
                <w:sz w:val="20"/>
                <w:szCs w:val="20"/>
                <w:color w:val="auto"/>
              </w:rPr>
            </w:pPr>
            <w:r>
              <w:rPr>
                <w:rFonts w:ascii="Arial" w:cs="Arial" w:eastAsia="Arial" w:hAnsi="Arial"/>
                <w:sz w:val="18"/>
                <w:szCs w:val="18"/>
                <w:color w:val="0000EE"/>
                <w:w w:val="86"/>
              </w:rPr>
              <w:t>174</w:t>
            </w:r>
          </w:p>
        </w:tc>
        <w:tc>
          <w:tcPr>
            <w:tcW w:w="6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560" w:type="dxa"/>
            <w:vAlign w:val="bottom"/>
            <w:gridSpan w:val="15"/>
          </w:tcPr>
          <w:p>
            <w:pPr>
              <w:spacing w:after="0" w:line="194" w:lineRule="exact"/>
              <w:rPr>
                <w:sz w:val="20"/>
                <w:szCs w:val="20"/>
                <w:color w:val="auto"/>
              </w:rPr>
            </w:pPr>
            <w:r>
              <w:rPr>
                <w:rFonts w:ascii="Arial" w:cs="Arial" w:eastAsia="Arial" w:hAnsi="Arial"/>
                <w:sz w:val="18"/>
                <w:szCs w:val="18"/>
                <w:color w:val="0000EE"/>
              </w:rPr>
              <w:t>STOCKHOLDERS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1440" w:type="dxa"/>
            <w:vAlign w:val="bottom"/>
            <w:tcBorders>
              <w:bottom w:val="single" w:sz="8" w:color="0000EE"/>
            </w:tcBorders>
            <w:gridSpan w:val="5"/>
            <w:shd w:val="clear" w:color="auto" w:fill="CCFFCC"/>
          </w:tcPr>
          <w:p>
            <w:pPr>
              <w:spacing w:after="0" w:line="174" w:lineRule="exact"/>
              <w:rPr>
                <w:sz w:val="20"/>
                <w:szCs w:val="20"/>
                <w:color w:val="auto"/>
              </w:rPr>
            </w:pPr>
            <w:r>
              <w:rPr>
                <w:rFonts w:ascii="Arial" w:cs="Arial" w:eastAsia="Arial" w:hAnsi="Arial"/>
                <w:sz w:val="18"/>
                <w:szCs w:val="18"/>
                <w:color w:val="0000EE"/>
                <w:w w:val="95"/>
              </w:rPr>
              <w:t>LEGAL MATTERS</w:t>
            </w:r>
          </w:p>
        </w:tc>
        <w:tc>
          <w:tcPr>
            <w:tcW w:w="6280" w:type="dxa"/>
            <w:vAlign w:val="bottom"/>
            <w:tcBorders>
              <w:bottom w:val="single" w:sz="8" w:color="CCFFCC"/>
            </w:tcBorders>
            <w:gridSpan w:val="11"/>
            <w:shd w:val="clear" w:color="auto" w:fill="CCFFCC"/>
          </w:tcPr>
          <w:p>
            <w:pPr>
              <w:spacing w:after="0"/>
              <w:rPr>
                <w:sz w:val="16"/>
                <w:szCs w:val="16"/>
                <w:color w:val="auto"/>
              </w:rPr>
            </w:pPr>
          </w:p>
        </w:tc>
        <w:tc>
          <w:tcPr>
            <w:tcW w:w="60" w:type="dxa"/>
            <w:vAlign w:val="bottom"/>
            <w:tcBorders>
              <w:bottom w:val="single" w:sz="8" w:color="CCFFCC"/>
            </w:tcBorders>
            <w:shd w:val="clear" w:color="auto" w:fill="CCFFCC"/>
          </w:tcPr>
          <w:p>
            <w:pPr>
              <w:spacing w:after="0"/>
              <w:rPr>
                <w:sz w:val="16"/>
                <w:szCs w:val="16"/>
                <w:color w:val="auto"/>
              </w:rPr>
            </w:pPr>
          </w:p>
        </w:tc>
        <w:tc>
          <w:tcPr>
            <w:tcW w:w="280" w:type="dxa"/>
            <w:vAlign w:val="bottom"/>
            <w:tcBorders>
              <w:bottom w:val="single" w:sz="8" w:color="0000EE"/>
            </w:tcBorders>
            <w:gridSpan w:val="2"/>
            <w:shd w:val="clear" w:color="auto" w:fill="CCFFCC"/>
          </w:tcPr>
          <w:p>
            <w:pPr>
              <w:jc w:val="right"/>
              <w:spacing w:after="0" w:line="174" w:lineRule="exact"/>
              <w:rPr>
                <w:sz w:val="20"/>
                <w:szCs w:val="20"/>
                <w:color w:val="auto"/>
              </w:rPr>
            </w:pPr>
            <w:r>
              <w:rPr>
                <w:rFonts w:ascii="Arial" w:cs="Arial" w:eastAsia="Arial" w:hAnsi="Arial"/>
                <w:sz w:val="18"/>
                <w:szCs w:val="18"/>
                <w:color w:val="0000EE"/>
                <w:w w:val="86"/>
              </w:rPr>
              <w:t>179</w:t>
            </w:r>
          </w:p>
        </w:tc>
        <w:tc>
          <w:tcPr>
            <w:tcW w:w="60" w:type="dxa"/>
            <w:vAlign w:val="bottom"/>
            <w:tcBorders>
              <w:bottom w:val="single" w:sz="8" w:color="CCFFCC"/>
            </w:tcBorders>
            <w:shd w:val="clear" w:color="auto" w:fill="CCFFCC"/>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720" w:type="dxa"/>
            <w:vAlign w:val="bottom"/>
            <w:gridSpan w:val="16"/>
          </w:tcPr>
          <w:p>
            <w:pPr>
              <w:spacing w:after="0" w:line="174" w:lineRule="exact"/>
              <w:rPr>
                <w:sz w:val="20"/>
                <w:szCs w:val="20"/>
                <w:color w:val="auto"/>
              </w:rPr>
            </w:pPr>
            <w:r>
              <w:rPr>
                <w:rFonts w:ascii="Arial" w:cs="Arial" w:eastAsia="Arial" w:hAnsi="Arial"/>
                <w:sz w:val="18"/>
                <w:szCs w:val="18"/>
                <w:color w:val="0000EE"/>
              </w:rPr>
              <w:t>EXPERTS</w:t>
            </w:r>
          </w:p>
        </w:tc>
        <w:tc>
          <w:tcPr>
            <w:tcW w:w="40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0000EE"/>
              </w:rPr>
              <w:t>179</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20" w:type="dxa"/>
            <w:vAlign w:val="bottom"/>
            <w:gridSpan w:val="16"/>
            <w:shd w:val="clear" w:color="auto" w:fill="CCFFCC"/>
          </w:tcPr>
          <w:p>
            <w:pPr>
              <w:spacing w:after="0" w:line="174" w:lineRule="exact"/>
              <w:rPr>
                <w:sz w:val="20"/>
                <w:szCs w:val="20"/>
                <w:color w:val="auto"/>
              </w:rPr>
            </w:pPr>
            <w:r>
              <w:rPr>
                <w:rFonts w:ascii="Arial" w:cs="Arial" w:eastAsia="Arial" w:hAnsi="Arial"/>
                <w:sz w:val="18"/>
                <w:szCs w:val="18"/>
                <w:color w:val="0000EE"/>
              </w:rPr>
              <w:t>FUTURE STOCKHOLDER PROPOSALS</w:t>
            </w:r>
          </w:p>
        </w:tc>
        <w:tc>
          <w:tcPr>
            <w:tcW w:w="400" w:type="dxa"/>
            <w:vAlign w:val="bottom"/>
            <w:gridSpan w:val="4"/>
            <w:shd w:val="clear" w:color="auto" w:fill="CCFFCC"/>
          </w:tcPr>
          <w:p>
            <w:pPr>
              <w:jc w:val="right"/>
              <w:ind w:right="60"/>
              <w:spacing w:after="0" w:line="174" w:lineRule="exact"/>
              <w:rPr>
                <w:sz w:val="20"/>
                <w:szCs w:val="20"/>
                <w:color w:val="auto"/>
              </w:rPr>
            </w:pPr>
            <w:r>
              <w:rPr>
                <w:rFonts w:ascii="Arial" w:cs="Arial" w:eastAsia="Arial" w:hAnsi="Arial"/>
                <w:sz w:val="18"/>
                <w:szCs w:val="18"/>
                <w:color w:val="0000EE"/>
              </w:rPr>
              <w:t>180</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2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gridSpan w:val="16"/>
          </w:tcPr>
          <w:p>
            <w:pPr>
              <w:spacing w:after="0" w:line="174" w:lineRule="exact"/>
              <w:rPr>
                <w:sz w:val="20"/>
                <w:szCs w:val="20"/>
                <w:color w:val="auto"/>
              </w:rPr>
            </w:pPr>
            <w:r>
              <w:rPr>
                <w:rFonts w:ascii="Arial" w:cs="Arial" w:eastAsia="Arial" w:hAnsi="Arial"/>
                <w:sz w:val="18"/>
                <w:szCs w:val="18"/>
                <w:color w:val="0000EE"/>
              </w:rPr>
              <w:t>WHERE YOU CAN FIND ADDITIONAL INFORMATION</w:t>
            </w:r>
          </w:p>
        </w:tc>
        <w:tc>
          <w:tcPr>
            <w:tcW w:w="400" w:type="dxa"/>
            <w:vAlign w:val="bottom"/>
            <w:gridSpan w:val="4"/>
          </w:tcPr>
          <w:p>
            <w:pPr>
              <w:jc w:val="right"/>
              <w:ind w:right="60"/>
              <w:spacing w:after="0" w:line="174" w:lineRule="exact"/>
              <w:rPr>
                <w:sz w:val="20"/>
                <w:szCs w:val="20"/>
                <w:color w:val="auto"/>
              </w:rPr>
            </w:pPr>
            <w:r>
              <w:rPr>
                <w:rFonts w:ascii="Arial" w:cs="Arial" w:eastAsia="Arial" w:hAnsi="Arial"/>
                <w:sz w:val="18"/>
                <w:szCs w:val="18"/>
                <w:color w:val="0000EE"/>
              </w:rPr>
              <w:t>180</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7720" w:type="dxa"/>
            <w:vAlign w:val="bottom"/>
            <w:gridSpan w:val="16"/>
            <w:shd w:val="clear" w:color="auto" w:fill="CCFFCC"/>
          </w:tcPr>
          <w:p>
            <w:pPr>
              <w:spacing w:after="0" w:line="174" w:lineRule="exact"/>
              <w:rPr>
                <w:sz w:val="20"/>
                <w:szCs w:val="20"/>
                <w:color w:val="auto"/>
              </w:rPr>
            </w:pPr>
            <w:r>
              <w:rPr>
                <w:rFonts w:ascii="Arial" w:cs="Arial" w:eastAsia="Arial" w:hAnsi="Arial"/>
                <w:sz w:val="18"/>
                <w:szCs w:val="18"/>
                <w:color w:val="0000EE"/>
              </w:rPr>
              <w:t>VRINGO, INC. INDEX TO THE FINANCIAL STATEMENTS</w:t>
            </w:r>
          </w:p>
        </w:tc>
        <w:tc>
          <w:tcPr>
            <w:tcW w:w="6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320" w:type="dxa"/>
            <w:vAlign w:val="bottom"/>
            <w:gridSpan w:val="2"/>
            <w:shd w:val="clear" w:color="auto" w:fill="CCFFCC"/>
          </w:tcPr>
          <w:p>
            <w:pPr>
              <w:jc w:val="right"/>
              <w:ind w:right="60"/>
              <w:spacing w:after="0" w:line="174" w:lineRule="exact"/>
              <w:rPr>
                <w:sz w:val="20"/>
                <w:szCs w:val="20"/>
                <w:color w:val="auto"/>
              </w:rPr>
            </w:pPr>
            <w:r>
              <w:rPr>
                <w:rFonts w:ascii="Arial" w:cs="Arial" w:eastAsia="Arial" w:hAnsi="Arial"/>
                <w:sz w:val="18"/>
                <w:szCs w:val="18"/>
                <w:color w:val="0000EE"/>
                <w:w w:val="88"/>
              </w:rPr>
              <w:t>F-1</w:t>
            </w: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2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92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Borders>
              <w:bottom w:val="single" w:sz="8" w:color="0000EE"/>
            </w:tcBorders>
            <w:gridSpan w:val="14"/>
          </w:tcPr>
          <w:p>
            <w:pPr>
              <w:spacing w:after="0" w:line="174" w:lineRule="exact"/>
              <w:rPr>
                <w:sz w:val="20"/>
                <w:szCs w:val="20"/>
                <w:color w:val="auto"/>
              </w:rPr>
            </w:pPr>
            <w:r>
              <w:rPr>
                <w:rFonts w:ascii="Arial" w:cs="Arial" w:eastAsia="Arial" w:hAnsi="Arial"/>
                <w:sz w:val="18"/>
                <w:szCs w:val="18"/>
                <w:color w:val="0000EE"/>
                <w:w w:val="95"/>
              </w:rPr>
              <w:t>INNOVATE/PROTECT, INC. INDEX TO THE FINANCIAL STATEMENTS</w:t>
            </w:r>
          </w:p>
        </w:tc>
        <w:tc>
          <w:tcPr>
            <w:tcW w:w="2140" w:type="dxa"/>
            <w:vAlign w:val="bottom"/>
            <w:gridSpan w:val="2"/>
          </w:tcPr>
          <w:p>
            <w:pPr>
              <w:spacing w:after="0"/>
              <w:rPr>
                <w:sz w:val="15"/>
                <w:szCs w:val="15"/>
                <w:color w:val="auto"/>
              </w:rPr>
            </w:pPr>
          </w:p>
        </w:tc>
        <w:tc>
          <w:tcPr>
            <w:tcW w:w="340" w:type="dxa"/>
            <w:vAlign w:val="bottom"/>
            <w:tcBorders>
              <w:bottom w:val="single" w:sz="8" w:color="0000EE"/>
            </w:tcBorders>
            <w:gridSpan w:val="3"/>
          </w:tcPr>
          <w:p>
            <w:pPr>
              <w:jc w:val="right"/>
              <w:spacing w:after="0" w:line="174" w:lineRule="exact"/>
              <w:rPr>
                <w:sz w:val="20"/>
                <w:szCs w:val="20"/>
                <w:color w:val="auto"/>
              </w:rPr>
            </w:pPr>
            <w:r>
              <w:rPr>
                <w:rFonts w:ascii="Arial" w:cs="Arial" w:eastAsia="Arial" w:hAnsi="Arial"/>
                <w:sz w:val="18"/>
                <w:szCs w:val="18"/>
                <w:color w:val="0000EE"/>
                <w:w w:val="86"/>
              </w:rPr>
              <w:t>F-34</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-1959610</wp:posOffset>
            </wp:positionV>
            <wp:extent cx="51600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Annexes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A —The Merger Agreement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B —Form of Certificate of Amendment to Effect a Reverse Stock Split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C —Form Certificate of Amendment to Effect an Increase in Authorized Shares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D —Vringo, Inc. 2012 Employee, Director and Consultant Equity Incentive Plan</w:t>
      </w:r>
    </w:p>
    <w:p>
      <w:pPr>
        <w:spacing w:after="0" w:line="114" w:lineRule="exact"/>
        <w:rPr>
          <w:sz w:val="20"/>
          <w:szCs w:val="20"/>
          <w:color w:val="auto"/>
        </w:rPr>
      </w:pPr>
    </w:p>
    <w:p>
      <w:pPr>
        <w:ind w:left="880" w:right="3219" w:hanging="854"/>
        <w:spacing w:after="0" w:line="270" w:lineRule="auto"/>
        <w:rPr>
          <w:sz w:val="20"/>
          <w:szCs w:val="20"/>
          <w:color w:val="auto"/>
        </w:rPr>
      </w:pPr>
      <w:r>
        <w:rPr>
          <w:rFonts w:ascii="Arial" w:cs="Arial" w:eastAsia="Arial" w:hAnsi="Arial"/>
          <w:sz w:val="18"/>
          <w:szCs w:val="18"/>
          <w:color w:val="auto"/>
        </w:rPr>
        <w:t>Annex E —Form of Certificate of Designations, Preferences and Rights of Series A Convertible Preferred Stock</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F —Form of Series 1 Warrant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G —Form of Series 2 Warrant</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H —Opinion of Etico Capital, a division of Olympus Securities LLC</w:t>
      </w: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QUESTIONS AND ANSWERS ABOUT THE MERGER AND</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VRINGO ANNUAL MEETING</w:t>
      </w:r>
    </w:p>
    <w:p>
      <w:pPr>
        <w:spacing w:after="0" w:line="101"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i w:val="1"/>
          <w:iCs w:val="1"/>
          <w:color w:val="auto"/>
        </w:rPr>
        <w:t>The following are some questions that you, as a stockholder of Vringo, Inc. (“Vringo”), may have regarding the Merger (as defined below) or the Vringo annual meeting, together with brief answers to those questions. Vringo urges you to read carefully the remainder of this proxy statement/prospectus, including the annexes and other documents referred to in this proxy statement/prospectus, because the information in this section may not provide all of the information that might be important to you with respect to the Merger or the Vringo annual meeting.</w:t>
      </w:r>
    </w:p>
    <w:p>
      <w:pPr>
        <w:spacing w:after="0" w:line="8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i w:val="1"/>
          <w:iCs w:val="1"/>
          <w:color w:val="auto"/>
        </w:rPr>
        <w:t>When this proxy statement/prospectus refers to the combined company, it means Vringo and its subsidiaries and Innovate/Protect, Inc. (“Innovate/Protect”) and its subsidiaries, collectively.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Merger?</w:t>
      </w:r>
    </w:p>
    <w:p>
      <w:pPr>
        <w:spacing w:after="0" w:line="118" w:lineRule="exact"/>
        <w:rPr>
          <w:sz w:val="20"/>
          <w:szCs w:val="20"/>
          <w:color w:val="auto"/>
        </w:rPr>
      </w:pPr>
    </w:p>
    <w:p>
      <w:pPr>
        <w:jc w:val="both"/>
        <w:ind w:left="280" w:right="619" w:hanging="275"/>
        <w:spacing w:after="0" w:line="292" w:lineRule="auto"/>
        <w:tabs>
          <w:tab w:leader="none" w:pos="2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Vringo and Innovate/Protect have entered into an Agreement and Plan of Merger, dated as of March 12, 2012 (as may be amended or modified, the “</w:t>
      </w:r>
      <w:r>
        <w:rPr>
          <w:rFonts w:ascii="Arial" w:cs="Arial" w:eastAsia="Arial" w:hAnsi="Arial"/>
          <w:sz w:val="16"/>
          <w:szCs w:val="16"/>
          <w:b w:val="1"/>
          <w:bCs w:val="1"/>
          <w:color w:val="auto"/>
        </w:rPr>
        <w:t>Merger Agreement</w:t>
      </w:r>
      <w:r>
        <w:rPr>
          <w:rFonts w:ascii="Arial" w:cs="Arial" w:eastAsia="Arial" w:hAnsi="Arial"/>
          <w:sz w:val="16"/>
          <w:szCs w:val="16"/>
          <w:color w:val="auto"/>
        </w:rPr>
        <w:t>”), that sets forth the terms and conditions of the proposed business combination of Vringo and Innovate/Protect. Under the Merger Agreement, Innovate/Protect will merge with and into VIP Merger Sub, Inc., a wholly-owned subsidiary of Vringo (the “</w:t>
      </w:r>
      <w:r>
        <w:rPr>
          <w:rFonts w:ascii="Arial" w:cs="Arial" w:eastAsia="Arial" w:hAnsi="Arial"/>
          <w:sz w:val="16"/>
          <w:szCs w:val="16"/>
          <w:b w:val="1"/>
          <w:bCs w:val="1"/>
          <w:color w:val="auto"/>
        </w:rPr>
        <w:t>Merger Sub</w:t>
      </w:r>
      <w:r>
        <w:rPr>
          <w:rFonts w:ascii="Arial" w:cs="Arial" w:eastAsia="Arial" w:hAnsi="Arial"/>
          <w:sz w:val="16"/>
          <w:szCs w:val="16"/>
          <w:color w:val="auto"/>
        </w:rPr>
        <w:t>”), with Merger Sub surviving as a wholly-owned subsidiary of Vringo (the “</w:t>
      </w:r>
      <w:r>
        <w:rPr>
          <w:rFonts w:ascii="Arial" w:cs="Arial" w:eastAsia="Arial" w:hAnsi="Arial"/>
          <w:sz w:val="16"/>
          <w:szCs w:val="16"/>
          <w:b w:val="1"/>
          <w:bCs w:val="1"/>
          <w:color w:val="auto"/>
        </w:rPr>
        <w:t>Merger</w:t>
      </w:r>
      <w:r>
        <w:rPr>
          <w:rFonts w:ascii="Arial" w:cs="Arial" w:eastAsia="Arial" w:hAnsi="Arial"/>
          <w:sz w:val="16"/>
          <w:szCs w:val="16"/>
          <w:color w:val="auto"/>
        </w:rPr>
        <w:t xml:space="preserve">”). A complete copy of the Merger Agreement is attached to this proxy statement/prospectus as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378" w:lineRule="exact"/>
        <w:rPr>
          <w:sz w:val="20"/>
          <w:szCs w:val="20"/>
          <w:color w:val="auto"/>
        </w:rPr>
      </w:pPr>
    </w:p>
    <w:p>
      <w:pPr>
        <w:jc w:val="both"/>
        <w:ind w:left="280" w:right="619" w:hanging="275"/>
        <w:spacing w:after="0" w:line="253" w:lineRule="auto"/>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board of directors of Vringo has unanimously approved the Merger Agreement and the Merger. The combination of the two companies will substantially increase Vringo’s intellectual property portfolio, add significant talent in technological innovation, and position Vringo to enhance its opportunities for revenue generation through the monetization of the combined company’s assets, including a potential successful outcome of Innovate/Protect’s litigation against Google, Inc. and the owners of other online search engines.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these materials?</w:t>
      </w:r>
    </w:p>
    <w:p>
      <w:pPr>
        <w:spacing w:after="0" w:line="118" w:lineRule="exact"/>
        <w:rPr>
          <w:sz w:val="20"/>
          <w:szCs w:val="20"/>
          <w:color w:val="auto"/>
        </w:rPr>
      </w:pPr>
    </w:p>
    <w:p>
      <w:pPr>
        <w:ind w:left="280" w:right="639" w:hanging="275"/>
        <w:spacing w:after="0" w:line="270" w:lineRule="auto"/>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Vringo is sending these materials to its stockholders to help them decide how to vote their shares of Vringo common stock with respect to the Merger and the other matters to be considered at the annual meeting.</w:t>
      </w:r>
    </w:p>
    <w:p>
      <w:pPr>
        <w:spacing w:after="0" w:line="69" w:lineRule="exact"/>
        <w:rPr>
          <w:sz w:val="20"/>
          <w:szCs w:val="20"/>
          <w:color w:val="auto"/>
        </w:rPr>
      </w:pPr>
    </w:p>
    <w:p>
      <w:pPr>
        <w:jc w:val="both"/>
        <w:ind w:left="320" w:right="619"/>
        <w:spacing w:after="0" w:line="292" w:lineRule="auto"/>
        <w:rPr>
          <w:sz w:val="20"/>
          <w:szCs w:val="20"/>
          <w:color w:val="auto"/>
        </w:rPr>
      </w:pPr>
      <w:r>
        <w:rPr>
          <w:rFonts w:ascii="Arial" w:cs="Arial" w:eastAsia="Arial" w:hAnsi="Arial"/>
          <w:sz w:val="16"/>
          <w:szCs w:val="16"/>
          <w:color w:val="auto"/>
        </w:rPr>
        <w:t>This document serves as both a proxy statement of Vringo used to solicit proxies for its annual meeting and as a prospectus of Vringo used to offer shares of Vringo common stock, preferred stock and warrants to purchase common stock (including the shares of common stock issuable upon conversion of the preferred stock and exercise of the warrants) issuable to Innovate/Protect stockholders and warrantholder in connection with the Merger. This proxy statement/prospectus contains important information about the Merger and the Vringo annual meeting and you should read it carefully.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Innovate/Protect stockholders receive in the Merger?</w:t>
      </w:r>
    </w:p>
    <w:p>
      <w:pPr>
        <w:spacing w:after="0" w:line="118" w:lineRule="exact"/>
        <w:rPr>
          <w:sz w:val="20"/>
          <w:szCs w:val="20"/>
          <w:color w:val="auto"/>
        </w:rPr>
      </w:pPr>
    </w:p>
    <w:p>
      <w:pPr>
        <w:jc w:val="both"/>
        <w:ind w:left="280" w:right="619" w:hanging="275"/>
        <w:spacing w:after="0" w:line="285" w:lineRule="auto"/>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6,818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6,818 shares, as of April 5, 2012, shall be initially convertible into an aggregate of 20,573,998 shares of Vringo common stock (or at current conversion rate of 3,017.6). The Common Stock Exchange Ratio initially is 3.0176, which is subject to adjustment in the</w:t>
      </w:r>
    </w:p>
    <w:p>
      <w:pPr>
        <w:spacing w:after="0" w:line="200" w:lineRule="exact"/>
        <w:rPr>
          <w:sz w:val="20"/>
          <w:szCs w:val="20"/>
          <w:color w:val="auto"/>
        </w:rPr>
      </w:pPr>
    </w:p>
    <w:p>
      <w:pPr>
        <w:spacing w:after="0" w:line="30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81" w:lineRule="auto"/>
        <w:rPr>
          <w:sz w:val="20"/>
          <w:szCs w:val="20"/>
          <w:color w:val="auto"/>
        </w:rPr>
      </w:pPr>
      <w:r>
        <w:rPr>
          <w:rFonts w:ascii="Arial" w:cs="Arial" w:eastAsia="Arial" w:hAnsi="Arial"/>
          <w:sz w:val="16"/>
          <w:szCs w:val="16"/>
          <w:color w:val="auto"/>
        </w:rPr>
        <w:t xml:space="preserve">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6"/>
          <w:szCs w:val="16"/>
          <w:i w:val="1"/>
          <w:iCs w:val="1"/>
          <w:color w:val="auto"/>
        </w:rPr>
        <w:t>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the former stockholders of Innovate/Protect are expected to own approximately 56.05% of the outstanding common stock of the combined company and the current stockholders of Vringo are expected to own approximately 43.95%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 On a fully diluted basis, the stockholders of Innovate/Protect are expected to own approximately 67.55% of the outstanding capital stock of the combined company and current stockholders of Vringo are expected to own approximately 32.45% of the outstanding capital stock of the combined company.</w:t>
      </w:r>
    </w:p>
    <w:p>
      <w:pPr>
        <w:spacing w:after="0" w:line="71"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No fractional shares of Vringo common or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83"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 xml:space="preserve">For a more complete discussion of what Innovate/Protect stockholders will receive in connection with the Merger, see the sections entitled “The Merger — What Innovate/Protect Stockholders Will Receive in the Merger,” “The Merger — Ownership of the Combined Company After the Completion of the Merger” and “The Merger Agreement — Merger Consideration” beginning on pages </w:t>
      </w:r>
      <w:r>
        <w:rPr>
          <w:rFonts w:ascii="Arial" w:cs="Arial" w:eastAsia="Arial" w:hAnsi="Arial"/>
          <w:sz w:val="18"/>
          <w:szCs w:val="18"/>
          <w:u w:val="single" w:color="auto"/>
          <w:color w:val="0000EE"/>
        </w:rPr>
        <w:t>59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60</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81</w:t>
      </w:r>
      <w:r>
        <w:rPr>
          <w:rFonts w:ascii="Arial" w:cs="Arial" w:eastAsia="Arial" w:hAnsi="Arial"/>
          <w:sz w:val="18"/>
          <w:szCs w:val="18"/>
          <w:color w:val="auto"/>
        </w:rPr>
        <w:t>,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will Vringo stockholders be affected by the Merger?</w:t>
      </w:r>
    </w:p>
    <w:p>
      <w:pPr>
        <w:spacing w:after="0" w:line="118" w:lineRule="exact"/>
        <w:rPr>
          <w:sz w:val="20"/>
          <w:szCs w:val="20"/>
          <w:color w:val="auto"/>
        </w:rPr>
      </w:pPr>
    </w:p>
    <w:p>
      <w:pPr>
        <w:jc w:val="both"/>
        <w:ind w:left="280" w:right="639" w:hanging="275"/>
        <w:spacing w:after="0" w:line="270" w:lineRule="auto"/>
        <w:tabs>
          <w:tab w:leader="none" w:pos="2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w:t>
      </w:r>
    </w:p>
    <w:p>
      <w:pPr>
        <w:spacing w:after="0" w:line="71"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280" w:right="619" w:hanging="275"/>
        <w:spacing w:after="0" w:line="275" w:lineRule="auto"/>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Are the Exchange Ratios subject to adjustments based on fluctuations in the price of Vringo common stock or value of Innovate/Protect capital stock?</w:t>
      </w:r>
    </w:p>
    <w:p>
      <w:pPr>
        <w:spacing w:after="0" w:line="64" w:lineRule="exact"/>
        <w:rPr>
          <w:sz w:val="20"/>
          <w:szCs w:val="20"/>
          <w:color w:val="auto"/>
        </w:rPr>
      </w:pPr>
    </w:p>
    <w:p>
      <w:pPr>
        <w:jc w:val="both"/>
        <w:ind w:left="280" w:right="619" w:hanging="275"/>
        <w:spacing w:after="0" w:line="288" w:lineRule="auto"/>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No. The Common Stock Exchange Ratio initially is 3.0176, subject to adjustment, such as for stock splits, as set forth in the Merger Agreement. There will be no adjustments to the Common Stock Exchange Ratio based on fluctuations in the price of Vringo common stock or the value of Innovate/Protect capital stock prior to the completion of the Merger. As a result of any such fluctuations in stock price or value, the aggregate market value of the shares of Vringo common stock that the Innovate/Protect stockholders are entitled to receive at the time that the Merger is completed could vary significantly from the value of such shares on the date of this proxy statement/prospectus, the date of the Vringo annual meeting or the date on which the Innovate/Protect stockholders actually receive their shares of Vringo common stock or Vringo preferred stock.</w:t>
      </w:r>
    </w:p>
    <w:p>
      <w:pPr>
        <w:spacing w:after="0" w:line="58"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7"/>
          <w:szCs w:val="17"/>
          <w:color w:val="auto"/>
        </w:rPr>
        <w:t>On March 14, 2012, the trading day of the announcement of the Merger, the last reported sale price of Vringo’s common stock was $1.84, for an aggregate market value of Vringo of $25.5 million, or $48.7 million on a fully diluted basis. 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 2012, the latest practicable date before the printing of this proxy statement/prospectus, the last reported sale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price of Vringo’s common stock was $_______, for an aggregate market value of Vringo of $______, or $______ on a fully</w:t>
      </w:r>
    </w:p>
    <w:p>
      <w:pPr>
        <w:spacing w:after="0" w:line="30" w:lineRule="exact"/>
        <w:rPr>
          <w:sz w:val="20"/>
          <w:szCs w:val="20"/>
          <w:color w:val="auto"/>
        </w:rPr>
      </w:pPr>
    </w:p>
    <w:p>
      <w:pPr>
        <w:jc w:val="both"/>
        <w:ind w:left="320" w:right="619"/>
        <w:spacing w:after="0" w:line="278" w:lineRule="auto"/>
        <w:rPr>
          <w:sz w:val="20"/>
          <w:szCs w:val="20"/>
          <w:color w:val="auto"/>
        </w:rPr>
      </w:pPr>
      <w:r>
        <w:rPr>
          <w:rFonts w:ascii="Arial" w:cs="Arial" w:eastAsia="Arial" w:hAnsi="Arial"/>
          <w:sz w:val="16"/>
          <w:szCs w:val="16"/>
          <w:color w:val="auto"/>
        </w:rPr>
        <w:t>diluted basis. Assuming the issuance on such date of an aggregate of 17,675,617 shares of Vringo common stock based on a Common Stock Exchange Ratio of 3.0176, an aggregate of 6,818 shares of Vringo preferred stock and an aggregate of 16,809,838 of Vringo warrants, if the Merger was completed on such date, the market value attributable to the shares of Vringo common stock to be issued to Innovate/Protect’s stockholders in the aggregate, or approximately _______% of the outstanding</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shares of the combined company calculated on a fully diluted basis, would equal $______.</w:t>
      </w:r>
    </w:p>
    <w:p>
      <w:pPr>
        <w:spacing w:after="0" w:line="101"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8"/>
          <w:szCs w:val="18"/>
          <w:color w:val="auto"/>
        </w:rPr>
        <w:t xml:space="preserve">For a more complete discussion of the Common Stock Exchange Ratio, see the section entitled “The Merger — What Innovate/Protect Stockholders Will Receive in the Merger” beginning on page </w:t>
      </w:r>
      <w:r>
        <w:rPr>
          <w:rFonts w:ascii="Arial" w:cs="Arial" w:eastAsia="Arial" w:hAnsi="Arial"/>
          <w:sz w:val="18"/>
          <w:szCs w:val="18"/>
          <w:u w:val="single" w:color="auto"/>
          <w:color w:val="0000EE"/>
        </w:rPr>
        <w:t>59</w:t>
      </w:r>
      <w:r>
        <w:rPr>
          <w:rFonts w:ascii="Arial" w:cs="Arial" w:eastAsia="Arial" w:hAnsi="Arial"/>
          <w:sz w:val="18"/>
          <w:szCs w:val="18"/>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holders of Innovate/Protect warrants and stock options receive in the Merger?</w:t>
      </w:r>
    </w:p>
    <w:p>
      <w:pPr>
        <w:spacing w:after="0" w:line="118" w:lineRule="exact"/>
        <w:rPr>
          <w:sz w:val="20"/>
          <w:szCs w:val="20"/>
          <w:color w:val="auto"/>
        </w:rPr>
      </w:pPr>
    </w:p>
    <w:p>
      <w:pPr>
        <w:jc w:val="both"/>
        <w:ind w:left="280" w:right="619" w:hanging="275"/>
        <w:spacing w:after="0" w:line="251" w:lineRule="auto"/>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an aggregate of 15,959,838 warrants to purchase an aggregate of 15,959,838 shares of Vringo common stock with an exercise price of $1.76 per share.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9" w:lineRule="exact"/>
        <w:rPr>
          <w:sz w:val="20"/>
          <w:szCs w:val="20"/>
          <w:color w:val="auto"/>
        </w:rPr>
      </w:pPr>
    </w:p>
    <w:p>
      <w:pPr>
        <w:jc w:val="both"/>
        <w:ind w:left="320" w:right="619"/>
        <w:spacing w:after="0" w:line="267" w:lineRule="auto"/>
        <w:rPr>
          <w:sz w:val="20"/>
          <w:szCs w:val="20"/>
          <w:color w:val="auto"/>
        </w:rPr>
      </w:pPr>
      <w:r>
        <w:rPr>
          <w:rFonts w:ascii="Arial" w:cs="Arial" w:eastAsia="Arial" w:hAnsi="Arial"/>
          <w:sz w:val="17"/>
          <w:szCs w:val="17"/>
          <w:color w:val="auto"/>
        </w:rPr>
        <w:t>At the effective time of the Merger, each Innovate/Protect stock option,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April 5, 2012,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74"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 xml:space="preserve">For a more complete discussion of what holders of Innovate/Protect stock options and warrants will receive in connection with the Merger, see the section entitled “The Merger — Treatment of Innovate/Protect Stock Options and Warrants” beginning on page </w:t>
      </w:r>
      <w:r>
        <w:rPr>
          <w:rFonts w:ascii="Arial" w:cs="Arial" w:eastAsia="Arial" w:hAnsi="Arial"/>
          <w:sz w:val="18"/>
          <w:szCs w:val="18"/>
          <w:u w:val="single" w:color="auto"/>
          <w:color w:val="0000EE"/>
        </w:rPr>
        <w:t>60</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will the Merger affect Vringo’s business?</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Vringo will undergo changes in connection with the Merger. Currently, Vringo is engaged in developing software platforms and applications for mobile phones (as more fully discussed in the section entitled “Vringo’s Business — Overview” beginning on page </w:t>
      </w:r>
      <w:r>
        <w:rPr>
          <w:rFonts w:ascii="Arial" w:cs="Arial" w:eastAsia="Arial" w:hAnsi="Arial"/>
          <w:sz w:val="18"/>
          <w:szCs w:val="18"/>
          <w:u w:val="single" w:color="auto"/>
          <w:color w:val="0000EE"/>
        </w:rPr>
        <w:t>113</w:t>
      </w:r>
      <w:r>
        <w:rPr>
          <w:rFonts w:ascii="Arial" w:cs="Arial" w:eastAsia="Arial" w:hAnsi="Arial"/>
          <w:sz w:val="18"/>
          <w:szCs w:val="18"/>
          <w:color w:val="auto"/>
        </w:rPr>
        <w:t>). Following the Merger, Vringo will maximize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92" w:lineRule="auto"/>
        <w:rPr>
          <w:sz w:val="20"/>
          <w:szCs w:val="20"/>
          <w:color w:val="auto"/>
        </w:rPr>
      </w:pPr>
      <w:r>
        <w:rPr>
          <w:rFonts w:ascii="Arial" w:cs="Arial" w:eastAsia="Arial" w:hAnsi="Arial"/>
          <w:sz w:val="16"/>
          <w:szCs w:val="16"/>
          <w:color w:val="auto"/>
        </w:rPr>
        <w:t>the economic benefits of its intellectual property portfolio, add significant talent in technological innovation, and potentially enhance its opportunities for revenue generation through the monetization of the combined company’s assets, including patents owned by Innovate/Protect and the outcome of the litigation against online search companies. In addition, as a result of the Merger, former Innovate/Protect stockholders will possess majority control of the combined company and members of Innovate/Protect’s current board of directors will possess majority control of the board of directors of the combined company.</w:t>
      </w:r>
    </w:p>
    <w:p>
      <w:pPr>
        <w:spacing w:after="0" w:line="57"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Both Vringo and Innovate/Protect expect to undergo changes in connection with the Merger. Currently, Vringo is engaged in developing software platforms and applications for mobile devices. Innovate/Protect maximizes, for inventors and investors, the economic benefits of intellectual property assets through acquiring or internally developing patents or other intellectual property assets.</w:t>
      </w:r>
    </w:p>
    <w:p>
      <w:pPr>
        <w:spacing w:after="0" w:line="83"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The Merger will create a company with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that the combined company will have two key areas of operation:</w:t>
      </w:r>
    </w:p>
    <w:p>
      <w:pPr>
        <w:spacing w:after="0" w:line="114" w:lineRule="exact"/>
        <w:rPr>
          <w:sz w:val="20"/>
          <w:szCs w:val="20"/>
          <w:color w:val="auto"/>
        </w:rPr>
      </w:pPr>
    </w:p>
    <w:p>
      <w:pPr>
        <w:ind w:left="860" w:hanging="3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114" w:lineRule="exact"/>
        <w:rPr>
          <w:sz w:val="20"/>
          <w:szCs w:val="20"/>
          <w:color w:val="auto"/>
        </w:rPr>
      </w:pPr>
    </w:p>
    <w:p>
      <w:pPr>
        <w:ind w:left="320" w:right="619"/>
        <w:spacing w:after="0" w:line="270" w:lineRule="auto"/>
        <w:rPr>
          <w:sz w:val="20"/>
          <w:szCs w:val="20"/>
          <w:color w:val="auto"/>
        </w:rPr>
      </w:pPr>
      <w:r>
        <w:rPr>
          <w:rFonts w:ascii="Arial" w:cs="Arial" w:eastAsia="Arial" w:hAnsi="Arial"/>
          <w:sz w:val="18"/>
          <w:szCs w:val="18"/>
          <w:color w:val="auto"/>
        </w:rPr>
        <w:t>Vringo has developed a platform for the distribution of mobile applications. Vringo believes that its technology and business relationships will allow it to distribute new applications and services through:</w:t>
      </w:r>
    </w:p>
    <w:p>
      <w:pPr>
        <w:spacing w:after="0" w:line="69" w:lineRule="exact"/>
        <w:rPr>
          <w:sz w:val="20"/>
          <w:szCs w:val="20"/>
          <w:color w:val="auto"/>
        </w:rPr>
      </w:pPr>
    </w:p>
    <w:p>
      <w:pPr>
        <w:ind w:left="860" w:hanging="320"/>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114"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Vringo has succeeded in licensing its software to two of the four largest handset makers in the world, ZTE and Nokia. Vringo has also launched services with mobile operators such as Verizon, NTTDocomo, Etisalat, Axiata, Orange (Everything Everywhere), Tata Docomo, Vodafone and Maxis. Through the Merger, Vringo adds a technology development leadership team that we believe will develop products that we believe will continue to represent the next stage in the evolution of the mobile content and mobile social applications market.</w:t>
      </w:r>
    </w:p>
    <w:p>
      <w:pPr>
        <w:spacing w:after="0" w:line="85" w:lineRule="exact"/>
        <w:rPr>
          <w:sz w:val="20"/>
          <w:szCs w:val="20"/>
          <w:color w:val="auto"/>
        </w:rPr>
      </w:pPr>
    </w:p>
    <w:p>
      <w:pPr>
        <w:jc w:val="both"/>
        <w:ind w:left="320" w:right="619"/>
        <w:spacing w:after="0" w:line="272" w:lineRule="auto"/>
        <w:rPr>
          <w:sz w:val="20"/>
          <w:szCs w:val="20"/>
          <w:color w:val="auto"/>
        </w:rPr>
      </w:pPr>
      <w:r>
        <w:rPr>
          <w:rFonts w:ascii="Arial" w:cs="Arial" w:eastAsia="Arial" w:hAnsi="Arial"/>
          <w:sz w:val="17"/>
          <w:szCs w:val="17"/>
          <w:color w:val="auto"/>
        </w:rPr>
        <w:t>To date, Vringo has filed over 24 patent applications, and three patents have been granted by the USPTO. Additionally, Vringo has received a notice of allowance for one patent in Europe. Through the Merger, Vringo will own patent assets acquired from Lycos, Inc. Vringo intends to expand its intellectual property portfolio through both internal development and acquisition. The experience and liquidity of the combined company will enable Vringo to expand on that portfolio as well as create additional intellectually property internally. Vringo intends to monetize its intellectual property through:</w:t>
      </w:r>
    </w:p>
    <w:p>
      <w:pPr>
        <w:spacing w:after="0" w:line="68" w:lineRule="exact"/>
        <w:rPr>
          <w:sz w:val="20"/>
          <w:szCs w:val="20"/>
          <w:color w:val="auto"/>
        </w:rPr>
      </w:pPr>
    </w:p>
    <w:p>
      <w:pPr>
        <w:ind w:left="860" w:hanging="3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4" w:lineRule="exact"/>
        <w:rPr>
          <w:sz w:val="20"/>
          <w:szCs w:val="20"/>
          <w:color w:val="auto"/>
        </w:rPr>
      </w:pPr>
    </w:p>
    <w:p>
      <w:pPr>
        <w:jc w:val="both"/>
        <w:ind w:left="320" w:right="619"/>
        <w:spacing w:after="0" w:line="290" w:lineRule="auto"/>
        <w:rPr>
          <w:sz w:val="20"/>
          <w:szCs w:val="20"/>
          <w:color w:val="auto"/>
        </w:rPr>
      </w:pPr>
      <w:r>
        <w:rPr>
          <w:rFonts w:ascii="Arial" w:cs="Arial" w:eastAsia="Arial" w:hAnsi="Arial"/>
          <w:sz w:val="16"/>
          <w:szCs w:val="16"/>
          <w:color w:val="auto"/>
        </w:rPr>
        <w:t xml:space="preserve">For a more complete discussion of the existing businesses of Vringo and Innovate/Protect, see the sections entitled “Vringo’s Business,” “Vringo’s Management’s Discussion and Analysis of Financial Condition and Results of Operations,” “Innovate/Protect’s Business,” and “Innovate/Protect’s Management’s Discussion and Analysis of Financial Condition and Results of Operations” beginning on pages </w:t>
      </w:r>
      <w:r>
        <w:rPr>
          <w:rFonts w:ascii="Arial" w:cs="Arial" w:eastAsia="Arial" w:hAnsi="Arial"/>
          <w:sz w:val="16"/>
          <w:szCs w:val="16"/>
          <w:u w:val="single" w:color="auto"/>
          <w:color w:val="0000EE"/>
        </w:rPr>
        <w:t>113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119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132</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138</w:t>
      </w:r>
      <w:r>
        <w:rPr>
          <w:rFonts w:ascii="Arial" w:cs="Arial" w:eastAsia="Arial" w:hAnsi="Arial"/>
          <w:sz w:val="16"/>
          <w:szCs w:val="16"/>
          <w:color w:val="auto"/>
        </w:rPr>
        <w:t xml:space="preserve">, respectively. In addition, you should carefully review the section entitled “Risk Factors” beginning on page </w:t>
      </w:r>
      <w:r>
        <w:rPr>
          <w:rFonts w:ascii="Arial" w:cs="Arial" w:eastAsia="Arial" w:hAnsi="Arial"/>
          <w:sz w:val="16"/>
          <w:szCs w:val="16"/>
          <w:u w:val="single" w:color="auto"/>
          <w:color w:val="0000EE"/>
        </w:rPr>
        <w:t>38</w:t>
      </w:r>
      <w:r>
        <w:rPr>
          <w:rFonts w:ascii="Arial" w:cs="Arial" w:eastAsia="Arial" w:hAnsi="Arial"/>
          <w:sz w:val="16"/>
          <w:szCs w:val="16"/>
          <w:color w:val="auto"/>
        </w:rPr>
        <w:t>, which presents risks and uncertainties related to the Merger, the combined company following the completion of the Merger, and the business and operations of each of Vringo and Innovate/Protect.</w:t>
      </w:r>
    </w:p>
    <w:p>
      <w:pPr>
        <w:spacing w:after="0" w:line="200" w:lineRule="exact"/>
        <w:rPr>
          <w:sz w:val="20"/>
          <w:szCs w:val="20"/>
          <w:color w:val="auto"/>
        </w:rPr>
      </w:pPr>
    </w:p>
    <w:p>
      <w:pPr>
        <w:spacing w:after="0" w:line="2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Does Innovate/Protect have debt that will become an obligation of the combined company following the Merger?</w:t>
      </w:r>
    </w:p>
    <w:p>
      <w:pPr>
        <w:spacing w:after="0" w:line="129" w:lineRule="exact"/>
        <w:rPr>
          <w:sz w:val="20"/>
          <w:szCs w:val="20"/>
          <w:color w:val="auto"/>
        </w:rPr>
      </w:pPr>
    </w:p>
    <w:p>
      <w:pPr>
        <w:jc w:val="both"/>
        <w:ind w:left="280" w:right="619" w:hanging="275"/>
        <w:spacing w:after="0" w:line="282" w:lineRule="auto"/>
        <w:tabs>
          <w:tab w:leader="none" w:pos="28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 xml:space="preserve">Innovate/Protect is obligated under a senior secured note payable to its principal stockholder Hudson Bay with an outstanding balance of $3,200,000 as of December 31, 2011.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Innovate/Protect has granted Hudson Bay a security interest in all of its tangible and intangible personal property (including the Lycos’s patents) to secure its obligations under the senior secured note. In connection with the Merger, the senior secured note will become an obligation of the combined company and Vringo will guaranty the obligations under the senior secured note. For a more complete discussion of the outstanding indebtedness of Innovate/Protect, see the sections entitled “Innovate/Protect’s Business — Relationship with Hudson Bay Master Fund Ltd.,” and “Innovate/Protect’s Management’s Discussion and Analysis of Financial Condition and Results of Operations” beginning on pages </w:t>
      </w:r>
      <w:r>
        <w:rPr>
          <w:rFonts w:ascii="Arial" w:cs="Arial" w:eastAsia="Arial" w:hAnsi="Arial"/>
          <w:sz w:val="16"/>
          <w:szCs w:val="16"/>
          <w:u w:val="single" w:color="auto"/>
          <w:color w:val="0000EE"/>
        </w:rPr>
        <w:t>136</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138</w:t>
      </w:r>
      <w:r>
        <w:rPr>
          <w:rFonts w:ascii="Arial" w:cs="Arial" w:eastAsia="Arial" w:hAnsi="Arial"/>
          <w:sz w:val="16"/>
          <w:szCs w:val="16"/>
          <w:color w:val="auto"/>
        </w:rPr>
        <w:t xml:space="preserve">, respectively. In addition, you should carefully review the section entitled “Risk Factors” beginning on page </w:t>
      </w:r>
      <w:r>
        <w:rPr>
          <w:rFonts w:ascii="Arial" w:cs="Arial" w:eastAsia="Arial" w:hAnsi="Arial"/>
          <w:sz w:val="16"/>
          <w:szCs w:val="16"/>
          <w:u w:val="single" w:color="auto"/>
          <w:color w:val="0000EE"/>
        </w:rPr>
        <w:t>38</w:t>
      </w:r>
      <w:r>
        <w:rPr>
          <w:rFonts w:ascii="Arial" w:cs="Arial" w:eastAsia="Arial" w:hAnsi="Arial"/>
          <w:sz w:val="16"/>
          <w:szCs w:val="16"/>
          <w:color w:val="000000"/>
        </w:rPr>
        <w:t>, which describes the risks of guarantying the Innovate/Protect debt.</w:t>
      </w:r>
    </w:p>
    <w:p>
      <w:pPr>
        <w:spacing w:after="0" w:line="66" w:lineRule="exact"/>
        <w:rPr>
          <w:sz w:val="20"/>
          <w:szCs w:val="20"/>
          <w:color w:val="auto"/>
        </w:rPr>
      </w:pPr>
    </w:p>
    <w:p>
      <w:pPr>
        <w:ind w:left="280" w:right="619" w:hanging="275"/>
        <w:spacing w:after="0" w:line="275" w:lineRule="auto"/>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Will the shares of Vringo common stock and preferred stock received by Innovate/Protect stockholders in the Merger be subject to any transfer restrictions?</w:t>
      </w:r>
    </w:p>
    <w:p>
      <w:pPr>
        <w:spacing w:after="0" w:line="64" w:lineRule="exact"/>
        <w:rPr>
          <w:sz w:val="20"/>
          <w:szCs w:val="20"/>
          <w:color w:val="auto"/>
        </w:rPr>
      </w:pPr>
    </w:p>
    <w:p>
      <w:pPr>
        <w:jc w:val="both"/>
        <w:ind w:left="280" w:right="619" w:hanging="275"/>
        <w:spacing w:after="0" w:line="282" w:lineRule="auto"/>
        <w:tabs>
          <w:tab w:leader="none" w:pos="2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Yes. Pursuant to a letter agreement between Vringo and Hudson Bay Master Fund Ltd., or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pursuant to the Merger Agreement, (ii) shares of Vringo common stock issued upon exercise of any Series 1 Warrants or Series 2 Warrants issued to Hudson Bay pursuant to the Merger Agreement,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w:t>
      </w:r>
    </w:p>
    <w:p>
      <w:pPr>
        <w:spacing w:after="0" w:line="70"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may be resold by them only in transactions permitted by Rule 144 or as otherwise permitted under the Securities Act.</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 xml:space="preserve">For a more complete discussion of the restrictions on sales of shares of Vringo common stock received by Innovate/Protect stockholders in the Merger, see the section entitled “The Merger — Restrictions on Sales of Shares of Vringo Common Stock Received by Innovate/Protect Stockholders in the Merger” beginning on page </w:t>
      </w:r>
      <w:r>
        <w:rPr>
          <w:rFonts w:ascii="Arial" w:cs="Arial" w:eastAsia="Arial" w:hAnsi="Arial"/>
          <w:sz w:val="18"/>
          <w:szCs w:val="18"/>
          <w:u w:val="single" w:color="auto"/>
          <w:color w:val="0000EE"/>
        </w:rPr>
        <w:t>75</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was the role of the Vringo board of directors in connection with the Merger?</w:t>
      </w:r>
    </w:p>
    <w:p>
      <w:pPr>
        <w:spacing w:after="0" w:line="118" w:lineRule="exact"/>
        <w:rPr>
          <w:sz w:val="20"/>
          <w:szCs w:val="20"/>
          <w:color w:val="auto"/>
        </w:rPr>
      </w:pPr>
    </w:p>
    <w:p>
      <w:pPr>
        <w:jc w:val="both"/>
        <w:ind w:left="280" w:right="619" w:hanging="275"/>
        <w:spacing w:after="0" w:line="275" w:lineRule="auto"/>
        <w:tabs>
          <w:tab w:leader="none" w:pos="28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In addition to reviewing, evaluating and negotiating the terms and conditions of the Merger and considering the interests of Vringo’s directors and executive officers in the Merger, the Vringo board of directors conducted a review of all strategic alternatives for Vringo in an effort to maximize stockholder value, including continuing Vringo as a stand-alone publicly traded company and entering into strategic transactions with number of other operating companies.</w:t>
      </w:r>
    </w:p>
    <w:p>
      <w:pPr>
        <w:spacing w:after="0" w:line="66"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The Vringo board of directors recommends that the Merger Agreement and the transactions contemplated thereby, including the Merger, be approved by the stockholders of Vringo. The Vringo board of directors made its recommendation to the Vringo stockholders after considering the factors described in the section entitled “The Merger — Recommendations of the Vringo Board of Directors and its Reasons for the Merger.”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proposals are Vringo stockholders being asked to consider?</w:t>
      </w:r>
    </w:p>
    <w:p>
      <w:pPr>
        <w:spacing w:after="0" w:line="118" w:lineRule="exact"/>
        <w:rPr>
          <w:sz w:val="20"/>
          <w:szCs w:val="20"/>
          <w:color w:val="auto"/>
        </w:rPr>
      </w:pPr>
    </w:p>
    <w:p>
      <w:pPr>
        <w:jc w:val="both"/>
        <w:ind w:left="280" w:right="619" w:hanging="275"/>
        <w:spacing w:after="0" w:line="279" w:lineRule="auto"/>
        <w:tabs>
          <w:tab w:leader="none" w:pos="28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As a condition to the completion of the Merger, Vringo stockholders must approve (i) the Merger, including, but not limited to the issuance of shares of Vringo common stock and preferred stock and warrants (including the shares of common stock issuable upon conversion of the preferred stock and exercise of the warrants, as applicable) to the Innovate/Protect stockholders and warrantholder in connection with the Merger (the “</w:t>
      </w:r>
      <w:r>
        <w:rPr>
          <w:rFonts w:ascii="Arial" w:cs="Arial" w:eastAsia="Arial" w:hAnsi="Arial"/>
          <w:sz w:val="16"/>
          <w:szCs w:val="16"/>
          <w:b w:val="1"/>
          <w:bCs w:val="1"/>
          <w:color w:val="auto"/>
        </w:rPr>
        <w:t>Securities Issuance Proposal</w:t>
      </w:r>
      <w:r>
        <w:rPr>
          <w:rFonts w:ascii="Arial" w:cs="Arial" w:eastAsia="Arial" w:hAnsi="Arial"/>
          <w:sz w:val="16"/>
          <w:szCs w:val="16"/>
          <w:color w:val="auto"/>
        </w:rPr>
        <w:t>”), which approval requires the affirmative vote of the holders of a majority of the shares of Vringo common stock present and entitled to vote on the matter either in person or by proxy at the Vringo annual meeting, (ii) an amendment to the Vringo amended and restated certificate of incorporation (the “</w:t>
      </w:r>
      <w:r>
        <w:rPr>
          <w:rFonts w:ascii="Arial" w:cs="Arial" w:eastAsia="Arial" w:hAnsi="Arial"/>
          <w:sz w:val="16"/>
          <w:szCs w:val="16"/>
          <w:b w:val="1"/>
          <w:bCs w:val="1"/>
          <w:color w:val="auto"/>
        </w:rPr>
        <w:t>Vringo’s Certificate</w:t>
      </w:r>
      <w:r>
        <w:rPr>
          <w:rFonts w:ascii="Arial" w:cs="Arial" w:eastAsia="Arial" w:hAnsi="Arial"/>
          <w:sz w:val="16"/>
          <w:szCs w:val="16"/>
          <w:color w:val="auto"/>
        </w:rPr>
        <w:t>”) to effect a reverse stock split of Vringo issued and outstanding common stock within the range of one-for-two to one-for-four (with the exact amount to be determined by Innovate/Protect prior to the completion of the Merger) (the “</w:t>
      </w:r>
      <w:r>
        <w:rPr>
          <w:rFonts w:ascii="Arial" w:cs="Arial" w:eastAsia="Arial" w:hAnsi="Arial"/>
          <w:sz w:val="16"/>
          <w:szCs w:val="16"/>
          <w:b w:val="1"/>
          <w:bCs w:val="1"/>
          <w:color w:val="auto"/>
        </w:rPr>
        <w:t>Reverse Stock Split Proposal</w:t>
      </w:r>
      <w:r>
        <w:rPr>
          <w:rFonts w:ascii="Arial" w:cs="Arial" w:eastAsia="Arial" w:hAnsi="Arial"/>
          <w:sz w:val="16"/>
          <w:szCs w:val="16"/>
          <w:color w:val="auto"/>
        </w:rPr>
        <w:t>”), which approval requires the affirmative vote of the holders of a majority of the shares of Vringo common stock outstanding and entitled to vote on the matter, and (iii) an amendment to Vringo’s Certificate to increase the number of authorized shares of Vringo common stock from 28,000,000 to up to a maximum of 150,000,000 shares (with the exact amount to be determined by Innovate/Protect prior to the completion of the Merger) (the “</w:t>
      </w:r>
      <w:r>
        <w:rPr>
          <w:rFonts w:ascii="Arial" w:cs="Arial" w:eastAsia="Arial" w:hAnsi="Arial"/>
          <w:sz w:val="16"/>
          <w:szCs w:val="16"/>
          <w:b w:val="1"/>
          <w:bCs w:val="1"/>
          <w:color w:val="auto"/>
        </w:rPr>
        <w:t>Authorized Shares Increase</w:t>
      </w:r>
      <w:r>
        <w:rPr>
          <w:rFonts w:ascii="Arial" w:cs="Arial" w:eastAsia="Arial" w:hAnsi="Arial"/>
          <w:sz w:val="16"/>
          <w:szCs w:val="16"/>
          <w:color w:val="auto"/>
        </w:rPr>
        <w:t xml:space="preserve"> </w:t>
      </w:r>
      <w:r>
        <w:rPr>
          <w:rFonts w:ascii="Arial" w:cs="Arial" w:eastAsia="Arial" w:hAnsi="Arial"/>
          <w:sz w:val="16"/>
          <w:szCs w:val="16"/>
          <w:b w:val="1"/>
          <w:bCs w:val="1"/>
          <w:color w:val="auto"/>
        </w:rPr>
        <w:t>Proposal</w:t>
      </w:r>
      <w:r>
        <w:rPr>
          <w:rFonts w:ascii="Arial" w:cs="Arial" w:eastAsia="Arial" w:hAnsi="Arial"/>
          <w:sz w:val="16"/>
          <w:szCs w:val="16"/>
          <w:color w:val="auto"/>
        </w:rPr>
        <w:t>”), which approval requires the affirmative vote of the holders of a majority of the shares of Vringo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and entitled to vote on the matter. In addition, Vringo stockholders are being asked to (i)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 (the “</w:t>
      </w:r>
      <w:r>
        <w:rPr>
          <w:rFonts w:ascii="Arial" w:cs="Arial" w:eastAsia="Arial" w:hAnsi="Arial"/>
          <w:sz w:val="16"/>
          <w:szCs w:val="16"/>
          <w:b w:val="1"/>
          <w:bCs w:val="1"/>
          <w:color w:val="auto"/>
        </w:rPr>
        <w:t>Election of Directors Proposal</w:t>
      </w:r>
      <w:r>
        <w:rPr>
          <w:rFonts w:ascii="Arial" w:cs="Arial" w:eastAsia="Arial" w:hAnsi="Arial"/>
          <w:sz w:val="16"/>
          <w:szCs w:val="16"/>
          <w:color w:val="auto"/>
        </w:rPr>
        <w:t>”), (ii) to approve the Vringo, Inc. 2012 Employee, Director and Consultant Equity Incentive Plan (the “</w:t>
      </w:r>
      <w:r>
        <w:rPr>
          <w:rFonts w:ascii="Arial" w:cs="Arial" w:eastAsia="Arial" w:hAnsi="Arial"/>
          <w:sz w:val="16"/>
          <w:szCs w:val="16"/>
          <w:b w:val="1"/>
          <w:bCs w:val="1"/>
          <w:color w:val="auto"/>
        </w:rPr>
        <w:t>2012 Equity Incentive Plan</w:t>
      </w:r>
      <w:r>
        <w:rPr>
          <w:rFonts w:ascii="Arial" w:cs="Arial" w:eastAsia="Arial" w:hAnsi="Arial"/>
          <w:sz w:val="16"/>
          <w:szCs w:val="16"/>
          <w:color w:val="auto"/>
        </w:rPr>
        <w:t xml:space="preserve">,” which is described in the section entitled “Vringo Proposal No. 5: Approval of the 2012 Equity Incentive Plan” and attached to this proxy statement/prospectus as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(the “</w:t>
      </w:r>
      <w:r>
        <w:rPr>
          <w:rFonts w:ascii="Arial" w:cs="Arial" w:eastAsia="Arial" w:hAnsi="Arial"/>
          <w:sz w:val="16"/>
          <w:szCs w:val="16"/>
          <w:b w:val="1"/>
          <w:bCs w:val="1"/>
          <w:color w:val="auto"/>
        </w:rPr>
        <w:t>2012 Equity Incentive Plan Proposal</w:t>
      </w:r>
      <w:r>
        <w:rPr>
          <w:rFonts w:ascii="Arial" w:cs="Arial" w:eastAsia="Arial" w:hAnsi="Arial"/>
          <w:sz w:val="16"/>
          <w:szCs w:val="16"/>
          <w:color w:val="auto"/>
        </w:rPr>
        <w:t>”) and (iii) to ratify the appointment of</w:t>
      </w:r>
    </w:p>
    <w:p>
      <w:pPr>
        <w:spacing w:after="0" w:line="12" w:lineRule="exact"/>
        <w:rPr>
          <w:rFonts w:ascii="Arial" w:cs="Arial" w:eastAsia="Arial" w:hAnsi="Arial"/>
          <w:sz w:val="16"/>
          <w:szCs w:val="16"/>
          <w:b w:val="1"/>
          <w:bCs w:val="1"/>
          <w:color w:val="auto"/>
        </w:rPr>
      </w:pPr>
    </w:p>
    <w:p>
      <w:pPr>
        <w:jc w:val="both"/>
        <w:ind w:left="280" w:right="619"/>
        <w:spacing w:after="0" w:line="250" w:lineRule="auto"/>
        <w:rPr>
          <w:rFonts w:ascii="Arial" w:cs="Arial" w:eastAsia="Arial" w:hAnsi="Arial"/>
          <w:sz w:val="16"/>
          <w:szCs w:val="16"/>
          <w:b w:val="1"/>
          <w:bCs w:val="1"/>
          <w:color w:val="auto"/>
        </w:rPr>
      </w:pPr>
      <w:r>
        <w:rPr>
          <w:rFonts w:ascii="Arial" w:cs="Arial" w:eastAsia="Arial" w:hAnsi="Arial"/>
          <w:sz w:val="18"/>
          <w:szCs w:val="18"/>
          <w:color w:val="auto"/>
        </w:rPr>
        <w:t>_____________ as Vringo’s independent registered public accounting firm for the fiscal year ending December 31, 2012 (the “</w:t>
      </w:r>
      <w:r>
        <w:rPr>
          <w:rFonts w:ascii="Arial" w:cs="Arial" w:eastAsia="Arial" w:hAnsi="Arial"/>
          <w:sz w:val="18"/>
          <w:szCs w:val="18"/>
          <w:b w:val="1"/>
          <w:bCs w:val="1"/>
          <w:color w:val="auto"/>
        </w:rPr>
        <w:t>Ratification of the Appointment of Vringo’s Independent Registered Public Accounting Firm Proposal</w:t>
      </w:r>
      <w:r>
        <w:rPr>
          <w:rFonts w:ascii="Arial" w:cs="Arial" w:eastAsia="Arial" w:hAnsi="Arial"/>
          <w:sz w:val="18"/>
          <w:szCs w:val="18"/>
          <w:color w:val="auto"/>
        </w:rPr>
        <w:t>”). The Securities Issuance Proposal, the Reverse Stock Split Proposal, and the Authorized Shares Increase Proposal are collectively referred to herein as the “</w:t>
      </w:r>
      <w:r>
        <w:rPr>
          <w:rFonts w:ascii="Arial" w:cs="Arial" w:eastAsia="Arial" w:hAnsi="Arial"/>
          <w:sz w:val="18"/>
          <w:szCs w:val="18"/>
          <w:b w:val="1"/>
          <w:bCs w:val="1"/>
          <w:color w:val="auto"/>
        </w:rPr>
        <w:t>Vringo Merger Proposals</w:t>
      </w:r>
      <w:r>
        <w:rPr>
          <w:rFonts w:ascii="Arial" w:cs="Arial" w:eastAsia="Arial" w:hAnsi="Arial"/>
          <w:sz w:val="18"/>
          <w:szCs w:val="18"/>
          <w:color w:val="auto"/>
        </w:rPr>
        <w:t>.”</w:t>
      </w:r>
    </w:p>
    <w:p>
      <w:pPr>
        <w:spacing w:after="0" w:line="83" w:lineRule="exact"/>
        <w:rPr>
          <w:sz w:val="20"/>
          <w:szCs w:val="20"/>
          <w:color w:val="auto"/>
        </w:rPr>
      </w:pPr>
    </w:p>
    <w:p>
      <w:pPr>
        <w:ind w:left="280" w:right="639" w:hanging="275"/>
        <w:spacing w:after="0" w:line="275" w:lineRule="auto"/>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stockholder approvals are required for the adjournment of the Vringo annual meeting, if necessary, to solicit additional proxies if there are not sufficient votes in favor of the Vringo Merger Proposals?</w:t>
      </w:r>
    </w:p>
    <w:p>
      <w:pPr>
        <w:spacing w:after="0" w:line="64" w:lineRule="exact"/>
        <w:rPr>
          <w:sz w:val="20"/>
          <w:szCs w:val="20"/>
          <w:color w:val="auto"/>
        </w:rPr>
      </w:pPr>
    </w:p>
    <w:p>
      <w:pPr>
        <w:ind w:left="280" w:right="639" w:hanging="275"/>
        <w:spacing w:after="0" w:line="270" w:lineRule="auto"/>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holders of a majority of the shares of Vringo common stock present and entitled to vote either in person or by proxy at the Vringo annual meeting must vote in favor of any adjournment of the Vringo annual meeting.</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conditions must be satisfied or waived to complete the Merger?</w:t>
      </w:r>
    </w:p>
    <w:p>
      <w:pPr>
        <w:spacing w:after="0" w:line="118" w:lineRule="exact"/>
        <w:rPr>
          <w:sz w:val="20"/>
          <w:szCs w:val="20"/>
          <w:color w:val="auto"/>
        </w:rPr>
      </w:pPr>
    </w:p>
    <w:p>
      <w:pPr>
        <w:jc w:val="both"/>
        <w:ind w:left="280" w:right="619" w:hanging="275"/>
        <w:spacing w:after="0" w:line="280" w:lineRule="auto"/>
        <w:tabs>
          <w:tab w:leader="none" w:pos="28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 xml:space="preserve">In order to complete the Merger, each of the closing conditions contained in the Merger Agreement must be satisfied or waived (to the extent permitted by applicable law). Among the closing conditions is the requirement that (i) the stockholders of each of Vringo and Innovate/Protect have approved the Merger and the Merger Agreement; (ii) this proxy statement/prospectus has become effective; (iii) the shares of Vringo common stock to be issued in the Merger have been approved for listing on the NYSE Amex; (iv) Vringo or Innovate/Protect, as applicable, shall have entered into certain agreements amending and restating the existing indebtedness of Innovate/Protect; (v) the representations and warranties of each party contained in the Merger Agreement are true and correct in all material respects; (vi) each party shall have performed or complied in all material respects with all agreements and covenants under the Merger Agreement; (vii) the receipt of all necessary consents and approvals; (viii) the absence of an Innovate/Protect Material Adverse Effect or a Vringo Material Adverse Effect (as each term is defined in the Merger Agreement), as the case may be; (ix) Vringo shall have received written resignations from all of the directors and officers of Innovate/Protect and its subsidiaries; (x) 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(x) since the date of the Merger Agreement, (a) neither Innovate/Protect nor any of its subsidiaries has (A) settled, discharged or released any of its claims, causes of action, or defenses in that certain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nor</w:t>
      </w:r>
    </w:p>
    <w:p>
      <w:pPr>
        <w:jc w:val="both"/>
        <w:ind w:left="280" w:right="619" w:hanging="8"/>
        <w:spacing w:after="0" w:line="286" w:lineRule="auto"/>
        <w:tabs>
          <w:tab w:leader="none" w:pos="57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assigned, promised, transferred, conveyed, encumbered, or granted a security interest in any of those claims and (b) there has been no dismissal (including, without limitation, by motion to dismiss or summary judgment) of the Litigation; (xi) holders of no more than 10% of the issued and outstanding Innovate/Protect capital stock shall have demanded and perfected their right to an appraisal of Innovate/Protect capital stock under the Delaware General Corporation Law; and (xii)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62" w:lineRule="exact"/>
        <w:rPr>
          <w:sz w:val="20"/>
          <w:szCs w:val="20"/>
          <w:color w:val="auto"/>
        </w:rPr>
      </w:pPr>
    </w:p>
    <w:p>
      <w:pPr>
        <w:ind w:left="320" w:right="619"/>
        <w:spacing w:after="0" w:line="300" w:lineRule="auto"/>
        <w:rPr>
          <w:sz w:val="20"/>
          <w:szCs w:val="20"/>
          <w:color w:val="auto"/>
        </w:rPr>
      </w:pPr>
      <w:r>
        <w:rPr>
          <w:rFonts w:ascii="Arial" w:cs="Arial" w:eastAsia="Arial" w:hAnsi="Arial"/>
          <w:sz w:val="17"/>
          <w:szCs w:val="17"/>
          <w:color w:val="auto"/>
        </w:rPr>
        <w:t xml:space="preserve">For a more complete discussion of the conditions to the completion of the Merger under the Merger Agreement, see the section entitled “The Merger Agreement — Conditions to the Completion of the Merger” beginning on page </w:t>
      </w:r>
      <w:r>
        <w:rPr>
          <w:rFonts w:ascii="Arial" w:cs="Arial" w:eastAsia="Arial" w:hAnsi="Arial"/>
          <w:sz w:val="17"/>
          <w:szCs w:val="17"/>
          <w:u w:val="single" w:color="auto"/>
          <w:color w:val="0000EE"/>
        </w:rPr>
        <w:t>87</w:t>
      </w:r>
      <w:r>
        <w:rPr>
          <w:rFonts w:ascii="Arial" w:cs="Arial" w:eastAsia="Arial" w:hAnsi="Arial"/>
          <w:sz w:val="17"/>
          <w:szCs w:val="17"/>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reverse stock split and why is it necessary?</w:t>
      </w:r>
    </w:p>
    <w:p>
      <w:pPr>
        <w:spacing w:after="0" w:line="118" w:lineRule="exact"/>
        <w:rPr>
          <w:sz w:val="20"/>
          <w:szCs w:val="20"/>
          <w:color w:val="auto"/>
        </w:rPr>
      </w:pPr>
    </w:p>
    <w:p>
      <w:pPr>
        <w:jc w:val="both"/>
        <w:ind w:left="280" w:right="619" w:hanging="275"/>
        <w:spacing w:after="0" w:line="284" w:lineRule="auto"/>
        <w:tabs>
          <w:tab w:leader="none" w:pos="28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If necessary to continue to list Vringo’s securities on the NYSE Amex, it is expected that immediately prior to the effective time of the Merger (the “</w:t>
      </w:r>
      <w:r>
        <w:rPr>
          <w:rFonts w:ascii="Arial" w:cs="Arial" w:eastAsia="Arial" w:hAnsi="Arial"/>
          <w:sz w:val="16"/>
          <w:szCs w:val="16"/>
          <w:b w:val="1"/>
          <w:bCs w:val="1"/>
          <w:color w:val="auto"/>
        </w:rPr>
        <w:t>Effective Time</w:t>
      </w:r>
      <w:r>
        <w:rPr>
          <w:rFonts w:ascii="Arial" w:cs="Arial" w:eastAsia="Arial" w:hAnsi="Arial"/>
          <w:sz w:val="16"/>
          <w:szCs w:val="16"/>
          <w:color w:val="auto"/>
        </w:rPr>
        <w:t>”), Vringo will effect a reverse stock split within the range of one-for-two to one-for-four (with the exact ratio to be determined immediately prior to the completion of the Merger). The Vringo board of directors believes that stockholder approval of an amendment granting this discretion, rather than approval of a specified ratio, provides the appropriate flexibility to react to then-current market conditions and NYSE Amex’s requirements for continued listing therefore, is in the best interests of Vringo and its stockholders. In addition, Vringo may elect not to undertake a reverse stock split. The Merger constitutes a “reverse merger” under applicable rules and regulations established by the NYSE Amex, which requires the combined company to comply with the initial listing standards of the rules and regulations established by NYSE Amex to continue to be listed on such market following the Merger. Vringo common stock is required to be listed on the NYSE Amex as a condition to closing the Merger. The NYSE Amex’s initial listing standards require a company to have, among other things, a $3.00 per share minimum bid price. Because the per share price of Vringo common stock may be less than $3.00, the reverse stock split may be necessary to meet the minimum bid listing requirement.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Why is Vringo seeking to amend Vringo’s Certificate to increase the number of authorized shares of its common stock?</w:t>
      </w:r>
    </w:p>
    <w:p>
      <w:pPr>
        <w:spacing w:after="0" w:line="141" w:lineRule="exact"/>
        <w:rPr>
          <w:sz w:val="20"/>
          <w:szCs w:val="20"/>
          <w:color w:val="auto"/>
        </w:rPr>
      </w:pPr>
    </w:p>
    <w:p>
      <w:pPr>
        <w:jc w:val="both"/>
        <w:ind w:left="280" w:right="619" w:hanging="275"/>
        <w:spacing w:after="0" w:line="259" w:lineRule="auto"/>
        <w:tabs>
          <w:tab w:leader="none" w:pos="2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 addition to the securities to be issued pursuant to the Merger, the Vringo board of directors desires to have additional shares available to provide flexibility to use its capital stock for business and financial purposes in the future. The approval of an amendment to Vringo’s Certificate to increase the number of</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80" w:right="639"/>
        <w:spacing w:after="0" w:line="270" w:lineRule="auto"/>
        <w:rPr>
          <w:sz w:val="20"/>
          <w:szCs w:val="20"/>
          <w:color w:val="auto"/>
        </w:rPr>
      </w:pPr>
      <w:r>
        <w:rPr>
          <w:rFonts w:ascii="Arial" w:cs="Arial" w:eastAsia="Arial" w:hAnsi="Arial"/>
          <w:sz w:val="18"/>
          <w:szCs w:val="18"/>
          <w:color w:val="auto"/>
        </w:rPr>
        <w:t>authorized shares of Vringo common stock (which is the subject of the Authorized Shares Increase Proposal) is one of the conditions to the completion of the Merger.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be the directors of Vringo if the Merger does not close?</w:t>
      </w:r>
    </w:p>
    <w:p>
      <w:pPr>
        <w:spacing w:after="0" w:line="118" w:lineRule="exact"/>
        <w:rPr>
          <w:sz w:val="20"/>
          <w:szCs w:val="20"/>
          <w:color w:val="auto"/>
        </w:rPr>
      </w:pPr>
    </w:p>
    <w:p>
      <w:pPr>
        <w:jc w:val="both"/>
        <w:ind w:left="280" w:right="619" w:hanging="275"/>
        <w:spacing w:after="0" w:line="281" w:lineRule="auto"/>
        <w:tabs>
          <w:tab w:leader="none" w:pos="28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The election of the seven (7) director nominees is contingent upon the approval of the Merger by the stockholders and the completion of the Merger. If the Merger is not approved by the Vringo stockholders or the Merger does not close, then the current directors of Vringo will continue in office and Vringo will hold another stockholders meeting to elect directors.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does Vringo expect to complete the Merger?</w:t>
      </w:r>
    </w:p>
    <w:p>
      <w:pPr>
        <w:spacing w:after="0" w:line="118" w:lineRule="exact"/>
        <w:rPr>
          <w:sz w:val="20"/>
          <w:szCs w:val="20"/>
          <w:color w:val="auto"/>
        </w:rPr>
      </w:pPr>
    </w:p>
    <w:p>
      <w:pPr>
        <w:jc w:val="both"/>
        <w:ind w:left="280" w:right="619" w:hanging="275"/>
        <w:spacing w:after="0" w:line="255" w:lineRule="auto"/>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Vringo expects to complete the Merger as soon as possible following the approval of the Vringo Merger Proposals at the annual meeting, assuming the satisfaction or waiver of all other closing conditions contained in the Merger Agreement. It is possible, therefore, that factors outside of each company’s control could require Vringo to complete the Merger at a later time or not complete it at all.</w:t>
      </w:r>
    </w:p>
    <w:p>
      <w:pPr>
        <w:spacing w:after="0" w:line="79" w:lineRule="exact"/>
        <w:rPr>
          <w:sz w:val="20"/>
          <w:szCs w:val="20"/>
          <w:color w:val="auto"/>
        </w:rPr>
      </w:pPr>
    </w:p>
    <w:p>
      <w:pPr>
        <w:ind w:left="280" w:right="639" w:hanging="275"/>
        <w:spacing w:after="0" w:line="275" w:lineRule="auto"/>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Vringo board of directors recommend that Vringo stockholders vote with respect to each of the proposals and the adjournment of the Vringo annual meeting?</w:t>
      </w:r>
    </w:p>
    <w:p>
      <w:pPr>
        <w:spacing w:after="0" w:line="64" w:lineRule="exact"/>
        <w:rPr>
          <w:sz w:val="20"/>
          <w:szCs w:val="20"/>
          <w:color w:val="auto"/>
        </w:rPr>
      </w:pPr>
    </w:p>
    <w:p>
      <w:pPr>
        <w:jc w:val="both"/>
        <w:ind w:left="280" w:right="619" w:hanging="275"/>
        <w:spacing w:after="0" w:line="287" w:lineRule="auto"/>
        <w:tabs>
          <w:tab w:leader="none" w:pos="28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The Vringo board of directors unanimously recommends that the Vringo stockholders vote FOR the Securities Issuance Proposal, FOR the Reverse Stock Split Proposal, FOR the Authorized Shares Increase Proposal, FOR the election of the seven</w:t>
      </w:r>
    </w:p>
    <w:p>
      <w:pPr>
        <w:jc w:val="both"/>
        <w:ind w:left="280" w:right="619" w:hanging="8"/>
        <w:spacing w:after="0" w:line="249" w:lineRule="auto"/>
        <w:tabs>
          <w:tab w:leader="none" w:pos="5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director nominees as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 after considering the factors described in this proxy statement/prospectus.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risks should I consider in deciding whether to vote in favor of the Vringo Merger Proposals?</w:t>
      </w:r>
    </w:p>
    <w:p>
      <w:pPr>
        <w:spacing w:after="0" w:line="118" w:lineRule="exact"/>
        <w:rPr>
          <w:sz w:val="20"/>
          <w:szCs w:val="20"/>
          <w:color w:val="auto"/>
        </w:rPr>
      </w:pPr>
    </w:p>
    <w:p>
      <w:pPr>
        <w:jc w:val="both"/>
        <w:ind w:left="280" w:right="639" w:hanging="275"/>
        <w:spacing w:after="0" w:line="259" w:lineRule="auto"/>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You should carefully review the section of this proxy statement/prospectus entitled “Risk Factors” beginning on page </w:t>
      </w:r>
      <w:r>
        <w:rPr>
          <w:rFonts w:ascii="Arial" w:cs="Arial" w:eastAsia="Arial" w:hAnsi="Arial"/>
          <w:sz w:val="18"/>
          <w:szCs w:val="18"/>
          <w:u w:val="single" w:color="auto"/>
          <w:color w:val="0000EE"/>
        </w:rPr>
        <w:t>38</w:t>
      </w:r>
      <w:r>
        <w:rPr>
          <w:rFonts w:ascii="Arial" w:cs="Arial" w:eastAsia="Arial" w:hAnsi="Arial"/>
          <w:sz w:val="18"/>
          <w:szCs w:val="18"/>
          <w:color w:val="auto"/>
        </w:rPr>
        <w:t>, which presents risks and uncertainties related to the Merger, the combined company, and the business and operations of each of Vringo and Innovate/Protect.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are the material federal income tax consequences of the Merger to me?</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Merger is intended to qualify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As a result of the reorganization, Vringo stockholders generally will not recognize gain or loss for U.S. federal income tax purposes as a result of the Merger.</w:t>
      </w:r>
    </w:p>
    <w:p>
      <w:pPr>
        <w:spacing w:after="0" w:line="78" w:lineRule="exact"/>
        <w:rPr>
          <w:sz w:val="20"/>
          <w:szCs w:val="20"/>
          <w:color w:val="auto"/>
        </w:rPr>
      </w:pPr>
    </w:p>
    <w:p>
      <w:pPr>
        <w:jc w:val="both"/>
        <w:ind w:left="320" w:right="619"/>
        <w:spacing w:after="0" w:line="268" w:lineRule="auto"/>
        <w:rPr>
          <w:sz w:val="20"/>
          <w:szCs w:val="20"/>
          <w:color w:val="auto"/>
        </w:rPr>
      </w:pPr>
      <w:r>
        <w:rPr>
          <w:rFonts w:ascii="Arial" w:cs="Arial" w:eastAsia="Arial" w:hAnsi="Arial"/>
          <w:sz w:val="17"/>
          <w:szCs w:val="17"/>
          <w:color w:val="auto"/>
        </w:rPr>
        <w:t>The Merger is intended to qualify as a “reorganization” within the meaning of Section 368(a) of the Code.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72" w:lineRule="exact"/>
        <w:rPr>
          <w:sz w:val="20"/>
          <w:szCs w:val="20"/>
          <w:color w:val="auto"/>
        </w:rPr>
      </w:pPr>
    </w:p>
    <w:p>
      <w:pPr>
        <w:jc w:val="both"/>
        <w:ind w:left="320" w:right="619"/>
        <w:spacing w:after="0" w:line="271" w:lineRule="auto"/>
        <w:rPr>
          <w:sz w:val="20"/>
          <w:szCs w:val="20"/>
          <w:color w:val="auto"/>
        </w:rPr>
      </w:pPr>
      <w:r>
        <w:rPr>
          <w:rFonts w:ascii="Arial" w:cs="Arial" w:eastAsia="Arial" w:hAnsi="Arial"/>
          <w:sz w:val="17"/>
          <w:szCs w:val="17"/>
          <w:b w:val="1"/>
          <w:b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7"/>
          <w:szCs w:val="17"/>
          <w:b w:val="1"/>
          <w:bCs w:val="1"/>
          <w:u w:val="single" w:color="auto"/>
          <w:color w:val="0000EE"/>
        </w:rPr>
        <w:t>77</w:t>
      </w:r>
      <w:r>
        <w:rPr>
          <w:rFonts w:ascii="Arial" w:cs="Arial" w:eastAsia="Arial" w:hAnsi="Arial"/>
          <w:sz w:val="17"/>
          <w:szCs w:val="17"/>
          <w:b w:val="1"/>
          <w:bCs w:val="1"/>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Do I have appraisal rights in connection with the Merger?</w:t>
      </w:r>
    </w:p>
    <w:p>
      <w:pPr>
        <w:spacing w:after="0" w:line="114" w:lineRule="exact"/>
        <w:rPr>
          <w:sz w:val="20"/>
          <w:szCs w:val="20"/>
          <w:color w:val="auto"/>
        </w:rPr>
      </w:pPr>
    </w:p>
    <w:p>
      <w:pPr>
        <w:ind w:left="4560" w:right="2399" w:hanging="4555"/>
        <w:spacing w:after="0" w:line="910" w:lineRule="auto"/>
        <w:tabs>
          <w:tab w:leader="none" w:pos="278"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Under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holders of Vringo common stock are not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-275590</wp:posOffset>
            </wp:positionV>
            <wp:extent cx="6051550" cy="59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80" w:right="619"/>
        <w:spacing w:after="0" w:line="334" w:lineRule="auto"/>
        <w:rPr>
          <w:sz w:val="20"/>
          <w:szCs w:val="20"/>
          <w:color w:val="auto"/>
        </w:rPr>
      </w:pPr>
      <w:r>
        <w:rPr>
          <w:rFonts w:ascii="Arial" w:cs="Arial" w:eastAsia="Arial" w:hAnsi="Arial"/>
          <w:sz w:val="16"/>
          <w:szCs w:val="16"/>
          <w:color w:val="auto"/>
        </w:rPr>
        <w:t>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and where will the Vringo annual meeting take place?</w:t>
      </w:r>
    </w:p>
    <w:p>
      <w:pPr>
        <w:spacing w:after="0" w:line="118" w:lineRule="exact"/>
        <w:rPr>
          <w:sz w:val="20"/>
          <w:szCs w:val="20"/>
          <w:color w:val="auto"/>
        </w:rPr>
      </w:pPr>
    </w:p>
    <w:p>
      <w:pPr>
        <w:ind w:left="280" w:right="619" w:hanging="275"/>
        <w:spacing w:after="0" w:line="300" w:lineRule="auto"/>
        <w:tabs>
          <w:tab w:leader="none" w:pos="28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Vringo annual meeting will be held on ___________, 2012 at 10:00 a.m., local time, at the offices of Mintz, Levin, Cohn, Ferris, Glovsky and Popeo, P.C., the Chrysler Center, 666 Third Avenue, 32nd floor, New York, New York 10017.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attend and vote at the stockholder meetings?</w:t>
      </w:r>
    </w:p>
    <w:p>
      <w:pPr>
        <w:spacing w:after="0" w:line="118" w:lineRule="exact"/>
        <w:rPr>
          <w:sz w:val="20"/>
          <w:szCs w:val="20"/>
          <w:color w:val="auto"/>
        </w:rPr>
      </w:pPr>
    </w:p>
    <w:p>
      <w:pPr>
        <w:ind w:left="280" w:right="619" w:hanging="275"/>
        <w:spacing w:after="0" w:line="270" w:lineRule="auto"/>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All Vringo stockholders of record as of the close of business on _______________, 2012, the record date for the Vringo annual meeting, are entitled to receive notice of and to vote at the Vringo annual meeting.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need to do now and how do I vote?</w:t>
      </w:r>
    </w:p>
    <w:p>
      <w:pPr>
        <w:spacing w:after="0" w:line="118" w:lineRule="exact"/>
        <w:rPr>
          <w:sz w:val="20"/>
          <w:szCs w:val="20"/>
          <w:color w:val="auto"/>
        </w:rPr>
      </w:pPr>
    </w:p>
    <w:p>
      <w:pPr>
        <w:ind w:left="280" w:right="619" w:hanging="275"/>
        <w:spacing w:after="0" w:line="270" w:lineRule="auto"/>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Vringo urges you to read this proxy statement/prospectus carefully, including its annexes, and to consider how the Merger may affect you.</w:t>
      </w:r>
    </w:p>
    <w:p>
      <w:pPr>
        <w:spacing w:after="0" w:line="69" w:lineRule="exact"/>
        <w:rPr>
          <w:sz w:val="20"/>
          <w:szCs w:val="20"/>
          <w:color w:val="auto"/>
        </w:rPr>
      </w:pPr>
    </w:p>
    <w:p>
      <w:pPr>
        <w:jc w:val="both"/>
        <w:ind w:left="320" w:right="619"/>
        <w:spacing w:after="0" w:line="275" w:lineRule="auto"/>
        <w:rPr>
          <w:sz w:val="20"/>
          <w:szCs w:val="20"/>
          <w:color w:val="auto"/>
        </w:rPr>
      </w:pPr>
      <w:r>
        <w:rPr>
          <w:rFonts w:ascii="Arial" w:cs="Arial" w:eastAsia="Arial" w:hAnsi="Arial"/>
          <w:sz w:val="17"/>
          <w:szCs w:val="17"/>
          <w:color w:val="auto"/>
        </w:rPr>
        <w:t>If you are a Vringo stockholder, you may vote by telephone or through the Internet by following the instructions included on your proxy card, you may indicate on the enclosed proxy card how you would like to vote, sign and return the proxy card in the enclosed postage-paid envelope, or you may attend the Vringo annual meeting in person. Please provide your proxy instructions only once and as soon as possible so that your shares can be voted at the Vringo annual meeting.</w:t>
      </w:r>
    </w:p>
    <w:p>
      <w:pPr>
        <w:spacing w:after="0" w:line="66"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color w:val="auto"/>
        </w:rPr>
        <w:t>If you hold your shares in “street name,” please refer to your proxy card or the information forwarded by your broker or other nominee to see which options are available to you.</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I do not submit my proxy or if I elect to abstain from voting?</w:t>
      </w:r>
    </w:p>
    <w:p>
      <w:pPr>
        <w:spacing w:after="0" w:line="118" w:lineRule="exact"/>
        <w:rPr>
          <w:sz w:val="20"/>
          <w:szCs w:val="20"/>
          <w:color w:val="auto"/>
        </w:rPr>
      </w:pPr>
    </w:p>
    <w:p>
      <w:pPr>
        <w:jc w:val="both"/>
        <w:ind w:left="280" w:right="619" w:hanging="275"/>
        <w:spacing w:after="0" w:line="268" w:lineRule="auto"/>
        <w:tabs>
          <w:tab w:leader="none" w:pos="28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If you are a Vringo stockholder and you fail to submit your proxy (i) through the Internet, (ii) by telephone or (iii) by marking, signing and dating the enclosed proxy card and returning it in the enclosed postage-paid envelope, your shares will not be counted as present for the purpose of determining the presence of a quorum, which is required to transact business at the Vringo annual meeting, and your failure to take action will have no effect on the outcome of Vringo Proposal Nos. 1 (Securities Issuance Proposal), 4 (Election of Directors Proposal), 5 (2012 Equity Incentive Plan Proposal), 6 (Ratification of the Appointment of Vringo’s Independent Registered Public Accounting Firm Proposal) and 7 (adjournment to solicit additional proxies, if necessary). However, such failure to take action will have the same effect as voting AGAINST Vringo Proposal Nos. 2 (Reverse Stock Split Proposal) and 3 (Authorized Shares Increase Proposal).</w:t>
      </w:r>
    </w:p>
    <w:p>
      <w:pPr>
        <w:spacing w:after="0" w:line="71" w:lineRule="exact"/>
        <w:rPr>
          <w:sz w:val="20"/>
          <w:szCs w:val="20"/>
          <w:color w:val="auto"/>
        </w:rPr>
      </w:pPr>
    </w:p>
    <w:p>
      <w:pPr>
        <w:jc w:val="both"/>
        <w:ind w:left="320" w:right="619"/>
        <w:spacing w:after="0" w:line="251" w:lineRule="auto"/>
        <w:rPr>
          <w:sz w:val="20"/>
          <w:szCs w:val="20"/>
          <w:color w:val="auto"/>
        </w:rPr>
      </w:pPr>
      <w:r>
        <w:rPr>
          <w:rFonts w:ascii="Arial" w:cs="Arial" w:eastAsia="Arial" w:hAnsi="Arial"/>
          <w:sz w:val="18"/>
          <w:szCs w:val="18"/>
          <w:color w:val="auto"/>
        </w:rPr>
        <w:t>If you are a Vringo stockholder and you sign, date, and mail your proxy card without indicating how you wish to vote, your proxy will be counted as present for the purpose of determining the presence of a quorum for the Vringo annual meeting and all of your shares will be voted FOR Vringo Proposal Nos. 1, 2, 3, 4, 5, 6 and 7. However, if you submit a proxy card and affirmatively elect to abstain from voting, your proxy will be counted as present for the purpose of determining the presence of a quorum for the Vringo annual meeting, but will not be voted at the Vringo annual meeting. As a result, your abstention will have the same effect as voting AGAINST Vringo Proposal Nos. 1, 2, 3, 5 and 7 and will have no effect on Vringo Proposal Nos. 4 and 6.</w:t>
      </w:r>
    </w:p>
    <w:p>
      <w:pPr>
        <w:spacing w:after="0" w:line="85" w:lineRule="exact"/>
        <w:rPr>
          <w:sz w:val="20"/>
          <w:szCs w:val="20"/>
          <w:color w:val="auto"/>
        </w:rPr>
      </w:pPr>
    </w:p>
    <w:p>
      <w:pPr>
        <w:ind w:left="280" w:right="639" w:hanging="275"/>
        <w:spacing w:after="0" w:line="275" w:lineRule="auto"/>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If my Vringo shares are held in “street name” by a broker or other nominee, will my broker or nominee vote my shares for me?</w:t>
      </w:r>
    </w:p>
    <w:p>
      <w:pPr>
        <w:spacing w:after="0" w:line="64" w:lineRule="exact"/>
        <w:rPr>
          <w:sz w:val="20"/>
          <w:szCs w:val="20"/>
          <w:color w:val="auto"/>
        </w:rPr>
      </w:pPr>
    </w:p>
    <w:p>
      <w:pPr>
        <w:jc w:val="both"/>
        <w:ind w:left="280" w:right="619" w:hanging="275"/>
        <w:spacing w:after="0" w:line="292" w:lineRule="auto"/>
        <w:tabs>
          <w:tab w:leader="none" w:pos="28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If your Vringo shares are held in “street name” in a stock brokerage account or by another nominee, you must provide the record holder of your shares with instructions on how to vote your shares. Please follow the voting instructions provided by your broker or other nominee. Please note that you may not vote shares held in “street name” by returning a proxy card directly to Vringo or by voting in person at the Vringo annual meeting unless you provide a legal proxy, which you must obtain from your broker or other nominee that holds your shares giving you the right to vote the shares in person at the Vringo annual meeting.</w:t>
      </w:r>
    </w:p>
    <w:p>
      <w:pPr>
        <w:spacing w:after="0" w:line="200" w:lineRule="exact"/>
        <w:rPr>
          <w:sz w:val="20"/>
          <w:szCs w:val="20"/>
          <w:color w:val="auto"/>
        </w:rPr>
      </w:pPr>
    </w:p>
    <w:p>
      <w:pPr>
        <w:spacing w:after="0" w:line="2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vote in person?</w:t>
      </w:r>
    </w:p>
    <w:p>
      <w:pPr>
        <w:spacing w:after="0" w:line="118" w:lineRule="exact"/>
        <w:rPr>
          <w:sz w:val="20"/>
          <w:szCs w:val="20"/>
          <w:color w:val="auto"/>
        </w:rPr>
      </w:pPr>
    </w:p>
    <w:p>
      <w:pPr>
        <w:jc w:val="both"/>
        <w:ind w:left="280" w:right="619" w:hanging="275"/>
        <w:spacing w:after="0" w:line="255" w:lineRule="auto"/>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you are a stockholder of Vringo and your shares of Vringo common stock are registered directly in your name with Vringo’s transfer agent, you are considered, with respect to those shares, the stockholder of record, and the proxy materials and proxy card are being sent directly to you by Vringo. If you are a Vringo stockholder of record, you may attend the Vringo annual meeting and vote your shares in person, rather than submitting your proxy.</w:t>
      </w:r>
    </w:p>
    <w:p>
      <w:pPr>
        <w:spacing w:after="0" w:line="83" w:lineRule="exact"/>
        <w:rPr>
          <w:sz w:val="20"/>
          <w:szCs w:val="20"/>
          <w:color w:val="auto"/>
        </w:rPr>
      </w:pPr>
    </w:p>
    <w:p>
      <w:pPr>
        <w:jc w:val="both"/>
        <w:ind w:left="320" w:right="619"/>
        <w:spacing w:after="0" w:line="252" w:lineRule="auto"/>
        <w:rPr>
          <w:sz w:val="20"/>
          <w:szCs w:val="20"/>
          <w:color w:val="auto"/>
        </w:rPr>
      </w:pPr>
      <w:r>
        <w:rPr>
          <w:rFonts w:ascii="Arial" w:cs="Arial" w:eastAsia="Arial" w:hAnsi="Arial"/>
          <w:sz w:val="18"/>
          <w:szCs w:val="18"/>
          <w:color w:val="auto"/>
        </w:rPr>
        <w:t>If your shares of Vringo common stock are held in a brokerage account or by another nominee, you are considered the beneficial owner of shares held in street name, and these proxy materials are being forwarded to you together with a voting instruction card. As the beneficial owner, you are also invited to attend the Vringo annual meeting. However, since a beneficial owner is not the stockholder of record, you may not vote these shares in person at the Vringo annual meeting unless you obtain a legal proxy from the broker or other nominee that holds your shares giving you the right to vote the shares in person at the Vringo annual meeting.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revoke or change my vote after I have provided proxy instructions?</w:t>
      </w:r>
    </w:p>
    <w:p>
      <w:pPr>
        <w:spacing w:after="0" w:line="118" w:lineRule="exact"/>
        <w:rPr>
          <w:sz w:val="20"/>
          <w:szCs w:val="20"/>
          <w:color w:val="auto"/>
        </w:rPr>
      </w:pPr>
    </w:p>
    <w:p>
      <w:pPr>
        <w:jc w:val="both"/>
        <w:ind w:left="280" w:right="619" w:hanging="275"/>
        <w:spacing w:after="0" w:line="251" w:lineRule="auto"/>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Yes. You may revoke or change your vote at any time before your proxy is voted at the Vringo annual meeting. You can do this in one of four ways. First, you can send a written notice to Vringo stating that you would like to revoke your proxy. Second, you can submit a duly executed proxy bearing a later date or time than that of the previously submitted proxy. Third, you can submit a later dated vote by the Internet or telephone. Fourth, you can attend the Vringo annual meeting and vote in person. Your attendance alone at the Vringo annual meeting will not revoke your proxy. If you are a Vringo stockholder and have instructed a broker or other nominee to vote your shares, you must follow directions received from your broker or other nominee in order to change those instructions.</w:t>
      </w:r>
    </w:p>
    <w:p>
      <w:pPr>
        <w:spacing w:after="0" w:line="89" w:lineRule="exact"/>
        <w:rPr>
          <w:sz w:val="20"/>
          <w:szCs w:val="20"/>
          <w:color w:val="auto"/>
        </w:rPr>
      </w:pPr>
    </w:p>
    <w:p>
      <w:pPr>
        <w:jc w:val="both"/>
        <w:ind w:left="320" w:right="639"/>
        <w:spacing w:after="0" w:line="259" w:lineRule="auto"/>
        <w:rPr>
          <w:sz w:val="20"/>
          <w:szCs w:val="20"/>
          <w:color w:val="auto"/>
        </w:rPr>
      </w:pPr>
      <w:r>
        <w:rPr>
          <w:rFonts w:ascii="Arial" w:cs="Arial" w:eastAsia="Arial" w:hAnsi="Arial"/>
          <w:sz w:val="18"/>
          <w:szCs w:val="18"/>
          <w:color w:val="auto"/>
        </w:rPr>
        <w:t>If you are a beneficial owner of Vringo common stock, you may submit new voting instructions by contacting your broker or other nominee. You also may vote in person if you obtain a legal proxy. All shares that have been properly voted and not revoked will be voted at the Vringo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constitutes a quorum?</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Stockholders who hold a majority of the shares of Vringo common stock outstanding as of the close of business on the record date for the Vringo annual meeting must be present either in person or by proxy in order to constitute a quorum to conduct business at the Vringo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paying for this proxy solicitation?</w:t>
      </w:r>
    </w:p>
    <w:p>
      <w:pPr>
        <w:spacing w:after="0" w:line="118" w:lineRule="exact"/>
        <w:rPr>
          <w:sz w:val="20"/>
          <w:szCs w:val="20"/>
          <w:color w:val="auto"/>
        </w:rPr>
      </w:pPr>
    </w:p>
    <w:p>
      <w:pPr>
        <w:jc w:val="both"/>
        <w:ind w:left="280" w:right="619" w:hanging="275"/>
        <w:spacing w:after="0" w:line="251" w:lineRule="auto"/>
        <w:tabs>
          <w:tab w:leader="none" w:pos="2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Vringo may also reimburse brokerage houses and other custodians, nominees and fiduciaries for their costs of soliciting and obtaining proxies from beneficial owners, including the costs of reimbursing brokerage houses and other custodians, nominees and fiduciaries for their costs of forwarding this proxy statement/prospectus and other solicitation materials to beneficial owners. In addition, proxies may be solicited without additional compensation by directors, officers and employees of Vringo by mail, telephone, fax, or other methods of communication.</w:t>
      </w:r>
    </w:p>
    <w:p>
      <w:pPr>
        <w:spacing w:after="0" w:line="200" w:lineRule="exact"/>
        <w:rPr>
          <w:sz w:val="20"/>
          <w:szCs w:val="20"/>
          <w:color w:val="auto"/>
        </w:rPr>
      </w:pPr>
    </w:p>
    <w:p>
      <w:pPr>
        <w:spacing w:after="0" w:line="3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Whom should I contact if I have any questions about the Merger or the Vringo annual meeting?</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If you have any questions about the Merger, the Vringo annual meeting, or if you need assistance in submitting your proxy or voting your shares or need additional copies of this proxy statement/prospectus or the enclosed proxy card, you should contact Vringo.</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you are a Vringo stockholder you should contact Vringo at the address and telephone number listed below:</w:t>
      </w:r>
    </w:p>
    <w:p>
      <w:pPr>
        <w:spacing w:after="0" w:line="114"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44 W. 28th Street, Suite 1414</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Attn: Corporate Secretary</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(646) 525-4319</w:t>
      </w:r>
    </w:p>
    <w:p>
      <w:pPr>
        <w:spacing w:after="0" w:line="97" w:lineRule="exact"/>
        <w:rPr>
          <w:sz w:val="20"/>
          <w:szCs w:val="20"/>
          <w:color w:val="auto"/>
        </w:rPr>
      </w:pPr>
    </w:p>
    <w:p>
      <w:pPr>
        <w:ind w:left="40" w:right="639" w:firstLine="267"/>
        <w:spacing w:after="0" w:line="275" w:lineRule="auto"/>
        <w:rPr>
          <w:sz w:val="20"/>
          <w:szCs w:val="20"/>
          <w:color w:val="auto"/>
        </w:rPr>
      </w:pPr>
      <w:r>
        <w:rPr>
          <w:rFonts w:ascii="Arial" w:cs="Arial" w:eastAsia="Arial" w:hAnsi="Arial"/>
          <w:sz w:val="18"/>
          <w:szCs w:val="18"/>
          <w:b w:val="1"/>
          <w:bCs w:val="1"/>
          <w:color w:val="auto"/>
        </w:rPr>
        <w:t xml:space="preserve">This proxy statement/prospectus, a form of proxy card and Vringo’s Annual Report to Stockholders for 2011 are available on the Internet at </w:t>
      </w:r>
      <w:r>
        <w:rPr>
          <w:rFonts w:ascii="Arial" w:cs="Arial" w:eastAsia="Arial" w:hAnsi="Arial"/>
          <w:sz w:val="18"/>
          <w:szCs w:val="18"/>
          <w:b w:val="1"/>
          <w:bCs w:val="1"/>
          <w:i w:val="1"/>
          <w:iCs w:val="1"/>
          <w:color w:val="auto"/>
        </w:rPr>
        <w:t>https://materials.proxyvote.com/92911N.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I sell my shares after the applicable record date but before the applicable annual meeting?</w:t>
      </w:r>
    </w:p>
    <w:p>
      <w:pPr>
        <w:spacing w:after="0" w:line="118" w:lineRule="exact"/>
        <w:rPr>
          <w:sz w:val="20"/>
          <w:szCs w:val="20"/>
          <w:color w:val="auto"/>
        </w:rPr>
      </w:pPr>
    </w:p>
    <w:p>
      <w:pPr>
        <w:jc w:val="both"/>
        <w:ind w:left="280" w:right="619" w:hanging="275"/>
        <w:spacing w:after="0" w:line="259" w:lineRule="auto"/>
        <w:tabs>
          <w:tab w:leader="none" w:pos="2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If you transfer your Vringo common stock after the applicable record date but before the date of the applicable meeting, you will retain your right to vote at the annual meeting (provided that such shares remain outstanding on the date of the applicable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do if I receive more than one proxy statement/prospectus or set of voting instructions?</w:t>
      </w:r>
    </w:p>
    <w:p>
      <w:pPr>
        <w:spacing w:after="0" w:line="118" w:lineRule="exact"/>
        <w:rPr>
          <w:sz w:val="20"/>
          <w:szCs w:val="20"/>
          <w:color w:val="auto"/>
        </w:rPr>
      </w:pPr>
    </w:p>
    <w:p>
      <w:pPr>
        <w:jc w:val="both"/>
        <w:ind w:left="280" w:right="619" w:hanging="275"/>
        <w:spacing w:after="0" w:line="281" w:lineRule="auto"/>
        <w:tabs>
          <w:tab w:leader="none" w:pos="28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If you hold shares directly as a record holder and also in “street name” or otherwise through a nominee, you may receive more than one proxy statement/prospectus and/or set of voting instructions relating to the Vringo annual meeting. These should each be voted and/or returned separately in order to ensure that all of your shares are voted.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Should I send in my stock certificates now?</w:t>
      </w:r>
    </w:p>
    <w:p>
      <w:pPr>
        <w:spacing w:after="0" w:line="118" w:lineRule="exact"/>
        <w:rPr>
          <w:sz w:val="20"/>
          <w:szCs w:val="20"/>
          <w:color w:val="auto"/>
        </w:rPr>
      </w:pPr>
    </w:p>
    <w:p>
      <w:pPr>
        <w:jc w:val="both"/>
        <w:ind w:left="280" w:right="639" w:hanging="275"/>
        <w:spacing w:after="0" w:line="259" w:lineRule="auto"/>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No. Vringo stockholders are not required to tender or exchange their stock certificates as part of the Merger. However, you will receive written instructions from American Stock Transfer &amp; Trust Company, LLC, Vringo’s transfer agent, for exchanging your Vringo stock certificates in connection with any reverse stock split.</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7489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40450" cy="7489825"/>
                    </a:xfrm>
                    <a:prstGeom prst="rect">
                      <a:avLst/>
                    </a:prstGeom>
                    <a:noFill/>
                  </pic:spPr>
                </pic:pic>
              </a:graphicData>
            </a:graphic>
          </wp:anchor>
        </w:drawing>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SUMMARY</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i w:val="1"/>
          <w:iCs w:val="1"/>
          <w:color w:val="auto"/>
        </w:rPr>
        <w:t xml:space="preserve">This proxy statement/prospectus is being sent to Vringo and Innovate/Protect stockholders. This summary highlights selected information from this proxy statement/prospectus. It may not contain all of the information that is important to you with respect to the Vringo Merger Proposals and the other proposals or any other matter described in this proxy statement/prospectus. Vringo urges you to carefully read this proxy statement/prospectus, as well as the documents attached to or referred to in this proxy statement/prospectus, to fully understand the Merger. In particular, you should read the Merger Agreement, which is described elsewhere in this proxy statement/prospectus and attached as Annex A. To understand the Merger fully, you should read carefully this entire document, including the business and financial information about Vringo and Innovate/Protect, and the documents to which this proxy statement/prospectus refers, including the annexes attached hereto. See the section entitled “Where You Can Find Additional Information” beginning on page </w:t>
      </w:r>
      <w:r>
        <w:rPr>
          <w:rFonts w:ascii="Arial" w:cs="Arial" w:eastAsia="Arial" w:hAnsi="Arial"/>
          <w:sz w:val="17"/>
          <w:szCs w:val="17"/>
          <w:i w:val="1"/>
          <w:iCs w:val="1"/>
          <w:u w:val="single" w:color="auto"/>
          <w:color w:val="0000EE"/>
        </w:rPr>
        <w:t>180</w:t>
      </w:r>
      <w:r>
        <w:rPr>
          <w:rFonts w:ascii="Arial" w:cs="Arial" w:eastAsia="Arial" w:hAnsi="Arial"/>
          <w:sz w:val="17"/>
          <w:szCs w:val="17"/>
          <w:i w:val="1"/>
          <w:iCs w:val="1"/>
          <w:color w:val="auto"/>
        </w:rPr>
        <w: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Companies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Vringo, Inc.</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a provider of software platforms for mobile social and video applications. With its award-winning video ringtone</w:t>
      </w:r>
    </w:p>
    <w:p>
      <w:pPr>
        <w:spacing w:after="0" w:line="49" w:lineRule="exact"/>
        <w:rPr>
          <w:sz w:val="20"/>
          <w:szCs w:val="20"/>
          <w:color w:val="auto"/>
        </w:rPr>
      </w:pPr>
    </w:p>
    <w:p>
      <w:pPr>
        <w:jc w:val="both"/>
        <w:ind w:left="40" w:right="639"/>
        <w:spacing w:after="0" w:line="259" w:lineRule="auto"/>
        <w:rPr>
          <w:sz w:val="20"/>
          <w:szCs w:val="20"/>
          <w:color w:val="auto"/>
        </w:rPr>
      </w:pPr>
      <w:r>
        <w:rPr>
          <w:rFonts w:ascii="Arial" w:cs="Arial" w:eastAsia="Arial" w:hAnsi="Arial"/>
          <w:sz w:val="16"/>
          <w:szCs w:val="16"/>
          <w:color w:val="auto"/>
        </w:rPr>
        <w:t>application and other mobile software platforms — including Facetones</w:t>
      </w:r>
      <w:r>
        <w:rPr>
          <w:rFonts w:ascii="Arial" w:cs="Arial" w:eastAsia="Arial" w:hAnsi="Arial"/>
          <w:sz w:val="26"/>
          <w:szCs w:val="26"/>
          <w:color w:val="auto"/>
          <w:vertAlign w:val="superscript"/>
        </w:rPr>
        <w:t>TM</w:t>
      </w:r>
      <w:r>
        <w:rPr>
          <w:rFonts w:ascii="Arial" w:cs="Arial" w:eastAsia="Arial" w:hAnsi="Arial"/>
          <w:sz w:val="16"/>
          <w:szCs w:val="16"/>
          <w:color w:val="auto"/>
        </w:rPr>
        <w:t>,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Vringo has introduced its patented VringForward technology, which allows users to share video clips with friends with a simple</w:t>
      </w:r>
    </w:p>
    <w:p>
      <w:pPr>
        <w:spacing w:after="0" w:line="4" w:lineRule="exact"/>
        <w:rPr>
          <w:sz w:val="20"/>
          <w:szCs w:val="20"/>
          <w:color w:val="auto"/>
        </w:rPr>
      </w:pPr>
    </w:p>
    <w:p>
      <w:pPr>
        <w:jc w:val="both"/>
        <w:ind w:left="40" w:right="639"/>
        <w:spacing w:after="0" w:line="243" w:lineRule="auto"/>
        <w:rPr>
          <w:sz w:val="20"/>
          <w:szCs w:val="20"/>
          <w:color w:val="auto"/>
        </w:rPr>
      </w:pPr>
      <w:r>
        <w:rPr>
          <w:rFonts w:ascii="Arial" w:cs="Arial" w:eastAsia="Arial" w:hAnsi="Arial"/>
          <w:sz w:val="17"/>
          <w:szCs w:val="17"/>
          <w:color w:val="auto"/>
        </w:rPr>
        <w:t>call. 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Additionally, Fan Loyalty is a platform that lets users interact, vote and communicate with contestants in reality TV series that it partners with, as well as downloading and setting clips from such shows as video ringtones.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headquartered in New York, New York and was incorporated in Delaware in 2006. Vringo’s principal offices are</w:t>
      </w:r>
    </w:p>
    <w:p>
      <w:pPr>
        <w:spacing w:after="0" w:line="49" w:lineRule="exact"/>
        <w:rPr>
          <w:sz w:val="20"/>
          <w:szCs w:val="20"/>
          <w:color w:val="auto"/>
        </w:rPr>
      </w:pPr>
    </w:p>
    <w:p>
      <w:pPr>
        <w:jc w:val="both"/>
        <w:ind w:left="40" w:right="619"/>
        <w:spacing w:after="0" w:line="247" w:lineRule="auto"/>
        <w:rPr>
          <w:sz w:val="20"/>
          <w:szCs w:val="20"/>
          <w:color w:val="auto"/>
        </w:rPr>
      </w:pPr>
      <w:r>
        <w:rPr>
          <w:rFonts w:ascii="Arial" w:cs="Arial" w:eastAsia="Arial" w:hAnsi="Arial"/>
          <w:sz w:val="17"/>
          <w:szCs w:val="17"/>
          <w:color w:val="auto"/>
        </w:rPr>
        <w:t>located at 44 West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Suite 1414, New York, New York 10001 and its telephone number is (646) 525-4319. Vringo’s principal website is </w:t>
      </w:r>
      <w:r>
        <w:rPr>
          <w:rFonts w:ascii="Arial" w:cs="Arial" w:eastAsia="Arial" w:hAnsi="Arial"/>
          <w:sz w:val="17"/>
          <w:szCs w:val="17"/>
          <w:i w:val="1"/>
          <w:iCs w:val="1"/>
          <w:color w:val="auto"/>
        </w:rPr>
        <w:t>www.vringo.com</w:t>
      </w:r>
      <w:r>
        <w:rPr>
          <w:rFonts w:ascii="Arial" w:cs="Arial" w:eastAsia="Arial" w:hAnsi="Arial"/>
          <w:sz w:val="17"/>
          <w:szCs w:val="17"/>
          <w:color w:val="auto"/>
        </w:rPr>
        <w:t xml:space="preserve">. The information on or that can be accessed through Vringo’s website is not part of this proxy statement/prospectus. Vringo’s common stock is listed on the NYSE Amex and trades under the symbol “VRNG.” Additional information about Vringo and its subsidiaries is included elsewhere in this proxy statement/prospectus. See the sections entitled “Vringo’s Business,” “Vringo’s Management’s Discussion and Analysis of Financial Condition and Results of Operations,” and “Vringo’s Financial Statements” beginning on pages </w:t>
      </w:r>
      <w:r>
        <w:rPr>
          <w:rFonts w:ascii="Arial" w:cs="Arial" w:eastAsia="Arial" w:hAnsi="Arial"/>
          <w:sz w:val="17"/>
          <w:szCs w:val="17"/>
          <w:u w:val="single" w:color="auto"/>
          <w:color w:val="0000EE"/>
        </w:rPr>
        <w:t>113</w:t>
      </w:r>
      <w:r>
        <w:rPr>
          <w:rFonts w:ascii="Arial" w:cs="Arial" w:eastAsia="Arial" w:hAnsi="Arial"/>
          <w:sz w:val="17"/>
          <w:szCs w:val="17"/>
          <w:color w:val="auto"/>
        </w:rPr>
        <w:t xml:space="preserve">, </w:t>
      </w:r>
      <w:r>
        <w:rPr>
          <w:rFonts w:ascii="Arial" w:cs="Arial" w:eastAsia="Arial" w:hAnsi="Arial"/>
          <w:sz w:val="17"/>
          <w:szCs w:val="17"/>
          <w:u w:val="single" w:color="auto"/>
          <w:color w:val="0000EE"/>
        </w:rPr>
        <w:t>119</w:t>
      </w:r>
      <w:r>
        <w:rPr>
          <w:rFonts w:ascii="Arial" w:cs="Arial" w:eastAsia="Arial" w:hAnsi="Arial"/>
          <w:sz w:val="17"/>
          <w:szCs w:val="17"/>
          <w:color w:val="auto"/>
        </w:rPr>
        <w:t>, and F-</w:t>
      </w:r>
      <w:r>
        <w:rPr>
          <w:rFonts w:ascii="Arial" w:cs="Arial" w:eastAsia="Arial" w:hAnsi="Arial"/>
          <w:sz w:val="17"/>
          <w:szCs w:val="17"/>
          <w:u w:val="single" w:color="auto"/>
          <w:color w:val="0000EE"/>
        </w:rPr>
        <w:t>1</w:t>
      </w:r>
      <w:r>
        <w:rPr>
          <w:rFonts w:ascii="Arial" w:cs="Arial" w:eastAsia="Arial" w:hAnsi="Arial"/>
          <w:sz w:val="17"/>
          <w:szCs w:val="17"/>
          <w:color w:val="auto"/>
        </w:rPr>
        <w:t>, respectively.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Innovate/Protect, Inc.</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Innovate/Protect is a company focused on the economic benefits of intellectual property assets through acquiring or internally developing patents or other intellectual property assets (or interests therein) and then monetizing such assets through a variety of value enhancing initiatives, including, but not limited to:</w:t>
      </w:r>
    </w:p>
    <w:p>
      <w:pPr>
        <w:spacing w:after="0" w:line="78" w:lineRule="exact"/>
        <w:rPr>
          <w:sz w:val="20"/>
          <w:szCs w:val="20"/>
          <w:color w:val="auto"/>
        </w:rPr>
      </w:pPr>
    </w:p>
    <w:p>
      <w:pPr>
        <w:ind w:left="600" w:hanging="32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0" w:lineRule="exact"/>
        <w:rPr>
          <w:sz w:val="20"/>
          <w:szCs w:val="20"/>
          <w:color w:val="auto"/>
        </w:rPr>
      </w:pPr>
    </w:p>
    <w:p>
      <w:pPr>
        <w:jc w:val="both"/>
        <w:ind w:left="40" w:right="619" w:firstLine="267"/>
        <w:spacing w:after="0" w:line="291" w:lineRule="auto"/>
        <w:rPr>
          <w:sz w:val="20"/>
          <w:szCs w:val="20"/>
          <w:color w:val="auto"/>
        </w:rPr>
      </w:pPr>
      <w:r>
        <w:rPr>
          <w:rFonts w:ascii="Arial" w:cs="Arial" w:eastAsia="Arial" w:hAnsi="Arial"/>
          <w:sz w:val="16"/>
          <w:szCs w:val="16"/>
          <w:color w:val="auto"/>
        </w:rPr>
        <w:t>Innovate/Protect is the owner of patent assets acquired from Lycos, Inc. (“</w:t>
      </w:r>
      <w:r>
        <w:rPr>
          <w:rFonts w:ascii="Arial" w:cs="Arial" w:eastAsia="Arial" w:hAnsi="Arial"/>
          <w:sz w:val="16"/>
          <w:szCs w:val="16"/>
          <w:b w:val="1"/>
          <w:bCs w:val="1"/>
          <w:color w:val="auto"/>
        </w:rPr>
        <w:t>Lycos</w:t>
      </w:r>
      <w:r>
        <w:rPr>
          <w:rFonts w:ascii="Arial" w:cs="Arial" w:eastAsia="Arial" w:hAnsi="Arial"/>
          <w:sz w:val="16"/>
          <w:szCs w:val="16"/>
          <w:color w:val="auto"/>
        </w:rPr>
        <w:t>”) one of the largest search engine websites of its kind in the mid and late 1990s, with technologies that remain critical to current search platforms. Innovate/Protect’s Chief Executive Officer, Chief Technology Officer and President, Andrew K. Lang, is the former Chief Technology Officer of Lycos and led the development of the patented technologies. On September 15, 2011, Innovate/Protect through its subsidiary, I/P Engine, initiated a patent infringement lawsuit in the United States District Court for the Eastern District of Virginia against Google, Inc., AOL, Inc., IAC Search &amp; Media, Inc., Gannett Company, Inc. and Target Corporation for unlawfully</w:t>
      </w:r>
    </w:p>
    <w:p>
      <w:pPr>
        <w:spacing w:after="0" w:line="200" w:lineRule="exact"/>
        <w:rPr>
          <w:sz w:val="20"/>
          <w:szCs w:val="20"/>
          <w:color w:val="auto"/>
        </w:rPr>
      </w:pP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861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40450" cy="6861810"/>
                    </a:xfrm>
                    <a:prstGeom prst="rect">
                      <a:avLst/>
                    </a:prstGeom>
                    <a:noFill/>
                  </pic:spPr>
                </pic:pic>
              </a:graphicData>
            </a:graphic>
          </wp:anchor>
        </w:drawing>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using systems that incorporate features claimed in two patents owned by I/P Engine. The patents-in-suit relate to relevance search technology that is used in the search engine industry to produce better search results, and has also become the dominant technology used in search advertising to position high-quality advertisements.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49" w:lineRule="exact"/>
        <w:rPr>
          <w:sz w:val="20"/>
          <w:szCs w:val="20"/>
          <w:color w:val="auto"/>
        </w:rPr>
      </w:pPr>
    </w:p>
    <w:p>
      <w:pPr>
        <w:jc w:val="both"/>
        <w:ind w:left="40" w:right="619"/>
        <w:spacing w:after="0" w:line="249" w:lineRule="auto"/>
        <w:rPr>
          <w:sz w:val="20"/>
          <w:szCs w:val="20"/>
          <w:color w:val="auto"/>
        </w:rPr>
      </w:pPr>
      <w:r>
        <w:rPr>
          <w:rFonts w:ascii="Arial" w:cs="Arial" w:eastAsia="Arial" w:hAnsi="Arial"/>
          <w:sz w:val="17"/>
          <w:szCs w:val="17"/>
          <w:color w:val="auto"/>
        </w:rPr>
        <w:t>principal offices are located at 380 Madison Avenue,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New York, New York 10017 and its telephone number is (212) 309-7549. Innovate/Protect’s principal website is </w:t>
      </w:r>
      <w:r>
        <w:rPr>
          <w:rFonts w:ascii="Arial" w:cs="Arial" w:eastAsia="Arial" w:hAnsi="Arial"/>
          <w:sz w:val="17"/>
          <w:szCs w:val="17"/>
          <w:i w:val="1"/>
          <w:iCs w:val="1"/>
          <w:color w:val="auto"/>
        </w:rPr>
        <w:t>www.InnovateProtect.com</w:t>
      </w:r>
      <w:r>
        <w:rPr>
          <w:rFonts w:ascii="Arial" w:cs="Arial" w:eastAsia="Arial" w:hAnsi="Arial"/>
          <w:sz w:val="17"/>
          <w:szCs w:val="17"/>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7"/>
          <w:szCs w:val="17"/>
          <w:u w:val="single" w:color="auto"/>
          <w:color w:val="0000EE"/>
        </w:rPr>
        <w:t>132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138</w:t>
      </w:r>
      <w:r>
        <w:rPr>
          <w:rFonts w:ascii="Arial" w:cs="Arial" w:eastAsia="Arial" w:hAnsi="Arial"/>
          <w:sz w:val="17"/>
          <w:szCs w:val="17"/>
          <w:color w:val="000000"/>
        </w:rPr>
        <w:t>, and F-</w:t>
      </w:r>
      <w:r>
        <w:rPr>
          <w:rFonts w:ascii="Arial" w:cs="Arial" w:eastAsia="Arial" w:hAnsi="Arial"/>
          <w:sz w:val="17"/>
          <w:szCs w:val="17"/>
          <w:u w:val="single" w:color="auto"/>
          <w:color w:val="0000EE"/>
        </w:rPr>
        <w:t>34</w:t>
      </w:r>
      <w:r>
        <w:rPr>
          <w:rFonts w:ascii="Arial" w:cs="Arial" w:eastAsia="Arial" w:hAnsi="Arial"/>
          <w:sz w:val="17"/>
          <w:szCs w:val="17"/>
          <w:color w:val="000000"/>
        </w:rPr>
        <w:t>, respectively.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VIP Merger Sub, Inc.</w:t>
      </w:r>
    </w:p>
    <w:p>
      <w:pPr>
        <w:spacing w:after="0" w:line="114"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Merger</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Vringo and Innovate/Protect have entered into the Merger Agreement, which provides that, subject to the terms and conditions of the Merger Agreement and in accordance with the DGCL at the Effective Time (as such term is defined in the Merger Agreement), Innovate/Protect will merge with and into Merger Sub, with Merger Sub surviving as a wholly-owned subsidiary of Vringo. The board of directors of Vringo has unanimously approved the Merger Agreement and the Merger. The board of directors of Innovate/Protect has unanimously approved the Merger Agreement and the Merger.</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Innovate/Protect Stockholders Will Receive in the Merger</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Upon completion of the Merger, each Innovate/Protect common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6,818 shares, as of April 5, 2012, shall be initially convertible into an aggregate of 20,573,998 shares of Vringo common stock (or at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997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40450" cy="6997700"/>
                    </a:xfrm>
                    <a:prstGeom prst="rect">
                      <a:avLst/>
                    </a:prstGeom>
                    <a:noFill/>
                  </pic:spPr>
                </pic:pic>
              </a:graphicData>
            </a:graphic>
          </wp:anchor>
        </w:drawing>
        <w:t>TABLE OF CONTENTS</w:t>
      </w:r>
    </w:p>
    <w:p>
      <w:pPr>
        <w:spacing w:after="0" w:line="195"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6"/>
          <w:szCs w:val="16"/>
          <w:color w:val="auto"/>
        </w:rPr>
        <w:t>Immediately following the completion of the Merger (without taking into account any shares of Vringo common stock held by Innovate/Protect stockholders prior to the completion of the Merger), the former stockholders of Innovate/Protect are expected to own approximately 56.05% of the outstanding common stock of the combined company (or 67.55% of the outstanding common stock of the combined company calculated on a fully diluted basis) and the current stockholders of Vringo are expected to own approximately 43.95% of the outstanding common stock of the combined company (or 32.45% of the outstanding common stock of the combined company calculated on a fully diluted basis). If the Merger had been completed on _________, 2012, the record date</w:t>
      </w:r>
    </w:p>
    <w:p>
      <w:pPr>
        <w:spacing w:after="0" w:line="3" w:lineRule="exact"/>
        <w:rPr>
          <w:sz w:val="20"/>
          <w:szCs w:val="20"/>
          <w:color w:val="auto"/>
        </w:rPr>
      </w:pPr>
    </w:p>
    <w:p>
      <w:pPr>
        <w:jc w:val="both"/>
        <w:ind w:left="40" w:right="639"/>
        <w:spacing w:after="0" w:line="250" w:lineRule="auto"/>
        <w:rPr>
          <w:sz w:val="20"/>
          <w:szCs w:val="20"/>
          <w:color w:val="auto"/>
        </w:rPr>
      </w:pPr>
      <w:r>
        <w:rPr>
          <w:rFonts w:ascii="Arial" w:cs="Arial" w:eastAsia="Arial" w:hAnsi="Arial"/>
          <w:sz w:val="18"/>
          <w:szCs w:val="18"/>
          <w:color w:val="auto"/>
        </w:rPr>
        <w:t>for the Vringo annual meeting, an aggregate of 17,675,617 shares of Vringo common stock would have been issuable to Innovate/Protect common stockholders and the warrant holder, and an aggregate of 6,818 shares of Vringo preferred stock initially convertible into 20,573,998 shares of Vringo common stock on such date would have been issuable to Innovate/Protect stockholders upon completion of the Merger.</w:t>
      </w:r>
    </w:p>
    <w:p>
      <w:pPr>
        <w:spacing w:after="0" w:line="87"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Common Stock Exchange Ratio and the number of shares for which the Innovate/Protect preferred stock shall be convertible into shall not be adjusted without the prior written consent of Innovate/Protect; provided, however that such prior written consent shall not be unreasonably conditioned, withheld or delayed with regard to any such adjustments being made with respect to a reverse split of the equity securities of Vringo undertaken for the purpose of maintaining Vringo’s listing on NYSE Amex or any other consent, approval or authorization of, or registration, declaration or filing with, any governmental authority.</w:t>
      </w:r>
    </w:p>
    <w:p>
      <w:pPr>
        <w:spacing w:after="0" w:line="5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For a more complete discussion of what Innovate/Protect stockholders will receive in connection with the Merger and the formula that will be used to calculate the Exchange Ratios, see the sections entitled “The Merger — What Innovate/Protect Stockholders Will Receive in the Merger” and “The Merger Agreement — Merger Consideration” beginning on pages </w:t>
      </w:r>
      <w:r>
        <w:rPr>
          <w:rFonts w:ascii="Arial" w:cs="Arial" w:eastAsia="Arial" w:hAnsi="Arial"/>
          <w:sz w:val="18"/>
          <w:szCs w:val="18"/>
          <w:u w:val="single" w:color="auto"/>
          <w:color w:val="0000EE"/>
        </w:rPr>
        <w:t>59</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81</w:t>
      </w:r>
      <w:r>
        <w:rPr>
          <w:rFonts w:ascii="Arial" w:cs="Arial" w:eastAsia="Arial" w:hAnsi="Arial"/>
          <w:sz w:val="18"/>
          <w:szCs w:val="18"/>
          <w:color w:val="auto"/>
        </w:rPr>
        <w:t>, respectively.</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Ownership of the Combined Company After the Completion of the Merger</w:t>
      </w:r>
    </w:p>
    <w:p>
      <w:pPr>
        <w:spacing w:after="0" w:line="11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Upon completion of the Merger and regardless of the exact Exchange Ratios (or any reverse stock split), the former stockholders of Innovate/Protect (without taking into account any shares of Vringo common stock held by Innovate/Protect stockholders prior to the completion of the Merger) are expected to own approximately 56.05% of the outstanding common stock of the combined company (or 67.55% of the outstanding common stock of the combined company calculated on a fully diluted basis) and the current stockholders of Vringo are expected to own approximately 43.95% of the outstanding common stock of the combined company (or 32.45% of the outstanding common stock of the combined company calculated on a fully diluted basis).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Treatment of Innovate/Protect Stock Options and Warrants</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Therefore, at the effective time of the Merger,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an aggregate of 15,959,838 warrants to purchase an</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 w:name="page29"/>
    <w:bookmarkEnd w:id="28"/>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7023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40450" cy="7023100"/>
                    </a:xfrm>
                    <a:prstGeom prst="rect">
                      <a:avLst/>
                    </a:prstGeom>
                    <a:noFill/>
                  </pic:spPr>
                </pic:pic>
              </a:graphicData>
            </a:graphic>
          </wp:anchor>
        </w:drawing>
        <w:t>TABLE OF CONTENTS</w:t>
      </w:r>
    </w:p>
    <w:p>
      <w:pPr>
        <w:spacing w:after="0" w:line="195" w:lineRule="exact"/>
        <w:rPr>
          <w:sz w:val="20"/>
          <w:szCs w:val="20"/>
          <w:color w:val="auto"/>
        </w:rPr>
      </w:pPr>
    </w:p>
    <w:p>
      <w:pPr>
        <w:jc w:val="both"/>
        <w:ind w:left="60" w:right="619"/>
        <w:spacing w:after="0" w:line="253" w:lineRule="auto"/>
        <w:rPr>
          <w:sz w:val="20"/>
          <w:szCs w:val="20"/>
          <w:color w:val="auto"/>
        </w:rPr>
      </w:pPr>
      <w:r>
        <w:rPr>
          <w:rFonts w:ascii="Arial" w:cs="Arial" w:eastAsia="Arial" w:hAnsi="Arial"/>
          <w:sz w:val="18"/>
          <w:szCs w:val="18"/>
          <w:color w:val="auto"/>
        </w:rPr>
        <w:t>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__________, 2012, the latest practicable date before the printing of this proxy statement/prospectus, there were</w:t>
      </w:r>
    </w:p>
    <w:p>
      <w:pPr>
        <w:spacing w:after="0" w:line="31" w:lineRule="exact"/>
        <w:rPr>
          <w:sz w:val="20"/>
          <w:szCs w:val="20"/>
          <w:color w:val="auto"/>
        </w:rPr>
      </w:pPr>
    </w:p>
    <w:p>
      <w:pPr>
        <w:jc w:val="both"/>
        <w:ind w:left="60" w:right="639"/>
        <w:spacing w:after="0" w:line="255" w:lineRule="auto"/>
        <w:rPr>
          <w:sz w:val="20"/>
          <w:szCs w:val="20"/>
          <w:color w:val="auto"/>
        </w:rPr>
      </w:pPr>
      <w:r>
        <w:rPr>
          <w:rFonts w:ascii="Arial" w:cs="Arial" w:eastAsia="Arial" w:hAnsi="Arial"/>
          <w:sz w:val="18"/>
          <w:szCs w:val="18"/>
          <w:color w:val="auto"/>
        </w:rPr>
        <w:t>outstanding options to purchase 13,646 shares of Innovate/Protect capital stock and an outstanding warrant to purchase 250,000 shares of Innovate/Protect capital stock.</w:t>
      </w:r>
    </w:p>
    <w:p>
      <w:pPr>
        <w:spacing w:after="0" w:line="82"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 xml:space="preserve">For a more complete discussion of the treatment of Innovate/Protect stock options and warrants, see the section entitled “The Merger — Treatment of Innovate/Protect Stock Options and Warrants” beginning on page </w:t>
      </w:r>
      <w:r>
        <w:rPr>
          <w:rFonts w:ascii="Arial" w:cs="Arial" w:eastAsia="Arial" w:hAnsi="Arial"/>
          <w:sz w:val="18"/>
          <w:szCs w:val="18"/>
          <w:u w:val="single" w:color="auto"/>
          <w:color w:val="0000EE"/>
        </w:rPr>
        <w:t>60</w:t>
      </w:r>
      <w:r>
        <w:rPr>
          <w:rFonts w:ascii="Arial" w:cs="Arial" w:eastAsia="Arial" w:hAnsi="Arial"/>
          <w:sz w:val="18"/>
          <w:szCs w:val="18"/>
          <w:color w:val="auto"/>
        </w:rPr>
        <w:t>.</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Treatment of Vringo Stock Options; Change of Control Payments</w:t>
      </w:r>
    </w:p>
    <w:p>
      <w:pPr>
        <w:spacing w:after="0" w:line="118"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and Executive Officers of the Combined Company After the Completion of the Merger</w:t>
      </w:r>
    </w:p>
    <w:p>
      <w:pPr>
        <w:spacing w:after="0" w:line="118"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the Innovate/Protect board of directors.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executive management team of the combined company is expected to be composed of the following individuals: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Current Position</w:t>
            </w:r>
          </w:p>
        </w:tc>
        <w:tc>
          <w:tcPr>
            <w:tcW w:w="160" w:type="dxa"/>
            <w:vAlign w:val="bottom"/>
          </w:tcPr>
          <w:p>
            <w:pPr>
              <w:spacing w:after="0"/>
              <w:rPr>
                <w:sz w:val="15"/>
                <w:szCs w:val="15"/>
                <w:color w:val="auto"/>
              </w:rPr>
            </w:pPr>
          </w:p>
        </w:tc>
        <w:tc>
          <w:tcPr>
            <w:tcW w:w="2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84"/>
        </w:trPr>
        <w:tc>
          <w:tcPr>
            <w:tcW w:w="1620" w:type="dxa"/>
            <w:vAlign w:val="bottom"/>
          </w:tcPr>
          <w:p>
            <w:pPr>
              <w:ind w:left="20"/>
              <w:spacing w:after="0"/>
              <w:rPr>
                <w:sz w:val="20"/>
                <w:szCs w:val="20"/>
                <w:color w:val="auto"/>
              </w:rPr>
            </w:pPr>
            <w:r>
              <w:rPr>
                <w:rFonts w:ascii="Arial" w:cs="Arial" w:eastAsia="Arial" w:hAnsi="Arial"/>
                <w:sz w:val="16"/>
                <w:szCs w:val="16"/>
                <w:color w:val="auto"/>
              </w:rPr>
              <w:t>Andrew D. Perlman</w:t>
            </w:r>
          </w:p>
        </w:tc>
        <w:tc>
          <w:tcPr>
            <w:tcW w:w="16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w w:val="99"/>
              </w:rPr>
              <w:t>Chief Executive Officer and President of Vringo</w:t>
            </w:r>
          </w:p>
        </w:tc>
        <w:tc>
          <w:tcPr>
            <w:tcW w:w="160" w:type="dxa"/>
            <w:vAlign w:val="bottom"/>
          </w:tcPr>
          <w:p>
            <w:pPr>
              <w:spacing w:after="0"/>
              <w:rPr>
                <w:sz w:val="15"/>
                <w:szCs w:val="15"/>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rPr>
              <w:t>Chief Executive Officer</w:t>
            </w:r>
          </w:p>
        </w:tc>
      </w:tr>
      <w:tr>
        <w:trPr>
          <w:trHeight w:val="200"/>
        </w:trPr>
        <w:tc>
          <w:tcPr>
            <w:tcW w:w="1620" w:type="dxa"/>
            <w:vAlign w:val="bottom"/>
          </w:tcPr>
          <w:p>
            <w:pPr>
              <w:ind w:left="20"/>
              <w:spacing w:after="0"/>
              <w:rPr>
                <w:sz w:val="20"/>
                <w:szCs w:val="20"/>
                <w:color w:val="auto"/>
              </w:rPr>
            </w:pPr>
            <w:r>
              <w:rPr>
                <w:rFonts w:ascii="Arial" w:cs="Arial" w:eastAsia="Arial" w:hAnsi="Arial"/>
                <w:sz w:val="16"/>
                <w:szCs w:val="16"/>
                <w:color w:val="auto"/>
                <w:w w:val="97"/>
              </w:rPr>
              <w:t>Andrew Kennedy Lang</w:t>
            </w: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rPr>
              <w:t>President, Chief Executive Officer and Chief</w:t>
            </w:r>
          </w:p>
        </w:tc>
        <w:tc>
          <w:tcPr>
            <w:tcW w:w="16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w w:val="95"/>
              </w:rPr>
              <w:t>Chief Technology Officer and President</w:t>
            </w:r>
          </w:p>
        </w:tc>
      </w:tr>
      <w:tr>
        <w:trPr>
          <w:trHeight w:val="200"/>
        </w:trPr>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rPr>
              <w:t>Technology Officer of Innovate/Protect</w:t>
            </w:r>
          </w:p>
        </w:tc>
        <w:tc>
          <w:tcPr>
            <w:tcW w:w="1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0"/>
        </w:trPr>
        <w:tc>
          <w:tcPr>
            <w:tcW w:w="1620" w:type="dxa"/>
            <w:vAlign w:val="bottom"/>
          </w:tcPr>
          <w:p>
            <w:pPr>
              <w:ind w:left="20"/>
              <w:spacing w:after="0"/>
              <w:rPr>
                <w:sz w:val="20"/>
                <w:szCs w:val="20"/>
                <w:color w:val="auto"/>
              </w:rPr>
            </w:pPr>
            <w:r>
              <w:rPr>
                <w:rFonts w:ascii="Arial" w:cs="Arial" w:eastAsia="Arial" w:hAnsi="Arial"/>
                <w:sz w:val="16"/>
                <w:szCs w:val="16"/>
                <w:color w:val="auto"/>
              </w:rPr>
              <w:t>Alexander R. Berger</w:t>
            </w: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w w:val="94"/>
              </w:rPr>
              <w:t>Secretary, Treasurer, Chief Operating Officer and</w:t>
            </w:r>
          </w:p>
        </w:tc>
        <w:tc>
          <w:tcPr>
            <w:tcW w:w="16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rPr>
              <w:t>Chief Operating Officer and Secretary</w:t>
            </w:r>
          </w:p>
        </w:tc>
      </w:tr>
      <w:tr>
        <w:trPr>
          <w:trHeight w:val="200"/>
        </w:trPr>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rPr>
              <w:t>Chief Financial Officer of Innovate/Protect</w:t>
            </w:r>
          </w:p>
        </w:tc>
        <w:tc>
          <w:tcPr>
            <w:tcW w:w="1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5"/>
        </w:trPr>
        <w:tc>
          <w:tcPr>
            <w:tcW w:w="1620" w:type="dxa"/>
            <w:vAlign w:val="bottom"/>
          </w:tcPr>
          <w:p>
            <w:pPr>
              <w:ind w:left="20"/>
              <w:spacing w:after="0"/>
              <w:rPr>
                <w:sz w:val="20"/>
                <w:szCs w:val="20"/>
                <w:color w:val="auto"/>
              </w:rPr>
            </w:pPr>
            <w:r>
              <w:rPr>
                <w:rFonts w:ascii="Arial" w:cs="Arial" w:eastAsia="Arial" w:hAnsi="Arial"/>
                <w:sz w:val="16"/>
                <w:szCs w:val="16"/>
                <w:color w:val="auto"/>
              </w:rPr>
              <w:t>Ellen Cohl</w:t>
            </w:r>
          </w:p>
        </w:tc>
        <w:tc>
          <w:tcPr>
            <w:tcW w:w="160" w:type="dxa"/>
            <w:vAlign w:val="bottom"/>
          </w:tcPr>
          <w:p>
            <w:pPr>
              <w:spacing w:after="0"/>
              <w:rPr>
                <w:sz w:val="17"/>
                <w:szCs w:val="17"/>
                <w:color w:val="auto"/>
              </w:rPr>
            </w:pPr>
          </w:p>
        </w:tc>
        <w:tc>
          <w:tcPr>
            <w:tcW w:w="3420" w:type="dxa"/>
            <w:vAlign w:val="bottom"/>
          </w:tcPr>
          <w:p>
            <w:pPr>
              <w:ind w:left="80"/>
              <w:spacing w:after="0"/>
              <w:rPr>
                <w:sz w:val="20"/>
                <w:szCs w:val="20"/>
                <w:color w:val="auto"/>
              </w:rPr>
            </w:pPr>
            <w:r>
              <w:rPr>
                <w:rFonts w:ascii="Arial" w:cs="Arial" w:eastAsia="Arial" w:hAnsi="Arial"/>
                <w:sz w:val="16"/>
                <w:szCs w:val="16"/>
                <w:color w:val="auto"/>
              </w:rPr>
              <w:t>Chief Financial Officer of Vringo</w:t>
            </w:r>
          </w:p>
        </w:tc>
        <w:tc>
          <w:tcPr>
            <w:tcW w:w="16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rPr>
              <w:t>Chief Financial Officer and Treasurer</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Recommendations of the Vringo Board of Directors and its Reasons for the Merger</w:t>
      </w:r>
    </w:p>
    <w:p>
      <w:pPr>
        <w:spacing w:after="0" w:line="118" w:lineRule="exact"/>
        <w:rPr>
          <w:sz w:val="20"/>
          <w:szCs w:val="20"/>
          <w:color w:val="auto"/>
        </w:rPr>
      </w:pPr>
    </w:p>
    <w:p>
      <w:pPr>
        <w:jc w:val="both"/>
        <w:ind w:left="60" w:right="619" w:firstLine="267"/>
        <w:spacing w:after="0" w:line="284" w:lineRule="auto"/>
        <w:rPr>
          <w:sz w:val="20"/>
          <w:szCs w:val="20"/>
          <w:color w:val="auto"/>
        </w:rPr>
      </w:pPr>
      <w:r>
        <w:rPr>
          <w:rFonts w:ascii="Arial" w:cs="Arial" w:eastAsia="Arial" w:hAnsi="Arial"/>
          <w:sz w:val="16"/>
          <w:szCs w:val="16"/>
          <w:color w:val="auto"/>
        </w:rPr>
        <w:t xml:space="preserve">The Vringo board of directors, after considering the factors described in the section entitled “The Merger — Recommendations of the Vringo Board of Directors and its Reasons for the Merger” beginning on page </w:t>
      </w:r>
      <w:r>
        <w:rPr>
          <w:rFonts w:ascii="Arial" w:cs="Arial" w:eastAsia="Arial" w:hAnsi="Arial"/>
          <w:sz w:val="16"/>
          <w:szCs w:val="16"/>
          <w:u w:val="single" w:color="auto"/>
          <w:color w:val="0000EE"/>
        </w:rPr>
        <w:t>65</w:t>
      </w:r>
      <w:r>
        <w:rPr>
          <w:rFonts w:ascii="Arial" w:cs="Arial" w:eastAsia="Arial" w:hAnsi="Arial"/>
          <w:sz w:val="16"/>
          <w:szCs w:val="16"/>
          <w:color w:val="auto"/>
        </w:rPr>
        <w:t>, has unanimously approved the Merger Agreement and the transactions contemplated thereby, including the Merger. The Vringo board of directors has determined that the Merger Agreement and the transactions contemplated thereby, including the Merger, are advisable and fair to, and in the best interests of, Vringo and its stockholders, and therefore recommends that the Vringo stockholders vote FOR the Securities Issuance Proposal, FOR the Reverse Stock Split Proposal, FOR the Authorized Shares Increase Proposal, as contemplated by the Merger Agreement, FOR the election of the seven (7) director nominees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recommendations to the Vringo stockholders after considering the factors described in this proxy statement/prospectus. For a more complete discussion of the recommendations of the Vringo board of directors and its</w:t>
      </w:r>
    </w:p>
    <w:p>
      <w:pPr>
        <w:spacing w:after="0" w:line="200" w:lineRule="exact"/>
        <w:rPr>
          <w:sz w:val="20"/>
          <w:szCs w:val="20"/>
          <w:color w:val="auto"/>
        </w:rPr>
      </w:pPr>
    </w:p>
    <w:p>
      <w:pPr>
        <w:spacing w:after="0" w:line="3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0471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40450" cy="6047105"/>
                    </a:xfrm>
                    <a:prstGeom prst="rect">
                      <a:avLst/>
                    </a:prstGeom>
                    <a:noFill/>
                  </pic:spPr>
                </pic:pic>
              </a:graphicData>
            </a:graphic>
          </wp:anchor>
        </w:drawing>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 xml:space="preserve">reasons for the Merger, see the section entitled “The Merger — Recommendations of the Vringo Board of Directors and its Reasons for the Merger” beginning on page </w:t>
      </w:r>
      <w:r>
        <w:rPr>
          <w:rFonts w:ascii="Arial" w:cs="Arial" w:eastAsia="Arial" w:hAnsi="Arial"/>
          <w:sz w:val="18"/>
          <w:szCs w:val="18"/>
          <w:u w:val="single" w:color="auto"/>
          <w:color w:val="0000EE"/>
        </w:rPr>
        <w:t>65</w:t>
      </w:r>
      <w:r>
        <w:rPr>
          <w:rFonts w:ascii="Arial" w:cs="Arial" w:eastAsia="Arial" w:hAnsi="Arial"/>
          <w:sz w:val="18"/>
          <w:szCs w:val="18"/>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of Etico Capital to the Vringo Board of Directors</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board of directors of Vringo engaged Etico Capital, a division of Olympus Securities LLC (“</w:t>
      </w:r>
      <w:r>
        <w:rPr>
          <w:rFonts w:ascii="Arial" w:cs="Arial" w:eastAsia="Arial" w:hAnsi="Arial"/>
          <w:sz w:val="16"/>
          <w:szCs w:val="16"/>
          <w:b w:val="1"/>
          <w:bCs w:val="1"/>
          <w:color w:val="auto"/>
        </w:rPr>
        <w:t>Etico Capital</w:t>
      </w:r>
      <w:r>
        <w:rPr>
          <w:rFonts w:ascii="Arial" w:cs="Arial" w:eastAsia="Arial" w:hAnsi="Arial"/>
          <w:sz w:val="16"/>
          <w:szCs w:val="16"/>
          <w:color w:val="auto"/>
        </w:rPr>
        <w:t>”), to render an opinion to the board of directors as to whether the Merger consideration was fair, from a financial point of view, to the stockholders of Vringo.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5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b w:val="1"/>
          <w:bCs w:val="1"/>
          <w:color w:val="auto"/>
        </w:rPr>
        <w:t xml:space="preserve">The full text of the written opinion, dated as of March 12, 2012, of Etico Capital is attached as </w:t>
      </w:r>
      <w:r>
        <w:rPr>
          <w:rFonts w:ascii="Arial" w:cs="Arial" w:eastAsia="Arial" w:hAnsi="Arial"/>
          <w:sz w:val="16"/>
          <w:szCs w:val="16"/>
          <w:b w:val="1"/>
          <w:bCs w:val="1"/>
          <w:u w:val="single" w:color="auto"/>
          <w:color w:val="auto"/>
        </w:rPr>
        <w:t>Annex H</w:t>
      </w:r>
      <w:r>
        <w:rPr>
          <w:rFonts w:ascii="Arial" w:cs="Arial" w:eastAsia="Arial" w:hAnsi="Arial"/>
          <w:sz w:val="16"/>
          <w:szCs w:val="16"/>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Interests of Vringo Directors and Executive Officers in the Merger</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You should be aware that certain directors and executive officers of Vringo have interests in the Merger that are different from, or in addition to, the interests of the stockholders of Vringo generally.</w:t>
      </w:r>
    </w:p>
    <w:p>
      <w:pPr>
        <w:spacing w:after="0" w:line="69"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Interests of Vringo’s directors and executive officers in connection with the Merger relate to (i) the continuing service of each of Seth M. Siegel, Andrew D. Perlman and John Engelman as directors of the combined company following the completion of the Merger, (ii) the fact that Andrew D. Perlman and Ellen Cohl are currently executive officers of Vringo and will remain executive officers of the combined company following the completion of the Merger, (iii) upon the change of control in connection with the consummation of the Merger, there there will be a one year acceleration of option vesting for option holders for grants prior to the consummation of the Merger, except for Andrew D. Perlman who will be entitled to 50% acceleration for all of his unvested options granted to him prior to him becoming Chief Executive Officer of Vringo,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 (v) the right to continued indemnification for directors and executive officers of Vringo following the completion of the Merger.</w:t>
      </w:r>
    </w:p>
    <w:p>
      <w:pPr>
        <w:spacing w:after="0" w:line="200" w:lineRule="exact"/>
        <w:rPr>
          <w:sz w:val="20"/>
          <w:szCs w:val="20"/>
          <w:color w:val="auto"/>
        </w:rPr>
      </w:pPr>
    </w:p>
    <w:p>
      <w:pPr>
        <w:spacing w:after="0" w:line="3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 w:name="page31"/>
    <w:bookmarkEnd w:id="30"/>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513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40450" cy="6513830"/>
                    </a:xfrm>
                    <a:prstGeom prst="rect">
                      <a:avLst/>
                    </a:prstGeom>
                    <a:noFill/>
                  </pic:spPr>
                </pic:pic>
              </a:graphicData>
            </a:graphic>
          </wp:anchor>
        </w:drawing>
        <w:t>TABLE OF CONTENTS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benefits to be made to Vringo’s directors and executive officers in connection with the</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Merger, assuming a change of control occurs and termination of Vringo’s directors as of March 30, 2012:</w:t>
      </w:r>
    </w:p>
    <w:tbl>
      <w:tblPr>
        <w:tblLayout w:type="fixed"/>
        <w:tblInd w:w="120" w:type="dxa"/>
        <w:tblCellMar>
          <w:top w:w="0" w:type="dxa"/>
          <w:left w:w="0" w:type="dxa"/>
          <w:bottom w:w="0" w:type="dxa"/>
          <w:right w:w="0" w:type="dxa"/>
        </w:tblCellMar>
      </w:tblPr>
      <w:tr>
        <w:trPr>
          <w:trHeight w:val="20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line="209" w:lineRule="exact"/>
              <w:rPr>
                <w:sz w:val="20"/>
                <w:szCs w:val="20"/>
                <w:color w:val="auto"/>
              </w:rPr>
            </w:pPr>
            <w:r>
              <w:rPr>
                <w:rFonts w:ascii="Arial" w:cs="Arial" w:eastAsia="Arial" w:hAnsi="Arial"/>
                <w:sz w:val="14"/>
                <w:szCs w:val="14"/>
                <w:b w:val="1"/>
                <w:bCs w:val="1"/>
                <w:color w:val="auto"/>
                <w:w w:val="89"/>
              </w:rPr>
              <w:t>Equity ($)</w:t>
            </w:r>
            <w:r>
              <w:rPr>
                <w:rFonts w:ascii="Arial" w:cs="Arial" w:eastAsia="Arial" w:hAnsi="Arial"/>
                <w:sz w:val="23"/>
                <w:szCs w:val="23"/>
                <w:b w:val="1"/>
                <w:bCs w:val="1"/>
                <w:color w:val="auto"/>
                <w:w w:val="89"/>
                <w:vertAlign w:val="superscript"/>
              </w:rPr>
              <w:t>(1)</w:t>
            </w:r>
          </w:p>
        </w:tc>
      </w:tr>
      <w:tr>
        <w:trPr>
          <w:trHeight w:val="207"/>
        </w:trPr>
        <w:tc>
          <w:tcPr>
            <w:tcW w:w="6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170,584</w:t>
            </w:r>
          </w:p>
        </w:tc>
      </w:tr>
      <w:tr>
        <w:trPr>
          <w:trHeight w:val="214"/>
        </w:trPr>
        <w:tc>
          <w:tcPr>
            <w:tcW w:w="628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80,200</w:t>
            </w:r>
          </w:p>
        </w:tc>
      </w:tr>
      <w:tr>
        <w:trPr>
          <w:trHeight w:val="214"/>
        </w:trPr>
        <w:tc>
          <w:tcPr>
            <w:tcW w:w="6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7,280</w:t>
            </w:r>
          </w:p>
        </w:tc>
      </w:tr>
      <w:tr>
        <w:trPr>
          <w:trHeight w:val="227"/>
        </w:trPr>
        <w:tc>
          <w:tcPr>
            <w:tcW w:w="628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37,958</w:t>
            </w:r>
          </w:p>
        </w:tc>
      </w:tr>
    </w:tbl>
    <w:p>
      <w:pPr>
        <w:spacing w:after="0" w:line="200" w:lineRule="exact"/>
        <w:rPr>
          <w:sz w:val="20"/>
          <w:szCs w:val="20"/>
          <w:color w:val="auto"/>
        </w:rPr>
      </w:pPr>
    </w:p>
    <w:p>
      <w:pPr>
        <w:spacing w:after="0" w:line="321" w:lineRule="exact"/>
        <w:rPr>
          <w:sz w:val="20"/>
          <w:szCs w:val="20"/>
          <w:color w:val="auto"/>
        </w:rPr>
      </w:pPr>
    </w:p>
    <w:p>
      <w:pPr>
        <w:jc w:val="both"/>
        <w:ind w:left="420" w:right="860" w:hanging="275"/>
        <w:spacing w:after="0" w:line="275" w:lineRule="auto"/>
        <w:tabs>
          <w:tab w:leader="none" w:pos="4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Calculated based on the aggregate dollar value of in-the-money option awards for which vesting would be accelerated, determined by the difference between the price per share (as discussed in the below) and the exercise price of the options. The price per share is calculated based on the average closing market price of Vringo common stock over the first five business days following March 14, 2012, the first public announcement of the Merger.</w:t>
      </w:r>
    </w:p>
    <w:p>
      <w:pPr>
        <w:spacing w:after="0" w:line="66" w:lineRule="exact"/>
        <w:rPr>
          <w:sz w:val="20"/>
          <w:szCs w:val="20"/>
          <w:color w:val="auto"/>
        </w:rPr>
      </w:pPr>
    </w:p>
    <w:p>
      <w:pPr>
        <w:jc w:val="both"/>
        <w:ind w:left="180" w:right="860" w:firstLine="267"/>
        <w:spacing w:after="0" w:line="300" w:lineRule="auto"/>
        <w:rPr>
          <w:sz w:val="20"/>
          <w:szCs w:val="20"/>
          <w:color w:val="auto"/>
        </w:rPr>
      </w:pPr>
      <w:r>
        <w:rPr>
          <w:rFonts w:ascii="Arial" w:cs="Arial" w:eastAsia="Arial" w:hAnsi="Arial"/>
          <w:sz w:val="17"/>
          <w:szCs w:val="17"/>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46" w:lineRule="exact"/>
        <w:rPr>
          <w:sz w:val="20"/>
          <w:szCs w:val="20"/>
          <w:color w:val="auto"/>
        </w:rPr>
      </w:pPr>
    </w:p>
    <w:p>
      <w:pPr>
        <w:jc w:val="both"/>
        <w:ind w:left="180" w:right="880" w:firstLine="267"/>
        <w:spacing w:after="0" w:line="300" w:lineRule="auto"/>
        <w:rPr>
          <w:sz w:val="20"/>
          <w:szCs w:val="20"/>
          <w:color w:val="auto"/>
        </w:rPr>
      </w:pPr>
      <w:r>
        <w:rPr>
          <w:rFonts w:ascii="Arial" w:cs="Arial" w:eastAsia="Arial" w:hAnsi="Arial"/>
          <w:sz w:val="17"/>
          <w:szCs w:val="17"/>
          <w:color w:val="auto"/>
        </w:rPr>
        <w:t xml:space="preserve">For a more complete discussion of the interests of the directors and executive officers of Vringo in the Merger, see the section entitled “The Merger — Interests of Vringo’s Directors and Executive Officers in the Merger” beginning on page </w:t>
      </w:r>
      <w:r>
        <w:rPr>
          <w:rFonts w:ascii="Arial" w:cs="Arial" w:eastAsia="Arial" w:hAnsi="Arial"/>
          <w:sz w:val="17"/>
          <w:szCs w:val="17"/>
          <w:u w:val="single" w:color="auto"/>
          <w:color w:val="0000EE"/>
        </w:rPr>
        <w:t>73</w:t>
      </w:r>
      <w:r>
        <w:rPr>
          <w:rFonts w:ascii="Arial" w:cs="Arial" w:eastAsia="Arial" w:hAnsi="Arial"/>
          <w:sz w:val="17"/>
          <w:szCs w:val="17"/>
          <w:color w:val="auto"/>
        </w:rPr>
        <w: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Ownership Interests</w:t>
      </w:r>
    </w:p>
    <w:p>
      <w:pPr>
        <w:spacing w:after="0" w:line="114" w:lineRule="exact"/>
        <w:rPr>
          <w:sz w:val="20"/>
          <w:szCs w:val="20"/>
          <w:color w:val="auto"/>
        </w:rPr>
      </w:pPr>
    </w:p>
    <w:p>
      <w:pPr>
        <w:jc w:val="both"/>
        <w:ind w:left="180" w:right="860" w:firstLine="267"/>
        <w:spacing w:after="0" w:line="282" w:lineRule="auto"/>
        <w:rPr>
          <w:sz w:val="20"/>
          <w:szCs w:val="20"/>
          <w:color w:val="auto"/>
        </w:rPr>
      </w:pPr>
      <w:r>
        <w:rPr>
          <w:rFonts w:ascii="Arial" w:cs="Arial" w:eastAsia="Arial" w:hAnsi="Arial"/>
          <w:sz w:val="16"/>
          <w:szCs w:val="16"/>
          <w:color w:val="auto"/>
        </w:rPr>
        <w:t>The following table sets forth information as of March 30, 2012, regarding the beneficial ownership of the combined company for each executive officer and director of Vringo and Innovate/Protect following the completion of the Merger. Percentage of beneficial ownership is calculated in relation to 31,537,040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March 30, 2012. The table also sets forth the total number of additional options that each executive officer and director of Innovate/Protect will have the right to acquire following the Merger, but which are not exercisable within 60 days of March 30, 2012.</w:t>
      </w:r>
    </w:p>
    <w:tbl>
      <w:tblPr>
        <w:tblLayout w:type="fixed"/>
        <w:tblInd w:w="0" w:type="dxa"/>
        <w:tblCellMar>
          <w:top w:w="0" w:type="dxa"/>
          <w:left w:w="0" w:type="dxa"/>
          <w:bottom w:w="0" w:type="dxa"/>
          <w:right w:w="0" w:type="dxa"/>
        </w:tblCellMar>
      </w:tblPr>
      <w:tr>
        <w:trPr>
          <w:trHeight w:val="151"/>
        </w:trPr>
        <w:tc>
          <w:tcPr>
            <w:tcW w:w="120" w:type="dxa"/>
            <w:vAlign w:val="bottom"/>
          </w:tcPr>
          <w:p>
            <w:pPr>
              <w:spacing w:after="0"/>
              <w:rPr>
                <w:sz w:val="13"/>
                <w:szCs w:val="13"/>
                <w:color w:val="auto"/>
              </w:rPr>
            </w:pPr>
          </w:p>
        </w:tc>
        <w:tc>
          <w:tcPr>
            <w:tcW w:w="31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8"/>
              </w:rPr>
              <w:t>Total Shares to be</w:t>
            </w:r>
          </w:p>
        </w:tc>
        <w:tc>
          <w:tcPr>
            <w:tcW w:w="160" w:type="dxa"/>
            <w:vAlign w:val="bottom"/>
          </w:tcPr>
          <w:p>
            <w:pPr>
              <w:spacing w:after="0"/>
              <w:rPr>
                <w:sz w:val="13"/>
                <w:szCs w:val="13"/>
                <w:color w:val="auto"/>
              </w:rPr>
            </w:pPr>
          </w:p>
        </w:tc>
        <w:tc>
          <w:tcPr>
            <w:tcW w:w="14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Total Additional</w:t>
            </w:r>
          </w:p>
        </w:tc>
        <w:tc>
          <w:tcPr>
            <w:tcW w:w="160" w:type="dxa"/>
            <w:vAlign w:val="bottom"/>
          </w:tcPr>
          <w:p>
            <w:pPr>
              <w:spacing w:after="0"/>
              <w:rPr>
                <w:sz w:val="13"/>
                <w:szCs w:val="13"/>
                <w:color w:val="auto"/>
              </w:rPr>
            </w:pPr>
          </w:p>
        </w:tc>
        <w:tc>
          <w:tcPr>
            <w:tcW w:w="3120" w:type="dxa"/>
            <w:vAlign w:val="bottom"/>
            <w:gridSpan w:val="2"/>
          </w:tcPr>
          <w:p>
            <w:pPr>
              <w:jc w:val="center"/>
              <w:ind w:right="1420"/>
              <w:spacing w:after="0" w:line="151" w:lineRule="exact"/>
              <w:rPr>
                <w:sz w:val="20"/>
                <w:szCs w:val="20"/>
                <w:color w:val="auto"/>
              </w:rPr>
            </w:pPr>
            <w:r>
              <w:rPr>
                <w:rFonts w:ascii="Arial" w:cs="Arial" w:eastAsia="Arial" w:hAnsi="Arial"/>
                <w:sz w:val="14"/>
                <w:szCs w:val="14"/>
                <w:b w:val="1"/>
                <w:bCs w:val="1"/>
                <w:color w:val="auto"/>
                <w:w w:val="90"/>
              </w:rPr>
              <w:t>Combined</w:t>
            </w:r>
          </w:p>
        </w:tc>
        <w:tc>
          <w:tcPr>
            <w:tcW w:w="780" w:type="dxa"/>
            <w:vAlign w:val="bottom"/>
          </w:tcPr>
          <w:p>
            <w:pPr>
              <w:spacing w:after="0"/>
              <w:rPr>
                <w:sz w:val="13"/>
                <w:szCs w:val="13"/>
                <w:color w:val="auto"/>
              </w:rPr>
            </w:pPr>
          </w:p>
        </w:tc>
      </w:tr>
      <w:tr>
        <w:trPr>
          <w:trHeight w:val="147"/>
        </w:trPr>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16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Options to be Held</w:t>
            </w:r>
          </w:p>
        </w:tc>
        <w:tc>
          <w:tcPr>
            <w:tcW w:w="160" w:type="dxa"/>
            <w:vAlign w:val="bottom"/>
          </w:tcPr>
          <w:p>
            <w:pPr>
              <w:spacing w:after="0"/>
              <w:rPr>
                <w:sz w:val="12"/>
                <w:szCs w:val="12"/>
                <w:color w:val="auto"/>
              </w:rPr>
            </w:pPr>
          </w:p>
        </w:tc>
        <w:tc>
          <w:tcPr>
            <w:tcW w:w="3120" w:type="dxa"/>
            <w:vAlign w:val="bottom"/>
            <w:gridSpan w:val="2"/>
          </w:tcPr>
          <w:p>
            <w:pPr>
              <w:jc w:val="center"/>
              <w:ind w:right="1420"/>
              <w:spacing w:after="0" w:line="147" w:lineRule="exact"/>
              <w:rPr>
                <w:sz w:val="20"/>
                <w:szCs w:val="20"/>
                <w:color w:val="auto"/>
              </w:rPr>
            </w:pPr>
            <w:r>
              <w:rPr>
                <w:rFonts w:ascii="Arial" w:cs="Arial" w:eastAsia="Arial" w:hAnsi="Arial"/>
                <w:sz w:val="14"/>
                <w:szCs w:val="14"/>
                <w:b w:val="1"/>
                <w:bCs w:val="1"/>
                <w:color w:val="auto"/>
                <w:w w:val="91"/>
              </w:rPr>
              <w:t>Company Beneficial</w:t>
            </w:r>
          </w:p>
        </w:tc>
        <w:tc>
          <w:tcPr>
            <w:tcW w:w="780" w:type="dxa"/>
            <w:vAlign w:val="bottom"/>
          </w:tcPr>
          <w:p>
            <w:pPr>
              <w:spacing w:after="0"/>
              <w:rPr>
                <w:sz w:val="12"/>
                <w:szCs w:val="12"/>
                <w:color w:val="auto"/>
              </w:rPr>
            </w:pPr>
          </w:p>
        </w:tc>
      </w:tr>
      <w:tr>
        <w:trPr>
          <w:trHeight w:val="147"/>
        </w:trPr>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3120" w:type="dxa"/>
            <w:vAlign w:val="bottom"/>
            <w:gridSpan w:val="2"/>
          </w:tcPr>
          <w:p>
            <w:pPr>
              <w:jc w:val="center"/>
              <w:ind w:right="1420"/>
              <w:spacing w:after="0" w:line="147" w:lineRule="exact"/>
              <w:rPr>
                <w:sz w:val="20"/>
                <w:szCs w:val="20"/>
                <w:color w:val="auto"/>
              </w:rPr>
            </w:pPr>
            <w:r>
              <w:rPr>
                <w:rFonts w:ascii="Arial" w:cs="Arial" w:eastAsia="Arial" w:hAnsi="Arial"/>
                <w:sz w:val="14"/>
                <w:szCs w:val="14"/>
                <w:b w:val="1"/>
                <w:bCs w:val="1"/>
                <w:color w:val="auto"/>
                <w:w w:val="90"/>
              </w:rPr>
              <w:t>Ownership Percentage</w:t>
            </w:r>
          </w:p>
        </w:tc>
        <w:tc>
          <w:tcPr>
            <w:tcW w:w="78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Following the Merger</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7"/>
        </w:trPr>
        <w:tc>
          <w:tcPr>
            <w:tcW w:w="120" w:type="dxa"/>
            <w:vAlign w:val="bottom"/>
          </w:tcPr>
          <w:p>
            <w:pPr>
              <w:spacing w:after="0"/>
              <w:rPr>
                <w:sz w:val="18"/>
                <w:szCs w:val="18"/>
                <w:color w:val="auto"/>
              </w:rPr>
            </w:pPr>
          </w:p>
        </w:tc>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15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561,584</w:t>
            </w:r>
          </w:p>
        </w:tc>
        <w:tc>
          <w:tcPr>
            <w:tcW w:w="156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377,250</w:t>
            </w:r>
          </w:p>
        </w:tc>
        <w:tc>
          <w:tcPr>
            <w:tcW w:w="1860" w:type="dxa"/>
            <w:vAlign w:val="bottom"/>
            <w:gridSpan w:val="2"/>
            <w:shd w:val="clear" w:color="auto" w:fill="CCFFCC"/>
          </w:tcPr>
          <w:p>
            <w:pPr>
              <w:jc w:val="right"/>
              <w:ind w:right="409"/>
              <w:spacing w:after="0"/>
              <w:rPr>
                <w:sz w:val="20"/>
                <w:szCs w:val="20"/>
                <w:color w:val="auto"/>
              </w:rPr>
            </w:pPr>
            <w:r>
              <w:rPr>
                <w:rFonts w:ascii="Arial" w:cs="Arial" w:eastAsia="Arial" w:hAnsi="Arial"/>
                <w:sz w:val="18"/>
                <w:szCs w:val="18"/>
                <w:color w:val="auto"/>
              </w:rPr>
              <w:t>1.8%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Seth M. Siegel</w:t>
            </w:r>
          </w:p>
        </w:tc>
        <w:tc>
          <w:tcPr>
            <w:tcW w:w="1580" w:type="dxa"/>
            <w:vAlign w:val="bottom"/>
            <w:gridSpan w:val="2"/>
          </w:tcPr>
          <w:p>
            <w:pPr>
              <w:jc w:val="right"/>
              <w:ind w:right="49"/>
              <w:spacing w:after="0"/>
              <w:rPr>
                <w:sz w:val="20"/>
                <w:szCs w:val="20"/>
                <w:color w:val="auto"/>
              </w:rPr>
            </w:pPr>
            <w:r>
              <w:rPr>
                <w:rFonts w:ascii="Arial" w:cs="Arial" w:eastAsia="Arial" w:hAnsi="Arial"/>
                <w:sz w:val="18"/>
                <w:szCs w:val="18"/>
                <w:color w:val="auto"/>
              </w:rPr>
              <w:t>557,830</w:t>
            </w:r>
          </w:p>
        </w:tc>
        <w:tc>
          <w:tcPr>
            <w:tcW w:w="1560" w:type="dxa"/>
            <w:vAlign w:val="bottom"/>
            <w:gridSpan w:val="2"/>
          </w:tcPr>
          <w:p>
            <w:pPr>
              <w:jc w:val="right"/>
              <w:ind w:right="39"/>
              <w:spacing w:after="0"/>
              <w:rPr>
                <w:sz w:val="20"/>
                <w:szCs w:val="20"/>
                <w:color w:val="auto"/>
              </w:rPr>
            </w:pPr>
            <w:r>
              <w:rPr>
                <w:rFonts w:ascii="Arial" w:cs="Arial" w:eastAsia="Arial" w:hAnsi="Arial"/>
                <w:sz w:val="18"/>
                <w:szCs w:val="18"/>
                <w:color w:val="auto"/>
              </w:rPr>
              <w:t>276,042</w:t>
            </w:r>
          </w:p>
        </w:tc>
        <w:tc>
          <w:tcPr>
            <w:tcW w:w="1860" w:type="dxa"/>
            <w:vAlign w:val="bottom"/>
            <w:gridSpan w:val="2"/>
          </w:tcPr>
          <w:p>
            <w:pPr>
              <w:jc w:val="right"/>
              <w:ind w:right="409"/>
              <w:spacing w:after="0"/>
              <w:rPr>
                <w:sz w:val="20"/>
                <w:szCs w:val="20"/>
                <w:color w:val="auto"/>
              </w:rPr>
            </w:pPr>
            <w:r>
              <w:rPr>
                <w:rFonts w:ascii="Arial" w:cs="Arial" w:eastAsia="Arial" w:hAnsi="Arial"/>
                <w:sz w:val="18"/>
                <w:szCs w:val="18"/>
                <w:color w:val="auto"/>
              </w:rPr>
              <w:t>1.7%</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5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8,034,360</w:t>
            </w:r>
          </w:p>
        </w:tc>
        <w:tc>
          <w:tcPr>
            <w:tcW w:w="160" w:type="dxa"/>
            <w:vAlign w:val="bottom"/>
            <w:shd w:val="clear" w:color="auto" w:fill="CCFFCC"/>
          </w:tcPr>
          <w:p>
            <w:pPr>
              <w:spacing w:after="0"/>
              <w:rPr>
                <w:sz w:val="18"/>
                <w:szCs w:val="18"/>
                <w:color w:val="auto"/>
              </w:rPr>
            </w:pPr>
          </w:p>
        </w:tc>
        <w:tc>
          <w:tcPr>
            <w:tcW w:w="1400" w:type="dxa"/>
            <w:vAlign w:val="bottom"/>
            <w:shd w:val="clear" w:color="auto" w:fill="CCFFCC"/>
          </w:tcPr>
          <w:p>
            <w:pPr>
              <w:jc w:val="right"/>
              <w:ind w:right="39"/>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FFCC"/>
          </w:tcPr>
          <w:p>
            <w:pPr>
              <w:jc w:val="right"/>
              <w:ind w:right="409"/>
              <w:spacing w:after="0"/>
              <w:rPr>
                <w:sz w:val="20"/>
                <w:szCs w:val="20"/>
                <w:color w:val="auto"/>
              </w:rPr>
            </w:pPr>
            <w:r>
              <w:rPr>
                <w:rFonts w:ascii="Arial" w:cs="Arial" w:eastAsia="Arial" w:hAnsi="Arial"/>
                <w:sz w:val="18"/>
                <w:szCs w:val="18"/>
                <w:color w:val="auto"/>
              </w:rPr>
              <w:t>23.7%</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Alexander R. Berger</w:t>
            </w:r>
          </w:p>
        </w:tc>
        <w:tc>
          <w:tcPr>
            <w:tcW w:w="1580" w:type="dxa"/>
            <w:vAlign w:val="bottom"/>
            <w:gridSpan w:val="2"/>
          </w:tcPr>
          <w:p>
            <w:pPr>
              <w:jc w:val="right"/>
              <w:ind w:right="49"/>
              <w:spacing w:after="0"/>
              <w:rPr>
                <w:sz w:val="20"/>
                <w:szCs w:val="20"/>
                <w:color w:val="auto"/>
              </w:rPr>
            </w:pPr>
            <w:r>
              <w:rPr>
                <w:rFonts w:ascii="Arial" w:cs="Arial" w:eastAsia="Arial" w:hAnsi="Arial"/>
                <w:sz w:val="18"/>
                <w:szCs w:val="18"/>
                <w:color w:val="auto"/>
              </w:rPr>
              <w:t>2,678,120</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09"/>
              <w:spacing w:after="0"/>
              <w:rPr>
                <w:sz w:val="20"/>
                <w:szCs w:val="20"/>
                <w:color w:val="auto"/>
              </w:rPr>
            </w:pPr>
            <w:r>
              <w:rPr>
                <w:rFonts w:ascii="Arial" w:cs="Arial" w:eastAsia="Arial" w:hAnsi="Arial"/>
                <w:sz w:val="18"/>
                <w:szCs w:val="18"/>
                <w:color w:val="auto"/>
              </w:rPr>
              <w:t>8.3%</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5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183,669</w:t>
            </w:r>
          </w:p>
        </w:tc>
        <w:tc>
          <w:tcPr>
            <w:tcW w:w="1560" w:type="dxa"/>
            <w:vAlign w:val="bottom"/>
            <w:gridSpan w:val="2"/>
            <w:shd w:val="clear" w:color="auto" w:fill="CCFFCC"/>
          </w:tcPr>
          <w:p>
            <w:pPr>
              <w:jc w:val="right"/>
              <w:ind w:right="39"/>
              <w:spacing w:after="0"/>
              <w:rPr>
                <w:sz w:val="20"/>
                <w:szCs w:val="20"/>
                <w:color w:val="auto"/>
              </w:rPr>
            </w:pPr>
            <w:r>
              <w:rPr>
                <w:rFonts w:ascii="Arial" w:cs="Arial" w:eastAsia="Arial" w:hAnsi="Arial"/>
                <w:sz w:val="18"/>
                <w:szCs w:val="18"/>
                <w:color w:val="auto"/>
              </w:rPr>
              <w:t>147,135</w:t>
            </w:r>
          </w:p>
        </w:tc>
        <w:tc>
          <w:tcPr>
            <w:tcW w:w="1860" w:type="dxa"/>
            <w:vAlign w:val="bottom"/>
            <w:gridSpan w:val="2"/>
            <w:shd w:val="clear" w:color="auto" w:fill="CCFFCC"/>
          </w:tcPr>
          <w:p>
            <w:pPr>
              <w:jc w:val="right"/>
              <w:ind w:right="409"/>
              <w:spacing w:after="0"/>
              <w:rPr>
                <w:sz w:val="20"/>
                <w:szCs w:val="20"/>
                <w:color w:val="auto"/>
              </w:rPr>
            </w:pPr>
            <w:r>
              <w:rPr>
                <w:rFonts w:ascii="Arial" w:cs="Arial" w:eastAsia="Arial" w:hAnsi="Arial"/>
                <w:sz w:val="18"/>
                <w:szCs w:val="18"/>
                <w:color w:val="auto"/>
              </w:rPr>
              <w:t>0.6%</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Donald E. Stout</w:t>
            </w:r>
          </w:p>
        </w:tc>
        <w:tc>
          <w:tcPr>
            <w:tcW w:w="1580" w:type="dxa"/>
            <w:vAlign w:val="bottom"/>
            <w:gridSpan w:val="2"/>
          </w:tcPr>
          <w:p>
            <w:pPr>
              <w:jc w:val="right"/>
              <w:ind w:right="49"/>
              <w:spacing w:after="0"/>
              <w:rPr>
                <w:sz w:val="20"/>
                <w:szCs w:val="20"/>
                <w:color w:val="auto"/>
              </w:rPr>
            </w:pPr>
            <w:r>
              <w:rPr>
                <w:rFonts w:ascii="Arial" w:cs="Arial" w:eastAsia="Arial" w:hAnsi="Arial"/>
                <w:sz w:val="18"/>
                <w:szCs w:val="18"/>
                <w:color w:val="auto"/>
              </w:rPr>
              <w:t>1,083,195</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09"/>
              <w:spacing w:after="0"/>
              <w:rPr>
                <w:sz w:val="20"/>
                <w:szCs w:val="20"/>
                <w:color w:val="auto"/>
              </w:rPr>
            </w:pPr>
            <w:r>
              <w:rPr>
                <w:rFonts w:ascii="Arial" w:cs="Arial" w:eastAsia="Arial" w:hAnsi="Arial"/>
                <w:sz w:val="18"/>
                <w:szCs w:val="18"/>
                <w:color w:val="auto"/>
              </w:rPr>
              <w:t>3.4%</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1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15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171,400</w:t>
            </w:r>
          </w:p>
        </w:tc>
        <w:tc>
          <w:tcPr>
            <w:tcW w:w="160" w:type="dxa"/>
            <w:vAlign w:val="bottom"/>
            <w:shd w:val="clear" w:color="auto" w:fill="CCFFCC"/>
          </w:tcPr>
          <w:p>
            <w:pPr>
              <w:spacing w:after="0"/>
              <w:rPr>
                <w:sz w:val="18"/>
                <w:szCs w:val="18"/>
                <w:color w:val="auto"/>
              </w:rPr>
            </w:pPr>
          </w:p>
        </w:tc>
        <w:tc>
          <w:tcPr>
            <w:tcW w:w="1400" w:type="dxa"/>
            <w:vAlign w:val="bottom"/>
            <w:shd w:val="clear" w:color="auto" w:fill="CCFFCC"/>
          </w:tcPr>
          <w:p>
            <w:pPr>
              <w:jc w:val="right"/>
              <w:ind w:right="39"/>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FFCC"/>
          </w:tcPr>
          <w:p>
            <w:pPr>
              <w:jc w:val="right"/>
              <w:ind w:right="409"/>
              <w:spacing w:after="0"/>
              <w:rPr>
                <w:sz w:val="20"/>
                <w:szCs w:val="20"/>
                <w:color w:val="auto"/>
              </w:rPr>
            </w:pPr>
            <w:r>
              <w:rPr>
                <w:rFonts w:ascii="Arial" w:cs="Arial" w:eastAsia="Arial" w:hAnsi="Arial"/>
                <w:sz w:val="18"/>
                <w:szCs w:val="18"/>
                <w:color w:val="auto"/>
              </w:rPr>
              <w:t>0.5%</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7"/>
        </w:trPr>
        <w:tc>
          <w:tcPr>
            <w:tcW w:w="120" w:type="dxa"/>
            <w:vAlign w:val="bottom"/>
          </w:tcPr>
          <w:p>
            <w:pPr>
              <w:spacing w:after="0"/>
              <w:rPr>
                <w:sz w:val="19"/>
                <w:szCs w:val="19"/>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Ellen Cohl</w:t>
            </w:r>
          </w:p>
        </w:tc>
        <w:tc>
          <w:tcPr>
            <w:tcW w:w="1580" w:type="dxa"/>
            <w:vAlign w:val="bottom"/>
            <w:gridSpan w:val="2"/>
          </w:tcPr>
          <w:p>
            <w:pPr>
              <w:jc w:val="right"/>
              <w:ind w:right="49"/>
              <w:spacing w:after="0"/>
              <w:rPr>
                <w:sz w:val="20"/>
                <w:szCs w:val="20"/>
                <w:color w:val="auto"/>
              </w:rPr>
            </w:pPr>
            <w:r>
              <w:rPr>
                <w:rFonts w:ascii="Arial" w:cs="Arial" w:eastAsia="Arial" w:hAnsi="Arial"/>
                <w:sz w:val="18"/>
                <w:szCs w:val="18"/>
                <w:color w:val="auto"/>
              </w:rPr>
              <w:t>188,854</w:t>
            </w:r>
          </w:p>
        </w:tc>
        <w:tc>
          <w:tcPr>
            <w:tcW w:w="1560" w:type="dxa"/>
            <w:vAlign w:val="bottom"/>
            <w:gridSpan w:val="2"/>
          </w:tcPr>
          <w:p>
            <w:pPr>
              <w:jc w:val="right"/>
              <w:ind w:right="39"/>
              <w:spacing w:after="0"/>
              <w:rPr>
                <w:sz w:val="20"/>
                <w:szCs w:val="20"/>
                <w:color w:val="auto"/>
              </w:rPr>
            </w:pPr>
            <w:r>
              <w:rPr>
                <w:rFonts w:ascii="Arial" w:cs="Arial" w:eastAsia="Arial" w:hAnsi="Arial"/>
                <w:sz w:val="18"/>
                <w:szCs w:val="18"/>
                <w:color w:val="auto"/>
              </w:rPr>
              <w:t>211,146</w:t>
            </w:r>
          </w:p>
        </w:tc>
        <w:tc>
          <w:tcPr>
            <w:tcW w:w="1860" w:type="dxa"/>
            <w:vAlign w:val="bottom"/>
            <w:gridSpan w:val="2"/>
          </w:tcPr>
          <w:p>
            <w:pPr>
              <w:jc w:val="right"/>
              <w:ind w:right="409"/>
              <w:spacing w:after="0"/>
              <w:rPr>
                <w:sz w:val="20"/>
                <w:szCs w:val="20"/>
                <w:color w:val="auto"/>
              </w:rPr>
            </w:pPr>
            <w:r>
              <w:rPr>
                <w:rFonts w:ascii="Arial" w:cs="Arial" w:eastAsia="Arial" w:hAnsi="Arial"/>
                <w:sz w:val="18"/>
                <w:szCs w:val="18"/>
                <w:color w:val="auto"/>
              </w:rPr>
              <w:t>0.6%</w:t>
            </w: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98"/>
        </w:trPr>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r>
      <w:tr>
        <w:trPr>
          <w:trHeight w:val="530"/>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683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40450" cy="6683375"/>
                    </a:xfrm>
                    <a:prstGeom prst="rect">
                      <a:avLst/>
                    </a:prstGeom>
                    <a:noFill/>
                  </pic:spPr>
                </pic:pic>
              </a:graphicData>
            </a:graphic>
          </wp:anchor>
        </w:drawing>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Anticipated Accounting Treatment of the Merger</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Merger will be treated by Vringo as a reverse merger under the acquisition method of accounting in accordance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xml:space="preserve">”). For accounting purposes, Innovate/Protect is considered to be acquiring Vringo in this transaction. For a more complete discussion of the anticipated accounting treatment of the Merger, see the section entitled “The Merger — Anticipated Accounting Treatment” beginning on page </w:t>
      </w:r>
      <w:r>
        <w:rPr>
          <w:rFonts w:ascii="Arial" w:cs="Arial" w:eastAsia="Arial" w:hAnsi="Arial"/>
          <w:sz w:val="17"/>
          <w:szCs w:val="17"/>
          <w:u w:val="single" w:color="auto"/>
          <w:color w:val="0000EE"/>
        </w:rPr>
        <w:t>75</w:t>
      </w:r>
      <w:r>
        <w:rPr>
          <w:rFonts w:ascii="Arial" w:cs="Arial" w:eastAsia="Arial" w:hAnsi="Arial"/>
          <w:sz w:val="17"/>
          <w:szCs w:val="17"/>
          <w:color w:val="auto"/>
        </w:rPr>
        <w: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Merger is intended to qualify as a reorganization within the meaning of Section 368(a) of the Code.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89"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b w:val="1"/>
          <w:bCs w:val="1"/>
          <w:i w:val="1"/>
          <w:i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7"/>
          <w:szCs w:val="17"/>
          <w:b w:val="1"/>
          <w:bCs w:val="1"/>
          <w:i w:val="1"/>
          <w:iCs w:val="1"/>
          <w:u w:val="single" w:color="auto"/>
          <w:color w:val="0000EE"/>
        </w:rPr>
        <w:t>77</w:t>
      </w:r>
      <w:r>
        <w:rPr>
          <w:rFonts w:ascii="Arial" w:cs="Arial" w:eastAsia="Arial" w:hAnsi="Arial"/>
          <w:sz w:val="17"/>
          <w:szCs w:val="17"/>
          <w:b w:val="1"/>
          <w:bCs w:val="1"/>
          <w:i w:val="1"/>
          <w:iCs w:val="1"/>
          <w:color w:val="auto"/>
        </w:rPr>
        <w: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Restrictions on Sales of Shares of Vringo Common Stock Received by Innovate/Protect Stockholder in the Merger</w:t>
      </w:r>
    </w:p>
    <w:p>
      <w:pPr>
        <w:spacing w:after="0" w:line="129" w:lineRule="exact"/>
        <w:rPr>
          <w:sz w:val="20"/>
          <w:szCs w:val="20"/>
          <w:color w:val="auto"/>
        </w:rPr>
      </w:pPr>
    </w:p>
    <w:p>
      <w:pPr>
        <w:jc w:val="both"/>
        <w:ind w:left="40" w:right="619" w:firstLine="267"/>
        <w:spacing w:after="0" w:line="264" w:lineRule="auto"/>
        <w:rPr>
          <w:sz w:val="20"/>
          <w:szCs w:val="20"/>
          <w:color w:val="auto"/>
        </w:rPr>
      </w:pPr>
      <w:r>
        <w:rPr>
          <w:rFonts w:ascii="Arial" w:cs="Arial" w:eastAsia="Arial" w:hAnsi="Arial"/>
          <w:sz w:val="17"/>
          <w:szCs w:val="17"/>
          <w:color w:val="auto"/>
        </w:rPr>
        <w:t xml:space="preserve">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(ii) shares of Vringo common stock issued upon exercise of any Series 1 Warrants or Series 2 Warrants issued to Hudson Bay pursuant to the Merger Agreement, in the forms attached to this proxy statement/prospectus as </w:t>
      </w:r>
      <w:r>
        <w:rPr>
          <w:rFonts w:ascii="Arial" w:cs="Arial" w:eastAsia="Arial" w:hAnsi="Arial"/>
          <w:sz w:val="17"/>
          <w:szCs w:val="17"/>
          <w:u w:val="single" w:color="auto"/>
          <w:color w:val="auto"/>
        </w:rPr>
        <w:t>Annex 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Annex G</w:t>
      </w:r>
      <w:r>
        <w:rPr>
          <w:rFonts w:ascii="Arial" w:cs="Arial" w:eastAsia="Arial" w:hAnsi="Arial"/>
          <w:sz w:val="17"/>
          <w:szCs w:val="17"/>
          <w:color w:val="auto"/>
        </w:rPr>
        <w:t>, respectively, and (iii) shares of Vringo common stock issued upon conversion of the Vringo preferred stock. This restriction is in place from the closing date until the date upon which Vringo gives notice of termination to Hudson Bay pursuant to the Merger Agreement.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w:t>
      </w:r>
    </w:p>
    <w:p>
      <w:pPr>
        <w:spacing w:after="0" w:line="8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887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40450" cy="6887210"/>
                    </a:xfrm>
                    <a:prstGeom prst="rect">
                      <a:avLst/>
                    </a:prstGeom>
                    <a:noFill/>
                  </pic:spPr>
                </pic:pic>
              </a:graphicData>
            </a:graphic>
          </wp:anchor>
        </w:drawing>
        <w:t>TABLE OF CONTENTS</w:t>
      </w:r>
    </w:p>
    <w:p>
      <w:pPr>
        <w:spacing w:after="0" w:line="195"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 xml:space="preserve">For a more complete discussion of the restrictions on sales of shares of Vringo common stock and preferred stock and warrants received by the Innovate/Protect stockholders and warrantholder in the Merger, see the section entitled “The Merger — Restrictions on Sales of Shares of Vringo Common Stock Received by Innovate/Protect Stockholders in the Merger” beginning on page </w:t>
      </w:r>
      <w:r>
        <w:rPr>
          <w:rFonts w:ascii="Arial" w:cs="Arial" w:eastAsia="Arial" w:hAnsi="Arial"/>
          <w:sz w:val="16"/>
          <w:szCs w:val="16"/>
          <w:u w:val="single" w:color="auto"/>
          <w:color w:val="0000EE"/>
        </w:rPr>
        <w:t>75</w:t>
      </w:r>
      <w:r>
        <w:rPr>
          <w:rFonts w:ascii="Arial" w:cs="Arial" w:eastAsia="Arial" w:hAnsi="Arial"/>
          <w:sz w:val="16"/>
          <w:szCs w:val="16"/>
          <w:color w:val="auto"/>
        </w:rPr>
        <w: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Appraisal Rights</w:t>
      </w:r>
    </w:p>
    <w:p>
      <w:pPr>
        <w:spacing w:after="0" w:line="118"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Under the DGCL, holders of Vringo common stock are not entitled to appraisal rights in connection with the Merger. Under the DGCL, however, holders of Innovate/Protect capital stock may be entitled to appraisal rights in connection with the Merger.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Approvals</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As of the date of this proxy statement/prospectus, neither Vringo nor Innovate/Protect is required to make filings or to obtain approvals or clearances from any regulatory authorities in the U.S. or other countries to complete the Merger. In the U.S., Vringo must comply with applicable federal and state securities laws and the rules and regulations of the NYSE Amex in connection with the issuance of shares of Vringo common stock and preferred stock and the resulting change in control of Vringo and the filing of this proxy statement/prospectus with the SEC.</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 and Innovate/Protect expect to complete the Merger as soon as possible following the approval of the Vringo Merger Proposals at the annual meeting. Completion of the Merger will only be possible, however, after all closing conditions contained in the Merger Agreement are satisfied or waived, including after Vringo receives stockholder approval at the annual meeting. It is possible, therefore, that factors outside of each company’s control could require them to complete the Merger at a later time or not complete it at all.</w:t>
      </w:r>
    </w:p>
    <w:p>
      <w:pPr>
        <w:spacing w:after="0" w:line="85"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The obligations of Vringo and Innovate/Protect to consummate the Merger are each subject to the satisfaction or waiver (to the extent permitted under applicable law) of the following conditions, among others and subject, in some cases, to the exceptions or limitations contained in confidential disclosure schedules delivered to each party by the other:</w:t>
      </w:r>
    </w:p>
    <w:p>
      <w:pPr>
        <w:spacing w:after="0" w:line="62" w:lineRule="exact"/>
        <w:rPr>
          <w:sz w:val="20"/>
          <w:szCs w:val="20"/>
          <w:color w:val="auto"/>
        </w:rPr>
      </w:pPr>
    </w:p>
    <w:p>
      <w:pPr>
        <w:ind w:left="600" w:hanging="328"/>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stockholders of each of Vringo and Innovate/Protect have approved the Merger and the Merger agreement;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proxy statement/prospectus has become effective;</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shares of Vringo common stock shall have been approved for listing on the NYSE Amex;</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Vringo or Innovate/Protect, as applicable, shall have entered into certain agreements amending and restating existing indebtedness of Innovate/Protect;</w:t>
      </w:r>
    </w:p>
    <w:p>
      <w:pPr>
        <w:spacing w:after="0" w:line="68" w:lineRule="exact"/>
        <w:rPr>
          <w:rFonts w:ascii="Arial" w:cs="Arial" w:eastAsia="Arial" w:hAnsi="Arial"/>
          <w:sz w:val="18"/>
          <w:szCs w:val="18"/>
          <w:color w:val="auto"/>
        </w:rPr>
      </w:pPr>
    </w:p>
    <w:p>
      <w:pPr>
        <w:jc w:val="both"/>
        <w:ind w:left="600" w:right="619" w:hanging="328"/>
        <w:spacing w:after="0" w:line="297"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representations and warranties of the parties shall be true, complete and correct in all material respects on and as of the Effective Time, with the same force and effect as if made on and as of the Effective Time, except for those (x) representations and warranties that are qualified by materiality, which representations and warranties shall be true, complete and correct in all respects and (y) representations and warranties which address matters only as of a particular date;</w:t>
      </w:r>
    </w:p>
    <w:p>
      <w:pPr>
        <w:spacing w:after="0" w:line="51" w:lineRule="exact"/>
        <w:rPr>
          <w:rFonts w:ascii="Arial" w:cs="Arial" w:eastAsia="Arial" w:hAnsi="Arial"/>
          <w:sz w:val="16"/>
          <w:szCs w:val="16"/>
          <w:color w:val="auto"/>
        </w:rPr>
      </w:pPr>
    </w:p>
    <w:p>
      <w:pPr>
        <w:ind w:left="600" w:right="619" w:hanging="328"/>
        <w:spacing w:after="0" w:line="270"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parties shall have performed or complied in all material respects with all agreements and covenants required by the Merger Agreement to be performed or complied with by it on or prior to the Effective Time;</w:t>
      </w:r>
    </w:p>
    <w:p>
      <w:pPr>
        <w:spacing w:after="0" w:line="6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holders of Innovate/Protect options and warrants shall have agreed to convert their options and warrants as provided in the Merger Agreement, as applicable;</w:t>
      </w:r>
    </w:p>
    <w:p>
      <w:pPr>
        <w:spacing w:after="0" w:line="68"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the date of the Merger Agreement there shall not have occurred, and no event or circumstance shall exist that has had or could reasonably be expected to have, a material adverse effect on Vringo or Innovate/Protect, as applicable;</w:t>
      </w:r>
    </w:p>
    <w:p>
      <w:pPr>
        <w:spacing w:after="0" w:line="22" w:lineRule="exact"/>
        <w:rPr>
          <w:rFonts w:ascii="Arial" w:cs="Arial" w:eastAsia="Arial" w:hAnsi="Arial"/>
          <w:sz w:val="16"/>
          <w:szCs w:val="16"/>
          <w:color w:val="auto"/>
        </w:rPr>
      </w:pPr>
    </w:p>
    <w:p>
      <w:pPr>
        <w:ind w:left="600" w:right="639" w:hanging="328"/>
        <w:spacing w:after="0" w:line="270"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employment and board agreements and the agreement with Ambrose Employer Group each shall have been assigned to, and assumed by, Vringo, as set forth in the Merger Agreement;</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437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40450" cy="6437630"/>
                    </a:xfrm>
                    <a:prstGeom prst="rect">
                      <a:avLst/>
                    </a:prstGeom>
                    <a:noFill/>
                  </pic:spPr>
                </pic:pic>
              </a:graphicData>
            </a:graphic>
          </wp:anchor>
        </w:drawing>
        <w:t>TABLE OF CONTENTS</w:t>
      </w:r>
    </w:p>
    <w:p>
      <w:pPr>
        <w:spacing w:after="0" w:line="195" w:lineRule="exact"/>
        <w:rPr>
          <w:sz w:val="20"/>
          <w:szCs w:val="20"/>
          <w:color w:val="auto"/>
        </w:rPr>
      </w:pPr>
    </w:p>
    <w:p>
      <w:pPr>
        <w:ind w:left="600" w:hanging="328"/>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Vringo shall have received written resignations from all of the directors and officers of Innovate/Protect and its subsidiaries;</w:t>
      </w:r>
    </w:p>
    <w:p>
      <w:pPr>
        <w:spacing w:after="0" w:line="136" w:lineRule="exact"/>
        <w:rPr>
          <w:rFonts w:ascii="Arial" w:cs="Arial" w:eastAsia="Arial" w:hAnsi="Arial"/>
          <w:sz w:val="16"/>
          <w:szCs w:val="16"/>
          <w:color w:val="auto"/>
        </w:rPr>
      </w:pPr>
    </w:p>
    <w:p>
      <w:pPr>
        <w:jc w:val="both"/>
        <w:ind w:left="600" w:right="639" w:hanging="328"/>
        <w:spacing w:after="0" w:line="259"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at closing;</w:t>
      </w:r>
    </w:p>
    <w:p>
      <w:pPr>
        <w:spacing w:after="0" w:line="78" w:lineRule="exact"/>
        <w:rPr>
          <w:rFonts w:ascii="Arial" w:cs="Arial" w:eastAsia="Arial" w:hAnsi="Arial"/>
          <w:sz w:val="18"/>
          <w:szCs w:val="18"/>
          <w:color w:val="auto"/>
        </w:rPr>
      </w:pPr>
    </w:p>
    <w:p>
      <w:pPr>
        <w:jc w:val="both"/>
        <w:ind w:left="600" w:right="619" w:hanging="328"/>
        <w:spacing w:after="0" w:line="252"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8"/>
          <w:szCs w:val="18"/>
          <w:i w:val="1"/>
          <w:iCs w:val="1"/>
          <w:color w:val="auto"/>
        </w:rPr>
        <w:t>I/P Engine, Inc. v. AOL, Inc.</w:t>
      </w:r>
      <w:r>
        <w:rPr>
          <w:rFonts w:ascii="Arial" w:cs="Arial" w:eastAsia="Arial" w:hAnsi="Arial"/>
          <w:sz w:val="18"/>
          <w:szCs w:val="18"/>
          <w:color w:val="auto"/>
        </w:rPr>
        <w:t>, Civ. Action No. 2:11-cv-512, filed in United States District Court for the Eastern District of Virginia, Norfolk Division on September 15, 2011 (the “</w:t>
      </w:r>
      <w:r>
        <w:rPr>
          <w:rFonts w:ascii="Arial" w:cs="Arial" w:eastAsia="Arial" w:hAnsi="Arial"/>
          <w:sz w:val="18"/>
          <w:szCs w:val="18"/>
          <w:b w:val="1"/>
          <w:bCs w:val="1"/>
          <w:color w:val="auto"/>
        </w:rPr>
        <w:t>Litigation</w:t>
      </w:r>
      <w:r>
        <w:rPr>
          <w:rFonts w:ascii="Arial" w:cs="Arial" w:eastAsia="Arial" w:hAnsi="Arial"/>
          <w:sz w:val="18"/>
          <w:szCs w:val="18"/>
          <w:color w:val="auto"/>
        </w:rPr>
        <w:t>”) nor (B) assigned, promised, transferred, conveyed, encumbered, or granted a security interest in any of those claims and (ii) there has been no dismissal (including, without limitation, by motion to dismiss or summary judgment) of the Litigation;</w:t>
      </w:r>
    </w:p>
    <w:p>
      <w:pPr>
        <w:spacing w:after="0" w:line="86"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holders of no more than 10% of the issued and outstanding Innovate/Protect capital stock shall have demanded and perfected their right to an appraisal of Innovate/Protect capital stock under the Delaware General Corporation Law; and</w:t>
      </w:r>
    </w:p>
    <w:p>
      <w:pPr>
        <w:spacing w:after="0" w:line="22" w:lineRule="exact"/>
        <w:rPr>
          <w:rFonts w:ascii="Arial" w:cs="Arial" w:eastAsia="Arial" w:hAnsi="Arial"/>
          <w:sz w:val="16"/>
          <w:szCs w:val="16"/>
          <w:color w:val="auto"/>
        </w:rPr>
      </w:pPr>
    </w:p>
    <w:p>
      <w:pPr>
        <w:jc w:val="both"/>
        <w:ind w:left="600" w:right="639" w:hanging="328"/>
        <w:spacing w:after="0" w:line="259"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For a more complete discussion of the conditions to the completion of the Merger, see the section entitled “The Merger Agreement — Conditions to the Completion of the Merger” beginning on page </w:t>
      </w:r>
      <w:r>
        <w:rPr>
          <w:rFonts w:ascii="Arial" w:cs="Arial" w:eastAsia="Arial" w:hAnsi="Arial"/>
          <w:sz w:val="18"/>
          <w:szCs w:val="18"/>
          <w:u w:val="single" w:color="auto"/>
          <w:color w:val="0000EE"/>
        </w:rPr>
        <w:t>87</w:t>
      </w:r>
      <w:r>
        <w:rPr>
          <w:rFonts w:ascii="Arial" w:cs="Arial" w:eastAsia="Arial" w:hAnsi="Arial"/>
          <w:sz w:val="18"/>
          <w:szCs w:val="18"/>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Solicitation</w:t>
      </w:r>
    </w:p>
    <w:p>
      <w:pPr>
        <w:spacing w:after="0" w:line="11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the other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the other party to abandon or terminate the Merger Agreement;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the other party.</w:t>
      </w:r>
    </w:p>
    <w:p>
      <w:pPr>
        <w:spacing w:after="0" w:line="27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For a more complete discussion of the prohibition on solicitation of acquisition proposals from third parties, see the section entitled “The Merger Agreement — No Solicitation” beginning on page </w:t>
      </w:r>
      <w:r>
        <w:rPr>
          <w:rFonts w:ascii="Arial" w:cs="Arial" w:eastAsia="Arial" w:hAnsi="Arial"/>
          <w:sz w:val="18"/>
          <w:szCs w:val="18"/>
          <w:u w:val="single" w:color="auto"/>
          <w:color w:val="0000EE"/>
        </w:rPr>
        <w:t>85</w:t>
      </w:r>
      <w:r>
        <w:rPr>
          <w:rFonts w:ascii="Arial" w:cs="Arial" w:eastAsia="Arial" w:hAnsi="Arial"/>
          <w:sz w:val="18"/>
          <w:szCs w:val="18"/>
          <w:color w:val="auto"/>
        </w:rPr>
        <w:t>.</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505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40450" cy="6505575"/>
                    </a:xfrm>
                    <a:prstGeom prst="rect">
                      <a:avLst/>
                    </a:prstGeom>
                    <a:noFill/>
                  </pic:spPr>
                </pic:pic>
              </a:graphicData>
            </a:graphic>
          </wp:anchor>
        </w:drawing>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18" w:lineRule="exact"/>
        <w:rPr>
          <w:sz w:val="20"/>
          <w:szCs w:val="20"/>
          <w:color w:val="auto"/>
        </w:rPr>
      </w:pPr>
    </w:p>
    <w:p>
      <w:pPr>
        <w:ind w:left="40" w:right="619" w:firstLine="267"/>
        <w:spacing w:after="0" w:line="300" w:lineRule="auto"/>
        <w:rPr>
          <w:sz w:val="20"/>
          <w:szCs w:val="20"/>
          <w:color w:val="auto"/>
        </w:rPr>
      </w:pPr>
      <w:r>
        <w:rPr>
          <w:rFonts w:ascii="Arial" w:cs="Arial" w:eastAsia="Arial" w:hAnsi="Arial"/>
          <w:sz w:val="17"/>
          <w:szCs w:val="17"/>
          <w:color w:val="auto"/>
        </w:rPr>
        <w:t>Generally and except as specified below, the Merger Agreement may be terminated and the Merger may be abandoned at any time prior to the completion of the Merger, including after the required Vringo stockholder approval is obtained:</w:t>
      </w:r>
    </w:p>
    <w:p>
      <w:pPr>
        <w:spacing w:after="0" w:line="46" w:lineRule="exact"/>
        <w:rPr>
          <w:sz w:val="20"/>
          <w:szCs w:val="20"/>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mutual written consent of Vringo, Merger Sub and Innovate/Protect; or</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either party, if:</w:t>
      </w:r>
    </w:p>
    <w:p>
      <w:pPr>
        <w:spacing w:after="0" w:line="113" w:lineRule="exact"/>
        <w:rPr>
          <w:rFonts w:ascii="Arial" w:cs="Arial" w:eastAsia="Arial" w:hAnsi="Arial"/>
          <w:sz w:val="18"/>
          <w:szCs w:val="18"/>
          <w:color w:val="auto"/>
        </w:rPr>
      </w:pPr>
    </w:p>
    <w:p>
      <w:pPr>
        <w:ind w:left="860" w:hanging="320"/>
        <w:spacing w:after="0"/>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Merger has not been completed on or before September 30, 2012;</w:t>
      </w:r>
    </w:p>
    <w:p>
      <w:pPr>
        <w:spacing w:after="0" w:line="113" w:lineRule="exact"/>
        <w:rPr>
          <w:rFonts w:ascii="Arial" w:cs="Arial" w:eastAsia="Arial" w:hAnsi="Arial"/>
          <w:sz w:val="18"/>
          <w:szCs w:val="18"/>
          <w:color w:val="auto"/>
        </w:rPr>
      </w:pPr>
    </w:p>
    <w:p>
      <w:pPr>
        <w:ind w:left="860" w:right="639" w:hanging="320"/>
        <w:spacing w:after="0" w:line="270"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law enacted by a governmental authority prohibits the consummation of the Merger, or any governmental authority has issued an order prohibiting the consummation of the Merger;</w:t>
      </w:r>
    </w:p>
    <w:p>
      <w:pPr>
        <w:spacing w:after="0" w:line="68" w:lineRule="exact"/>
        <w:rPr>
          <w:rFonts w:ascii="Arial" w:cs="Arial" w:eastAsia="Arial" w:hAnsi="Arial"/>
          <w:sz w:val="18"/>
          <w:szCs w:val="18"/>
          <w:color w:val="auto"/>
        </w:rPr>
      </w:pPr>
    </w:p>
    <w:p>
      <w:pPr>
        <w:jc w:val="both"/>
        <w:ind w:left="860" w:right="619" w:hanging="320"/>
        <w:spacing w:after="0" w:line="255"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after a vote duly taken, the required approval of the Vringo Merger Proposals by the respective stockholders of Vringo or Innovate/Protect has not been obtained at the respective stockholders meeting (or at any adjournment or postponement thereof), unless failure to obtain approval is attributable to a failure on the part of such party seeking to terminate the Agreement; or</w:t>
      </w:r>
    </w:p>
    <w:p>
      <w:pPr>
        <w:spacing w:after="0" w:line="82" w:lineRule="exact"/>
        <w:rPr>
          <w:rFonts w:ascii="Arial" w:cs="Arial" w:eastAsia="Arial" w:hAnsi="Arial"/>
          <w:sz w:val="18"/>
          <w:szCs w:val="18"/>
          <w:color w:val="auto"/>
        </w:rPr>
      </w:pPr>
    </w:p>
    <w:p>
      <w:pPr>
        <w:jc w:val="both"/>
        <w:ind w:left="860" w:right="619" w:hanging="320"/>
        <w:spacing w:after="0" w:line="255"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to cure periods, the other party’s representations and warranties are inaccurate or the other party fails to comply with its covenants, in each case, such that the closing conditions relating to the accuracy of the other party’s representations and warranties or relating to the performance of the other party’s covenants, as applicable, would not be satisfied; or</w:t>
      </w:r>
    </w:p>
    <w:p>
      <w:pPr>
        <w:spacing w:after="0" w:line="82" w:lineRule="exact"/>
        <w:rPr>
          <w:rFonts w:ascii="Arial" w:cs="Arial" w:eastAsia="Arial" w:hAnsi="Arial"/>
          <w:sz w:val="18"/>
          <w:szCs w:val="18"/>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Vringo, if:</w:t>
      </w:r>
    </w:p>
    <w:p>
      <w:pPr>
        <w:spacing w:after="0" w:line="113" w:lineRule="exact"/>
        <w:rPr>
          <w:rFonts w:ascii="Arial" w:cs="Arial" w:eastAsia="Arial" w:hAnsi="Arial"/>
          <w:sz w:val="18"/>
          <w:szCs w:val="18"/>
          <w:color w:val="auto"/>
        </w:rPr>
      </w:pPr>
    </w:p>
    <w:p>
      <w:pPr>
        <w:jc w:val="both"/>
        <w:ind w:left="860" w:right="619" w:hanging="320"/>
        <w:spacing w:after="0" w:line="251"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at any time prior to the approval of the Merger by its stockholders, (i) the Innovate/Protect board of directors has effected a recommendation change, (ii) the Innovate/Protect board of directors or any authorized committee has failed to present or recommend the approval of the Merger Agreement and the Merger to the stockholders, (iii) Innovate/Protect shall have entered or cause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or</w:t>
      </w:r>
    </w:p>
    <w:p>
      <w:pPr>
        <w:spacing w:after="0" w:line="195" w:lineRule="exact"/>
        <w:rPr>
          <w:rFonts w:ascii="Arial" w:cs="Arial" w:eastAsia="Arial" w:hAnsi="Arial"/>
          <w:sz w:val="18"/>
          <w:szCs w:val="18"/>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Innovate/Protect, if:</w:t>
      </w:r>
    </w:p>
    <w:p>
      <w:pPr>
        <w:spacing w:after="0" w:line="113" w:lineRule="exact"/>
        <w:rPr>
          <w:rFonts w:ascii="Arial" w:cs="Arial" w:eastAsia="Arial" w:hAnsi="Arial"/>
          <w:sz w:val="18"/>
          <w:szCs w:val="18"/>
          <w:color w:val="auto"/>
        </w:rPr>
      </w:pPr>
    </w:p>
    <w:p>
      <w:pPr>
        <w:jc w:val="both"/>
        <w:ind w:left="860" w:right="619" w:hanging="320"/>
        <w:spacing w:after="0" w:line="270" w:lineRule="auto"/>
        <w:tabs>
          <w:tab w:leader="none" w:pos="8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at any time prior to the approval of the Vringo Merger Proposals, (i) the Vringo board of directors has effected a recommendation change (ii) the Vringo board of directors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Vringo shall have breached any term of the non-solicitation provision of the Merger Agreement; or</w:t>
      </w:r>
    </w:p>
    <w:p>
      <w:pPr>
        <w:spacing w:after="0" w:line="70" w:lineRule="exact"/>
        <w:rPr>
          <w:rFonts w:ascii="Arial" w:cs="Arial" w:eastAsia="Arial" w:hAnsi="Arial"/>
          <w:sz w:val="17"/>
          <w:szCs w:val="17"/>
          <w:color w:val="auto"/>
        </w:rPr>
      </w:pPr>
    </w:p>
    <w:p>
      <w:pPr>
        <w:ind w:left="600" w:right="639" w:hanging="328"/>
        <w:spacing w:after="0" w:line="334"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either Vringo or Innovate Protect if prior to obtaining stockholder approval such party determines to enter into a definitive agreement relating to an Innovate/Protect Superior Proposal or Vringo Superior Proposal, as the case may be; or</w:t>
      </w:r>
    </w:p>
    <w:p>
      <w:pPr>
        <w:spacing w:after="0" w:line="22" w:lineRule="exact"/>
        <w:rPr>
          <w:rFonts w:ascii="Arial" w:cs="Arial" w:eastAsia="Arial" w:hAnsi="Arial"/>
          <w:sz w:val="16"/>
          <w:szCs w:val="16"/>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Innovate/Protect at any time, upon payment to Vringo of the Innovate/Protect termination fee.</w:t>
      </w:r>
    </w:p>
    <w:p>
      <w:pPr>
        <w:spacing w:after="0" w:line="114"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 xml:space="preserve">For a more complete discussion of termination of the Merger Agreement, see the section entitled “The Merger Agreement — Termination of the Merger Agreement” beginning on page </w:t>
      </w:r>
      <w:r>
        <w:rPr>
          <w:rFonts w:ascii="Arial" w:cs="Arial" w:eastAsia="Arial" w:hAnsi="Arial"/>
          <w:sz w:val="18"/>
          <w:szCs w:val="18"/>
          <w:u w:val="single" w:color="auto"/>
          <w:color w:val="0000EE"/>
        </w:rPr>
        <w:t>88</w:t>
      </w:r>
      <w:r>
        <w:rPr>
          <w:rFonts w:ascii="Arial" w:cs="Arial" w:eastAsia="Arial" w:hAnsi="Arial"/>
          <w:sz w:val="18"/>
          <w:szCs w:val="18"/>
          <w:color w:val="auto"/>
        </w:rPr>
        <w:t>.</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5735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40450" cy="6573520"/>
                    </a:xfrm>
                    <a:prstGeom prst="rect">
                      <a:avLst/>
                    </a:prstGeom>
                    <a:noFill/>
                  </pic:spPr>
                </pic:pic>
              </a:graphicData>
            </a:graphic>
          </wp:anchor>
        </w:drawing>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Fees and Expenses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Under certain circumstances, if the Merger is terminated by either Vringo or Innovate/Protect, then Innovate/Protect shall pay to Vringo, a fee in cash equal to $5,000,000.</w:t>
      </w:r>
    </w:p>
    <w:p>
      <w:pPr>
        <w:spacing w:after="0" w:line="6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Under certain circumstances, if the Merger is terminated by either Vringo or Innovate/Protect in connection with or due to Vringo entering into an alternate transaction constituting a superior proposal, then Vringo shall pay to Innovate/Protect, a fee equal to 5% of the consideration paid to all security holders of Vringo in connection with the Vringo Superior Proposal in the same form as such consideration is paid to such security holders.</w:t>
      </w:r>
    </w:p>
    <w:p>
      <w:pPr>
        <w:spacing w:after="0" w:line="8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For a more complete discussion of termination fees and expenses, see the section entitled “The Merger Agreement — Termination Fees and Expenses” beginning on page </w:t>
      </w:r>
      <w:r>
        <w:rPr>
          <w:rFonts w:ascii="Arial" w:cs="Arial" w:eastAsia="Arial" w:hAnsi="Arial"/>
          <w:sz w:val="18"/>
          <w:szCs w:val="18"/>
          <w:u w:val="single" w:color="auto"/>
          <w:color w:val="0000EE"/>
        </w:rPr>
        <w:t>88</w:t>
      </w:r>
      <w:r>
        <w:rPr>
          <w:rFonts w:ascii="Arial" w:cs="Arial" w:eastAsia="Arial" w:hAnsi="Arial"/>
          <w:sz w:val="18"/>
          <w:szCs w:val="18"/>
          <w:color w:val="auto"/>
        </w:rPr>
        <w: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by Vringo Directors and Executive Officers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directors and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officers of Vringo beneficially owned and were entitled to vote _______ shares of Vringo common stock, or</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approximately _______% of the total outstanding voting power of Vringo. It is expected that Vringo’s directors and executive</w:t>
      </w:r>
    </w:p>
    <w:p>
      <w:pPr>
        <w:spacing w:after="0" w:line="18" w:lineRule="exact"/>
        <w:rPr>
          <w:sz w:val="20"/>
          <w:szCs w:val="20"/>
          <w:color w:val="auto"/>
        </w:rPr>
      </w:pPr>
    </w:p>
    <w:p>
      <w:pPr>
        <w:jc w:val="both"/>
        <w:ind w:left="40" w:right="639"/>
        <w:spacing w:after="0" w:line="255" w:lineRule="auto"/>
        <w:rPr>
          <w:sz w:val="20"/>
          <w:szCs w:val="20"/>
          <w:color w:val="auto"/>
        </w:rPr>
      </w:pPr>
      <w:r>
        <w:rPr>
          <w:rFonts w:ascii="Arial" w:cs="Arial" w:eastAsia="Arial" w:hAnsi="Arial"/>
          <w:sz w:val="18"/>
          <w:szCs w:val="18"/>
          <w:color w:val="auto"/>
        </w:rPr>
        <w:t>officers will vote their shares FOR the approval of the Merger, although none of them has entered into any agreement requiring them to do so.</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Rights of Innovate/Protect Stockholders Will Change as a Result of the Merger</w:t>
      </w:r>
    </w:p>
    <w:p>
      <w:pPr>
        <w:spacing w:after="0" w:line="118"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 xml:space="preserve">Due to differences between the governing documents of Vringo and Innovate/Protect, Innovate/Protect stockholders receiving Vringo common stock and preferred stock in connection with the Merger will have different rights once they become Vringo stockholders. The material differences are described in detail under the section entitled “Comparison of Rights of Vringo Stockholders and Innovate/Protect Stockholders” beginning on page </w:t>
      </w:r>
      <w:r>
        <w:rPr>
          <w:rFonts w:ascii="Arial" w:cs="Arial" w:eastAsia="Arial" w:hAnsi="Arial"/>
          <w:sz w:val="18"/>
          <w:szCs w:val="18"/>
          <w:u w:val="single" w:color="auto"/>
          <w:color w:val="0000EE"/>
        </w:rPr>
        <w:t>174</w:t>
      </w:r>
      <w:r>
        <w:rPr>
          <w:rFonts w:ascii="Arial" w:cs="Arial" w:eastAsia="Arial" w:hAnsi="Arial"/>
          <w:sz w:val="18"/>
          <w:szCs w:val="18"/>
          <w:color w:val="auto"/>
        </w:rPr>
        <w: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Merger, including the possibility that the Merger may not be completed, poses a number of risks to each company and its respective stockholders, including the following:</w:t>
      </w:r>
    </w:p>
    <w:p>
      <w:pPr>
        <w:spacing w:after="0" w:line="69" w:lineRule="exact"/>
        <w:rPr>
          <w:sz w:val="20"/>
          <w:szCs w:val="20"/>
          <w:color w:val="auto"/>
        </w:rPr>
      </w:pPr>
    </w:p>
    <w:p>
      <w:pPr>
        <w:ind w:left="600" w:right="619" w:hanging="328"/>
        <w:spacing w:after="0" w:line="334" w:lineRule="auto"/>
        <w:tabs>
          <w:tab w:leader="none" w:pos="6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issuance of shares of Vringo common stock and preferred stock and warrants to the Innovate/Protect stockholders and warrantholder in connection with the Merger will substantially dilute the voting power of current Vringo stockholders;</w:t>
      </w:r>
    </w:p>
    <w:p>
      <w:pPr>
        <w:spacing w:after="0" w:line="22" w:lineRule="exact"/>
        <w:rPr>
          <w:rFonts w:ascii="Arial" w:cs="Arial" w:eastAsia="Arial" w:hAnsi="Arial"/>
          <w:sz w:val="16"/>
          <w:szCs w:val="16"/>
          <w:color w:val="auto"/>
        </w:rPr>
      </w:pPr>
    </w:p>
    <w:p>
      <w:pPr>
        <w:ind w:left="600" w:right="639" w:hanging="328"/>
        <w:spacing w:after="0" w:line="300" w:lineRule="auto"/>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announcement and pendency of the Merger could have an adverse effect on the Vringo stock price and/or the business, financial condition, results of operations, or business prospects for Vringo and/or Innovate/Protect;</w:t>
      </w:r>
    </w:p>
    <w:p>
      <w:pPr>
        <w:spacing w:after="0" w:line="45" w:lineRule="exact"/>
        <w:rPr>
          <w:rFonts w:ascii="Arial" w:cs="Arial" w:eastAsia="Arial" w:hAnsi="Arial"/>
          <w:sz w:val="17"/>
          <w:szCs w:val="17"/>
          <w:color w:val="auto"/>
        </w:rPr>
      </w:pPr>
    </w:p>
    <w:p>
      <w:pPr>
        <w:ind w:left="600" w:right="619" w:hanging="328"/>
        <w:spacing w:after="0" w:line="270"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complete the Merger or delays in completing the Merger could negatively impact Vringo’s and Innovate/Protect’s respective businesses, financial condition, or results of operations or the Vringo stock price;</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some of the directors and executive officers of Vringo and Innovate/Protect have interests in the Merger that are different from, or in addition to, those of the other Vringo and Innovate/Protect stockholders; and</w:t>
      </w:r>
    </w:p>
    <w:p>
      <w:pPr>
        <w:spacing w:after="0" w:line="6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Merger Agreement contains provisions that could discourage or make it difficult for a third party to acquire Vringo or Innovate/Protect prior to the completion of the Merger.</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In addition, each of Vringo, Innovate/Protect, and the combined company is subject to various risks associated with its business. The risks are discussed in greater detail in the section entitled “Risk Factors” beginning on page </w:t>
      </w:r>
      <w:r>
        <w:rPr>
          <w:rFonts w:ascii="Arial" w:cs="Arial" w:eastAsia="Arial" w:hAnsi="Arial"/>
          <w:sz w:val="18"/>
          <w:szCs w:val="18"/>
          <w:u w:val="single" w:color="auto"/>
          <w:color w:val="0000EE"/>
        </w:rPr>
        <w:t>38</w:t>
      </w:r>
      <w:r>
        <w:rPr>
          <w:rFonts w:ascii="Arial" w:cs="Arial" w:eastAsia="Arial" w:hAnsi="Arial"/>
          <w:sz w:val="18"/>
          <w:szCs w:val="18"/>
          <w:color w:val="auto"/>
        </w:rPr>
        <w:t>. Vringo encourages you to read and consider all of these risks carefully.</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182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40450" cy="6182995"/>
                    </a:xfrm>
                    <a:prstGeom prst="rect">
                      <a:avLst/>
                    </a:prstGeom>
                    <a:noFill/>
                  </pic:spPr>
                </pic:pic>
              </a:graphicData>
            </a:graphic>
          </wp:anchor>
        </w:drawing>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Matters to Be Considered at the Vringo Annual Meeting</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Vringo Annual Meeting</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Date, Time and Place</w:t>
      </w:r>
      <w:r>
        <w:rPr>
          <w:rFonts w:ascii="Arial" w:cs="Arial" w:eastAsia="Arial" w:hAnsi="Arial"/>
          <w:sz w:val="16"/>
          <w:szCs w:val="16"/>
          <w:color w:val="auto"/>
        </w:rPr>
        <w:t>.  The Vringo annual meeting will be held on ______________, 2012 at 10:00 a.m., local time, at the</w:t>
      </w:r>
    </w:p>
    <w:p>
      <w:pPr>
        <w:spacing w:after="0" w:line="43" w:lineRule="exact"/>
        <w:rPr>
          <w:sz w:val="20"/>
          <w:szCs w:val="20"/>
          <w:color w:val="auto"/>
        </w:rPr>
      </w:pPr>
    </w:p>
    <w:p>
      <w:pPr>
        <w:ind w:left="40" w:right="639"/>
        <w:spacing w:after="0" w:line="255" w:lineRule="auto"/>
        <w:rPr>
          <w:sz w:val="20"/>
          <w:szCs w:val="20"/>
          <w:color w:val="auto"/>
        </w:rPr>
      </w:pPr>
      <w:r>
        <w:rPr>
          <w:rFonts w:ascii="Arial" w:cs="Arial" w:eastAsia="Arial" w:hAnsi="Arial"/>
          <w:sz w:val="18"/>
          <w:szCs w:val="18"/>
          <w:color w:val="auto"/>
        </w:rPr>
        <w:t>offices of Mintz, Levin, Cohn, Ferris, Glovsky and Popeo, P.C., the Chrysler Center, 666 Third Avenue, 32nd floor, New York, New York 10017.</w:t>
      </w:r>
    </w:p>
    <w:p>
      <w:pPr>
        <w:spacing w:after="0" w:line="82"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i w:val="1"/>
          <w:iCs w:val="1"/>
          <w:color w:val="auto"/>
        </w:rPr>
        <w:t>Matters to be Considered at the Vringo Annual Meeting</w:t>
      </w:r>
      <w:r>
        <w:rPr>
          <w:rFonts w:ascii="Arial" w:cs="Arial" w:eastAsia="Arial" w:hAnsi="Arial"/>
          <w:sz w:val="18"/>
          <w:szCs w:val="18"/>
          <w:color w:val="auto"/>
        </w:rPr>
        <w:t>. At the Vringo annual meeting, and any adjournments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postponements thereof, Vringo stockholders will be asked to:</w:t>
      </w:r>
    </w:p>
    <w:p>
      <w:pPr>
        <w:spacing w:after="0" w:line="69" w:lineRule="exact"/>
        <w:rPr>
          <w:sz w:val="20"/>
          <w:szCs w:val="20"/>
          <w:color w:val="auto"/>
        </w:rPr>
      </w:pPr>
    </w:p>
    <w:p>
      <w:pPr>
        <w:ind w:left="600" w:hanging="32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Securities Issuance Proposal;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Reverse Stock Split Proposal;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Authorized Shares Increase Proposal;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elect seven (7) director nominees to the Vringo board of directors as set forth in the Election of Directors Proposal;</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2012 Equity Incentive Plan Proposal;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approve the Ratification of the Appointment of Vringo’s Independent Registered Public Accounting Firm Proposal;</w:t>
      </w:r>
    </w:p>
    <w:p>
      <w:pPr>
        <w:spacing w:after="0" w:line="125" w:lineRule="exact"/>
        <w:rPr>
          <w:rFonts w:ascii="Arial" w:cs="Arial" w:eastAsia="Arial" w:hAnsi="Arial"/>
          <w:sz w:val="17"/>
          <w:szCs w:val="17"/>
          <w:color w:val="auto"/>
        </w:rPr>
      </w:pPr>
    </w:p>
    <w:p>
      <w:pPr>
        <w:ind w:left="600" w:right="619" w:hanging="328"/>
        <w:spacing w:after="0" w:line="270"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the adjournment of the Vringo annual meeting, if necessary, to solicit additional proxies if there are not sufficient votes in favor of the Vringo Merger Proposals; and</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conduct any other business as may properly come before the Vringo annual meeting or any adjournment or postponement thereof.</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Record Date</w:t>
      </w:r>
      <w:r>
        <w:rPr>
          <w:rFonts w:ascii="Arial" w:cs="Arial" w:eastAsia="Arial" w:hAnsi="Arial"/>
          <w:sz w:val="16"/>
          <w:szCs w:val="16"/>
          <w:color w:val="auto"/>
        </w:rPr>
        <w:t>. The Vringo board of directors has fixed the close of business on _________________, 2012 as the record date for</w:t>
      </w:r>
    </w:p>
    <w:p>
      <w:pPr>
        <w:spacing w:after="0" w:line="43" w:lineRule="exact"/>
        <w:rPr>
          <w:sz w:val="20"/>
          <w:szCs w:val="20"/>
          <w:color w:val="auto"/>
        </w:rPr>
      </w:pPr>
    </w:p>
    <w:p>
      <w:pPr>
        <w:jc w:val="both"/>
        <w:ind w:left="40" w:right="639"/>
        <w:spacing w:after="0" w:line="255" w:lineRule="auto"/>
        <w:rPr>
          <w:sz w:val="20"/>
          <w:szCs w:val="20"/>
          <w:color w:val="auto"/>
        </w:rPr>
      </w:pPr>
      <w:r>
        <w:rPr>
          <w:rFonts w:ascii="Arial" w:cs="Arial" w:eastAsia="Arial" w:hAnsi="Arial"/>
          <w:sz w:val="18"/>
          <w:szCs w:val="18"/>
          <w:color w:val="auto"/>
        </w:rPr>
        <w:t>determining the Vringo stockholders entitled to notice of and to vote at the Vringo annual meeting and any adjournment or postponement thereof.</w:t>
      </w:r>
    </w:p>
    <w:p>
      <w:pPr>
        <w:spacing w:after="0" w:line="82"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Approval of the Securities Issuance Proposal, approval of the 2012 Equity Incentive Plan Proposal and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the Ratification of the Appointment of Vringo’s Independent Registered Public Accounting Firm Proposal require the affirmative vote of the holders of a majority of the shares of Vringo common stock present and entitled to vote on the matter either in person or by proxy at the Vringo annual meeting. Approval of the Reverse Stock Split Proposal and the Authorized Shares Increase Proposal require the affirmative vote of the holders of a majority of the shares of Vringo common stock outstanding and entitled to vote on the matter either in person or by proxy at the Vringo annual meeting. The election of the director nominees set forth in the Election of Directors Proposal requires the affirmative vote of a plurality of the voting power of the shares present or represented by proxy at the Vringo annual meeting and entitled to vote on the election of directors. 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on the matter either in person or by proxy at the Vringo annual meeting. As of the close of business on the record date for the Vringo annual meeting, there were ________ shares of Vringo common stock outstanding.</w:t>
      </w:r>
    </w:p>
    <w:p>
      <w:pPr>
        <w:spacing w:after="0" w:line="61"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For additional information about the Vringo annual meeting, see the section entitled “The Annual Meeting of Vringo Stockholders” beginning on page </w:t>
      </w:r>
      <w:r>
        <w:rPr>
          <w:rFonts w:ascii="Arial" w:cs="Arial" w:eastAsia="Arial" w:hAnsi="Arial"/>
          <w:sz w:val="18"/>
          <w:szCs w:val="18"/>
          <w:u w:val="single" w:color="auto"/>
          <w:color w:val="0000EE"/>
        </w:rPr>
        <w:t>92</w:t>
      </w:r>
      <w:r>
        <w:rPr>
          <w:rFonts w:ascii="Arial" w:cs="Arial" w:eastAsia="Arial" w:hAnsi="Arial"/>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 w:name="page38"/>
    <w:bookmarkEnd w:id="37"/>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708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40450" cy="6708775"/>
                    </a:xfrm>
                    <a:prstGeom prst="rect">
                      <a:avLst/>
                    </a:prstGeom>
                    <a:noFill/>
                  </pic:spPr>
                </pic:pic>
              </a:graphicData>
            </a:graphic>
          </wp:anchor>
        </w:drawing>
        <w:t>TABLE OF CONTENTS</w:t>
      </w:r>
    </w:p>
    <w:p>
      <w:pPr>
        <w:spacing w:after="0" w:line="29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SELECTED HISTORICAL FINANCIAL DATA OF VRINGO</w:t>
      </w:r>
    </w:p>
    <w:p>
      <w:pPr>
        <w:spacing w:after="0" w:line="118" w:lineRule="exact"/>
        <w:rPr>
          <w:sz w:val="20"/>
          <w:szCs w:val="20"/>
          <w:color w:val="auto"/>
        </w:rPr>
      </w:pPr>
    </w:p>
    <w:p>
      <w:pPr>
        <w:jc w:val="both"/>
        <w:ind w:left="180" w:right="860" w:firstLine="267"/>
        <w:spacing w:after="0" w:line="292" w:lineRule="auto"/>
        <w:rPr>
          <w:sz w:val="20"/>
          <w:szCs w:val="20"/>
          <w:color w:val="auto"/>
        </w:rPr>
      </w:pPr>
      <w:r>
        <w:rPr>
          <w:rFonts w:ascii="Arial" w:cs="Arial" w:eastAsia="Arial" w:hAnsi="Arial"/>
          <w:sz w:val="16"/>
          <w:szCs w:val="16"/>
          <w:color w:val="auto"/>
        </w:rPr>
        <w:t>The following table sets forth Vringo selected historical financial data as of the dates and for each of the periods indicated. The financial data for the years ended December 31, 2011, 2010, and 2009 and as of December 31, 2011 and 2010 is derived from Vringo’s audited financial statements, which are included elsewhere in this proxy statement/prospectus. The financial data for the years ended December 31, 2008 and 2007 and as of December 31, 2009, 2008, and 2007 is derived from Vringo’s audited historical financial statements, which are not included or incorporated by reference into this proxy statement/prospectus.</w:t>
      </w:r>
    </w:p>
    <w:p>
      <w:pPr>
        <w:spacing w:after="0" w:line="57" w:lineRule="exact"/>
        <w:rPr>
          <w:sz w:val="20"/>
          <w:szCs w:val="20"/>
          <w:color w:val="auto"/>
        </w:rPr>
      </w:pPr>
    </w:p>
    <w:p>
      <w:pPr>
        <w:jc w:val="both"/>
        <w:ind w:left="180" w:right="860" w:firstLine="267"/>
        <w:spacing w:after="0" w:line="259" w:lineRule="auto"/>
        <w:rPr>
          <w:sz w:val="20"/>
          <w:szCs w:val="20"/>
          <w:color w:val="auto"/>
        </w:rPr>
      </w:pPr>
      <w:r>
        <w:rPr>
          <w:rFonts w:ascii="Arial" w:cs="Arial" w:eastAsia="Arial" w:hAnsi="Arial"/>
          <w:sz w:val="18"/>
          <w:szCs w:val="18"/>
          <w:color w:val="auto"/>
        </w:rPr>
        <w:t>You should read the selected historical financial data below together with Vringo’s Management’s Discussion and Analysis of Financial Condition and Results of Operations and with the financial statements and notes thereto for the year ended December 31, 2011 which are included elsewhere in this proxy statement/prospectus.</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Statements of Operations Data (U.S. dollars; in thousands, except for share and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3"/>
              </w:rPr>
              <w:t>Years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jc w:val="center"/>
              <w:ind w:right="94"/>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3340" w:type="dxa"/>
            <w:vAlign w:val="bottom"/>
            <w:gridSpan w:val="2"/>
            <w:vMerge w:val="continue"/>
          </w:tcPr>
          <w:p>
            <w:pPr>
              <w:spacing w:after="0"/>
              <w:rPr>
                <w:sz w:val="18"/>
                <w:szCs w:val="18"/>
                <w:color w:val="auto"/>
              </w:rPr>
            </w:pPr>
          </w:p>
        </w:tc>
        <w:tc>
          <w:tcPr>
            <w:tcW w:w="380" w:type="dxa"/>
            <w:vAlign w:val="bottom"/>
          </w:tcPr>
          <w:p>
            <w:pPr>
              <w:jc w:val="right"/>
              <w:ind w:right="217"/>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718</w:t>
            </w:r>
          </w:p>
        </w:tc>
        <w:tc>
          <w:tcPr>
            <w:tcW w:w="8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86"/>
              </w:rPr>
              <w:t>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tcBorders>
              <w:top w:val="single" w:sz="8" w:color="auto"/>
              <w:left w:val="single" w:sz="8" w:color="CCFFCC"/>
            </w:tcBorders>
            <w:shd w:val="clear" w:color="auto" w:fill="CCFFCC"/>
          </w:tcPr>
          <w:p>
            <w:pPr>
              <w:spacing w:after="0"/>
              <w:rPr>
                <w:sz w:val="18"/>
                <w:szCs w:val="18"/>
                <w:color w:val="auto"/>
              </w:rPr>
            </w:pPr>
          </w:p>
        </w:tc>
        <w:tc>
          <w:tcPr>
            <w:tcW w:w="100" w:type="dxa"/>
            <w:vAlign w:val="bottom"/>
            <w:tcBorders>
              <w:top w:val="single" w:sz="8" w:color="auto"/>
              <w:right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8"/>
                <w:szCs w:val="18"/>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FFCC"/>
          </w:tcPr>
          <w:p>
            <w:pPr>
              <w:spacing w:after="0"/>
              <w:rPr>
                <w:sz w:val="18"/>
                <w:szCs w:val="18"/>
                <w:color w:val="auto"/>
              </w:rPr>
            </w:pPr>
          </w:p>
        </w:tc>
        <w:tc>
          <w:tcPr>
            <w:tcW w:w="52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w w:val="93"/>
              </w:rPr>
              <w:t>2,017</w:t>
            </w:r>
          </w:p>
        </w:tc>
        <w:tc>
          <w:tcPr>
            <w:tcW w:w="8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60" w:type="dxa"/>
            <w:vAlign w:val="bottom"/>
            <w:tcBorders>
              <w:right w:val="single" w:sz="8" w:color="CCFFCC"/>
            </w:tcBorders>
            <w:gridSpan w:val="4"/>
            <w:shd w:val="clear" w:color="auto" w:fill="CCFFCC"/>
          </w:tcPr>
          <w:p>
            <w:pPr>
              <w:jc w:val="right"/>
              <w:spacing w:after="0"/>
              <w:rPr>
                <w:sz w:val="20"/>
                <w:szCs w:val="20"/>
                <w:color w:val="auto"/>
              </w:rPr>
            </w:pPr>
            <w:r>
              <w:rPr>
                <w:rFonts w:ascii="Arial" w:cs="Arial" w:eastAsia="Arial" w:hAnsi="Arial"/>
                <w:sz w:val="18"/>
                <w:szCs w:val="18"/>
                <w:color w:val="auto"/>
              </w:rPr>
              <w:t>2,503</w:t>
            </w:r>
          </w:p>
        </w:tc>
        <w:tc>
          <w:tcPr>
            <w:tcW w:w="8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tcBorders>
              <w:right w:val="single" w:sz="8" w:color="CCFFCC"/>
            </w:tcBorders>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1,975</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3,110</w:t>
            </w: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2,429</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8"/>
                <w:szCs w:val="18"/>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8"/>
                <w:szCs w:val="18"/>
                <w:color w:val="auto"/>
                <w:w w:val="93"/>
              </w:rPr>
              <w:t>2,193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1,694</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FFCC"/>
          </w:tcPr>
          <w:p>
            <w:pPr>
              <w:spacing w:after="0"/>
              <w:rPr>
                <w:sz w:val="18"/>
                <w:szCs w:val="18"/>
                <w:color w:val="auto"/>
              </w:rPr>
            </w:pPr>
          </w:p>
        </w:tc>
        <w:tc>
          <w:tcPr>
            <w:tcW w:w="4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3"/>
              </w:rPr>
              <w:t>2,777</w:t>
            </w:r>
          </w:p>
        </w:tc>
        <w:tc>
          <w:tcPr>
            <w:tcW w:w="8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60" w:type="dxa"/>
            <w:vAlign w:val="bottom"/>
            <w:tcBorders>
              <w:right w:val="single" w:sz="8" w:color="CCFFCC"/>
            </w:tcBorders>
            <w:gridSpan w:val="4"/>
            <w:shd w:val="clear" w:color="auto" w:fill="CCFFCC"/>
          </w:tcPr>
          <w:p>
            <w:pPr>
              <w:jc w:val="right"/>
              <w:spacing w:after="0"/>
              <w:rPr>
                <w:sz w:val="20"/>
                <w:szCs w:val="20"/>
                <w:color w:val="auto"/>
              </w:rPr>
            </w:pPr>
            <w:r>
              <w:rPr>
                <w:rFonts w:ascii="Arial" w:cs="Arial" w:eastAsia="Arial" w:hAnsi="Arial"/>
                <w:sz w:val="18"/>
                <w:szCs w:val="18"/>
                <w:color w:val="auto"/>
              </w:rPr>
              <w:t>1,840</w:t>
            </w:r>
          </w:p>
        </w:tc>
        <w:tc>
          <w:tcPr>
            <w:tcW w:w="8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tcBorders>
              <w:right w:val="single" w:sz="8" w:color="CCFFCC"/>
            </w:tcBorders>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1,568</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1,409</w:t>
            </w: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912</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250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tcBorders>
              <w:right w:val="single" w:sz="8" w:color="CCFFCC"/>
            </w:tcBorders>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tcBorders>
              <w:right w:val="single" w:sz="8" w:color="auto"/>
            </w:tcBorders>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(6,424)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(6,495)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(5,306)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(7,288)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(5,035)</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Finance expense (income), net</w:t>
            </w:r>
          </w:p>
        </w:tc>
        <w:tc>
          <w:tcPr>
            <w:tcW w:w="380" w:type="dxa"/>
            <w:vAlign w:val="bottom"/>
            <w:shd w:val="clear" w:color="auto" w:fill="CCFFCC"/>
          </w:tcPr>
          <w:p>
            <w:pPr>
              <w:spacing w:after="0"/>
              <w:rPr>
                <w:sz w:val="18"/>
                <w:szCs w:val="18"/>
                <w:color w:val="auto"/>
              </w:rPr>
            </w:pPr>
          </w:p>
        </w:tc>
        <w:tc>
          <w:tcPr>
            <w:tcW w:w="5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(965)</w:t>
            </w:r>
          </w:p>
        </w:tc>
        <w:tc>
          <w:tcPr>
            <w:tcW w:w="8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4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(770)</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w:t>
            </w: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250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tcBorders>
              <w:right w:val="single" w:sz="8" w:color="CCFFCC"/>
            </w:tcBorders>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tcBorders>
              <w:right w:val="single" w:sz="8" w:color="auto"/>
            </w:tcBorders>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(7,389)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(9,907)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(6,076)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(7,339)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(4,969)</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Income tax benefit (expense)</w:t>
            </w:r>
          </w:p>
        </w:tc>
        <w:tc>
          <w:tcPr>
            <w:tcW w:w="380" w:type="dxa"/>
            <w:vAlign w:val="bottom"/>
            <w:shd w:val="clear" w:color="auto" w:fill="CCFFCC"/>
          </w:tcPr>
          <w:p>
            <w:pPr>
              <w:spacing w:after="0"/>
              <w:rPr>
                <w:sz w:val="18"/>
                <w:szCs w:val="18"/>
                <w:color w:val="auto"/>
              </w:rPr>
            </w:pPr>
          </w:p>
        </w:tc>
        <w:tc>
          <w:tcPr>
            <w:tcW w:w="5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250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tcBorders>
              <w:right w:val="single" w:sz="8" w:color="CCFFCC"/>
            </w:tcBorders>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tcBorders>
              <w:right w:val="single" w:sz="8" w:color="auto"/>
            </w:tcBorders>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left w:val="single" w:sz="8" w:color="CCFFCC"/>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for the period</w:t>
            </w: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(7,479)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(9,942)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(6,149)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(7,332)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(4,953)</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340" w:type="dxa"/>
            <w:vAlign w:val="bottom"/>
            <w:gridSpan w:val="2"/>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rPr>
              <w:t>Basic and diluted net loss per</w:t>
            </w:r>
          </w:p>
        </w:tc>
        <w:tc>
          <w:tcPr>
            <w:tcW w:w="380" w:type="dxa"/>
            <w:vAlign w:val="bottom"/>
            <w:shd w:val="clear" w:color="auto" w:fill="CCFFCC"/>
          </w:tcPr>
          <w:p>
            <w:pPr>
              <w:spacing w:after="0"/>
              <w:rPr>
                <w:sz w:val="16"/>
                <w:szCs w:val="16"/>
                <w:color w:val="auto"/>
              </w:rPr>
            </w:pPr>
          </w:p>
        </w:tc>
        <w:tc>
          <w:tcPr>
            <w:tcW w:w="520" w:type="dxa"/>
            <w:vAlign w:val="bottom"/>
            <w:gridSpan w:val="4"/>
            <w:shd w:val="clear" w:color="auto" w:fill="CCFFCC"/>
          </w:tcPr>
          <w:p>
            <w:pPr>
              <w:jc w:val="right"/>
              <w:ind w:right="80"/>
              <w:spacing w:after="0" w:line="189" w:lineRule="exact"/>
              <w:rPr>
                <w:sz w:val="20"/>
                <w:szCs w:val="20"/>
                <w:color w:val="auto"/>
              </w:rPr>
            </w:pPr>
            <w:r>
              <w:rPr>
                <w:rFonts w:ascii="Arial" w:cs="Arial" w:eastAsia="Arial" w:hAnsi="Arial"/>
                <w:sz w:val="18"/>
                <w:szCs w:val="18"/>
                <w:b w:val="1"/>
                <w:bCs w:val="1"/>
                <w:color w:val="auto"/>
                <w:w w:val="89"/>
              </w:rPr>
              <w:t>(1.17)</w:t>
            </w:r>
          </w:p>
        </w:tc>
        <w:tc>
          <w:tcPr>
            <w:tcW w:w="80" w:type="dxa"/>
            <w:vAlign w:val="bottom"/>
            <w:tcBorders>
              <w:right w:val="single" w:sz="8" w:color="CCFFCC"/>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560" w:type="dxa"/>
            <w:vAlign w:val="bottom"/>
            <w:tcBorders>
              <w:right w:val="single" w:sz="8" w:color="CCFFCC"/>
            </w:tcBorders>
            <w:gridSpan w:val="4"/>
            <w:shd w:val="clear" w:color="auto" w:fill="CCFFCC"/>
          </w:tcPr>
          <w:p>
            <w:pPr>
              <w:jc w:val="right"/>
              <w:spacing w:after="0" w:line="189" w:lineRule="exact"/>
              <w:rPr>
                <w:sz w:val="20"/>
                <w:szCs w:val="20"/>
                <w:color w:val="auto"/>
              </w:rPr>
            </w:pPr>
            <w:r>
              <w:rPr>
                <w:rFonts w:ascii="Arial" w:cs="Arial" w:eastAsia="Arial" w:hAnsi="Arial"/>
                <w:sz w:val="18"/>
                <w:szCs w:val="18"/>
                <w:b w:val="1"/>
                <w:bCs w:val="1"/>
                <w:color w:val="auto"/>
              </w:rPr>
              <w:t>(3.15)</w:t>
            </w:r>
          </w:p>
        </w:tc>
        <w:tc>
          <w:tcPr>
            <w:tcW w:w="80" w:type="dxa"/>
            <w:vAlign w:val="bottom"/>
            <w:shd w:val="clear" w:color="auto" w:fill="CCFFCC"/>
          </w:tcPr>
          <w:p>
            <w:pPr>
              <w:spacing w:after="0"/>
              <w:rPr>
                <w:sz w:val="16"/>
                <w:szCs w:val="16"/>
                <w:color w:val="auto"/>
              </w:rPr>
            </w:pPr>
          </w:p>
        </w:tc>
        <w:tc>
          <w:tcPr>
            <w:tcW w:w="100" w:type="dxa"/>
            <w:vAlign w:val="bottom"/>
            <w:tcBorders>
              <w:right w:val="single" w:sz="8" w:color="CCFFCC"/>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tcBorders>
              <w:right w:val="single" w:sz="8" w:color="CCFFCC"/>
            </w:tcBorders>
            <w:gridSpan w:val="4"/>
            <w:shd w:val="clear" w:color="auto" w:fill="CCFFCC"/>
          </w:tcPr>
          <w:p>
            <w:pPr>
              <w:jc w:val="right"/>
              <w:ind w:right="160"/>
              <w:spacing w:after="0" w:line="189" w:lineRule="exact"/>
              <w:rPr>
                <w:sz w:val="20"/>
                <w:szCs w:val="20"/>
                <w:color w:val="auto"/>
              </w:rPr>
            </w:pPr>
            <w:r>
              <w:rPr>
                <w:rFonts w:ascii="Arial" w:cs="Arial" w:eastAsia="Arial" w:hAnsi="Arial"/>
                <w:sz w:val="18"/>
                <w:szCs w:val="18"/>
                <w:b w:val="1"/>
                <w:bCs w:val="1"/>
                <w:color w:val="auto"/>
              </w:rPr>
              <w:t>(16.76)</w:t>
            </w:r>
          </w:p>
        </w:tc>
        <w:tc>
          <w:tcPr>
            <w:tcW w:w="120" w:type="dxa"/>
            <w:vAlign w:val="bottom"/>
            <w:tcBorders>
              <w:left w:val="single" w:sz="8" w:color="CCFFCC"/>
            </w:tcBorders>
            <w:shd w:val="clear" w:color="auto" w:fill="CCFFCC"/>
          </w:tcPr>
          <w:p>
            <w:pPr>
              <w:spacing w:after="0"/>
              <w:rPr>
                <w:sz w:val="16"/>
                <w:szCs w:val="16"/>
                <w:color w:val="auto"/>
              </w:rPr>
            </w:pPr>
          </w:p>
        </w:tc>
        <w:tc>
          <w:tcPr>
            <w:tcW w:w="100" w:type="dxa"/>
            <w:vAlign w:val="bottom"/>
            <w:tcBorders>
              <w:right w:val="single" w:sz="8" w:color="CCFFCC"/>
            </w:tcBorders>
            <w:shd w:val="clear" w:color="auto" w:fill="CCFFCC"/>
          </w:tcPr>
          <w:p>
            <w:pPr>
              <w:spacing w:after="0"/>
              <w:rPr>
                <w:sz w:val="16"/>
                <w:szCs w:val="16"/>
                <w:color w:val="auto"/>
              </w:rPr>
            </w:pPr>
          </w:p>
        </w:tc>
        <w:tc>
          <w:tcPr>
            <w:tcW w:w="660" w:type="dxa"/>
            <w:vAlign w:val="bottom"/>
            <w:gridSpan w:val="3"/>
            <w:shd w:val="clear" w:color="auto" w:fill="CCFFCC"/>
          </w:tcPr>
          <w:p>
            <w:pPr>
              <w:jc w:val="right"/>
              <w:ind w:right="100"/>
              <w:spacing w:after="0" w:line="189" w:lineRule="exact"/>
              <w:rPr>
                <w:sz w:val="20"/>
                <w:szCs w:val="20"/>
                <w:color w:val="auto"/>
              </w:rPr>
            </w:pPr>
            <w:r>
              <w:rPr>
                <w:rFonts w:ascii="Arial" w:cs="Arial" w:eastAsia="Arial" w:hAnsi="Arial"/>
                <w:sz w:val="18"/>
                <w:szCs w:val="18"/>
                <w:b w:val="1"/>
                <w:bCs w:val="1"/>
                <w:color w:val="auto"/>
                <w:w w:val="94"/>
              </w:rPr>
              <w:t>(19.99)</w:t>
            </w:r>
          </w:p>
        </w:tc>
        <w:tc>
          <w:tcPr>
            <w:tcW w:w="1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80"/>
              <w:spacing w:after="0" w:line="189" w:lineRule="exact"/>
              <w:rPr>
                <w:sz w:val="20"/>
                <w:szCs w:val="20"/>
                <w:color w:val="auto"/>
              </w:rPr>
            </w:pPr>
            <w:r>
              <w:rPr>
                <w:rFonts w:ascii="Arial" w:cs="Arial" w:eastAsia="Arial" w:hAnsi="Arial"/>
                <w:sz w:val="18"/>
                <w:szCs w:val="18"/>
                <w:b w:val="1"/>
                <w:bCs w:val="1"/>
                <w:color w:val="auto"/>
              </w:rPr>
              <w:t>(13.50)</w:t>
            </w: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334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common share</w:t>
            </w:r>
          </w:p>
        </w:tc>
        <w:tc>
          <w:tcPr>
            <w:tcW w:w="3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tcBorders>
              <w:right w:val="single" w:sz="8" w:color="CCFFCC"/>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00" w:type="dxa"/>
            <w:vAlign w:val="bottom"/>
            <w:tcBorders>
              <w:righ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60" w:type="dxa"/>
            <w:vAlign w:val="bottom"/>
            <w:tcBorders>
              <w:right w:val="single" w:sz="8" w:color="CCFFCC"/>
            </w:tcBorders>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tcBorders>
              <w:lef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00" w:type="dxa"/>
            <w:vAlign w:val="bottom"/>
            <w:tcBorders>
              <w:left w:val="single" w:sz="8" w:color="CCFFCC"/>
            </w:tcBorders>
            <w:shd w:val="clear" w:color="auto" w:fill="CCFFCC"/>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3340" w:type="dxa"/>
            <w:vAlign w:val="bottom"/>
            <w:gridSpan w:val="2"/>
          </w:tcPr>
          <w:p>
            <w:pPr>
              <w:ind w:left="20"/>
              <w:spacing w:after="0" w:line="200" w:lineRule="exact"/>
              <w:rPr>
                <w:sz w:val="20"/>
                <w:szCs w:val="20"/>
                <w:color w:val="auto"/>
              </w:rPr>
            </w:pPr>
            <w:r>
              <w:rPr>
                <w:rFonts w:ascii="Arial" w:cs="Arial" w:eastAsia="Arial" w:hAnsi="Arial"/>
                <w:sz w:val="18"/>
                <w:szCs w:val="18"/>
                <w:color w:val="auto"/>
                <w:w w:val="93"/>
              </w:rPr>
              <w:t>Weighted average number of shares used in</w:t>
            </w:r>
          </w:p>
        </w:tc>
        <w:tc>
          <w:tcPr>
            <w:tcW w:w="900" w:type="dxa"/>
            <w:vAlign w:val="bottom"/>
            <w:gridSpan w:val="5"/>
          </w:tcPr>
          <w:p>
            <w:pPr>
              <w:jc w:val="right"/>
              <w:ind w:right="80"/>
              <w:spacing w:after="0" w:line="200" w:lineRule="exact"/>
              <w:rPr>
                <w:sz w:val="20"/>
                <w:szCs w:val="20"/>
                <w:color w:val="auto"/>
              </w:rPr>
            </w:pPr>
            <w:r>
              <w:rPr>
                <w:rFonts w:ascii="Arial" w:cs="Arial" w:eastAsia="Arial" w:hAnsi="Arial"/>
                <w:sz w:val="18"/>
                <w:szCs w:val="18"/>
                <w:b w:val="1"/>
                <w:bCs w:val="1"/>
                <w:color w:val="auto"/>
                <w:w w:val="99"/>
              </w:rPr>
              <w:t>6,372,659</w:t>
            </w:r>
          </w:p>
        </w:tc>
        <w:tc>
          <w:tcPr>
            <w:tcW w:w="920" w:type="dxa"/>
            <w:vAlign w:val="bottom"/>
            <w:gridSpan w:val="7"/>
          </w:tcPr>
          <w:p>
            <w:pPr>
              <w:jc w:val="right"/>
              <w:spacing w:after="0" w:line="200" w:lineRule="exact"/>
              <w:rPr>
                <w:sz w:val="20"/>
                <w:szCs w:val="20"/>
                <w:color w:val="auto"/>
              </w:rPr>
            </w:pPr>
            <w:r>
              <w:rPr>
                <w:rFonts w:ascii="Arial" w:cs="Arial" w:eastAsia="Arial" w:hAnsi="Arial"/>
                <w:sz w:val="18"/>
                <w:szCs w:val="18"/>
                <w:b w:val="1"/>
                <w:bCs w:val="1"/>
                <w:color w:val="auto"/>
              </w:rPr>
              <w:t>3,154,489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4"/>
          </w:tcPr>
          <w:p>
            <w:pPr>
              <w:jc w:val="right"/>
              <w:ind w:right="160"/>
              <w:spacing w:after="0" w:line="200" w:lineRule="exact"/>
              <w:rPr>
                <w:sz w:val="20"/>
                <w:szCs w:val="20"/>
                <w:color w:val="auto"/>
              </w:rPr>
            </w:pPr>
            <w:r>
              <w:rPr>
                <w:rFonts w:ascii="Arial" w:cs="Arial" w:eastAsia="Arial" w:hAnsi="Arial"/>
                <w:sz w:val="18"/>
                <w:szCs w:val="18"/>
                <w:b w:val="1"/>
                <w:bCs w:val="1"/>
                <w:color w:val="auto"/>
                <w:w w:val="89"/>
              </w:rPr>
              <w:t>366,782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100"/>
              <w:spacing w:after="0" w:line="200" w:lineRule="exact"/>
              <w:rPr>
                <w:sz w:val="20"/>
                <w:szCs w:val="20"/>
                <w:color w:val="auto"/>
              </w:rPr>
            </w:pPr>
            <w:r>
              <w:rPr>
                <w:rFonts w:ascii="Arial" w:cs="Arial" w:eastAsia="Arial" w:hAnsi="Arial"/>
                <w:sz w:val="18"/>
                <w:szCs w:val="18"/>
                <w:b w:val="1"/>
                <w:bCs w:val="1"/>
                <w:color w:val="auto"/>
                <w:w w:val="82"/>
              </w:rPr>
              <w:t>366,782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w w:val="89"/>
              </w:rPr>
              <w:t>366,782</w:t>
            </w: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w w:val="97"/>
              </w:rPr>
              <w:t>computing basic and diluted net loss per</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common share</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b w:val="1"/>
                <w:bCs w:val="1"/>
                <w:color w:val="auto"/>
                <w:w w:val="88"/>
              </w:rPr>
              <w:t>Balance Sheet Data (U.S. dollars; in thousands):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34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33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5"/>
          </w:tcPr>
          <w:p>
            <w:pPr>
              <w:jc w:val="right"/>
              <w:ind w:right="80"/>
              <w:spacing w:after="0"/>
              <w:rPr>
                <w:sz w:val="20"/>
                <w:szCs w:val="20"/>
                <w:color w:val="auto"/>
              </w:rPr>
            </w:pPr>
            <w:r>
              <w:rPr>
                <w:rFonts w:ascii="Arial" w:cs="Arial" w:eastAsia="Arial" w:hAnsi="Arial"/>
                <w:sz w:val="18"/>
                <w:szCs w:val="18"/>
                <w:color w:val="auto"/>
              </w:rPr>
              <w:t>1,718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4"/>
          </w:tcPr>
          <w:p>
            <w:pPr>
              <w:jc w:val="right"/>
              <w:ind w:right="68"/>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3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320" w:type="dxa"/>
            <w:vAlign w:val="bottom"/>
            <w:gridSpan w:val="3"/>
            <w:shd w:val="clear" w:color="auto" w:fill="CCFFCC"/>
          </w:tcPr>
          <w:p>
            <w:pPr>
              <w:jc w:val="right"/>
              <w:ind w:right="68"/>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left w:val="single" w:sz="8" w:color="CCFFCC"/>
            </w:tcBorders>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144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68"/>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Deferred tax assets – long-term</w:t>
            </w:r>
          </w:p>
        </w:tc>
        <w:tc>
          <w:tcPr>
            <w:tcW w:w="3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320" w:type="dxa"/>
            <w:vAlign w:val="bottom"/>
            <w:gridSpan w:val="3"/>
            <w:shd w:val="clear" w:color="auto" w:fill="CCFFCC"/>
          </w:tcPr>
          <w:p>
            <w:pPr>
              <w:jc w:val="right"/>
              <w:ind w:right="68"/>
              <w:spacing w:after="0"/>
              <w:rPr>
                <w:sz w:val="20"/>
                <w:szCs w:val="20"/>
                <w:color w:val="auto"/>
              </w:rPr>
            </w:pPr>
            <w:r>
              <w:rPr>
                <w:rFonts w:ascii="Arial" w:cs="Arial" w:eastAsia="Arial" w:hAnsi="Arial"/>
                <w:sz w:val="18"/>
                <w:szCs w:val="18"/>
                <w:color w:val="auto"/>
                <w:w w:val="79"/>
              </w:rPr>
              <w:t>27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left w:val="single" w:sz="8" w:color="CCFFCC"/>
            </w:tcBorders>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250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4"/>
          </w:tcPr>
          <w:p>
            <w:pPr>
              <w:jc w:val="right"/>
              <w:spacing w:after="0"/>
              <w:rPr>
                <w:sz w:val="20"/>
                <w:szCs w:val="20"/>
                <w:color w:val="auto"/>
              </w:rPr>
            </w:pPr>
            <w:r>
              <w:rPr>
                <w:rFonts w:ascii="Arial" w:cs="Arial" w:eastAsia="Arial" w:hAnsi="Arial"/>
                <w:sz w:val="18"/>
                <w:szCs w:val="18"/>
                <w:b w:val="1"/>
                <w:bCs w:val="1"/>
                <w:color w:val="auto"/>
              </w:rPr>
              <w:t>1,895</w:t>
            </w: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4"/>
          </w:tcPr>
          <w:p>
            <w:pPr>
              <w:jc w:val="right"/>
              <w:ind w:right="68"/>
              <w:spacing w:after="0"/>
              <w:rPr>
                <w:sz w:val="20"/>
                <w:szCs w:val="20"/>
                <w:color w:val="auto"/>
              </w:rPr>
            </w:pPr>
            <w:r>
              <w:rPr>
                <w:rFonts w:ascii="Arial" w:cs="Arial" w:eastAsia="Arial" w:hAnsi="Arial"/>
                <w:sz w:val="18"/>
                <w:szCs w:val="18"/>
                <w:b w:val="1"/>
                <w:bCs w:val="1"/>
                <w:color w:val="auto"/>
              </w:rPr>
              <w:t>5,889</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6,443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8,865</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w w:val="86"/>
              </w:rPr>
              <w:t>723</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gridSpan w:val="4"/>
            <w:shd w:val="clear" w:color="auto" w:fill="CCFFCC"/>
          </w:tcPr>
          <w:p>
            <w:pPr>
              <w:jc w:val="right"/>
              <w:ind w:right="68"/>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4,719</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left w:val="single" w:sz="8" w:color="CCFFCC"/>
            </w:tcBorders>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5"/>
          </w:tcPr>
          <w:p>
            <w:pPr>
              <w:jc w:val="right"/>
              <w:ind w:right="80"/>
              <w:spacing w:after="0"/>
              <w:rPr>
                <w:sz w:val="20"/>
                <w:szCs w:val="20"/>
                <w:color w:val="auto"/>
              </w:rPr>
            </w:pPr>
            <w:r>
              <w:rPr>
                <w:rFonts w:ascii="Arial" w:cs="Arial" w:eastAsia="Arial" w:hAnsi="Arial"/>
                <w:sz w:val="18"/>
                <w:szCs w:val="18"/>
                <w:color w:val="auto"/>
              </w:rPr>
              <w:t>2,337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68"/>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temporary equity</w:t>
            </w:r>
          </w:p>
        </w:tc>
        <w:tc>
          <w:tcPr>
            <w:tcW w:w="3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00" w:type="dxa"/>
            <w:vAlign w:val="bottom"/>
            <w:tcBorders>
              <w:right w:val="single" w:sz="8" w:color="CCFFCC"/>
            </w:tcBorders>
            <w:shd w:val="clear" w:color="auto" w:fill="CCFFCC"/>
          </w:tcPr>
          <w:p>
            <w:pPr>
              <w:spacing w:after="0"/>
              <w:rPr>
                <w:sz w:val="18"/>
                <w:szCs w:val="18"/>
                <w:color w:val="auto"/>
              </w:rPr>
            </w:pPr>
          </w:p>
        </w:tc>
        <w:tc>
          <w:tcPr>
            <w:tcW w:w="320" w:type="dxa"/>
            <w:vAlign w:val="bottom"/>
            <w:gridSpan w:val="3"/>
            <w:shd w:val="clear" w:color="auto" w:fill="CCFFCC"/>
          </w:tcPr>
          <w:p>
            <w:pPr>
              <w:jc w:val="right"/>
              <w:ind w:right="68"/>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98"/>
              </w:rPr>
              <w:t>11,968</w:t>
            </w:r>
          </w:p>
        </w:tc>
        <w:tc>
          <w:tcPr>
            <w:tcW w:w="120" w:type="dxa"/>
            <w:vAlign w:val="bottom"/>
            <w:tcBorders>
              <w:lef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8"/>
              </w:rPr>
              <w:t>11,961</w:t>
            </w:r>
          </w:p>
        </w:tc>
        <w:tc>
          <w:tcPr>
            <w:tcW w:w="1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 (deficit)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(1,165)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8"/>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(16,378)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(10,970)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20" w:type="dxa"/>
            <w:vAlign w:val="bottom"/>
          </w:tcPr>
          <w:p>
            <w:pPr>
              <w:spacing w:after="0"/>
              <w:rPr>
                <w:sz w:val="21"/>
                <w:szCs w:val="21"/>
                <w:color w:val="auto"/>
              </w:rPr>
            </w:pPr>
          </w:p>
        </w:tc>
        <w:tc>
          <w:tcPr>
            <w:tcW w:w="37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w w:val="89"/>
                <w:shd w:val="clear" w:color="auto" w:fill="CCFFCC"/>
              </w:rPr>
              <w:t>Total liabilities and stockholders’ equity (deficit)</w:t>
            </w:r>
          </w:p>
        </w:tc>
        <w:tc>
          <w:tcPr>
            <w:tcW w:w="18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shd w:val="clear" w:color="auto" w:fill="CCFFCC"/>
              </w:rPr>
              <w:t>$</w:t>
            </w:r>
          </w:p>
        </w:tc>
        <w:tc>
          <w:tcPr>
            <w:tcW w:w="500" w:type="dxa"/>
            <w:vAlign w:val="bottom"/>
            <w:gridSpan w:val="4"/>
            <w:shd w:val="clear" w:color="auto" w:fill="CCFFCC"/>
          </w:tcPr>
          <w:p>
            <w:pPr>
              <w:jc w:val="right"/>
              <w:spacing w:after="0"/>
              <w:rPr>
                <w:sz w:val="20"/>
                <w:szCs w:val="20"/>
                <w:color w:val="auto"/>
              </w:rPr>
            </w:pPr>
            <w:r>
              <w:rPr>
                <w:rFonts w:ascii="Arial" w:cs="Arial" w:eastAsia="Arial" w:hAnsi="Arial"/>
                <w:sz w:val="18"/>
                <w:szCs w:val="18"/>
                <w:b w:val="1"/>
                <w:bCs w:val="1"/>
                <w:color w:val="auto"/>
                <w:shd w:val="clear" w:color="auto" w:fill="CCFFCC"/>
              </w:rPr>
              <w:t>1,895</w:t>
            </w:r>
          </w:p>
        </w:tc>
        <w:tc>
          <w:tcPr>
            <w:tcW w:w="80" w:type="dxa"/>
            <w:vAlign w:val="bottom"/>
            <w:shd w:val="clear" w:color="auto" w:fill="CCFFCC"/>
          </w:tcPr>
          <w:p>
            <w:pPr>
              <w:spacing w:after="0"/>
              <w:rPr>
                <w:sz w:val="21"/>
                <w:szCs w:val="21"/>
                <w:color w:val="auto"/>
              </w:rPr>
            </w:pPr>
          </w:p>
        </w:tc>
        <w:tc>
          <w:tcPr>
            <w:tcW w:w="140" w:type="dxa"/>
            <w:vAlign w:val="bottom"/>
            <w:gridSpan w:val="2"/>
            <w:shd w:val="clear" w:color="auto" w:fill="CCFFCC"/>
          </w:tcPr>
          <w:p>
            <w:pPr>
              <w:spacing w:after="0"/>
              <w:rPr>
                <w:sz w:val="21"/>
                <w:szCs w:val="21"/>
                <w:color w:val="auto"/>
              </w:rPr>
            </w:pPr>
          </w:p>
        </w:tc>
        <w:tc>
          <w:tcPr>
            <w:tcW w:w="120" w:type="dxa"/>
            <w:vAlign w:val="bottom"/>
            <w:shd w:val="clear" w:color="auto" w:fill="CCFFCC"/>
          </w:tcPr>
          <w:p>
            <w:pPr>
              <w:jc w:val="center"/>
              <w:spacing w:after="0"/>
              <w:rPr>
                <w:sz w:val="20"/>
                <w:szCs w:val="20"/>
                <w:color w:val="auto"/>
              </w:rPr>
            </w:pPr>
            <w:r>
              <w:rPr>
                <w:rFonts w:ascii="Arial" w:cs="Arial" w:eastAsia="Arial" w:hAnsi="Arial"/>
                <w:sz w:val="18"/>
                <w:szCs w:val="18"/>
                <w:b w:val="1"/>
                <w:bCs w:val="1"/>
                <w:color w:val="auto"/>
                <w:w w:val="99"/>
                <w:shd w:val="clear" w:color="auto" w:fill="CCFFCC"/>
              </w:rPr>
              <w:t>$</w:t>
            </w:r>
          </w:p>
        </w:tc>
        <w:tc>
          <w:tcPr>
            <w:tcW w:w="620" w:type="dxa"/>
            <w:vAlign w:val="bottom"/>
            <w:gridSpan w:val="4"/>
            <w:shd w:val="clear" w:color="auto" w:fill="CCFFCC"/>
          </w:tcPr>
          <w:p>
            <w:pPr>
              <w:jc w:val="right"/>
              <w:ind w:right="68"/>
              <w:spacing w:after="0"/>
              <w:rPr>
                <w:sz w:val="20"/>
                <w:szCs w:val="20"/>
                <w:color w:val="auto"/>
              </w:rPr>
            </w:pPr>
            <w:r>
              <w:rPr>
                <w:rFonts w:ascii="Arial" w:cs="Arial" w:eastAsia="Arial" w:hAnsi="Arial"/>
                <w:sz w:val="18"/>
                <w:szCs w:val="18"/>
                <w:b w:val="1"/>
                <w:bCs w:val="1"/>
                <w:color w:val="auto"/>
                <w:shd w:val="clear" w:color="auto" w:fill="CCFFCC"/>
              </w:rPr>
              <w:t>5,889</w:t>
            </w:r>
          </w:p>
        </w:tc>
        <w:tc>
          <w:tcPr>
            <w:tcW w:w="220" w:type="dxa"/>
            <w:vAlign w:val="bottom"/>
            <w:gridSpan w:val="2"/>
            <w:shd w:val="clear" w:color="auto" w:fill="CCFFCC"/>
          </w:tcPr>
          <w:p>
            <w:pPr>
              <w:ind w:left="120"/>
              <w:spacing w:after="0"/>
              <w:rPr>
                <w:sz w:val="20"/>
                <w:szCs w:val="20"/>
                <w:color w:val="auto"/>
              </w:rPr>
            </w:pPr>
            <w:r>
              <w:rPr>
                <w:rFonts w:ascii="Arial" w:cs="Arial" w:eastAsia="Arial" w:hAnsi="Arial"/>
                <w:sz w:val="18"/>
                <w:szCs w:val="18"/>
                <w:b w:val="1"/>
                <w:bCs w:val="1"/>
                <w:color w:val="auto"/>
                <w:w w:val="79"/>
                <w:shd w:val="clear" w:color="auto" w:fill="CCFFCC"/>
              </w:rPr>
              <w:t>$</w:t>
            </w:r>
          </w:p>
        </w:tc>
        <w:tc>
          <w:tcPr>
            <w:tcW w:w="5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shd w:val="clear" w:color="auto" w:fill="CCFFCC"/>
              </w:rPr>
              <w:t>3,789</w:t>
            </w:r>
          </w:p>
        </w:tc>
        <w:tc>
          <w:tcPr>
            <w:tcW w:w="120" w:type="dxa"/>
            <w:vAlign w:val="bottom"/>
            <w:tcBorders>
              <w:left w:val="single" w:sz="8" w:color="CCFFCC"/>
            </w:tcBorders>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shd w:val="clear" w:color="auto" w:fill="CCFFCC"/>
              </w:rPr>
              <w:t>$</w:t>
            </w:r>
          </w:p>
        </w:tc>
        <w:tc>
          <w:tcPr>
            <w:tcW w:w="5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shd w:val="clear" w:color="auto" w:fill="CCFFCC"/>
              </w:rPr>
              <w:t>6,443</w:t>
            </w:r>
          </w:p>
        </w:tc>
        <w:tc>
          <w:tcPr>
            <w:tcW w:w="100" w:type="dxa"/>
            <w:vAlign w:val="bottom"/>
            <w:tcBorders>
              <w:left w:val="single" w:sz="8" w:color="CCFFCC"/>
            </w:tcBorders>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shd w:val="clear" w:color="auto" w:fill="CCFFCC"/>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shd w:val="clear" w:color="auto" w:fill="CCFFCC"/>
              </w:rPr>
              <w:t>8,865</w:t>
            </w:r>
          </w:p>
        </w:tc>
        <w:tc>
          <w:tcPr>
            <w:tcW w:w="100" w:type="dxa"/>
            <w:vAlign w:val="bottom"/>
            <w:tcBorders>
              <w:left w:val="single" w:sz="8" w:color="CCFFCC"/>
            </w:tcBorders>
            <w:shd w:val="clear" w:color="auto" w:fill="CCFFCC"/>
          </w:tcPr>
          <w:p>
            <w:pPr>
              <w:spacing w:after="0"/>
              <w:rPr>
                <w:sz w:val="21"/>
                <w:szCs w:val="21"/>
                <w:color w:val="auto"/>
              </w:rPr>
            </w:pPr>
          </w:p>
        </w:tc>
        <w:tc>
          <w:tcPr>
            <w:tcW w:w="1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auto"/>
            </w:tcBorders>
          </w:tcPr>
          <w:p>
            <w:pPr>
              <w:spacing w:after="0"/>
              <w:rPr>
                <w:sz w:val="17"/>
                <w:szCs w:val="17"/>
                <w:color w:val="auto"/>
              </w:rPr>
            </w:pPr>
          </w:p>
        </w:tc>
        <w:tc>
          <w:tcPr>
            <w:tcW w:w="840" w:type="dxa"/>
            <w:vAlign w:val="bottom"/>
            <w:tcBorders>
              <w:top w:val="single" w:sz="8" w:color="CCFFCC"/>
              <w:bottom w:val="single" w:sz="8" w:color="auto"/>
            </w:tcBorders>
          </w:tcPr>
          <w:p>
            <w:pPr>
              <w:spacing w:after="0"/>
              <w:rPr>
                <w:sz w:val="17"/>
                <w:szCs w:val="17"/>
                <w:color w:val="auto"/>
              </w:rPr>
            </w:pPr>
          </w:p>
        </w:tc>
        <w:tc>
          <w:tcPr>
            <w:tcW w:w="2500" w:type="dxa"/>
            <w:vAlign w:val="bottom"/>
            <w:tcBorders>
              <w:top w:val="single" w:sz="8" w:color="CCFFCC"/>
              <w:bottom w:val="single" w:sz="8" w:color="auto"/>
            </w:tcBorders>
          </w:tcPr>
          <w:p>
            <w:pPr>
              <w:spacing w:after="0"/>
              <w:rPr>
                <w:sz w:val="17"/>
                <w:szCs w:val="17"/>
                <w:color w:val="auto"/>
              </w:rPr>
            </w:pPr>
          </w:p>
        </w:tc>
        <w:tc>
          <w:tcPr>
            <w:tcW w:w="380" w:type="dxa"/>
            <w:vAlign w:val="bottom"/>
            <w:tcBorders>
              <w:top w:val="single" w:sz="8" w:color="CCFFCC"/>
              <w:bottom w:val="single" w:sz="8" w:color="auto"/>
            </w:tcBorders>
          </w:tcPr>
          <w:p>
            <w:pPr>
              <w:spacing w:after="0"/>
              <w:rPr>
                <w:sz w:val="17"/>
                <w:szCs w:val="17"/>
                <w:color w:val="auto"/>
              </w:rPr>
            </w:pPr>
          </w:p>
        </w:tc>
        <w:tc>
          <w:tcPr>
            <w:tcW w:w="180" w:type="dxa"/>
            <w:vAlign w:val="bottom"/>
            <w:tcBorders>
              <w:top w:val="single" w:sz="8" w:color="CCFFCC"/>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FFCC"/>
              <w:bottom w:val="single" w:sz="8" w:color="auto"/>
            </w:tcBorders>
          </w:tcPr>
          <w:p>
            <w:pPr>
              <w:spacing w:after="0"/>
              <w:rPr>
                <w:sz w:val="17"/>
                <w:szCs w:val="17"/>
                <w:color w:val="auto"/>
              </w:rPr>
            </w:pPr>
          </w:p>
        </w:tc>
        <w:tc>
          <w:tcPr>
            <w:tcW w:w="40" w:type="dxa"/>
            <w:vAlign w:val="bottom"/>
            <w:tcBorders>
              <w:top w:val="single" w:sz="8" w:color="CCFFCC"/>
              <w:bottom w:val="single" w:sz="8" w:color="auto"/>
            </w:tcBorders>
          </w:tcPr>
          <w:p>
            <w:pPr>
              <w:spacing w:after="0"/>
              <w:rPr>
                <w:sz w:val="17"/>
                <w:szCs w:val="17"/>
                <w:color w:val="auto"/>
              </w:rPr>
            </w:pPr>
          </w:p>
        </w:tc>
        <w:tc>
          <w:tcPr>
            <w:tcW w:w="100" w:type="dxa"/>
            <w:vAlign w:val="bottom"/>
            <w:tcBorders>
              <w:top w:val="single" w:sz="8" w:color="CCFFCC"/>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FFCC"/>
              <w:bottom w:val="single" w:sz="8" w:color="auto"/>
            </w:tcBorders>
          </w:tcPr>
          <w:p>
            <w:pPr>
              <w:spacing w:after="0"/>
              <w:rPr>
                <w:sz w:val="17"/>
                <w:szCs w:val="17"/>
                <w:color w:val="auto"/>
              </w:rPr>
            </w:pPr>
          </w:p>
        </w:tc>
        <w:tc>
          <w:tcPr>
            <w:tcW w:w="120" w:type="dxa"/>
            <w:vAlign w:val="bottom"/>
            <w:tcBorders>
              <w:top w:val="single" w:sz="8" w:color="CCFFCC"/>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FFCC"/>
              <w:bottom w:val="single" w:sz="8" w:color="auto"/>
            </w:tcBorders>
          </w:tcPr>
          <w:p>
            <w:pPr>
              <w:spacing w:after="0"/>
              <w:rPr>
                <w:sz w:val="17"/>
                <w:szCs w:val="17"/>
                <w:color w:val="auto"/>
              </w:rPr>
            </w:pPr>
          </w:p>
        </w:tc>
        <w:tc>
          <w:tcPr>
            <w:tcW w:w="100" w:type="dxa"/>
            <w:vAlign w:val="bottom"/>
            <w:tcBorders>
              <w:top w:val="single" w:sz="8" w:color="CCFFCC"/>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FFCC"/>
              <w:bottom w:val="single" w:sz="8" w:color="auto"/>
            </w:tcBorders>
          </w:tcPr>
          <w:p>
            <w:pPr>
              <w:spacing w:after="0"/>
              <w:rPr>
                <w:sz w:val="17"/>
                <w:szCs w:val="17"/>
                <w:color w:val="auto"/>
              </w:rPr>
            </w:pPr>
          </w:p>
        </w:tc>
        <w:tc>
          <w:tcPr>
            <w:tcW w:w="120" w:type="dxa"/>
            <w:vAlign w:val="bottom"/>
            <w:tcBorders>
              <w:top w:val="single" w:sz="8" w:color="CCFFCC"/>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FFCC"/>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5"/>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38" w:name="page39"/>
    <w:bookmarkEnd w:id="38"/>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5614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40450" cy="5614035"/>
                    </a:xfrm>
                    <a:prstGeom prst="rect">
                      <a:avLst/>
                    </a:prstGeom>
                    <a:noFill/>
                  </pic:spPr>
                </pic:pic>
              </a:graphicData>
            </a:graphic>
          </wp:anchor>
        </w:drawing>
        <w:t>TABLE OF CONTENTS</w:t>
      </w:r>
    </w:p>
    <w:p>
      <w:pPr>
        <w:spacing w:after="0" w:line="298"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SELECTED HISTORICAL FINANCIAL DATA OF INNOVATE/PROTECT</w:t>
      </w:r>
    </w:p>
    <w:p>
      <w:pPr>
        <w:spacing w:after="0" w:line="118" w:lineRule="exact"/>
        <w:rPr>
          <w:sz w:val="20"/>
          <w:szCs w:val="20"/>
          <w:color w:val="auto"/>
        </w:rPr>
      </w:pPr>
    </w:p>
    <w:p>
      <w:pPr>
        <w:jc w:val="both"/>
        <w:ind w:left="180" w:right="860" w:firstLine="267"/>
        <w:spacing w:after="0" w:line="334" w:lineRule="auto"/>
        <w:rPr>
          <w:sz w:val="20"/>
          <w:szCs w:val="20"/>
          <w:color w:val="auto"/>
        </w:rPr>
      </w:pPr>
      <w:r>
        <w:rPr>
          <w:rFonts w:ascii="Arial" w:cs="Arial" w:eastAsia="Arial" w:hAnsi="Arial"/>
          <w:sz w:val="16"/>
          <w:szCs w:val="16"/>
          <w:color w:val="auto"/>
        </w:rPr>
        <w:t>The following table sets forth Innovate/Protect selected historical financial data as of December 31, 2011, which financial data is derived from Innovate/Protect’s audited financial statements, which are included elsewhere in this proxy statement/prospectus.</w:t>
      </w:r>
    </w:p>
    <w:p>
      <w:pPr>
        <w:spacing w:after="0" w:line="23" w:lineRule="exact"/>
        <w:rPr>
          <w:sz w:val="20"/>
          <w:szCs w:val="20"/>
          <w:color w:val="auto"/>
        </w:rPr>
      </w:pPr>
    </w:p>
    <w:p>
      <w:pPr>
        <w:jc w:val="both"/>
        <w:ind w:left="180" w:right="880" w:firstLine="267"/>
        <w:spacing w:after="0" w:line="281" w:lineRule="auto"/>
        <w:rPr>
          <w:sz w:val="20"/>
          <w:szCs w:val="20"/>
          <w:color w:val="auto"/>
        </w:rPr>
      </w:pPr>
      <w:r>
        <w:rPr>
          <w:rFonts w:ascii="Arial" w:cs="Arial" w:eastAsia="Arial" w:hAnsi="Arial"/>
          <w:sz w:val="17"/>
          <w:szCs w:val="17"/>
          <w:color w:val="auto"/>
        </w:rPr>
        <w:t>You should read the selected historical financial data below together with Innovate/Protect’s Management’s Discussion and Analysis of Financial Condition and Results of Operations and with the financial statements and notes thereto as of and for the period ended December 31, 2011, which are included elsewhere in this proxy statement/prospectus.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70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1"/>
              </w:rPr>
              <w:t>From June 8, 2011</w:t>
            </w:r>
          </w:p>
        </w:tc>
        <w:tc>
          <w:tcPr>
            <w:tcW w:w="780" w:type="dxa"/>
            <w:vAlign w:val="bottom"/>
          </w:tcPr>
          <w:p>
            <w:pPr>
              <w:spacing w:after="0"/>
              <w:rPr>
                <w:sz w:val="14"/>
                <w:szCs w:val="14"/>
                <w:color w:val="auto"/>
              </w:rPr>
            </w:pPr>
          </w:p>
        </w:tc>
      </w:tr>
      <w:tr>
        <w:trPr>
          <w:trHeight w:val="147"/>
        </w:trPr>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700" w:type="dxa"/>
            <w:vAlign w:val="bottom"/>
            <w:gridSpan w:val="4"/>
          </w:tcPr>
          <w:p>
            <w:pPr>
              <w:jc w:val="center"/>
              <w:ind w:right="1440"/>
              <w:spacing w:after="0" w:line="147" w:lineRule="exact"/>
              <w:rPr>
                <w:sz w:val="20"/>
                <w:szCs w:val="20"/>
                <w:color w:val="auto"/>
              </w:rPr>
            </w:pPr>
            <w:r>
              <w:rPr>
                <w:rFonts w:ascii="Arial" w:cs="Arial" w:eastAsia="Arial" w:hAnsi="Arial"/>
                <w:sz w:val="14"/>
                <w:szCs w:val="14"/>
                <w:b w:val="1"/>
                <w:bCs w:val="1"/>
                <w:color w:val="auto"/>
                <w:w w:val="91"/>
              </w:rPr>
              <w:t>(inception) through</w:t>
            </w:r>
          </w:p>
        </w:tc>
        <w:tc>
          <w:tcPr>
            <w:tcW w:w="78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70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0"/>
              </w:rPr>
              <w:t>December 31, 2011</w:t>
            </w:r>
          </w:p>
        </w:tc>
        <w:tc>
          <w:tcPr>
            <w:tcW w:w="780" w:type="dxa"/>
            <w:vAlign w:val="bottom"/>
          </w:tcPr>
          <w:p>
            <w:pPr>
              <w:spacing w:after="0"/>
              <w:rPr>
                <w:sz w:val="14"/>
                <w:szCs w:val="14"/>
                <w:color w:val="auto"/>
              </w:rPr>
            </w:pPr>
          </w:p>
        </w:tc>
      </w:tr>
      <w:tr>
        <w:trPr>
          <w:trHeight w:val="207"/>
        </w:trPr>
        <w:tc>
          <w:tcPr>
            <w:tcW w:w="120" w:type="dxa"/>
            <w:vAlign w:val="bottom"/>
          </w:tcPr>
          <w:p>
            <w:pPr>
              <w:spacing w:after="0"/>
              <w:rPr>
                <w:sz w:val="18"/>
                <w:szCs w:val="18"/>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120" w:type="dxa"/>
            <w:vAlign w:val="bottom"/>
          </w:tcPr>
          <w:p>
            <w:pPr>
              <w:spacing w:after="0"/>
              <w:rPr>
                <w:sz w:val="18"/>
                <w:szCs w:val="18"/>
                <w:color w:val="auto"/>
              </w:rPr>
            </w:pPr>
          </w:p>
        </w:tc>
        <w:tc>
          <w:tcPr>
            <w:tcW w:w="6860" w:type="dxa"/>
            <w:vAlign w:val="bottom"/>
            <w:tcBorders>
              <w:top w:val="single" w:sz="8" w:color="CCFFCC"/>
            </w:tcBorders>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Legal</w:t>
            </w:r>
          </w:p>
        </w:tc>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Amortization and depreciation</w:t>
            </w:r>
          </w:p>
        </w:tc>
        <w:tc>
          <w:tcPr>
            <w:tcW w:w="2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2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Finance expense (income), net</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60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for the period</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7"/>
        </w:trPr>
        <w:tc>
          <w:tcPr>
            <w:tcW w:w="120" w:type="dxa"/>
            <w:vAlign w:val="bottom"/>
          </w:tcPr>
          <w:p>
            <w:pPr>
              <w:spacing w:after="0"/>
              <w:rPr>
                <w:sz w:val="19"/>
                <w:szCs w:val="19"/>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Basic and diluted net loss per common share</w:t>
            </w:r>
          </w:p>
        </w:tc>
        <w:tc>
          <w:tcPr>
            <w:tcW w:w="24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(0.98)</w:t>
            </w:r>
          </w:p>
        </w:tc>
        <w:tc>
          <w:tcPr>
            <w:tcW w:w="160" w:type="dxa"/>
            <w:vAlign w:val="bottom"/>
            <w:shd w:val="clear" w:color="auto" w:fill="CCFFCC"/>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60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686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Weighted average number of shares used in computing basic and diluted net loss</w:t>
            </w:r>
          </w:p>
        </w:tc>
        <w:tc>
          <w:tcPr>
            <w:tcW w:w="24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2,802,100</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6860" w:type="dxa"/>
            <w:vAlign w:val="bottom"/>
            <w:gridSpan w:val="2"/>
          </w:tcPr>
          <w:p>
            <w:pPr>
              <w:ind w:left="180"/>
              <w:spacing w:after="0"/>
              <w:rPr>
                <w:sz w:val="20"/>
                <w:szCs w:val="20"/>
                <w:color w:val="auto"/>
              </w:rPr>
            </w:pPr>
            <w:r>
              <w:rPr>
                <w:rFonts w:ascii="Arial" w:cs="Arial" w:eastAsia="Arial" w:hAnsi="Arial"/>
                <w:sz w:val="18"/>
                <w:szCs w:val="18"/>
                <w:color w:val="auto"/>
              </w:rPr>
              <w:t>per common share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70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0"/>
              </w:rPr>
              <w:t>December 31, 2011</w:t>
            </w:r>
          </w:p>
        </w:tc>
        <w:tc>
          <w:tcPr>
            <w:tcW w:w="780" w:type="dxa"/>
            <w:vAlign w:val="bottom"/>
          </w:tcPr>
          <w:p>
            <w:pPr>
              <w:spacing w:after="0"/>
              <w:rPr>
                <w:sz w:val="16"/>
                <w:szCs w:val="16"/>
                <w:color w:val="auto"/>
              </w:rPr>
            </w:pPr>
          </w:p>
        </w:tc>
      </w:tr>
      <w:tr>
        <w:trPr>
          <w:trHeight w:val="207"/>
        </w:trPr>
        <w:tc>
          <w:tcPr>
            <w:tcW w:w="120" w:type="dxa"/>
            <w:vAlign w:val="bottom"/>
          </w:tcPr>
          <w:p>
            <w:pPr>
              <w:spacing w:after="0"/>
              <w:rPr>
                <w:sz w:val="18"/>
                <w:szCs w:val="18"/>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FFC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5,238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3,068</w:t>
            </w:r>
          </w:p>
        </w:tc>
        <w:tc>
          <w:tcPr>
            <w:tcW w:w="160" w:type="dxa"/>
            <w:vAlign w:val="bottom"/>
            <w:tcBorders>
              <w:bottom w:val="single" w:sz="8" w:color="CCFFCC"/>
            </w:tcBorders>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8,314</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6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2,449</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Note Payable-related party</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686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2,865</w:t>
            </w:r>
          </w:p>
        </w:tc>
        <w:tc>
          <w:tcPr>
            <w:tcW w:w="160" w:type="dxa"/>
            <w:vAlign w:val="bottom"/>
            <w:tcBorders>
              <w:bottom w:val="single" w:sz="8" w:color="CCFFCC"/>
            </w:tcBorders>
            <w:shd w:val="clear" w:color="auto" w:fill="CCFFCC"/>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1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8,314</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7"/>
        </w:trPr>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530"/>
        </w:trPr>
        <w:tc>
          <w:tcPr>
            <w:tcW w:w="6980" w:type="dxa"/>
            <w:vAlign w:val="bottom"/>
            <w:gridSpan w:val="3"/>
          </w:tcPr>
          <w:p>
            <w:pPr>
              <w:jc w:val="right"/>
              <w:ind w:right="21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640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40450" cy="6640830"/>
                    </a:xfrm>
                    <a:prstGeom prst="rect">
                      <a:avLst/>
                    </a:prstGeom>
                    <a:noFill/>
                  </pic:spPr>
                </pic:pic>
              </a:graphicData>
            </a:graphic>
          </wp:anchor>
        </w:drawing>
        <w:t>TABLE OF CONTENTS</w:t>
      </w:r>
    </w:p>
    <w:p>
      <w:pPr>
        <w:spacing w:after="0" w:line="298"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SUMMARY UNAUDITED PRO FORMA COMBINED FINANCIAL DATA</w:t>
      </w:r>
    </w:p>
    <w:p>
      <w:pPr>
        <w:spacing w:after="0" w:line="11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December 31, 2011, for the purposes of the balance sheet, and was prepared based on the historical financial statements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6"/>
          <w:szCs w:val="16"/>
          <w:u w:val="single" w:color="auto"/>
          <w:color w:val="0000EE"/>
        </w:rPr>
        <w:t>166</w:t>
      </w:r>
      <w:r>
        <w:rPr>
          <w:rFonts w:ascii="Arial" w:cs="Arial" w:eastAsia="Arial" w:hAnsi="Arial"/>
          <w:sz w:val="16"/>
          <w:szCs w:val="16"/>
          <w:color w:val="auto"/>
        </w:rPr>
        <w:t xml:space="preserve"> and the audited historical financial statements of Vringo and Innovate/Protect and the notes thereto beginning on pages F-</w:t>
      </w:r>
      <w:r>
        <w:rPr>
          <w:rFonts w:ascii="Arial" w:cs="Arial" w:eastAsia="Arial" w:hAnsi="Arial"/>
          <w:sz w:val="16"/>
          <w:szCs w:val="16"/>
          <w:u w:val="single" w:color="auto"/>
          <w:color w:val="0000EE"/>
        </w:rPr>
        <w:t>1</w:t>
      </w:r>
      <w:r>
        <w:rPr>
          <w:rFonts w:ascii="Arial" w:cs="Arial" w:eastAsia="Arial" w:hAnsi="Arial"/>
          <w:sz w:val="16"/>
          <w:szCs w:val="16"/>
          <w:color w:val="auto"/>
        </w:rPr>
        <w:t xml:space="preserve"> and F-</w:t>
      </w:r>
      <w:r>
        <w:rPr>
          <w:rFonts w:ascii="Arial" w:cs="Arial" w:eastAsia="Arial" w:hAnsi="Arial"/>
          <w:sz w:val="16"/>
          <w:szCs w:val="16"/>
          <w:u w:val="single" w:color="auto"/>
          <w:color w:val="0000EE"/>
        </w:rPr>
        <w:t>34</w:t>
      </w:r>
      <w:r>
        <w:rPr>
          <w:rFonts w:ascii="Arial" w:cs="Arial" w:eastAsia="Arial" w:hAnsi="Arial"/>
          <w:sz w:val="16"/>
          <w:szCs w:val="16"/>
          <w:color w:val="auto"/>
        </w:rPr>
        <w:t xml:space="preserve">, respectively, the sections entitled “Vringo’s Management’s Discussion and Analysis of Financial Condition and Results of Operations” beginning on page </w:t>
      </w:r>
      <w:r>
        <w:rPr>
          <w:rFonts w:ascii="Arial" w:cs="Arial" w:eastAsia="Arial" w:hAnsi="Arial"/>
          <w:sz w:val="16"/>
          <w:szCs w:val="16"/>
          <w:u w:val="single" w:color="auto"/>
          <w:color w:val="0000EE"/>
        </w:rPr>
        <w:t>119</w:t>
      </w:r>
      <w:r>
        <w:rPr>
          <w:rFonts w:ascii="Arial" w:cs="Arial" w:eastAsia="Arial" w:hAnsi="Arial"/>
          <w:sz w:val="16"/>
          <w:szCs w:val="16"/>
          <w:color w:val="auto"/>
        </w:rPr>
        <w:t xml:space="preserve"> and “Innovate/Protect’s Management’s Discussion and Analysis of Financial Condition and Results of Operations” beginning on page </w:t>
      </w:r>
      <w:r>
        <w:rPr>
          <w:rFonts w:ascii="Arial" w:cs="Arial" w:eastAsia="Arial" w:hAnsi="Arial"/>
          <w:sz w:val="16"/>
          <w:szCs w:val="16"/>
          <w:u w:val="single" w:color="auto"/>
          <w:color w:val="0000EE"/>
        </w:rPr>
        <w:t>138</w:t>
      </w:r>
      <w:r>
        <w:rPr>
          <w:rFonts w:ascii="Arial" w:cs="Arial" w:eastAsia="Arial" w:hAnsi="Arial"/>
          <w:sz w:val="16"/>
          <w:szCs w:val="16"/>
          <w:color w:val="000000"/>
        </w:rPr>
        <w:t>, and the other information contained in this proxy statement/prospectus. The following information does not give effect to the</w:t>
      </w:r>
      <w:r>
        <w:rPr>
          <w:rFonts w:ascii="Arial" w:cs="Arial" w:eastAsia="Arial" w:hAnsi="Arial"/>
          <w:sz w:val="16"/>
          <w:szCs w:val="16"/>
          <w:color w:val="0000EE"/>
        </w:rPr>
        <w:t xml:space="preserve"> </w:t>
      </w:r>
      <w:r>
        <w:rPr>
          <w:rFonts w:ascii="Arial" w:cs="Arial" w:eastAsia="Arial" w:hAnsi="Arial"/>
          <w:sz w:val="16"/>
          <w:szCs w:val="16"/>
          <w:color w:val="000000"/>
        </w:rPr>
        <w:t>proposed reverse stock split of Vringo common stock described in Vringo Proposal No. 2.</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Treatment of the Merger</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71"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4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summary unaudited pro forma combined balance sheet as of December 31, 2011, combines the historical balance sheets of Vringo and Innovate/Protect as of December 31, 2011 and gives pro forma effect to the Merger as if it had been completed on December 31, 2011.</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 w:name="page41"/>
    <w:bookmarkEnd w:id="40"/>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8535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40450" cy="6853555"/>
                    </a:xfrm>
                    <a:prstGeom prst="rect">
                      <a:avLst/>
                    </a:prstGeom>
                    <a:noFill/>
                  </pic:spPr>
                </pic:pic>
              </a:graphicData>
            </a:graphic>
          </wp:anchor>
        </w:drawing>
        <w:t>TABLE OF CONTENTS</w:t>
      </w:r>
    </w:p>
    <w:p>
      <w:pPr>
        <w:spacing w:after="0" w:line="195" w:lineRule="exact"/>
        <w:rPr>
          <w:sz w:val="20"/>
          <w:szCs w:val="20"/>
          <w:color w:val="auto"/>
        </w:rPr>
      </w:pPr>
    </w:p>
    <w:p>
      <w:pPr>
        <w:jc w:val="both"/>
        <w:ind w:left="180" w:right="860" w:firstLine="267"/>
        <w:spacing w:after="0" w:line="255" w:lineRule="auto"/>
        <w:rPr>
          <w:sz w:val="20"/>
          <w:szCs w:val="20"/>
          <w:color w:val="auto"/>
        </w:rPr>
      </w:pPr>
      <w:r>
        <w:rPr>
          <w:rFonts w:ascii="Arial" w:cs="Arial" w:eastAsia="Arial" w:hAnsi="Arial"/>
          <w:sz w:val="18"/>
          <w:szCs w:val="18"/>
          <w:color w:val="auto"/>
        </w:rPr>
        <w:t>The summary unaudited pro forma statements of operations for the period from June 8, 2011 through December 31, 2011 combine the historical statements of operations of Vringo for the period from June 8, 2011 to December 31, 2011, and of Innovate/Protect from inception (June 8, 2011) to December 31, 2011 and gives pro forma effect to the Merger as if it had been completed on June 8, 2011.</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historical financial data has been adjusted to give pro forma effect to events that are (i) directly attributable to the Merger,</w:t>
      </w:r>
    </w:p>
    <w:p>
      <w:pPr>
        <w:spacing w:after="0" w:line="43" w:lineRule="exact"/>
        <w:rPr>
          <w:sz w:val="20"/>
          <w:szCs w:val="20"/>
          <w:color w:val="auto"/>
        </w:rPr>
      </w:pPr>
    </w:p>
    <w:p>
      <w:pPr>
        <w:jc w:val="both"/>
        <w:ind w:left="180" w:right="860" w:firstLine="5"/>
        <w:spacing w:after="0" w:line="250" w:lineRule="auto"/>
        <w:tabs>
          <w:tab w:leader="none" w:pos="4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7" w:lineRule="exact"/>
        <w:rPr>
          <w:sz w:val="20"/>
          <w:szCs w:val="20"/>
          <w:color w:val="auto"/>
        </w:rPr>
      </w:pPr>
    </w:p>
    <w:p>
      <w:pPr>
        <w:jc w:val="both"/>
        <w:ind w:left="180" w:right="860" w:firstLine="267"/>
        <w:spacing w:after="0" w:line="288" w:lineRule="auto"/>
        <w:rPr>
          <w:sz w:val="20"/>
          <w:szCs w:val="20"/>
          <w:color w:val="auto"/>
        </w:rPr>
      </w:pPr>
      <w:r>
        <w:rPr>
          <w:rFonts w:ascii="Arial" w:cs="Arial" w:eastAsia="Arial" w:hAnsi="Arial"/>
          <w:sz w:val="16"/>
          <w:szCs w:val="16"/>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Combined Financial Statements” beginning on page </w:t>
      </w:r>
      <w:r>
        <w:rPr>
          <w:rFonts w:ascii="Arial" w:cs="Arial" w:eastAsia="Arial" w:hAnsi="Arial"/>
          <w:sz w:val="16"/>
          <w:szCs w:val="16"/>
          <w:u w:val="single" w:color="auto"/>
          <w:color w:val="0000EE"/>
        </w:rPr>
        <w:t>166</w:t>
      </w:r>
      <w:r>
        <w:rPr>
          <w:rFonts w:ascii="Arial" w:cs="Arial" w:eastAsia="Arial" w:hAnsi="Arial"/>
          <w:sz w:val="16"/>
          <w:szCs w:val="16"/>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Consolidated Statement of Operations, for the period from June 8, 2011 (date of inception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Innovate/Protect) through December 31, 2011: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8"/>
        </w:trPr>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8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78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Vringo</w:t>
            </w:r>
          </w:p>
        </w:tc>
        <w:tc>
          <w:tcPr>
            <w:tcW w:w="1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 Forma</w:t>
            </w:r>
          </w:p>
        </w:tc>
        <w:tc>
          <w:tcPr>
            <w:tcW w:w="120" w:type="dxa"/>
            <w:vAlign w:val="bottom"/>
          </w:tcPr>
          <w:p>
            <w:pPr>
              <w:spacing w:after="0"/>
              <w:rPr>
                <w:sz w:val="13"/>
                <w:szCs w:val="13"/>
                <w:color w:val="auto"/>
              </w:rPr>
            </w:pPr>
          </w:p>
        </w:tc>
        <w:tc>
          <w:tcPr>
            <w:tcW w:w="540" w:type="dxa"/>
            <w:vAlign w:val="bottom"/>
          </w:tcPr>
          <w:p>
            <w:pPr>
              <w:jc w:val="right"/>
              <w:ind w:right="49"/>
              <w:spacing w:after="0" w:line="158" w:lineRule="exact"/>
              <w:rPr>
                <w:sz w:val="20"/>
                <w:szCs w:val="20"/>
                <w:color w:val="auto"/>
              </w:rPr>
            </w:pPr>
            <w:r>
              <w:rPr>
                <w:rFonts w:ascii="Arial" w:cs="Arial" w:eastAsia="Arial" w:hAnsi="Arial"/>
                <w:sz w:val="14"/>
                <w:szCs w:val="14"/>
                <w:b w:val="1"/>
                <w:bCs w:val="1"/>
                <w:color w:val="auto"/>
              </w:rPr>
              <w:t>Notes</w:t>
            </w:r>
          </w:p>
        </w:tc>
        <w:tc>
          <w:tcPr>
            <w:tcW w:w="22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Pro Forma</w:t>
            </w:r>
          </w:p>
        </w:tc>
        <w:tc>
          <w:tcPr>
            <w:tcW w:w="780" w:type="dxa"/>
            <w:vAlign w:val="bottom"/>
          </w:tcPr>
          <w:p>
            <w:pPr>
              <w:spacing w:after="0"/>
              <w:rPr>
                <w:sz w:val="13"/>
                <w:szCs w:val="13"/>
                <w:color w:val="auto"/>
              </w:rPr>
            </w:pPr>
          </w:p>
        </w:tc>
      </w:tr>
      <w:tr>
        <w:trPr>
          <w:trHeight w:val="170"/>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720" w:type="dxa"/>
            <w:vAlign w:val="bottom"/>
            <w:gridSpan w:val="9"/>
          </w:tcPr>
          <w:p>
            <w:pPr>
              <w:ind w:left="62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78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Borders>
              <w:left w:val="single" w:sz="8" w:color="CCFFCC"/>
            </w:tcBorders>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380" w:type="dxa"/>
            <w:vAlign w:val="bottom"/>
            <w:tcBorders>
              <w:left w:val="single" w:sz="8" w:color="CCFFCC"/>
            </w:tcBorders>
          </w:tcPr>
          <w:p>
            <w:pPr>
              <w:spacing w:after="0"/>
              <w:rPr>
                <w:sz w:val="19"/>
                <w:szCs w:val="19"/>
                <w:color w:val="auto"/>
              </w:rPr>
            </w:pPr>
          </w:p>
        </w:tc>
        <w:tc>
          <w:tcPr>
            <w:tcW w:w="780" w:type="dxa"/>
            <w:vAlign w:val="bottom"/>
          </w:tcPr>
          <w:p>
            <w:pPr>
              <w:spacing w:after="0"/>
              <w:rPr>
                <w:sz w:val="19"/>
                <w:szCs w:val="19"/>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1,087</w:t>
            </w:r>
          </w:p>
        </w:tc>
        <w:tc>
          <w:tcPr>
            <w:tcW w:w="660" w:type="dxa"/>
            <w:vAlign w:val="bottom"/>
            <w:tcBorders>
              <w:left w:val="single" w:sz="8" w:color="CCFFCC"/>
              <w:right w:val="single" w:sz="8" w:color="CCFFCC"/>
            </w:tcBorders>
            <w:gridSpan w:val="2"/>
            <w:shd w:val="clear" w:color="auto" w:fill="CCFFCC"/>
          </w:tcPr>
          <w:p>
            <w:pPr>
              <w:jc w:val="right"/>
              <w:ind w:right="149"/>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1,193</w:t>
            </w:r>
          </w:p>
        </w:tc>
        <w:tc>
          <w:tcPr>
            <w:tcW w:w="13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1,102</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997</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(997)</w:t>
            </w:r>
          </w:p>
        </w:tc>
        <w:tc>
          <w:tcPr>
            <w:tcW w:w="660" w:type="dxa"/>
            <w:vAlign w:val="bottom"/>
            <w:tcBorders>
              <w:left w:val="single" w:sz="8" w:color="CCFFCC"/>
              <w:right w:val="single" w:sz="8" w:color="CCFFCC"/>
            </w:tcBorders>
            <w:gridSpan w:val="2"/>
            <w:shd w:val="clear" w:color="auto" w:fill="CCFFCC"/>
          </w:tcPr>
          <w:p>
            <w:pPr>
              <w:jc w:val="right"/>
              <w:ind w:right="149"/>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(328)</w:t>
            </w:r>
          </w:p>
        </w:tc>
        <w:tc>
          <w:tcPr>
            <w:tcW w:w="660" w:type="dxa"/>
            <w:vAlign w:val="bottom"/>
            <w:gridSpan w:val="2"/>
          </w:tcPr>
          <w:p>
            <w:pPr>
              <w:jc w:val="right"/>
              <w:ind w:right="149"/>
              <w:spacing w:after="0"/>
              <w:rPr>
                <w:sz w:val="20"/>
                <w:szCs w:val="20"/>
                <w:color w:val="auto"/>
              </w:rPr>
            </w:pPr>
            <w:r>
              <w:rPr>
                <w:rFonts w:ascii="Arial" w:cs="Arial" w:eastAsia="Arial" w:hAnsi="Arial"/>
                <w:sz w:val="18"/>
                <w:szCs w:val="18"/>
                <w:color w:val="auto"/>
              </w:rPr>
              <w:t>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660" w:type="dxa"/>
            <w:vAlign w:val="bottom"/>
            <w:tcBorders>
              <w:left w:val="single" w:sz="8" w:color="CCFFCC"/>
              <w:right w:val="single" w:sz="8" w:color="CCFFCC"/>
            </w:tcBorders>
            <w:gridSpan w:val="2"/>
            <w:shd w:val="clear" w:color="auto" w:fill="CCFFCC"/>
          </w:tcPr>
          <w:p>
            <w:pPr>
              <w:jc w:val="right"/>
              <w:ind w:right="149"/>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1,171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1,171</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00" w:type="dxa"/>
            <w:vAlign w:val="bottom"/>
            <w:tcBorders>
              <w:lef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3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1,610</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1,431</w:t>
            </w:r>
          </w:p>
        </w:tc>
        <w:tc>
          <w:tcPr>
            <w:tcW w:w="660" w:type="dxa"/>
            <w:vAlign w:val="bottom"/>
            <w:gridSpan w:val="2"/>
          </w:tcPr>
          <w:p>
            <w:pPr>
              <w:jc w:val="right"/>
              <w:ind w:right="149"/>
              <w:spacing w:after="0"/>
              <w:rPr>
                <w:sz w:val="20"/>
                <w:szCs w:val="20"/>
                <w:color w:val="auto"/>
              </w:rPr>
            </w:pPr>
            <w:r>
              <w:rPr>
                <w:rFonts w:ascii="Arial" w:cs="Arial" w:eastAsia="Arial" w:hAnsi="Arial"/>
                <w:sz w:val="18"/>
                <w:szCs w:val="18"/>
                <w:color w:val="auto"/>
              </w:rPr>
              <w:t>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3,254</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2,746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3,971</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1,087</w:t>
            </w:r>
          </w:p>
        </w:tc>
        <w:tc>
          <w:tcPr>
            <w:tcW w:w="120" w:type="dxa"/>
            <w:vAlign w:val="bottom"/>
            <w:tcBorders>
              <w:left w:val="single" w:sz="8" w:color="CCFFCC"/>
            </w:tcBorders>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7,804</w:t>
            </w:r>
          </w:p>
        </w:tc>
        <w:tc>
          <w:tcPr>
            <w:tcW w:w="13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30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(2,746)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(3,556)</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(7,389)</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Non-operating income (expense)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lef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13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w w:val="94"/>
              </w:rPr>
              <w:t>Interest and amortization of debt discount expense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Gain (loss) on revaluation of warrants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00" w:type="dxa"/>
            <w:vAlign w:val="bottom"/>
            <w:tcBorders>
              <w:lef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3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Gain on restructuring of venture loan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(2,754)</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(4,838)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(1,087)</w:t>
            </w:r>
          </w:p>
        </w:tc>
        <w:tc>
          <w:tcPr>
            <w:tcW w:w="120" w:type="dxa"/>
            <w:vAlign w:val="bottom"/>
            <w:tcBorders>
              <w:left w:val="single" w:sz="8" w:color="CCFFCC"/>
            </w:tcBorders>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(8,679)</w:t>
            </w:r>
          </w:p>
        </w:tc>
        <w:tc>
          <w:tcPr>
            <w:tcW w:w="1380" w:type="dxa"/>
            <w:vAlign w:val="bottom"/>
            <w:tcBorders>
              <w:left w:val="single" w:sz="8" w:color="CCFFCC"/>
            </w:tcBorders>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30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7"/>
        </w:trPr>
        <w:tc>
          <w:tcPr>
            <w:tcW w:w="120" w:type="dxa"/>
            <w:vAlign w:val="bottom"/>
          </w:tcPr>
          <w:p>
            <w:pPr>
              <w:spacing w:after="0"/>
              <w:rPr>
                <w:sz w:val="19"/>
                <w:szCs w:val="19"/>
                <w:color w:val="auto"/>
              </w:rPr>
            </w:pPr>
          </w:p>
        </w:tc>
        <w:tc>
          <w:tcPr>
            <w:tcW w:w="38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(2,754)</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(4,899)</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(1,087)</w:t>
            </w:r>
          </w:p>
        </w:tc>
        <w:tc>
          <w:tcPr>
            <w:tcW w:w="120" w:type="dxa"/>
            <w:vAlign w:val="bottom"/>
            <w:tcBorders>
              <w:left w:val="single" w:sz="8" w:color="CCFFCC"/>
            </w:tcBorders>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(8,740)</w:t>
            </w:r>
          </w:p>
        </w:tc>
        <w:tc>
          <w:tcPr>
            <w:tcW w:w="1380" w:type="dxa"/>
            <w:vAlign w:val="bottom"/>
            <w:tcBorders>
              <w:left w:val="single" w:sz="8" w:color="CCFFCC"/>
            </w:tcBorders>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30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70)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9"/>
              <w:spacing w:after="0"/>
              <w:rPr>
                <w:sz w:val="20"/>
                <w:szCs w:val="20"/>
                <w:color w:val="auto"/>
              </w:rPr>
            </w:pPr>
            <w:r>
              <w:rPr>
                <w:rFonts w:ascii="Arial" w:cs="Arial" w:eastAsia="Arial" w:hAnsi="Arial"/>
                <w:sz w:val="18"/>
                <w:szCs w:val="18"/>
                <w:color w:val="auto"/>
              </w:rPr>
              <w:t>3</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840" w:type="dxa"/>
            <w:vAlign w:val="bottom"/>
            <w:gridSpan w:val="2"/>
            <w:shd w:val="clear" w:color="auto" w:fill="CCFFCC"/>
          </w:tcPr>
          <w:p>
            <w:pPr>
              <w:ind w:left="20"/>
              <w:spacing w:after="0" w:line="193" w:lineRule="exact"/>
              <w:rPr>
                <w:sz w:val="20"/>
                <w:szCs w:val="20"/>
                <w:color w:val="auto"/>
              </w:rPr>
            </w:pPr>
            <w:r>
              <w:rPr>
                <w:rFonts w:ascii="Arial" w:cs="Arial" w:eastAsia="Arial" w:hAnsi="Arial"/>
                <w:sz w:val="18"/>
                <w:szCs w:val="18"/>
                <w:color w:val="auto"/>
                <w:w w:val="94"/>
              </w:rPr>
              <w:t>Weighted average shares used in computing basic</w:t>
            </w:r>
          </w:p>
        </w:tc>
        <w:tc>
          <w:tcPr>
            <w:tcW w:w="1080" w:type="dxa"/>
            <w:vAlign w:val="bottom"/>
            <w:tcBorders>
              <w:right w:val="single" w:sz="8" w:color="CCFFCC"/>
            </w:tcBorders>
            <w:gridSpan w:val="2"/>
            <w:shd w:val="clear" w:color="auto" w:fill="CCFFCC"/>
          </w:tcPr>
          <w:p>
            <w:pPr>
              <w:jc w:val="right"/>
              <w:ind w:right="120"/>
              <w:spacing w:after="0" w:line="193" w:lineRule="exact"/>
              <w:rPr>
                <w:sz w:val="20"/>
                <w:szCs w:val="20"/>
                <w:color w:val="auto"/>
              </w:rPr>
            </w:pPr>
            <w:r>
              <w:rPr>
                <w:rFonts w:ascii="Arial" w:cs="Arial" w:eastAsia="Arial" w:hAnsi="Arial"/>
                <w:sz w:val="18"/>
                <w:szCs w:val="18"/>
                <w:b w:val="1"/>
                <w:bCs w:val="1"/>
                <w:color w:val="auto"/>
              </w:rPr>
              <w:t>2,802,100</w:t>
            </w:r>
          </w:p>
        </w:tc>
        <w:tc>
          <w:tcPr>
            <w:tcW w:w="78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w w:val="94"/>
              </w:rPr>
              <w:t>6,965,927</w:t>
            </w:r>
          </w:p>
        </w:tc>
        <w:tc>
          <w:tcPr>
            <w:tcW w:w="96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17,675,617</w:t>
            </w:r>
          </w:p>
        </w:tc>
        <w:tc>
          <w:tcPr>
            <w:tcW w:w="660" w:type="dxa"/>
            <w:vAlign w:val="bottom"/>
            <w:tcBorders>
              <w:left w:val="single" w:sz="8" w:color="CCFFCC"/>
              <w:right w:val="single" w:sz="8" w:color="CCFFCC"/>
            </w:tcBorders>
            <w:gridSpan w:val="2"/>
            <w:shd w:val="clear" w:color="auto" w:fill="CCFFCC"/>
          </w:tcPr>
          <w:p>
            <w:pPr>
              <w:jc w:val="right"/>
              <w:ind w:right="149"/>
              <w:spacing w:after="0" w:line="193" w:lineRule="exact"/>
              <w:rPr>
                <w:sz w:val="20"/>
                <w:szCs w:val="20"/>
                <w:color w:val="auto"/>
              </w:rPr>
            </w:pPr>
            <w:r>
              <w:rPr>
                <w:rFonts w:ascii="Arial" w:cs="Arial" w:eastAsia="Arial" w:hAnsi="Arial"/>
                <w:sz w:val="18"/>
                <w:szCs w:val="18"/>
                <w:color w:val="auto"/>
              </w:rPr>
              <w:t>3</w:t>
            </w: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w w:val="93"/>
              </w:rPr>
              <w:t>24,641,544</w:t>
            </w:r>
          </w:p>
        </w:tc>
        <w:tc>
          <w:tcPr>
            <w:tcW w:w="1380" w:type="dxa"/>
            <w:vAlign w:val="bottom"/>
            <w:tcBorders>
              <w:left w:val="single" w:sz="8" w:color="CCFFCC"/>
            </w:tcBorders>
          </w:tcPr>
          <w:p>
            <w:pPr>
              <w:spacing w:after="0"/>
              <w:rPr>
                <w:sz w:val="16"/>
                <w:szCs w:val="16"/>
                <w:color w:val="auto"/>
              </w:rPr>
            </w:pPr>
          </w:p>
        </w:tc>
        <w:tc>
          <w:tcPr>
            <w:tcW w:w="780" w:type="dxa"/>
            <w:vAlign w:val="bottom"/>
          </w:tcPr>
          <w:p>
            <w:pPr>
              <w:spacing w:after="0"/>
              <w:rPr>
                <w:sz w:val="16"/>
                <w:szCs w:val="16"/>
                <w:color w:val="auto"/>
              </w:rPr>
            </w:pPr>
          </w:p>
        </w:tc>
      </w:tr>
      <w:tr>
        <w:trPr>
          <w:trHeight w:val="268"/>
        </w:trPr>
        <w:tc>
          <w:tcPr>
            <w:tcW w:w="120" w:type="dxa"/>
            <w:vAlign w:val="bottom"/>
          </w:tcPr>
          <w:p>
            <w:pPr>
              <w:spacing w:after="0"/>
              <w:rPr>
                <w:sz w:val="23"/>
                <w:szCs w:val="23"/>
                <w:color w:val="auto"/>
              </w:rPr>
            </w:pPr>
          </w:p>
        </w:tc>
        <w:tc>
          <w:tcPr>
            <w:tcW w:w="38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and diluted net loss per common share</w:t>
            </w:r>
          </w:p>
        </w:tc>
        <w:tc>
          <w:tcPr>
            <w:tcW w:w="9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right w:val="single" w:sz="8" w:color="CCFFCC"/>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c>
          <w:tcPr>
            <w:tcW w:w="100" w:type="dxa"/>
            <w:vAlign w:val="bottom"/>
            <w:tcBorders>
              <w:left w:val="single" w:sz="8" w:color="CCFFCC"/>
              <w:bottom w:val="single" w:sz="8" w:color="CCFFCC"/>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left w:val="single" w:sz="8" w:color="CCFFCC"/>
              <w:bottom w:val="single" w:sz="8" w:color="CCFFCC"/>
            </w:tcBorders>
            <w:shd w:val="clear" w:color="auto" w:fill="CCFFCC"/>
          </w:tcPr>
          <w:p>
            <w:pPr>
              <w:spacing w:after="0"/>
              <w:rPr>
                <w:sz w:val="23"/>
                <w:szCs w:val="23"/>
                <w:color w:val="auto"/>
              </w:rPr>
            </w:pPr>
          </w:p>
        </w:tc>
        <w:tc>
          <w:tcPr>
            <w:tcW w:w="540" w:type="dxa"/>
            <w:vAlign w:val="bottom"/>
            <w:tcBorders>
              <w:bottom w:val="single" w:sz="8" w:color="CCFFCC"/>
              <w:right w:val="single" w:sz="8" w:color="CCFFCC"/>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spacing w:after="0"/>
              <w:rPr>
                <w:sz w:val="23"/>
                <w:szCs w:val="23"/>
                <w:color w:val="auto"/>
              </w:rPr>
            </w:pPr>
          </w:p>
        </w:tc>
        <w:tc>
          <w:tcPr>
            <w:tcW w:w="1380" w:type="dxa"/>
            <w:vAlign w:val="bottom"/>
            <w:tcBorders>
              <w:left w:val="single" w:sz="8" w:color="CCFFCC"/>
            </w:tcBorders>
          </w:tcPr>
          <w:p>
            <w:pPr>
              <w:spacing w:after="0"/>
              <w:rPr>
                <w:sz w:val="23"/>
                <w:szCs w:val="23"/>
                <w:color w:val="auto"/>
              </w:rPr>
            </w:pPr>
          </w:p>
        </w:tc>
        <w:tc>
          <w:tcPr>
            <w:tcW w:w="780" w:type="dxa"/>
            <w:vAlign w:val="bottom"/>
          </w:tcPr>
          <w:p>
            <w:pPr>
              <w:spacing w:after="0"/>
              <w:rPr>
                <w:sz w:val="23"/>
                <w:szCs w:val="23"/>
                <w:color w:val="auto"/>
              </w:rPr>
            </w:pPr>
          </w:p>
        </w:tc>
      </w:tr>
      <w:tr>
        <w:trPr>
          <w:trHeight w:val="204"/>
        </w:trPr>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r>
      <w:tr>
        <w:trPr>
          <w:trHeight w:val="530"/>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8024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40450" cy="8024495"/>
                    </a:xfrm>
                    <a:prstGeom prst="rect">
                      <a:avLst/>
                    </a:prstGeom>
                    <a:noFill/>
                  </pic:spPr>
                </pic:pic>
              </a:graphicData>
            </a:graphic>
          </wp:anchor>
        </w:drawing>
        <w:t>TABLE OF CONTENTS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Balance Sheets, as of December 31, 2011: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Innovate/Protect</w:t>
            </w:r>
          </w:p>
        </w:tc>
        <w:tc>
          <w:tcPr>
            <w:tcW w:w="8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Vringo</w:t>
            </w:r>
          </w:p>
        </w:tc>
        <w:tc>
          <w:tcPr>
            <w:tcW w:w="82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3"/>
                <w:szCs w:val="13"/>
                <w:color w:val="auto"/>
              </w:rPr>
            </w:pPr>
          </w:p>
        </w:tc>
        <w:tc>
          <w:tcPr>
            <w:tcW w:w="540" w:type="dxa"/>
            <w:vAlign w:val="bottom"/>
          </w:tcPr>
          <w:p>
            <w:pPr>
              <w:jc w:val="right"/>
              <w:ind w:right="49"/>
              <w:spacing w:after="0" w:line="158" w:lineRule="exact"/>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rPr>
              <w:t>Pro Forma</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consolidated</w:t>
            </w:r>
          </w:p>
        </w:tc>
      </w:tr>
      <w:tr>
        <w:trPr>
          <w:trHeight w:val="201"/>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 — in thousands)</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FFCC"/>
          </w:tcPr>
          <w:p>
            <w:pPr>
              <w:spacing w:after="0"/>
              <w:rPr>
                <w:sz w:val="19"/>
                <w:szCs w:val="19"/>
                <w:color w:val="auto"/>
              </w:rPr>
            </w:pPr>
          </w:p>
        </w:tc>
        <w:tc>
          <w:tcPr>
            <w:tcW w:w="240" w:type="dxa"/>
            <w:vAlign w:val="bottom"/>
            <w:tcBorders>
              <w:right w:val="single" w:sz="8" w:color="CCFFCC"/>
            </w:tcBorders>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80" w:type="dxa"/>
            <w:vAlign w:val="bottom"/>
            <w:tcBorders>
              <w:right w:val="single" w:sz="8" w:color="CCFFCC"/>
            </w:tcBorders>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5,212</w:t>
            </w: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1,190</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6,402</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right w:val="single" w:sz="8" w:color="CCFFCC"/>
            </w:tcBorders>
            <w:shd w:val="clear" w:color="auto" w:fill="CCFFCC"/>
          </w:tcPr>
          <w:p>
            <w:pPr>
              <w:spacing w:after="0"/>
              <w:rPr>
                <w:sz w:val="18"/>
                <w:szCs w:val="18"/>
                <w:color w:val="auto"/>
              </w:rPr>
            </w:pP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187</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213</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5,238</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1,718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6,956</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assets—long-term</w:t>
            </w: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3,068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3,068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11,561</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11,561</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50,486</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50,486</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8,314</w:t>
            </w:r>
          </w:p>
        </w:tc>
        <w:tc>
          <w:tcPr>
            <w:tcW w:w="240" w:type="dxa"/>
            <w:vAlign w:val="bottom"/>
            <w:tcBorders>
              <w:right w:val="single" w:sz="8" w:color="CCFFCC"/>
            </w:tcBorders>
            <w:shd w:val="clear" w:color="auto" w:fill="CCFFCC"/>
          </w:tcPr>
          <w:p>
            <w:pPr>
              <w:spacing w:after="0"/>
              <w:rPr>
                <w:sz w:val="21"/>
                <w:szCs w:val="21"/>
                <w:color w:val="auto"/>
              </w:rPr>
            </w:pP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1,895</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62,047</w:t>
            </w:r>
          </w:p>
        </w:tc>
        <w:tc>
          <w:tcPr>
            <w:tcW w:w="60" w:type="dxa"/>
            <w:vAlign w:val="bottom"/>
            <w:shd w:val="clear" w:color="auto" w:fill="CCFFCC"/>
          </w:tcPr>
          <w:p>
            <w:pPr>
              <w:spacing w:after="0"/>
              <w:rPr>
                <w:sz w:val="21"/>
                <w:szCs w:val="21"/>
                <w:color w:val="auto"/>
              </w:rPr>
            </w:pPr>
          </w:p>
        </w:tc>
        <w:tc>
          <w:tcPr>
            <w:tcW w:w="540" w:type="dxa"/>
            <w:vAlign w:val="bottom"/>
            <w:tcBorders>
              <w:right w:val="single" w:sz="8" w:color="CCFFCC"/>
            </w:tcBorders>
            <w:shd w:val="clear" w:color="auto" w:fill="CCFFCC"/>
          </w:tcPr>
          <w:p>
            <w:pPr>
              <w:spacing w:after="0"/>
              <w:rPr>
                <w:sz w:val="21"/>
                <w:szCs w:val="21"/>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72,256</w:t>
            </w:r>
          </w:p>
        </w:tc>
      </w:tr>
      <w:tr>
        <w:trPr>
          <w:trHeight w:val="207"/>
        </w:trPr>
        <w:tc>
          <w:tcPr>
            <w:tcW w:w="390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8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Deferred tax liabilities, net – short-term</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449</w:t>
            </w: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428</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852</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1,729</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Accrued employee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portion, note payable – related party</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Borders>
              <w:right w:val="single" w:sz="8" w:color="CCFFCC"/>
            </w:tcBorders>
            <w:shd w:val="clear" w:color="auto" w:fill="CCFFCC"/>
          </w:tcPr>
          <w:p>
            <w:pPr>
              <w:spacing w:after="0"/>
              <w:rPr>
                <w:sz w:val="18"/>
                <w:szCs w:val="18"/>
                <w:color w:val="auto"/>
              </w:rPr>
            </w:pP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2,000</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2,449</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852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4,024</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8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Note payable – related party</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severance pay</w:t>
            </w: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165</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165</w:t>
            </w:r>
          </w:p>
        </w:tc>
      </w:tr>
      <w:tr>
        <w:trPr>
          <w:trHeight w:val="214"/>
        </w:trPr>
        <w:tc>
          <w:tcPr>
            <w:tcW w:w="3900" w:type="dxa"/>
            <w:vAlign w:val="bottom"/>
            <w:gridSpan w:val="3"/>
          </w:tcPr>
          <w:p>
            <w:pPr>
              <w:ind w:left="20"/>
              <w:spacing w:after="0"/>
              <w:rPr>
                <w:sz w:val="20"/>
                <w:szCs w:val="20"/>
                <w:color w:val="auto"/>
              </w:rPr>
            </w:pPr>
            <w:r>
              <w:rPr>
                <w:rFonts w:ascii="Arial" w:cs="Arial" w:eastAsia="Arial" w:hAnsi="Arial"/>
                <w:sz w:val="18"/>
                <w:szCs w:val="18"/>
                <w:color w:val="auto"/>
              </w:rPr>
              <w:t>Fair value of other stock options and warrants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4,293</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4,293</w:t>
            </w: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2,172</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20,171</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20,171</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(2,172)</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1,200</w:t>
            </w:r>
          </w:p>
        </w:tc>
        <w:tc>
          <w:tcPr>
            <w:tcW w:w="240" w:type="dxa"/>
            <w:vAlign w:val="bottom"/>
            <w:tcBorders>
              <w:right w:val="single" w:sz="8" w:color="CCFFCC"/>
            </w:tcBorders>
            <w:shd w:val="clear" w:color="auto" w:fill="CCFFCC"/>
          </w:tcPr>
          <w:p>
            <w:pPr>
              <w:spacing w:after="0"/>
              <w:rPr>
                <w:sz w:val="18"/>
                <w:szCs w:val="18"/>
                <w:color w:val="auto"/>
              </w:rPr>
            </w:pP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2,337</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22,292</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25,829</w:t>
            </w:r>
          </w:p>
        </w:tc>
      </w:tr>
      <w:tr>
        <w:trPr>
          <w:trHeight w:val="199"/>
        </w:trPr>
        <w:tc>
          <w:tcPr>
            <w:tcW w:w="39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5"/>
              </w:rPr>
              <w:t>Preferred stock, Series A Convertible, $0.0001 par</w:t>
            </w:r>
          </w:p>
        </w:tc>
        <w:tc>
          <w:tcPr>
            <w:tcW w:w="11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1,800</w:t>
            </w: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(1,800)</w:t>
            </w:r>
          </w:p>
        </w:tc>
        <w:tc>
          <w:tcPr>
            <w:tcW w:w="600" w:type="dxa"/>
            <w:vAlign w:val="bottom"/>
            <w:gridSpan w:val="2"/>
          </w:tcPr>
          <w:p>
            <w:pPr>
              <w:jc w:val="right"/>
              <w:ind w:right="69"/>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w w:val="96"/>
              </w:rPr>
              <w:t>value; 6,968 authorized, issued and outstanding</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5"/>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8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199"/>
        </w:trPr>
        <w:tc>
          <w:tcPr>
            <w:tcW w:w="39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Preferred stock, Series A Convertible, $0.01 par</w:t>
            </w:r>
          </w:p>
        </w:tc>
        <w:tc>
          <w:tcPr>
            <w:tcW w:w="11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9"/>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value per share; 6,818 authorized, issued and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0"/>
        </w:trPr>
        <w:tc>
          <w:tcPr>
            <w:tcW w:w="39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$0.01 par value per share,</w:t>
            </w:r>
          </w:p>
        </w:tc>
        <w:tc>
          <w:tcPr>
            <w:tcW w:w="1100" w:type="dxa"/>
            <w:vAlign w:val="bottom"/>
            <w:tcBorders>
              <w:right w:val="single" w:sz="8" w:color="CCFFCC"/>
            </w:tcBorders>
            <w:gridSpan w:val="2"/>
            <w:shd w:val="clear" w:color="auto" w:fill="CCFFCC"/>
          </w:tcPr>
          <w:p>
            <w:pPr>
              <w:jc w:val="right"/>
              <w:ind w:right="240"/>
              <w:spacing w:after="0" w:line="201" w:lineRule="exact"/>
              <w:rPr>
                <w:sz w:val="20"/>
                <w:szCs w:val="20"/>
                <w:color w:val="auto"/>
              </w:rPr>
            </w:pPr>
            <w:r>
              <w:rPr>
                <w:rFonts w:ascii="Arial" w:cs="Arial" w:eastAsia="Arial" w:hAnsi="Arial"/>
                <w:sz w:val="18"/>
                <w:szCs w:val="18"/>
                <w:color w:val="auto"/>
              </w:rPr>
              <w:t>1</w:t>
            </w:r>
          </w:p>
        </w:tc>
        <w:tc>
          <w:tcPr>
            <w:tcW w:w="860" w:type="dxa"/>
            <w:vAlign w:val="bottom"/>
            <w:tcBorders>
              <w:right w:val="single" w:sz="8" w:color="CCFFCC"/>
            </w:tcBorders>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w:t>
            </w:r>
          </w:p>
        </w:tc>
        <w:tc>
          <w:tcPr>
            <w:tcW w:w="600" w:type="dxa"/>
            <w:vAlign w:val="bottom"/>
            <w:tcBorders>
              <w:right w:val="single" w:sz="8" w:color="CCFFCC"/>
            </w:tcBorders>
            <w:gridSpan w:val="2"/>
            <w:shd w:val="clear" w:color="auto" w:fill="CCFFCC"/>
          </w:tcPr>
          <w:p>
            <w:pPr>
              <w:jc w:val="right"/>
              <w:ind w:right="69"/>
              <w:spacing w:after="0" w:line="201" w:lineRule="exact"/>
              <w:rPr>
                <w:sz w:val="20"/>
                <w:szCs w:val="20"/>
                <w:color w:val="auto"/>
              </w:rPr>
            </w:pPr>
            <w:r>
              <w:rPr>
                <w:rFonts w:ascii="Arial" w:cs="Arial" w:eastAsia="Arial" w:hAnsi="Arial"/>
                <w:sz w:val="18"/>
                <w:szCs w:val="18"/>
                <w:color w:val="auto"/>
              </w:rPr>
              <w:t>7</w:t>
            </w:r>
          </w:p>
        </w:tc>
        <w:tc>
          <w:tcPr>
            <w:tcW w:w="86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315</w:t>
            </w:r>
          </w:p>
        </w:tc>
      </w:tr>
      <w:tr>
        <w:trPr>
          <w:trHeight w:val="214"/>
        </w:trPr>
        <w:tc>
          <w:tcPr>
            <w:tcW w:w="20" w:type="dxa"/>
            <w:vAlign w:val="bottom"/>
            <w:shd w:val="clear" w:color="auto" w:fill="CCFFCC"/>
          </w:tcPr>
          <w:p>
            <w:pPr>
              <w:spacing w:after="0"/>
              <w:rPr>
                <w:sz w:val="18"/>
                <w:szCs w:val="18"/>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7"/>
              </w:rPr>
              <w:t>150,000,000 authorized, 31,537,400 issued and</w:t>
            </w:r>
          </w:p>
        </w:tc>
        <w:tc>
          <w:tcPr>
            <w:tcW w:w="8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8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outstanding</w:t>
            </w:r>
          </w:p>
        </w:tc>
        <w:tc>
          <w:tcPr>
            <w:tcW w:w="860" w:type="dxa"/>
            <w:vAlign w:val="bottom"/>
            <w:shd w:val="clear" w:color="auto" w:fill="CCFFCC"/>
          </w:tcPr>
          <w:p>
            <w:pPr>
              <w:spacing w:after="0"/>
              <w:rPr>
                <w:sz w:val="19"/>
                <w:szCs w:val="19"/>
                <w:color w:val="auto"/>
              </w:rPr>
            </w:pPr>
          </w:p>
        </w:tc>
        <w:tc>
          <w:tcPr>
            <w:tcW w:w="240" w:type="dxa"/>
            <w:vAlign w:val="bottom"/>
            <w:tcBorders>
              <w:right w:val="single" w:sz="8" w:color="CCFFCC"/>
            </w:tcBorders>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80" w:type="dxa"/>
            <w:vAlign w:val="bottom"/>
            <w:tcBorders>
              <w:right w:val="single" w:sz="8" w:color="CCFFCC"/>
            </w:tcBorders>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Additional paid-in capital</w:t>
            </w: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5,618</w:t>
            </w: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36,281</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(6,860)</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47,379</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1,685</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1,289</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9,366</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Accumulated deficit</w:t>
            </w:r>
          </w:p>
        </w:tc>
        <w:tc>
          <w:tcPr>
            <w:tcW w:w="110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(2,754)</w:t>
            </w:r>
          </w:p>
        </w:tc>
        <w:tc>
          <w:tcPr>
            <w:tcW w:w="86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(37,546)</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(852)</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(5,291)</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37,546</w:t>
            </w:r>
          </w:p>
        </w:tc>
        <w:tc>
          <w:tcPr>
            <w:tcW w:w="600" w:type="dxa"/>
            <w:vAlign w:val="bottom"/>
            <w:gridSpan w:val="2"/>
          </w:tcPr>
          <w:p>
            <w:pPr>
              <w:jc w:val="right"/>
              <w:ind w:right="69"/>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9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(1,685)</w:t>
            </w:r>
          </w:p>
        </w:tc>
        <w:tc>
          <w:tcPr>
            <w:tcW w:w="600" w:type="dxa"/>
            <w:vAlign w:val="bottom"/>
            <w:tcBorders>
              <w:right w:val="single" w:sz="8" w:color="CCFFCC"/>
            </w:tcBorders>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9</w:t>
            </w: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92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shareholders’ equity (deficit)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2,865</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40,703</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42,403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39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8,314</w:t>
            </w:r>
          </w:p>
        </w:tc>
        <w:tc>
          <w:tcPr>
            <w:tcW w:w="240" w:type="dxa"/>
            <w:vAlign w:val="bottom"/>
            <w:tcBorders>
              <w:right w:val="single" w:sz="8" w:color="CCFFCC"/>
            </w:tcBorders>
            <w:shd w:val="clear" w:color="auto" w:fill="CCFFCC"/>
          </w:tcPr>
          <w:p>
            <w:pPr>
              <w:spacing w:after="0"/>
              <w:rPr>
                <w:sz w:val="21"/>
                <w:szCs w:val="21"/>
                <w:color w:val="auto"/>
              </w:rPr>
            </w:pPr>
          </w:p>
        </w:tc>
        <w:tc>
          <w:tcPr>
            <w:tcW w:w="8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1,895</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62,047</w:t>
            </w:r>
          </w:p>
        </w:tc>
        <w:tc>
          <w:tcPr>
            <w:tcW w:w="60" w:type="dxa"/>
            <w:vAlign w:val="bottom"/>
            <w:shd w:val="clear" w:color="auto" w:fill="CCFFCC"/>
          </w:tcPr>
          <w:p>
            <w:pPr>
              <w:spacing w:after="0"/>
              <w:rPr>
                <w:sz w:val="21"/>
                <w:szCs w:val="21"/>
                <w:color w:val="auto"/>
              </w:rPr>
            </w:pPr>
          </w:p>
        </w:tc>
        <w:tc>
          <w:tcPr>
            <w:tcW w:w="540" w:type="dxa"/>
            <w:vAlign w:val="bottom"/>
            <w:tcBorders>
              <w:right w:val="single" w:sz="8" w:color="CCFFCC"/>
            </w:tcBorders>
            <w:shd w:val="clear" w:color="auto" w:fill="CCFFCC"/>
          </w:tcPr>
          <w:p>
            <w:pPr>
              <w:spacing w:after="0"/>
              <w:rPr>
                <w:sz w:val="21"/>
                <w:szCs w:val="21"/>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72,256</w:t>
            </w:r>
          </w:p>
        </w:tc>
      </w:tr>
      <w:tr>
        <w:trPr>
          <w:trHeight w:val="261"/>
        </w:trPr>
        <w:tc>
          <w:tcPr>
            <w:tcW w:w="20" w:type="dxa"/>
            <w:vAlign w:val="bottom"/>
            <w:tcBorders>
              <w:top w:val="single" w:sz="8" w:color="CCFFCC"/>
            </w:tcBorders>
          </w:tcPr>
          <w:p>
            <w:pPr>
              <w:spacing w:after="0"/>
              <w:rPr>
                <w:sz w:val="22"/>
                <w:szCs w:val="22"/>
                <w:color w:val="auto"/>
              </w:rPr>
            </w:pPr>
          </w:p>
        </w:tc>
        <w:tc>
          <w:tcPr>
            <w:tcW w:w="960" w:type="dxa"/>
            <w:vAlign w:val="bottom"/>
            <w:tcBorders>
              <w:top w:val="single" w:sz="8" w:color="CCFFCC"/>
              <w:bottom w:val="single" w:sz="8" w:color="auto"/>
            </w:tcBorders>
          </w:tcPr>
          <w:p>
            <w:pPr>
              <w:spacing w:after="0"/>
              <w:rPr>
                <w:sz w:val="22"/>
                <w:szCs w:val="22"/>
                <w:color w:val="auto"/>
              </w:rPr>
            </w:pPr>
          </w:p>
        </w:tc>
        <w:tc>
          <w:tcPr>
            <w:tcW w:w="2920" w:type="dxa"/>
            <w:vAlign w:val="bottom"/>
            <w:tcBorders>
              <w:top w:val="single" w:sz="8" w:color="CCFFCC"/>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40" w:type="dxa"/>
            <w:vAlign w:val="bottom"/>
            <w:tcBorders>
              <w:top w:val="single" w:sz="8" w:color="CCFFCC"/>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54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r>
    </w:tbl>
    <w:p>
      <w:pPr>
        <w:spacing w:after="0" w:line="262" w:lineRule="exact"/>
        <w:rPr>
          <w:sz w:val="20"/>
          <w:szCs w:val="20"/>
          <w:color w:val="auto"/>
        </w:rPr>
      </w:pPr>
    </w:p>
    <w:p>
      <w:pPr>
        <w:ind w:left="300" w:hanging="275"/>
        <w:spacing w:after="0"/>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Refer to preliminary Purchase Price Allocation table on page </w:t>
      </w:r>
      <w:r>
        <w:rPr>
          <w:rFonts w:ascii="Arial" w:cs="Arial" w:eastAsia="Arial" w:hAnsi="Arial"/>
          <w:sz w:val="14"/>
          <w:szCs w:val="14"/>
          <w:u w:val="single" w:color="auto"/>
          <w:color w:val="0000EE"/>
        </w:rPr>
        <w:t>167</w:t>
      </w:r>
      <w:r>
        <w:rPr>
          <w:rFonts w:ascii="Arial" w:cs="Arial" w:eastAsia="Arial" w:hAnsi="Arial"/>
          <w:sz w:val="14"/>
          <w:szCs w:val="14"/>
          <w:color w:val="auto"/>
        </w:rPr>
        <w:t>.</w:t>
      </w:r>
    </w:p>
    <w:p>
      <w:pPr>
        <w:spacing w:after="0" w:line="200" w:lineRule="exact"/>
        <w:rPr>
          <w:sz w:val="20"/>
          <w:szCs w:val="20"/>
          <w:color w:val="auto"/>
        </w:rPr>
      </w:pPr>
    </w:p>
    <w:p>
      <w:pPr>
        <w:spacing w:after="0" w:line="3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2" w:name="page43"/>
    <w:bookmarkEnd w:id="42"/>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5735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40450" cy="6573520"/>
                    </a:xfrm>
                    <a:prstGeom prst="rect">
                      <a:avLst/>
                    </a:prstGeom>
                    <a:noFill/>
                  </pic:spPr>
                </pic:pic>
              </a:graphicData>
            </a:graphic>
          </wp:anchor>
        </w:drawing>
        <w:t>TABLE OF CONTENTS</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18" w:lineRule="exact"/>
        <w:rPr>
          <w:sz w:val="20"/>
          <w:szCs w:val="20"/>
          <w:color w:val="auto"/>
        </w:rPr>
      </w:pPr>
    </w:p>
    <w:p>
      <w:pPr>
        <w:ind w:left="420" w:right="860" w:hanging="275"/>
        <w:spacing w:after="0" w:line="266"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tbl>
      <w:tblPr>
        <w:tblLayout w:type="fixed"/>
        <w:tblInd w:w="120" w:type="dxa"/>
        <w:tblCellMar>
          <w:top w:w="0" w:type="dxa"/>
          <w:left w:w="0" w:type="dxa"/>
          <w:bottom w:w="0" w:type="dxa"/>
          <w:right w:w="0" w:type="dxa"/>
        </w:tblCellMar>
      </w:tblPr>
      <w:tr>
        <w:trPr>
          <w:trHeight w:val="148"/>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0"/>
              </w:rPr>
              <w:t>Gross carrying amount</w:t>
            </w:r>
          </w:p>
        </w:tc>
        <w:tc>
          <w:tcPr>
            <w:tcW w:w="160" w:type="dxa"/>
            <w:vAlign w:val="bottom"/>
          </w:tcPr>
          <w:p>
            <w:pPr>
              <w:spacing w:after="0"/>
              <w:rPr>
                <w:sz w:val="12"/>
                <w:szCs w:val="12"/>
                <w:color w:val="auto"/>
              </w:rPr>
            </w:pPr>
          </w:p>
        </w:tc>
        <w:tc>
          <w:tcPr>
            <w:tcW w:w="102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96"/>
              </w:rPr>
              <w:t>Life</w:t>
            </w:r>
          </w:p>
        </w:tc>
        <w:tc>
          <w:tcPr>
            <w:tcW w:w="15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Period from June 8,</w:t>
            </w: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2011 through</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96"/>
        </w:trPr>
        <w:tc>
          <w:tcPr>
            <w:tcW w:w="3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22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 – in thousands)</w:t>
            </w:r>
          </w:p>
        </w:tc>
        <w:tc>
          <w:tcPr>
            <w:tcW w:w="16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(years)</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5"/>
        </w:trPr>
        <w:tc>
          <w:tcPr>
            <w:tcW w:w="36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73"/>
              <w:spacing w:after="0"/>
              <w:rPr>
                <w:sz w:val="20"/>
                <w:szCs w:val="20"/>
                <w:color w:val="auto"/>
              </w:rPr>
            </w:pPr>
            <w:r>
              <w:rPr>
                <w:rFonts w:ascii="Arial" w:cs="Arial" w:eastAsia="Arial" w:hAnsi="Arial"/>
                <w:sz w:val="18"/>
                <w:szCs w:val="18"/>
                <w:color w:val="auto"/>
              </w:rPr>
              <w:t>11,561</w:t>
            </w:r>
          </w:p>
        </w:tc>
        <w:tc>
          <w:tcPr>
            <w:tcW w:w="800" w:type="dxa"/>
            <w:vAlign w:val="bottom"/>
            <w:gridSpan w:val="2"/>
            <w:shd w:val="clear" w:color="auto" w:fill="CCFFCC"/>
          </w:tcPr>
          <w:p>
            <w:pPr>
              <w:jc w:val="right"/>
              <w:ind w:right="129"/>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36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4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Gross carrying</w:t>
            </w:r>
          </w:p>
        </w:tc>
        <w:tc>
          <w:tcPr>
            <w:tcW w:w="160" w:type="dxa"/>
            <w:vAlign w:val="bottom"/>
          </w:tcPr>
          <w:p>
            <w:pPr>
              <w:spacing w:after="0"/>
              <w:rPr>
                <w:sz w:val="13"/>
                <w:szCs w:val="13"/>
                <w:color w:val="auto"/>
              </w:rPr>
            </w:pPr>
          </w:p>
        </w:tc>
        <w:tc>
          <w:tcPr>
            <w:tcW w:w="3380" w:type="dxa"/>
            <w:vAlign w:val="bottom"/>
            <w:gridSpan w:val="7"/>
          </w:tcPr>
          <w:p>
            <w:pPr>
              <w:ind w:left="260"/>
              <w:spacing w:after="0" w:line="158" w:lineRule="exact"/>
              <w:rPr>
                <w:sz w:val="20"/>
                <w:szCs w:val="20"/>
                <w:color w:val="auto"/>
              </w:rPr>
            </w:pPr>
            <w:r>
              <w:rPr>
                <w:rFonts w:ascii="Arial" w:cs="Arial" w:eastAsia="Arial" w:hAnsi="Arial"/>
                <w:sz w:val="14"/>
                <w:szCs w:val="14"/>
                <w:b w:val="1"/>
                <w:bCs w:val="1"/>
                <w:color w:val="auto"/>
                <w:w w:val="99"/>
              </w:rPr>
              <w:t>Amortization of intangible assets and liabilities</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ind w:left="560"/>
              <w:spacing w:after="0"/>
              <w:rPr>
                <w:sz w:val="20"/>
                <w:szCs w:val="20"/>
                <w:color w:val="auto"/>
              </w:rPr>
            </w:pPr>
            <w:r>
              <w:rPr>
                <w:rFonts w:ascii="Arial" w:cs="Arial" w:eastAsia="Arial" w:hAnsi="Arial"/>
                <w:sz w:val="14"/>
                <w:szCs w:val="14"/>
                <w:b w:val="1"/>
                <w:bCs w:val="1"/>
                <w:color w:val="auto"/>
              </w:rPr>
              <w:t>($ — in thousands)</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50,486</w:t>
            </w: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6"/>
              </w:rPr>
              <w:t>Goodwill is reviewed for impairment at least</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4"/>
              </w:rPr>
              <w:t>annually in accordance with the provisions of</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8"/>
              </w:rPr>
              <w:t>ACS 350 “Intangibles, Goodwill and Other”</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Fair value of vested stock options granted to</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1,289</w:t>
            </w: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8"/>
              </w:rPr>
              <w:t>Original fair value allocated to vested stock</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employees, management and consultants,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2"/>
              </w:rPr>
              <w:t>options will be adjusted for options exercised,</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classified as equity in these consolidated pro</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8"/>
              </w:rPr>
              <w:t>forfeited or expired. This adjustment will be</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forma financial statements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recorded as internal reclassification in</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spacing w:after="0"/>
              <w:rPr>
                <w:sz w:val="20"/>
                <w:szCs w:val="20"/>
                <w:color w:val="auto"/>
              </w:rPr>
            </w:pPr>
            <w:r>
              <w:rPr>
                <w:rFonts w:ascii="Arial" w:cs="Arial" w:eastAsia="Arial" w:hAnsi="Arial"/>
                <w:sz w:val="18"/>
                <w:szCs w:val="18"/>
                <w:color w:val="auto"/>
                <w:w w:val="93"/>
              </w:rPr>
              <w:t>additional paid-in capital.</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9"/>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4,293</w:t>
            </w: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Original fair value allocated to warrants</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8"/>
              </w:rPr>
              <w:t>Vringo prior to the Merger, classified as a long</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classified as a derivative liability will be</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7"/>
              </w:rPr>
              <w:t>term derivative liability, as these warrants bear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5"/>
              </w:rPr>
              <w:t>adjusted at the end of each reporting period.</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certain down-round protection clauses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9"/>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9,366</w:t>
            </w: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Original fair value allocated to warrants</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6"/>
              </w:rPr>
              <w:t>Vringo prior to the Merger, classified as equity,</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classified as equity will be adjusted for</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in these consolidated pro forma financial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0"/>
              </w:rPr>
              <w:t>warrants exercised or expired. This adjustment</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statements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4"/>
              </w:rPr>
              <w:t>will be recorded as internal reclassification in</w:t>
            </w:r>
          </w:p>
        </w:tc>
        <w:tc>
          <w:tcPr>
            <w:tcW w:w="0" w:type="dxa"/>
            <w:vAlign w:val="bottom"/>
          </w:tcPr>
          <w:p>
            <w:pPr>
              <w:spacing w:after="0"/>
              <w:rPr>
                <w:sz w:val="1"/>
                <w:szCs w:val="1"/>
                <w:color w:val="auto"/>
              </w:rPr>
            </w:pPr>
          </w:p>
        </w:tc>
      </w:tr>
      <w:tr>
        <w:trPr>
          <w:trHeight w:val="227"/>
        </w:trPr>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tcPr>
          <w:p>
            <w:pPr>
              <w:spacing w:after="0"/>
              <w:rPr>
                <w:sz w:val="20"/>
                <w:szCs w:val="20"/>
                <w:color w:val="auto"/>
              </w:rPr>
            </w:pPr>
            <w:r>
              <w:rPr>
                <w:rFonts w:ascii="Arial" w:cs="Arial" w:eastAsia="Arial" w:hAnsi="Arial"/>
                <w:sz w:val="18"/>
                <w:szCs w:val="18"/>
                <w:color w:val="auto"/>
                <w:w w:val="93"/>
              </w:rPr>
              <w:t>additional paid-in capital.</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80" w:right="860" w:firstLine="267"/>
        <w:spacing w:after="0" w:line="255"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vested stock options granted to employees and management, and the purchase price allocated fair value of outstanding warrants granted by Vringo prior to the Merger, did not change over the presented period.</w:t>
      </w:r>
    </w:p>
    <w:p>
      <w:pPr>
        <w:spacing w:after="0" w:line="8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2.  Amortization and depreciation, startup and capital acquisition costs, were reclassified into general and administrative: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88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1"/>
              </w:rPr>
              <w:t>Period from June 8,</w:t>
            </w:r>
          </w:p>
        </w:tc>
        <w:tc>
          <w:tcPr>
            <w:tcW w:w="780" w:type="dxa"/>
            <w:vAlign w:val="bottom"/>
          </w:tcPr>
          <w:p>
            <w:pPr>
              <w:spacing w:after="0"/>
              <w:rPr>
                <w:sz w:val="14"/>
                <w:szCs w:val="14"/>
                <w:color w:val="auto"/>
              </w:rPr>
            </w:pPr>
          </w:p>
        </w:tc>
      </w:tr>
      <w:tr>
        <w:trPr>
          <w:trHeight w:val="147"/>
        </w:trPr>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880" w:type="dxa"/>
            <w:vAlign w:val="bottom"/>
            <w:gridSpan w:val="3"/>
          </w:tcPr>
          <w:p>
            <w:pPr>
              <w:jc w:val="center"/>
              <w:ind w:right="2120"/>
              <w:spacing w:after="0" w:line="147" w:lineRule="exact"/>
              <w:rPr>
                <w:sz w:val="20"/>
                <w:szCs w:val="20"/>
                <w:color w:val="auto"/>
              </w:rPr>
            </w:pPr>
            <w:r>
              <w:rPr>
                <w:rFonts w:ascii="Arial" w:cs="Arial" w:eastAsia="Arial" w:hAnsi="Arial"/>
                <w:sz w:val="14"/>
                <w:szCs w:val="14"/>
                <w:b w:val="1"/>
                <w:bCs w:val="1"/>
                <w:color w:val="auto"/>
                <w:w w:val="90"/>
              </w:rPr>
              <w:t>2011 through</w:t>
            </w:r>
          </w:p>
        </w:tc>
        <w:tc>
          <w:tcPr>
            <w:tcW w:w="78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2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3"/>
        </w:trPr>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88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2"/>
              </w:rPr>
              <w:t>($ — in thousands)</w:t>
            </w:r>
          </w:p>
        </w:tc>
        <w:tc>
          <w:tcPr>
            <w:tcW w:w="78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860" w:type="dxa"/>
            <w:vAlign w:val="bottom"/>
            <w:gridSpan w:val="3"/>
          </w:tcPr>
          <w:p>
            <w:pPr>
              <w:jc w:val="right"/>
              <w:ind w:right="360"/>
              <w:spacing w:after="0"/>
              <w:rPr>
                <w:sz w:val="20"/>
                <w:szCs w:val="20"/>
                <w:color w:val="auto"/>
              </w:rPr>
            </w:pPr>
            <w:r>
              <w:rPr>
                <w:rFonts w:ascii="Arial" w:cs="Arial" w:eastAsia="Arial" w:hAnsi="Arial"/>
                <w:sz w:val="18"/>
                <w:szCs w:val="18"/>
                <w:color w:val="auto"/>
              </w:rPr>
              <w:t>1,431</w:t>
            </w:r>
          </w:p>
        </w:tc>
        <w:tc>
          <w:tcPr>
            <w:tcW w:w="2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5"/>
        </w:trPr>
        <w:tc>
          <w:tcPr>
            <w:tcW w:w="120" w:type="dxa"/>
            <w:vAlign w:val="bottom"/>
          </w:tcPr>
          <w:p>
            <w:pPr>
              <w:spacing w:after="0"/>
              <w:rPr>
                <w:sz w:val="18"/>
                <w:szCs w:val="18"/>
                <w:color w:val="auto"/>
              </w:rPr>
            </w:pPr>
          </w:p>
        </w:tc>
        <w:tc>
          <w:tcPr>
            <w:tcW w:w="35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38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(997)</w:t>
            </w: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3860" w:type="dxa"/>
            <w:vAlign w:val="bottom"/>
            <w:gridSpan w:val="3"/>
          </w:tcPr>
          <w:p>
            <w:pPr>
              <w:jc w:val="right"/>
              <w:ind w:right="300"/>
              <w:spacing w:after="0"/>
              <w:rPr>
                <w:sz w:val="20"/>
                <w:szCs w:val="20"/>
                <w:color w:val="auto"/>
              </w:rPr>
            </w:pPr>
            <w:r>
              <w:rPr>
                <w:rFonts w:ascii="Arial" w:cs="Arial" w:eastAsia="Arial" w:hAnsi="Arial"/>
                <w:sz w:val="18"/>
                <w:szCs w:val="18"/>
                <w:color w:val="auto"/>
              </w:rPr>
              <w:t>(328)</w:t>
            </w: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20" w:type="dxa"/>
            <w:vAlign w:val="bottom"/>
          </w:tcPr>
          <w:p>
            <w:pPr>
              <w:spacing w:after="0"/>
              <w:rPr>
                <w:sz w:val="18"/>
                <w:szCs w:val="18"/>
                <w:color w:val="auto"/>
              </w:rPr>
            </w:pPr>
          </w:p>
        </w:tc>
        <w:tc>
          <w:tcPr>
            <w:tcW w:w="35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212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(106)</w:t>
            </w: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120" w:type="dxa"/>
            <w:vAlign w:val="bottom"/>
          </w:tcPr>
          <w:p>
            <w:pPr>
              <w:spacing w:after="0"/>
              <w:rPr>
                <w:sz w:val="18"/>
                <w:szCs w:val="18"/>
                <w:color w:val="auto"/>
              </w:rPr>
            </w:pPr>
          </w:p>
        </w:tc>
        <w:tc>
          <w:tcPr>
            <w:tcW w:w="840" w:type="dxa"/>
            <w:vAlign w:val="bottom"/>
            <w:tcBorders>
              <w:top w:val="single" w:sz="8" w:color="CCFFCC"/>
            </w:tcBorders>
          </w:tcPr>
          <w:p>
            <w:pPr>
              <w:spacing w:after="0"/>
              <w:rPr>
                <w:sz w:val="18"/>
                <w:szCs w:val="18"/>
                <w:color w:val="auto"/>
              </w:rPr>
            </w:pPr>
          </w:p>
        </w:tc>
        <w:tc>
          <w:tcPr>
            <w:tcW w:w="2720" w:type="dxa"/>
            <w:vAlign w:val="bottom"/>
            <w:tcBorders>
              <w:top w:val="single" w:sz="8" w:color="CCFFCC"/>
            </w:tcBorders>
          </w:tcPr>
          <w:p>
            <w:pPr>
              <w:spacing w:after="0"/>
              <w:rPr>
                <w:sz w:val="18"/>
                <w:szCs w:val="18"/>
                <w:color w:val="auto"/>
              </w:rPr>
            </w:pPr>
          </w:p>
        </w:tc>
        <w:tc>
          <w:tcPr>
            <w:tcW w:w="2120" w:type="dxa"/>
            <w:vAlign w:val="bottom"/>
            <w:tcBorders>
              <w:top w:val="single" w:sz="8" w:color="CCFFC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FFCC"/>
            </w:tcBorders>
          </w:tcPr>
          <w:p>
            <w:pPr>
              <w:spacing w:after="0"/>
              <w:rPr>
                <w:sz w:val="18"/>
                <w:szCs w:val="18"/>
                <w:color w:val="auto"/>
              </w:rPr>
            </w:pP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530"/>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20" w:type="dxa"/>
            <w:vAlign w:val="bottom"/>
          </w:tcPr>
          <w:p>
            <w:pPr>
              <w:jc w:val="right"/>
              <w:ind w:right="891"/>
              <w:spacing w:after="0"/>
              <w:rPr>
                <w:sz w:val="20"/>
                <w:szCs w:val="20"/>
                <w:color w:val="auto"/>
              </w:rPr>
            </w:pPr>
            <w:r>
              <w:rPr>
                <w:rFonts w:ascii="Arial" w:cs="Arial" w:eastAsia="Arial" w:hAnsi="Arial"/>
                <w:sz w:val="18"/>
                <w:szCs w:val="18"/>
                <w:color w:val="auto"/>
              </w:rPr>
              <w:t>29</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tcBorders>
              <w:bottom w:val="single" w:sz="8" w:color="9A9A9A"/>
            </w:tcBorders>
          </w:tcPr>
          <w:p>
            <w:pPr>
              <w:spacing w:after="0"/>
              <w:rPr>
                <w:sz w:val="14"/>
                <w:szCs w:val="14"/>
                <w:color w:val="auto"/>
              </w:rPr>
            </w:pPr>
          </w:p>
        </w:tc>
        <w:tc>
          <w:tcPr>
            <w:tcW w:w="212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21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-45720</wp:posOffset>
            </wp:positionV>
            <wp:extent cx="33655" cy="590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-45720</wp:posOffset>
            </wp:positionV>
            <wp:extent cx="33655" cy="590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460"/>
          </w:cols>
          <w:pgMar w:left="240" w:top="785" w:right="1199" w:bottom="1440" w:gutter="0" w:footer="0" w:header="0"/>
        </w:sectPr>
      </w:pPr>
    </w:p>
    <w:bookmarkStart w:id="43" w:name="page44"/>
    <w:bookmarkEnd w:id="43"/>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6760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40450" cy="6760210"/>
                    </a:xfrm>
                    <a:prstGeom prst="rect">
                      <a:avLst/>
                    </a:prstGeom>
                    <a:noFill/>
                  </pic:spPr>
                </pic:pic>
              </a:graphicData>
            </a:graphic>
          </wp:anchor>
        </w:drawing>
        <w:t>TABLE OF CONTENTS</w:t>
      </w:r>
    </w:p>
    <w:p>
      <w:pPr>
        <w:spacing w:after="0" w:line="195" w:lineRule="exact"/>
        <w:rPr>
          <w:sz w:val="20"/>
          <w:szCs w:val="20"/>
          <w:color w:val="auto"/>
        </w:rPr>
      </w:pPr>
    </w:p>
    <w:p>
      <w:pPr>
        <w:jc w:val="both"/>
        <w:ind w:left="300" w:right="639" w:hanging="275"/>
        <w:spacing w:after="0" w:line="255"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According to the Merger Agreement, Vringo will issue to former shareholders of Innovate/Protect 17,675,617 shares of its common stock, at $0.01 par value, 6,818 shares of Series A Convertible Preferred Stock, at $0.01 par value (convertible into 20,573,998 shares of Vringo common stock), 16,809,838 warrants, at an exercise price of $1.76, and 41,178 options to consultant at an exercise price of $0.994.</w:t>
      </w:r>
    </w:p>
    <w:p>
      <w:pPr>
        <w:spacing w:after="0" w:line="83" w:lineRule="exact"/>
        <w:rPr>
          <w:sz w:val="20"/>
          <w:szCs w:val="20"/>
          <w:color w:val="auto"/>
        </w:rPr>
      </w:pPr>
    </w:p>
    <w:p>
      <w:pPr>
        <w:jc w:val="both"/>
        <w:ind w:left="340" w:right="619"/>
        <w:spacing w:after="0" w:line="285" w:lineRule="auto"/>
        <w:rPr>
          <w:sz w:val="20"/>
          <w:szCs w:val="20"/>
          <w:color w:val="auto"/>
        </w:rPr>
      </w:pPr>
      <w:r>
        <w:rPr>
          <w:rFonts w:ascii="Arial" w:cs="Arial" w:eastAsia="Arial" w:hAnsi="Arial"/>
          <w:sz w:val="16"/>
          <w:szCs w:val="16"/>
          <w:color w:val="auto"/>
        </w:rPr>
        <w:t>According to GAAP, the consolidated pro forma equity will reflect Vringo’s common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17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1"/>
              </w:rPr>
              <w:t>Period from June 8,</w:t>
            </w:r>
          </w:p>
        </w:tc>
        <w:tc>
          <w:tcPr>
            <w:tcW w:w="0" w:type="dxa"/>
            <w:vAlign w:val="bottom"/>
          </w:tcPr>
          <w:p>
            <w:pPr>
              <w:spacing w:after="0"/>
              <w:rPr>
                <w:sz w:val="1"/>
                <w:szCs w:val="1"/>
                <w:color w:val="auto"/>
              </w:rPr>
            </w:pPr>
          </w:p>
        </w:tc>
      </w:tr>
      <w:tr>
        <w:trPr>
          <w:trHeight w:val="147"/>
        </w:trPr>
        <w:tc>
          <w:tcPr>
            <w:tcW w:w="6400" w:type="dxa"/>
            <w:vAlign w:val="bottom"/>
          </w:tcPr>
          <w:p>
            <w:pPr>
              <w:spacing w:after="0"/>
              <w:rPr>
                <w:sz w:val="12"/>
                <w:szCs w:val="12"/>
                <w:color w:val="auto"/>
              </w:rPr>
            </w:pPr>
          </w:p>
        </w:tc>
        <w:tc>
          <w:tcPr>
            <w:tcW w:w="1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2011 through</w:t>
            </w:r>
          </w:p>
        </w:tc>
        <w:tc>
          <w:tcPr>
            <w:tcW w:w="0" w:type="dxa"/>
            <w:vAlign w:val="bottom"/>
          </w:tcPr>
          <w:p>
            <w:pPr>
              <w:spacing w:after="0"/>
              <w:rPr>
                <w:sz w:val="1"/>
                <w:szCs w:val="1"/>
                <w:color w:val="auto"/>
              </w:rPr>
            </w:pPr>
          </w:p>
        </w:tc>
      </w:tr>
      <w:tr>
        <w:trPr>
          <w:trHeight w:val="170"/>
        </w:trPr>
        <w:tc>
          <w:tcPr>
            <w:tcW w:w="640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58"/>
        </w:trPr>
        <w:tc>
          <w:tcPr>
            <w:tcW w:w="6400" w:type="dxa"/>
            <w:vAlign w:val="bottom"/>
          </w:tcPr>
          <w:p>
            <w:pPr>
              <w:spacing w:after="0"/>
              <w:rPr>
                <w:sz w:val="13"/>
                <w:szCs w:val="13"/>
                <w:color w:val="auto"/>
              </w:rPr>
            </w:pPr>
          </w:p>
        </w:tc>
        <w:tc>
          <w:tcPr>
            <w:tcW w:w="1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 — in thousands, except</w:t>
            </w:r>
          </w:p>
        </w:tc>
        <w:tc>
          <w:tcPr>
            <w:tcW w:w="0" w:type="dxa"/>
            <w:vAlign w:val="bottom"/>
          </w:tcPr>
          <w:p>
            <w:pPr>
              <w:spacing w:after="0"/>
              <w:rPr>
                <w:sz w:val="1"/>
                <w:szCs w:val="1"/>
                <w:color w:val="auto"/>
              </w:rPr>
            </w:pPr>
          </w:p>
        </w:tc>
      </w:tr>
      <w:tr>
        <w:trPr>
          <w:trHeight w:val="185"/>
        </w:trPr>
        <w:tc>
          <w:tcPr>
            <w:tcW w:w="6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6,965,927</w:t>
            </w:r>
          </w:p>
        </w:tc>
        <w:tc>
          <w:tcPr>
            <w:tcW w:w="0" w:type="dxa"/>
            <w:vAlign w:val="bottom"/>
          </w:tcPr>
          <w:p>
            <w:pPr>
              <w:spacing w:after="0"/>
              <w:rPr>
                <w:sz w:val="1"/>
                <w:szCs w:val="1"/>
                <w:color w:val="auto"/>
              </w:rPr>
            </w:pPr>
          </w:p>
        </w:tc>
      </w:tr>
      <w:tr>
        <w:trPr>
          <w:trHeight w:val="199"/>
        </w:trPr>
        <w:tc>
          <w:tcPr>
            <w:tcW w:w="6400" w:type="dxa"/>
            <w:vAlign w:val="bottom"/>
          </w:tcPr>
          <w:p>
            <w:pPr>
              <w:ind w:left="20"/>
              <w:spacing w:after="0" w:line="200" w:lineRule="exact"/>
              <w:rPr>
                <w:sz w:val="20"/>
                <w:szCs w:val="20"/>
                <w:color w:val="auto"/>
              </w:rPr>
            </w:pPr>
            <w:r>
              <w:rPr>
                <w:rFonts w:ascii="Arial" w:cs="Arial" w:eastAsia="Arial" w:hAnsi="Arial"/>
                <w:sz w:val="18"/>
                <w:szCs w:val="18"/>
                <w:color w:val="auto"/>
                <w:w w:val="94"/>
              </w:rPr>
              <w:t>Weighted average of Vringo common stock shares issued to former Innovate/Protect</w:t>
            </w:r>
          </w:p>
        </w:tc>
        <w:tc>
          <w:tcPr>
            <w:tcW w:w="17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17,675,617</w:t>
            </w:r>
          </w:p>
        </w:tc>
        <w:tc>
          <w:tcPr>
            <w:tcW w:w="0" w:type="dxa"/>
            <w:vAlign w:val="bottom"/>
          </w:tcPr>
          <w:p>
            <w:pPr>
              <w:spacing w:after="0"/>
              <w:rPr>
                <w:sz w:val="1"/>
                <w:szCs w:val="1"/>
                <w:color w:val="auto"/>
              </w:rPr>
            </w:pPr>
          </w:p>
        </w:tc>
      </w:tr>
      <w:tr>
        <w:trPr>
          <w:trHeight w:val="227"/>
        </w:trPr>
        <w:tc>
          <w:tcPr>
            <w:tcW w:w="6400" w:type="dxa"/>
            <w:vAlign w:val="bottom"/>
          </w:tcPr>
          <w:p>
            <w:pPr>
              <w:ind w:left="18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4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24,641,544</w:t>
            </w:r>
          </w:p>
        </w:tc>
        <w:tc>
          <w:tcPr>
            <w:tcW w:w="2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0" w:type="dxa"/>
            <w:vAlign w:val="bottom"/>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00" w:right="639" w:hanging="275"/>
        <w:spacing w:after="0" w:line="270"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68" w:lineRule="exact"/>
        <w:rPr>
          <w:rFonts w:ascii="Arial" w:cs="Arial" w:eastAsia="Arial" w:hAnsi="Arial"/>
          <w:sz w:val="18"/>
          <w:szCs w:val="18"/>
          <w:color w:val="auto"/>
        </w:rPr>
      </w:pPr>
    </w:p>
    <w:p>
      <w:pPr>
        <w:jc w:val="both"/>
        <w:ind w:left="300" w:right="619" w:hanging="275"/>
        <w:spacing w:after="0" w:line="285" w:lineRule="auto"/>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According to the Merger Agreement, Vringo will grant former Innovate/Protect stockholders’ 16,809,838 warrants, at an exercise price of $1.76. 8,707,116 of these warrants bear down-round protection clauses; as a result, they will be classified as a long term derivative liability and recorded at fair value. Fair value, in the total amount of $20.2 million, was calculated using the Black-Scholes-Merton and the Monte-Carlo models, using the following assumptions: 73.13% expected volatility, a risk-free interest rate of 1.05%, estimated life of 5 years and no dividend yield. The fair value of our common stock, used for this valuation, was $3.25. We estimate there is a 30% probability that the down-round protection will be activated in September 2012.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5" w:lineRule="exact"/>
        <w:rPr>
          <w:rFonts w:ascii="Arial" w:cs="Arial" w:eastAsia="Arial" w:hAnsi="Arial"/>
          <w:sz w:val="16"/>
          <w:szCs w:val="16"/>
          <w:color w:val="auto"/>
        </w:rPr>
      </w:pPr>
    </w:p>
    <w:p>
      <w:pPr>
        <w:jc w:val="both"/>
        <w:ind w:left="300" w:right="619" w:hanging="275"/>
        <w:spacing w:after="0" w:line="253"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5" w:lineRule="exact"/>
        <w:rPr>
          <w:sz w:val="20"/>
          <w:szCs w:val="20"/>
          <w:color w:val="auto"/>
        </w:rPr>
      </w:pPr>
    </w:p>
    <w:p>
      <w:pPr>
        <w:jc w:val="both"/>
        <w:ind w:left="340" w:right="619"/>
        <w:spacing w:after="0" w:line="292" w:lineRule="auto"/>
        <w:rPr>
          <w:sz w:val="20"/>
          <w:szCs w:val="20"/>
          <w:color w:val="auto"/>
        </w:rPr>
      </w:pPr>
      <w:r>
        <w:rPr>
          <w:rFonts w:ascii="Arial" w:cs="Arial" w:eastAsia="Arial" w:hAnsi="Arial"/>
          <w:sz w:val="16"/>
          <w:szCs w:val="16"/>
          <w:color w:val="auto"/>
        </w:rPr>
        <w:t>The 6,818 Series A Convertible Preferred stock shares, $0.0001 par value, originally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shareholders’ of Innovate/Protect, as part of this Merger, were classified as equity, as cash based redemption event is only triggered by events fully controlled by the company. As a result, in these pro</w:t>
      </w:r>
    </w:p>
    <w:p>
      <w:pPr>
        <w:spacing w:after="0" w:line="200" w:lineRule="exact"/>
        <w:rPr>
          <w:sz w:val="20"/>
          <w:szCs w:val="20"/>
          <w:color w:val="auto"/>
        </w:rPr>
      </w:pPr>
    </w:p>
    <w:p>
      <w:pPr>
        <w:spacing w:after="0" w:line="2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307340</wp:posOffset>
            </wp:positionV>
            <wp:extent cx="6140450" cy="510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40450" cy="5104765"/>
                    </a:xfrm>
                    <a:prstGeom prst="rect">
                      <a:avLst/>
                    </a:prstGeom>
                    <a:noFill/>
                  </pic:spPr>
                </pic:pic>
              </a:graphicData>
            </a:graphic>
          </wp:anchor>
        </w:drawing>
        <w:t>TABLE OF CONTENTS</w:t>
      </w:r>
    </w:p>
    <w:p>
      <w:pPr>
        <w:spacing w:after="0" w:line="195" w:lineRule="exact"/>
        <w:rPr>
          <w:sz w:val="20"/>
          <w:szCs w:val="20"/>
          <w:color w:val="auto"/>
        </w:rPr>
      </w:pPr>
    </w:p>
    <w:p>
      <w:pPr>
        <w:jc w:val="both"/>
        <w:ind w:left="340" w:right="619"/>
        <w:spacing w:after="0" w:line="259" w:lineRule="auto"/>
        <w:rPr>
          <w:sz w:val="20"/>
          <w:szCs w:val="20"/>
          <w:color w:val="auto"/>
        </w:rPr>
      </w:pPr>
      <w:r>
        <w:rPr>
          <w:rFonts w:ascii="Arial" w:cs="Arial" w:eastAsia="Arial" w:hAnsi="Arial"/>
          <w:sz w:val="18"/>
          <w:szCs w:val="18"/>
          <w:color w:val="auto"/>
        </w:rPr>
        <w:t>forma consolidated financial statements, Innovate/Protect’s mezzanine equity, in the total amount of $1,800 thousand, was cancelled, as according to GAAP, these pro forma consolidated financial statements will only include the 6,818 Series A Convertible Preferred stock, presented at par value.</w:t>
      </w:r>
    </w:p>
    <w:p>
      <w:pPr>
        <w:spacing w:after="0" w:line="78" w:lineRule="exact"/>
        <w:rPr>
          <w:sz w:val="20"/>
          <w:szCs w:val="20"/>
          <w:color w:val="auto"/>
        </w:rPr>
      </w:pPr>
    </w:p>
    <w:p>
      <w:pPr>
        <w:jc w:val="both"/>
        <w:ind w:left="300" w:right="619" w:hanging="275"/>
        <w:spacing w:after="0" w:line="259"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tbl>
      <w:tblPr>
        <w:tblLayout w:type="fixed"/>
        <w:tblInd w:w="0" w:type="dxa"/>
        <w:tblCellMar>
          <w:top w:w="0" w:type="dxa"/>
          <w:left w:w="0" w:type="dxa"/>
          <w:bottom w:w="0" w:type="dxa"/>
          <w:right w:w="0" w:type="dxa"/>
        </w:tblCellMar>
      </w:tblPr>
      <w:tr>
        <w:trPr>
          <w:trHeight w:val="150"/>
        </w:trPr>
        <w:tc>
          <w:tcPr>
            <w:tcW w:w="5680" w:type="dxa"/>
            <w:vAlign w:val="bottom"/>
          </w:tcPr>
          <w:p>
            <w:pPr>
              <w:spacing w:after="0"/>
              <w:rPr>
                <w:sz w:val="13"/>
                <w:szCs w:val="13"/>
                <w:color w:val="auto"/>
              </w:rPr>
            </w:pPr>
          </w:p>
        </w:tc>
        <w:tc>
          <w:tcPr>
            <w:tcW w:w="174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1"/>
              </w:rPr>
              <w:t>Period from June 8,</w:t>
            </w:r>
          </w:p>
        </w:tc>
      </w:tr>
      <w:tr>
        <w:trPr>
          <w:trHeight w:val="147"/>
        </w:trPr>
        <w:tc>
          <w:tcPr>
            <w:tcW w:w="5680" w:type="dxa"/>
            <w:vAlign w:val="bottom"/>
          </w:tcPr>
          <w:p>
            <w:pPr>
              <w:spacing w:after="0"/>
              <w:rPr>
                <w:sz w:val="12"/>
                <w:szCs w:val="12"/>
                <w:color w:val="auto"/>
              </w:rPr>
            </w:pPr>
          </w:p>
        </w:tc>
        <w:tc>
          <w:tcPr>
            <w:tcW w:w="1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2011 through</w:t>
            </w:r>
          </w:p>
        </w:tc>
      </w:tr>
      <w:tr>
        <w:trPr>
          <w:trHeight w:val="170"/>
        </w:trPr>
        <w:tc>
          <w:tcPr>
            <w:tcW w:w="568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r>
      <w:tr>
        <w:trPr>
          <w:trHeight w:val="207"/>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Vringo common stock outstanding prior to the Merger</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13,861,423</w:t>
            </w:r>
          </w:p>
        </w:tc>
      </w:tr>
      <w:tr>
        <w:trPr>
          <w:trHeight w:val="214"/>
        </w:trPr>
        <w:tc>
          <w:tcPr>
            <w:tcW w:w="5680" w:type="dxa"/>
            <w:vAlign w:val="bottom"/>
          </w:tcPr>
          <w:p>
            <w:pPr>
              <w:ind w:left="20"/>
              <w:spacing w:after="0"/>
              <w:rPr>
                <w:sz w:val="20"/>
                <w:szCs w:val="20"/>
                <w:color w:val="auto"/>
              </w:rPr>
            </w:pPr>
            <w:r>
              <w:rPr>
                <w:rFonts w:ascii="Arial" w:cs="Arial" w:eastAsia="Arial" w:hAnsi="Arial"/>
                <w:sz w:val="18"/>
                <w:szCs w:val="18"/>
                <w:color w:val="auto"/>
              </w:rPr>
              <w:t>Vringo common stock issued to former Innovate/Protect stockholders’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17,675,617</w:t>
            </w:r>
          </w:p>
        </w:tc>
        <w:tc>
          <w:tcPr>
            <w:tcW w:w="120" w:type="dxa"/>
            <w:vAlign w:val="bottom"/>
          </w:tcPr>
          <w:p>
            <w:pPr>
              <w:spacing w:after="0"/>
              <w:rPr>
                <w:sz w:val="18"/>
                <w:szCs w:val="18"/>
                <w:color w:val="auto"/>
              </w:rPr>
            </w:pPr>
          </w:p>
        </w:tc>
      </w:tr>
      <w:tr>
        <w:trPr>
          <w:trHeight w:val="207"/>
        </w:trPr>
        <w:tc>
          <w:tcPr>
            <w:tcW w:w="56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common stock outstanding, pursuant to the Merger</w:t>
            </w:r>
          </w:p>
        </w:tc>
        <w:tc>
          <w:tcPr>
            <w:tcW w:w="1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31,537,040</w:t>
            </w:r>
          </w:p>
        </w:tc>
        <w:tc>
          <w:tcPr>
            <w:tcW w:w="120" w:type="dxa"/>
            <w:vAlign w:val="bottom"/>
            <w:tcBorders>
              <w:bottom w:val="single" w:sz="8" w:color="CCFFCC"/>
            </w:tcBorders>
            <w:shd w:val="clear" w:color="auto" w:fill="CCFFCC"/>
          </w:tcPr>
          <w:p>
            <w:pPr>
              <w:spacing w:after="0"/>
              <w:rPr>
                <w:sz w:val="18"/>
                <w:szCs w:val="18"/>
                <w:color w:val="auto"/>
              </w:rPr>
            </w:pPr>
          </w:p>
        </w:tc>
      </w:tr>
    </w:tbl>
    <w:p>
      <w:pPr>
        <w:spacing w:after="0" w:line="93" w:lineRule="exact"/>
        <w:rPr>
          <w:sz w:val="20"/>
          <w:szCs w:val="20"/>
          <w:color w:val="auto"/>
        </w:rPr>
      </w:pPr>
    </w:p>
    <w:p>
      <w:pPr>
        <w:jc w:val="both"/>
        <w:ind w:left="300" w:right="619" w:hanging="275"/>
        <w:spacing w:after="0" w:line="268"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$2,754 thousand, plus adjustments reflected in notes 4 and 9. Vringo’s historical deficit, in the total amount of $37,546 thousand, will be cancelled upon consolidation. Finally, an adjustment to additional paid-in capital, in the total amount of $6,860 thousand was recorded, in order to adjust the total consolidated equity, as per the abovementioned GAAP requirements.</w:t>
      </w:r>
    </w:p>
    <w:p>
      <w:pPr>
        <w:spacing w:after="0" w:line="75" w:lineRule="exact"/>
        <w:rPr>
          <w:rFonts w:ascii="Arial" w:cs="Arial" w:eastAsia="Arial" w:hAnsi="Arial"/>
          <w:sz w:val="17"/>
          <w:szCs w:val="17"/>
          <w:color w:val="auto"/>
        </w:rPr>
      </w:pPr>
    </w:p>
    <w:p>
      <w:pPr>
        <w:jc w:val="both"/>
        <w:ind w:left="300" w:right="619" w:hanging="275"/>
        <w:spacing w:after="0" w:line="270"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adjustment of $1,685 thousand to the consolidated pro forma equity was recorded to reflect the impact of partial acceleration of vesting of outstanding options granted to employees, management and consultants of Vringo (according to the schedule of each optionee). This is a nonrecurring material event triggered directly by the Merger. As a result, the impact, as described it the table below, was not included in pro forma statements of operations. Based on the assumption that the Merger occurred on June 8, 2011, the accelerated vesting of options would have been recorded as follows:</w:t>
      </w:r>
    </w:p>
    <w:p>
      <w:pPr>
        <w:sectPr>
          <w:pgSz w:w="11900" w:h="16838" w:orient="portrait"/>
          <w:cols w:equalWidth="0" w:num="1">
            <w:col w:w="10099"/>
          </w:cols>
          <w:pgMar w:left="36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7" w:lineRule="exact"/>
        <w:rPr>
          <w:sz w:val="20"/>
          <w:szCs w:val="20"/>
          <w:color w:val="auto"/>
        </w:rPr>
      </w:pPr>
    </w:p>
    <w:p>
      <w:pPr>
        <w:ind w:left="180" w:hanging="177"/>
        <w:spacing w:after="0" w:line="270" w:lineRule="auto"/>
        <w:rPr>
          <w:sz w:val="20"/>
          <w:szCs w:val="20"/>
          <w:color w:val="auto"/>
        </w:rPr>
      </w:pPr>
      <w:r>
        <w:rPr>
          <w:rFonts w:ascii="Arial" w:cs="Arial" w:eastAsia="Arial" w:hAnsi="Arial"/>
          <w:sz w:val="18"/>
          <w:szCs w:val="18"/>
          <w:color w:val="auto"/>
        </w:rPr>
        <w:t>Total share based compensation expense related to acceleration of vesting triggered by the Merger</w:t>
      </w:r>
    </w:p>
    <w:p>
      <w:pPr>
        <w:spacing w:after="0" w:line="20" w:lineRule="exact"/>
        <w:rPr>
          <w:sz w:val="20"/>
          <w:szCs w:val="20"/>
          <w:color w:val="auto"/>
        </w:rPr>
      </w:pPr>
      <w:r>
        <w:rPr>
          <w:sz w:val="20"/>
          <w:szCs w:val="20"/>
          <w:color w:val="auto"/>
        </w:rPr>
        <w:br w:type="column"/>
      </w:r>
    </w:p>
    <w:p>
      <w:pPr>
        <w:jc w:val="center"/>
        <w:ind w:right="2939"/>
        <w:spacing w:after="0"/>
        <w:rPr>
          <w:sz w:val="20"/>
          <w:szCs w:val="20"/>
          <w:color w:val="auto"/>
        </w:rPr>
      </w:pPr>
      <w:r>
        <w:rPr>
          <w:rFonts w:ascii="Arial" w:cs="Arial" w:eastAsia="Arial" w:hAnsi="Arial"/>
          <w:sz w:val="12"/>
          <w:szCs w:val="12"/>
          <w:b w:val="1"/>
          <w:bCs w:val="1"/>
          <w:color w:val="auto"/>
        </w:rPr>
        <w:t>Period from June 8,</w:t>
      </w:r>
    </w:p>
    <w:p>
      <w:pPr>
        <w:spacing w:after="0" w:line="11" w:lineRule="exact"/>
        <w:rPr>
          <w:sz w:val="20"/>
          <w:szCs w:val="20"/>
          <w:color w:val="auto"/>
        </w:rPr>
      </w:pPr>
    </w:p>
    <w:p>
      <w:pPr>
        <w:jc w:val="center"/>
        <w:ind w:right="2939"/>
        <w:spacing w:after="0"/>
        <w:rPr>
          <w:sz w:val="20"/>
          <w:szCs w:val="20"/>
          <w:color w:val="auto"/>
        </w:rPr>
      </w:pPr>
      <w:r>
        <w:rPr>
          <w:rFonts w:ascii="Arial" w:cs="Arial" w:eastAsia="Arial" w:hAnsi="Arial"/>
          <w:sz w:val="14"/>
          <w:szCs w:val="14"/>
          <w:b w:val="1"/>
          <w:bCs w:val="1"/>
          <w:color w:val="auto"/>
        </w:rPr>
        <w:t>2011 through</w:t>
      </w:r>
    </w:p>
    <w:p>
      <w:pPr>
        <w:jc w:val="center"/>
        <w:ind w:right="2939"/>
        <w:spacing w:after="0"/>
        <w:rPr>
          <w:sz w:val="20"/>
          <w:szCs w:val="20"/>
          <w:color w:val="auto"/>
        </w:rPr>
      </w:pPr>
      <w:r>
        <w:rPr>
          <w:rFonts w:ascii="Arial" w:cs="Arial" w:eastAsia="Arial" w:hAnsi="Arial"/>
          <w:sz w:val="13"/>
          <w:szCs w:val="13"/>
          <w:b w:val="1"/>
          <w:bCs w:val="1"/>
          <w:color w:val="auto"/>
        </w:rPr>
        <w:t>December 31, 2011</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 in thousands)</w:t>
      </w:r>
    </w:p>
    <w:p>
      <w:pPr>
        <w:spacing w:after="0" w:line="35"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165</w:t>
      </w:r>
    </w:p>
    <w:p>
      <w:pPr>
        <w:spacing w:after="0" w:line="17"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539</w:t>
      </w:r>
    </w:p>
    <w:p>
      <w:pPr>
        <w:spacing w:after="0" w:line="7"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981</w:t>
      </w:r>
    </w:p>
    <w:p>
      <w:pPr>
        <w:spacing w:after="0" w:line="7"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1,685</w:t>
      </w:r>
    </w:p>
    <w:p>
      <w:pPr>
        <w:spacing w:after="0" w:line="458" w:lineRule="exact"/>
        <w:rPr>
          <w:sz w:val="20"/>
          <w:szCs w:val="20"/>
          <w:color w:val="auto"/>
        </w:rPr>
      </w:pPr>
    </w:p>
    <w:p>
      <w:pPr>
        <w:sectPr>
          <w:pgSz w:w="11900" w:h="16838" w:orient="portrait"/>
          <w:cols w:equalWidth="0" w:num="2">
            <w:col w:w="5260" w:space="700"/>
            <w:col w:w="4139"/>
          </w:cols>
          <w:pgMar w:left="360" w:top="785" w:right="1440" w:bottom="1440" w:gutter="0" w:footer="0" w:header="0"/>
          <w:type w:val="continuous"/>
        </w:sectPr>
      </w:pPr>
    </w:p>
    <w:p>
      <w:pPr>
        <w:spacing w:after="0" w:line="3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117475</wp:posOffset>
            </wp:positionV>
            <wp:extent cx="6051550" cy="590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type w:val="continuous"/>
        </w:sectPr>
      </w:pPr>
    </w:p>
    <w:bookmarkStart w:id="45" w:name="page46"/>
    <w:bookmarkEnd w:id="4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MARKET PRICE DATA AND DIVIDEND INFORMATION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Price</w:t>
      </w:r>
    </w:p>
    <w:p>
      <w:pPr>
        <w:spacing w:after="0" w:line="114" w:lineRule="exact"/>
        <w:rPr>
          <w:sz w:val="20"/>
          <w:szCs w:val="20"/>
          <w:color w:val="auto"/>
        </w:rPr>
      </w:pPr>
    </w:p>
    <w:p>
      <w:pPr>
        <w:ind w:left="60" w:right="619" w:firstLine="267"/>
        <w:spacing w:after="0" w:line="251" w:lineRule="auto"/>
        <w:rPr>
          <w:sz w:val="20"/>
          <w:szCs w:val="20"/>
          <w:color w:val="auto"/>
        </w:rPr>
      </w:pPr>
      <w:r>
        <w:rPr>
          <w:rFonts w:ascii="Arial" w:cs="Arial" w:eastAsia="Arial" w:hAnsi="Arial"/>
          <w:sz w:val="17"/>
          <w:szCs w:val="17"/>
          <w:color w:val="auto"/>
        </w:rPr>
        <w:t>The table below sets forth, for the calendar quarters indicated, the high and low sales prices per share of Vringo common stock, which trades on the NYSE Amex under the symbol “VRNG.” Vringo’s fiscal year ends on December 31</w:t>
      </w:r>
      <w:r>
        <w:rPr>
          <w:rFonts w:ascii="Arial" w:cs="Arial" w:eastAsia="Arial" w:hAnsi="Arial"/>
          <w:sz w:val="28"/>
          <w:szCs w:val="28"/>
          <w:color w:val="auto"/>
          <w:vertAlign w:val="superscript"/>
        </w:rPr>
        <w:t>st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51600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8"/>
              </w:rPr>
              <w:t>Vringo Common Stock</w:t>
            </w:r>
          </w:p>
        </w:tc>
        <w:tc>
          <w:tcPr>
            <w:tcW w:w="0" w:type="dxa"/>
            <w:vAlign w:val="bottom"/>
          </w:tcPr>
          <w:p>
            <w:pPr>
              <w:spacing w:after="0"/>
              <w:rPr>
                <w:sz w:val="1"/>
                <w:szCs w:val="1"/>
                <w:color w:val="auto"/>
              </w:rPr>
            </w:pPr>
          </w:p>
        </w:tc>
      </w:tr>
      <w:tr>
        <w:trPr>
          <w:trHeight w:val="194"/>
        </w:trPr>
        <w:tc>
          <w:tcPr>
            <w:tcW w:w="6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 2010</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6"/>
        </w:trPr>
        <w:tc>
          <w:tcPr>
            <w:tcW w:w="6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160" w:type="dxa"/>
            <w:vAlign w:val="bottom"/>
            <w:shd w:val="clear" w:color="auto" w:fill="CCFFCC"/>
          </w:tcPr>
          <w:p>
            <w:pPr>
              <w:ind w:left="20"/>
              <w:spacing w:after="0" w:line="255" w:lineRule="exact"/>
              <w:rPr>
                <w:sz w:val="20"/>
                <w:szCs w:val="20"/>
                <w:color w:val="auto"/>
              </w:rPr>
            </w:pPr>
            <w:r>
              <w:rPr>
                <w:rFonts w:ascii="Arial" w:cs="Arial" w:eastAsia="Arial" w:hAnsi="Arial"/>
                <w:sz w:val="18"/>
                <w:szCs w:val="18"/>
                <w:color w:val="auto"/>
              </w:rPr>
              <w:t>Third Quarter</w:t>
            </w:r>
            <w:r>
              <w:rPr>
                <w:rFonts w:ascii="Arial" w:cs="Arial" w:eastAsia="Arial" w:hAnsi="Arial"/>
                <w:sz w:val="29"/>
                <w:szCs w:val="29"/>
                <w:color w:val="auto"/>
                <w:vertAlign w:val="superscript"/>
              </w:rPr>
              <w:t>(1)</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3.60</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Fiscal Year 2011</w:t>
            </w:r>
          </w:p>
        </w:tc>
        <w:tc>
          <w:tcPr>
            <w:tcW w:w="1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2.65</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2.63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1.89</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Fiscal Year 2012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Arial" w:cs="Arial" w:eastAsia="Arial" w:hAnsi="Arial"/>
                <w:sz w:val="18"/>
                <w:szCs w:val="18"/>
                <w:color w:val="auto"/>
              </w:rPr>
              <w:t>Second Quarter (through April 5, 2012)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4.05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wp:posOffset>
            </wp:positionV>
            <wp:extent cx="6108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40" w:right="3599" w:hanging="315"/>
        <w:spacing w:after="0" w:line="371"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Vringo shares of common stock initiated trading on the NYSE Amex on June 22, 2011. The closing price as of April 5, 2012 was $2.66.</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Innovate/Protect is a private company and shares of its capital stock are not publicly traded.</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Record Holders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2, 2012, Vringo had 54 stockholders of record.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114"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Vringo has not declared or paid any cash dividend on its capital stock during the two most recent fiscal years. Any determination to pay dividends to holders of Vringo common stock in the future will be at the discretion of the Vringo board of directors and will depend upon many factors, including Vringo’s financial condition, results of operations, capital requirements and any other factors that the Vringo board of directors considers appropriate.</w:t>
      </w:r>
    </w:p>
    <w:p>
      <w:pPr>
        <w:spacing w:after="0" w:line="83"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On March 14, 2012, the trading day of the announcement of the Merger, the last reported sale price of Vringo’s common stock was $1.84, for an aggregate market value of Vringo of $25.5 million, or $48.7 million on a fully diluted basis. 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 2012, the latest practicable date before the printing of this proxy statement/prospectus, the last reported sale price</w:t>
      </w:r>
    </w:p>
    <w:p>
      <w:pPr>
        <w:spacing w:after="0" w:line="30" w:lineRule="exact"/>
        <w:rPr>
          <w:sz w:val="20"/>
          <w:szCs w:val="20"/>
          <w:color w:val="auto"/>
        </w:rPr>
      </w:pPr>
    </w:p>
    <w:p>
      <w:pPr>
        <w:jc w:val="both"/>
        <w:ind w:left="60" w:right="619"/>
        <w:spacing w:after="0" w:line="286" w:lineRule="auto"/>
        <w:rPr>
          <w:sz w:val="20"/>
          <w:szCs w:val="20"/>
          <w:color w:val="auto"/>
        </w:rPr>
      </w:pPr>
      <w:r>
        <w:rPr>
          <w:rFonts w:ascii="Arial" w:cs="Arial" w:eastAsia="Arial" w:hAnsi="Arial"/>
          <w:sz w:val="16"/>
          <w:szCs w:val="16"/>
          <w:color w:val="auto"/>
        </w:rPr>
        <w:t>of Vringo’s common stock was $___, for an aggregate market value of Vringo of $___, or $___ on a fully diluted basis. Assuming the issuance on such date of an aggregate of 17,675,617 shares of Vringo common stock based on a common stock Exchange Ratio of 3.0176, an aggregate of 6,818 shares of Vringo preferred stock, an aggregate of 16,809,838 of Vringo warrants and options to purchase an aggregate of 41,178 shares of Vringo common stock if the Merger was completed on such date, the market value attributable to the shares of Vringo common stock to be issued to Innovate/Protect’s stockholders in the aggregate, or approximately ___% of the outstanding shares of the combined company calculated on a fully diluted basis, would equal $___.</w:t>
      </w:r>
    </w:p>
    <w:p>
      <w:pPr>
        <w:spacing w:after="0" w:line="62" w:lineRule="exact"/>
        <w:rPr>
          <w:sz w:val="20"/>
          <w:szCs w:val="20"/>
          <w:color w:val="auto"/>
        </w:rPr>
      </w:pPr>
    </w:p>
    <w:p>
      <w:pPr>
        <w:jc w:val="both"/>
        <w:ind w:left="60" w:right="639" w:firstLine="267"/>
        <w:spacing w:after="0" w:line="292" w:lineRule="auto"/>
        <w:rPr>
          <w:sz w:val="20"/>
          <w:szCs w:val="20"/>
          <w:color w:val="auto"/>
        </w:rPr>
      </w:pPr>
      <w:r>
        <w:rPr>
          <w:rFonts w:ascii="Arial" w:cs="Arial" w:eastAsia="Arial" w:hAnsi="Arial"/>
          <w:sz w:val="16"/>
          <w:szCs w:val="16"/>
          <w:color w:val="auto"/>
        </w:rPr>
        <w:t>The following table sets forth information as of March 30,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w:t>
      </w:r>
    </w:p>
    <w:p>
      <w:pPr>
        <w:spacing w:after="0" w:line="200" w:lineRule="exact"/>
        <w:rPr>
          <w:sz w:val="20"/>
          <w:szCs w:val="20"/>
          <w:color w:val="auto"/>
        </w:rPr>
      </w:pPr>
    </w:p>
    <w:p>
      <w:pPr>
        <w:spacing w:after="0" w:line="2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Percentage of beneficial ownership is calculated based on 13,861,423 shares of Vringo common stock outstanding as of March 30, 2012 and 12,592,661 shares of Innovate/Protect capital stock outstanding as of March 30, 2012 (which includes 6,818 shares of preferred stock and 5,774,661 shares of common stock). The percent of common stock of the combined company is based on 31,537,040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March 30,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March 30,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3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TABLE OF CONTENTS</w:t>
            </w:r>
          </w:p>
        </w:tc>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51"/>
        </w:trPr>
        <w:tc>
          <w:tcPr>
            <w:tcW w:w="20" w:type="dxa"/>
            <w:vAlign w:val="bottom"/>
          </w:tcPr>
          <w:p>
            <w:pPr>
              <w:spacing w:after="0"/>
              <w:rPr>
                <w:sz w:val="21"/>
                <w:szCs w:val="21"/>
                <w:color w:val="auto"/>
              </w:rPr>
            </w:pPr>
          </w:p>
        </w:tc>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21"/>
                <w:szCs w:val="21"/>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 of</w:t>
            </w:r>
          </w:p>
        </w:tc>
      </w:tr>
      <w:tr>
        <w:trPr>
          <w:trHeight w:val="15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Beneficial</w:t>
            </w:r>
          </w:p>
        </w:tc>
        <w:tc>
          <w:tcPr>
            <w:tcW w:w="160" w:type="dxa"/>
            <w:vAlign w:val="bottom"/>
          </w:tcPr>
          <w:p>
            <w:pPr>
              <w:spacing w:after="0"/>
              <w:rPr>
                <w:sz w:val="13"/>
                <w:szCs w:val="13"/>
                <w:color w:val="auto"/>
              </w:rPr>
            </w:pPr>
          </w:p>
        </w:tc>
        <w:tc>
          <w:tcPr>
            <w:tcW w:w="96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rPr>
              <w:t>Class</w:t>
            </w:r>
          </w:p>
        </w:tc>
      </w:tr>
      <w:tr>
        <w:trPr>
          <w:trHeight w:val="198"/>
        </w:trPr>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auto"/>
            </w:tcBorders>
            <w:gridSpan w:val="2"/>
          </w:tcPr>
          <w:p>
            <w:pPr>
              <w:jc w:val="center"/>
              <w:spacing w:after="0" w:line="198" w:lineRule="exact"/>
              <w:rPr>
                <w:sz w:val="20"/>
                <w:szCs w:val="20"/>
                <w:color w:val="auto"/>
              </w:rPr>
            </w:pPr>
            <w:r>
              <w:rPr>
                <w:rFonts w:ascii="Arial" w:cs="Arial" w:eastAsia="Arial" w:hAnsi="Arial"/>
                <w:sz w:val="22"/>
                <w:szCs w:val="22"/>
                <w:b w:val="1"/>
                <w:bCs w:val="1"/>
                <w:color w:val="auto"/>
                <w:w w:val="97"/>
                <w:vertAlign w:val="subscript"/>
              </w:rPr>
              <w:t>Ownership</w:t>
            </w:r>
            <w:r>
              <w:rPr>
                <w:rFonts w:ascii="Arial" w:cs="Arial" w:eastAsia="Arial" w:hAnsi="Arial"/>
                <w:sz w:val="10"/>
                <w:szCs w:val="10"/>
                <w:b w:val="1"/>
                <w:bCs w:val="1"/>
                <w:color w:val="auto"/>
                <w:w w:val="97"/>
              </w:rPr>
              <w:t>(3)(4)(5)(6)</w:t>
            </w:r>
          </w:p>
        </w:tc>
        <w:tc>
          <w:tcPr>
            <w:tcW w:w="1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r>
      <w:tr>
        <w:trPr>
          <w:trHeight w:val="207"/>
        </w:trPr>
        <w:tc>
          <w:tcPr>
            <w:tcW w:w="20" w:type="dxa"/>
            <w:vAlign w:val="bottom"/>
            <w:shd w:val="clear" w:color="auto" w:fill="CCFFCC"/>
          </w:tcPr>
          <w:p>
            <w:pPr>
              <w:spacing w:after="0"/>
              <w:rPr>
                <w:sz w:val="18"/>
                <w:szCs w:val="18"/>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i w:val="1"/>
                <w:iCs w:val="1"/>
                <w:color w:val="auto"/>
              </w:rPr>
              <w:t>5% Stockholders (Preferred)</w:t>
            </w: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540" w:type="dxa"/>
            <w:vAlign w:val="bottom"/>
            <w:gridSpan w:val="3"/>
          </w:tcPr>
          <w:p>
            <w:pPr>
              <w:spacing w:after="0" w:line="200" w:lineRule="exact"/>
              <w:rPr>
                <w:sz w:val="20"/>
                <w:szCs w:val="20"/>
                <w:color w:val="auto"/>
              </w:rPr>
            </w:pPr>
            <w:r>
              <w:rPr>
                <w:rFonts w:ascii="Arial" w:cs="Arial" w:eastAsia="Arial" w:hAnsi="Arial"/>
                <w:sz w:val="18"/>
                <w:szCs w:val="18"/>
                <w:color w:val="auto"/>
              </w:rPr>
              <w:t>Hudson Bay Master Fund Ltd.</w:t>
            </w:r>
          </w:p>
        </w:tc>
        <w:tc>
          <w:tcPr>
            <w:tcW w:w="146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6,474</w:t>
            </w:r>
          </w:p>
        </w:tc>
        <w:tc>
          <w:tcPr>
            <w:tcW w:w="112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95.0%</w:t>
            </w:r>
          </w:p>
        </w:tc>
      </w:tr>
      <w:tr>
        <w:trPr>
          <w:trHeight w:val="214"/>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777 Third Avenue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New York, NY 10017</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4"/>
        </w:trPr>
        <w:tc>
          <w:tcPr>
            <w:tcW w:w="20" w:type="dxa"/>
            <w:vAlign w:val="bottom"/>
            <w:shd w:val="clear" w:color="auto" w:fill="CCFFCC"/>
          </w:tcPr>
          <w:p>
            <w:pPr>
              <w:spacing w:after="0"/>
              <w:rPr>
                <w:sz w:val="17"/>
                <w:szCs w:val="17"/>
                <w:color w:val="auto"/>
              </w:rPr>
            </w:pPr>
          </w:p>
        </w:tc>
        <w:tc>
          <w:tcPr>
            <w:tcW w:w="5540" w:type="dxa"/>
            <w:vAlign w:val="bottom"/>
            <w:gridSpan w:val="3"/>
            <w:shd w:val="clear" w:color="auto" w:fill="CCFFCC"/>
          </w:tcPr>
          <w:p>
            <w:pPr>
              <w:spacing w:after="0" w:line="204" w:lineRule="exact"/>
              <w:rPr>
                <w:sz w:val="20"/>
                <w:szCs w:val="20"/>
                <w:color w:val="auto"/>
              </w:rPr>
            </w:pPr>
            <w:r>
              <w:rPr>
                <w:rFonts w:ascii="Arial" w:cs="Arial" w:eastAsia="Arial" w:hAnsi="Arial"/>
                <w:sz w:val="18"/>
                <w:szCs w:val="18"/>
                <w:color w:val="auto"/>
              </w:rPr>
              <w:t>Iroquois Master Fund Ltd.</w:t>
            </w:r>
          </w:p>
        </w:tc>
        <w:tc>
          <w:tcPr>
            <w:tcW w:w="1460" w:type="dxa"/>
            <w:vAlign w:val="bottom"/>
            <w:gridSpan w:val="3"/>
            <w:shd w:val="clear" w:color="auto" w:fill="CCFFCC"/>
          </w:tcPr>
          <w:p>
            <w:pPr>
              <w:jc w:val="right"/>
              <w:ind w:right="100"/>
              <w:spacing w:after="0" w:line="204" w:lineRule="exact"/>
              <w:rPr>
                <w:sz w:val="20"/>
                <w:szCs w:val="20"/>
                <w:color w:val="auto"/>
              </w:rPr>
            </w:pPr>
            <w:r>
              <w:rPr>
                <w:rFonts w:ascii="Arial" w:cs="Arial" w:eastAsia="Arial" w:hAnsi="Arial"/>
                <w:sz w:val="18"/>
                <w:szCs w:val="18"/>
                <w:color w:val="auto"/>
              </w:rPr>
              <w:t>344</w:t>
            </w:r>
          </w:p>
        </w:tc>
        <w:tc>
          <w:tcPr>
            <w:tcW w:w="1120" w:type="dxa"/>
            <w:vAlign w:val="bottom"/>
            <w:gridSpan w:val="3"/>
            <w:shd w:val="clear" w:color="auto" w:fill="CCFFCC"/>
          </w:tcPr>
          <w:p>
            <w:pPr>
              <w:jc w:val="right"/>
              <w:ind w:right="140"/>
              <w:spacing w:after="0" w:line="204" w:lineRule="exact"/>
              <w:rPr>
                <w:sz w:val="20"/>
                <w:szCs w:val="20"/>
                <w:color w:val="auto"/>
              </w:rPr>
            </w:pPr>
            <w:r>
              <w:rPr>
                <w:rFonts w:ascii="Arial" w:cs="Arial" w:eastAsia="Arial" w:hAnsi="Arial"/>
                <w:sz w:val="18"/>
                <w:szCs w:val="18"/>
                <w:color w:val="auto"/>
              </w:rPr>
              <w:t>5.0%</w:t>
            </w:r>
          </w:p>
        </w:tc>
      </w:tr>
      <w:tr>
        <w:trPr>
          <w:trHeight w:val="250"/>
        </w:trPr>
        <w:tc>
          <w:tcPr>
            <w:tcW w:w="20" w:type="dxa"/>
            <w:vAlign w:val="bottom"/>
            <w:shd w:val="clear" w:color="auto" w:fill="CCFFCC"/>
          </w:tcPr>
          <w:p>
            <w:pPr>
              <w:spacing w:after="0"/>
              <w:rPr>
                <w:sz w:val="21"/>
                <w:szCs w:val="21"/>
                <w:color w:val="auto"/>
              </w:rPr>
            </w:pPr>
          </w:p>
        </w:tc>
        <w:tc>
          <w:tcPr>
            <w:tcW w:w="5540" w:type="dxa"/>
            <w:vAlign w:val="bottom"/>
            <w:gridSpan w:val="3"/>
            <w:shd w:val="clear" w:color="auto" w:fill="CCFFCC"/>
          </w:tcPr>
          <w:p>
            <w:pPr>
              <w:spacing w:after="0" w:line="251"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r>
      <w:tr>
        <w:trPr>
          <w:trHeight w:val="228"/>
        </w:trPr>
        <w:tc>
          <w:tcPr>
            <w:tcW w:w="20" w:type="dxa"/>
            <w:vAlign w:val="bottom"/>
            <w:shd w:val="clear" w:color="auto" w:fill="CCFFCC"/>
          </w:tcPr>
          <w:p>
            <w:pPr>
              <w:spacing w:after="0"/>
              <w:rPr>
                <w:sz w:val="19"/>
                <w:szCs w:val="19"/>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New York, NY 10022</w:t>
            </w:r>
          </w:p>
        </w:tc>
        <w:tc>
          <w:tcPr>
            <w:tcW w:w="16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5540" w:type="dxa"/>
            <w:vAlign w:val="bottom"/>
            <w:gridSpan w:val="3"/>
          </w:tcPr>
          <w:p>
            <w:pPr>
              <w:spacing w:after="0" w:line="200" w:lineRule="exact"/>
              <w:rPr>
                <w:sz w:val="20"/>
                <w:szCs w:val="20"/>
                <w:color w:val="auto"/>
              </w:rPr>
            </w:pPr>
            <w:r>
              <w:rPr>
                <w:rFonts w:ascii="Arial" w:cs="Arial" w:eastAsia="Arial" w:hAnsi="Arial"/>
                <w:sz w:val="18"/>
                <w:szCs w:val="18"/>
                <w:b w:val="1"/>
                <w:bCs w:val="1"/>
                <w:i w:val="1"/>
                <w:iCs w:val="1"/>
                <w:color w:val="auto"/>
              </w:rPr>
              <w:t>5% Stockholders (Common)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(Excluding Named Executive Officers and Directors)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554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Hudson Bay Master Fund Ltd.</w:t>
            </w:r>
          </w:p>
        </w:tc>
        <w:tc>
          <w:tcPr>
            <w:tcW w:w="146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3,500,223</w:t>
            </w:r>
          </w:p>
        </w:tc>
        <w:tc>
          <w:tcPr>
            <w:tcW w:w="1120" w:type="dxa"/>
            <w:vAlign w:val="bottom"/>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9.99%</w:t>
            </w:r>
          </w:p>
        </w:tc>
      </w:tr>
      <w:tr>
        <w:trPr>
          <w:trHeight w:val="214"/>
        </w:trPr>
        <w:tc>
          <w:tcPr>
            <w:tcW w:w="20" w:type="dxa"/>
            <w:vAlign w:val="bottom"/>
            <w:shd w:val="clear" w:color="auto" w:fill="CCFFCC"/>
          </w:tcPr>
          <w:p>
            <w:pPr>
              <w:spacing w:after="0"/>
              <w:rPr>
                <w:sz w:val="18"/>
                <w:szCs w:val="18"/>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777 Third Avenue</w:t>
            </w: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New York, NY 10017</w:t>
            </w:r>
          </w:p>
        </w:tc>
        <w:tc>
          <w:tcPr>
            <w:tcW w:w="16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540" w:type="dxa"/>
            <w:vAlign w:val="bottom"/>
            <w:gridSpan w:val="3"/>
          </w:tcPr>
          <w:p>
            <w:pPr>
              <w:spacing w:after="0" w:line="203" w:lineRule="exact"/>
              <w:rPr>
                <w:sz w:val="20"/>
                <w:szCs w:val="20"/>
                <w:color w:val="auto"/>
              </w:rPr>
            </w:pPr>
            <w:r>
              <w:rPr>
                <w:rFonts w:ascii="Arial" w:cs="Arial" w:eastAsia="Arial" w:hAnsi="Arial"/>
                <w:sz w:val="18"/>
                <w:szCs w:val="18"/>
                <w:color w:val="auto"/>
              </w:rPr>
              <w:t>Iroquois Master Fund Ltd.</w:t>
            </w:r>
          </w:p>
        </w:tc>
        <w:tc>
          <w:tcPr>
            <w:tcW w:w="1460" w:type="dxa"/>
            <w:vAlign w:val="bottom"/>
            <w:gridSpan w:val="3"/>
          </w:tcPr>
          <w:p>
            <w:pPr>
              <w:jc w:val="right"/>
              <w:ind w:right="100"/>
              <w:spacing w:after="0" w:line="203" w:lineRule="exact"/>
              <w:rPr>
                <w:sz w:val="20"/>
                <w:szCs w:val="20"/>
                <w:color w:val="auto"/>
              </w:rPr>
            </w:pPr>
            <w:r>
              <w:rPr>
                <w:rFonts w:ascii="Arial" w:cs="Arial" w:eastAsia="Arial" w:hAnsi="Arial"/>
                <w:sz w:val="18"/>
                <w:szCs w:val="18"/>
                <w:color w:val="auto"/>
              </w:rPr>
              <w:t>1,952,530</w:t>
            </w:r>
          </w:p>
        </w:tc>
        <w:tc>
          <w:tcPr>
            <w:tcW w:w="112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6.0%</w:t>
            </w:r>
          </w:p>
        </w:tc>
      </w:tr>
      <w:tr>
        <w:trPr>
          <w:trHeight w:val="250"/>
        </w:trPr>
        <w:tc>
          <w:tcPr>
            <w:tcW w:w="20" w:type="dxa"/>
            <w:vAlign w:val="bottom"/>
          </w:tcPr>
          <w:p>
            <w:pPr>
              <w:spacing w:after="0"/>
              <w:rPr>
                <w:sz w:val="21"/>
                <w:szCs w:val="21"/>
                <w:color w:val="auto"/>
              </w:rPr>
            </w:pPr>
          </w:p>
        </w:tc>
        <w:tc>
          <w:tcPr>
            <w:tcW w:w="5540" w:type="dxa"/>
            <w:vAlign w:val="bottom"/>
            <w:gridSpan w:val="3"/>
          </w:tcPr>
          <w:p>
            <w:pPr>
              <w:spacing w:after="0" w:line="251"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554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Frost Gamma Investments Trust</w:t>
            </w:r>
          </w:p>
        </w:tc>
        <w:tc>
          <w:tcPr>
            <w:tcW w:w="146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1,606,872</w:t>
            </w:r>
          </w:p>
        </w:tc>
        <w:tc>
          <w:tcPr>
            <w:tcW w:w="1120" w:type="dxa"/>
            <w:vAlign w:val="bottom"/>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5.0%</w:t>
            </w:r>
          </w:p>
        </w:tc>
      </w:tr>
      <w:tr>
        <w:trPr>
          <w:trHeight w:val="214"/>
        </w:trPr>
        <w:tc>
          <w:tcPr>
            <w:tcW w:w="20" w:type="dxa"/>
            <w:vAlign w:val="bottom"/>
            <w:shd w:val="clear" w:color="auto" w:fill="CCFFCC"/>
          </w:tcPr>
          <w:p>
            <w:pPr>
              <w:spacing w:after="0"/>
              <w:rPr>
                <w:sz w:val="18"/>
                <w:szCs w:val="18"/>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4400 Biscayne Boulevard</w:t>
            </w: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Miami, FL 33137</w:t>
            </w:r>
          </w:p>
        </w:tc>
        <w:tc>
          <w:tcPr>
            <w:tcW w:w="16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5540" w:type="dxa"/>
            <w:vAlign w:val="bottom"/>
            <w:gridSpan w:val="3"/>
          </w:tcPr>
          <w:p>
            <w:pPr>
              <w:spacing w:after="0" w:line="200" w:lineRule="exact"/>
              <w:rPr>
                <w:sz w:val="20"/>
                <w:szCs w:val="20"/>
                <w:color w:val="auto"/>
              </w:rPr>
            </w:pPr>
            <w:r>
              <w:rPr>
                <w:rFonts w:ascii="Arial" w:cs="Arial" w:eastAsia="Arial" w:hAnsi="Arial"/>
                <w:sz w:val="18"/>
                <w:szCs w:val="18"/>
                <w:color w:val="auto"/>
              </w:rPr>
              <w:t>Michael and Betsy Brauser TBE</w:t>
            </w:r>
          </w:p>
        </w:tc>
        <w:tc>
          <w:tcPr>
            <w:tcW w:w="146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1,660,435</w:t>
            </w:r>
          </w:p>
        </w:tc>
        <w:tc>
          <w:tcPr>
            <w:tcW w:w="112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5.2%</w:t>
            </w:r>
          </w:p>
        </w:tc>
      </w:tr>
      <w:tr>
        <w:trPr>
          <w:trHeight w:val="214"/>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3164 NE 31st Avenue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Lighthouse Point, FL 33064</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554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Barry Honig</w:t>
            </w:r>
          </w:p>
        </w:tc>
        <w:tc>
          <w:tcPr>
            <w:tcW w:w="146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1,874,684</w:t>
            </w:r>
          </w:p>
        </w:tc>
        <w:tc>
          <w:tcPr>
            <w:tcW w:w="1120" w:type="dxa"/>
            <w:vAlign w:val="bottom"/>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5.8%</w:t>
            </w:r>
          </w:p>
        </w:tc>
      </w:tr>
      <w:tr>
        <w:trPr>
          <w:trHeight w:val="214"/>
        </w:trPr>
        <w:tc>
          <w:tcPr>
            <w:tcW w:w="20" w:type="dxa"/>
            <w:vAlign w:val="bottom"/>
            <w:shd w:val="clear" w:color="auto" w:fill="CCFFCC"/>
          </w:tcPr>
          <w:p>
            <w:pPr>
              <w:spacing w:after="0"/>
              <w:rPr>
                <w:sz w:val="18"/>
                <w:szCs w:val="18"/>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4400 Biscayne Boulevard, Suite 850</w:t>
            </w: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Miami, FL 33137</w:t>
            </w:r>
          </w:p>
        </w:tc>
        <w:tc>
          <w:tcPr>
            <w:tcW w:w="16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54"/>
        </w:trPr>
        <w:tc>
          <w:tcPr>
            <w:tcW w:w="20" w:type="dxa"/>
            <w:vAlign w:val="bottom"/>
            <w:shd w:val="clear" w:color="auto" w:fill="CCFFCC"/>
          </w:tcPr>
          <w:p>
            <w:pPr>
              <w:spacing w:after="0"/>
              <w:rPr>
                <w:sz w:val="22"/>
                <w:szCs w:val="22"/>
                <w:color w:val="auto"/>
              </w:rPr>
            </w:pPr>
          </w:p>
        </w:tc>
        <w:tc>
          <w:tcPr>
            <w:tcW w:w="5540" w:type="dxa"/>
            <w:vAlign w:val="bottom"/>
            <w:gridSpan w:val="3"/>
            <w:shd w:val="clear" w:color="auto" w:fill="CCFFCC"/>
          </w:tcPr>
          <w:p>
            <w:pPr>
              <w:spacing w:after="0" w:line="253"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561,584</w:t>
            </w: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1.8%</w:t>
            </w:r>
          </w:p>
        </w:tc>
      </w:tr>
      <w:tr>
        <w:trPr>
          <w:trHeight w:val="254"/>
        </w:trPr>
        <w:tc>
          <w:tcPr>
            <w:tcW w:w="20" w:type="dxa"/>
            <w:vAlign w:val="bottom"/>
          </w:tcPr>
          <w:p>
            <w:pPr>
              <w:spacing w:after="0"/>
              <w:rPr>
                <w:sz w:val="22"/>
                <w:szCs w:val="22"/>
                <w:color w:val="auto"/>
              </w:rPr>
            </w:pPr>
          </w:p>
        </w:tc>
        <w:tc>
          <w:tcPr>
            <w:tcW w:w="5540" w:type="dxa"/>
            <w:vAlign w:val="bottom"/>
            <w:gridSpan w:val="3"/>
          </w:tcPr>
          <w:p>
            <w:pPr>
              <w:spacing w:after="0" w:line="253"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8,034,360</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23.7%</w:t>
            </w:r>
          </w:p>
        </w:tc>
      </w:tr>
      <w:tr>
        <w:trPr>
          <w:trHeight w:val="254"/>
        </w:trPr>
        <w:tc>
          <w:tcPr>
            <w:tcW w:w="20" w:type="dxa"/>
            <w:vAlign w:val="bottom"/>
            <w:shd w:val="clear" w:color="auto" w:fill="CCFFCC"/>
          </w:tcPr>
          <w:p>
            <w:pPr>
              <w:spacing w:after="0"/>
              <w:rPr>
                <w:sz w:val="22"/>
                <w:szCs w:val="22"/>
                <w:color w:val="auto"/>
              </w:rPr>
            </w:pPr>
          </w:p>
        </w:tc>
        <w:tc>
          <w:tcPr>
            <w:tcW w:w="5540" w:type="dxa"/>
            <w:vAlign w:val="bottom"/>
            <w:gridSpan w:val="3"/>
            <w:shd w:val="clear" w:color="auto" w:fill="CCFFCC"/>
          </w:tcPr>
          <w:p>
            <w:pPr>
              <w:spacing w:after="0" w:line="253" w:lineRule="exact"/>
              <w:rPr>
                <w:sz w:val="20"/>
                <w:szCs w:val="20"/>
                <w:color w:val="auto"/>
              </w:rPr>
            </w:pPr>
            <w:r>
              <w:rPr>
                <w:rFonts w:ascii="Arial" w:cs="Arial" w:eastAsia="Arial" w:hAnsi="Arial"/>
                <w:sz w:val="18"/>
                <w:szCs w:val="18"/>
                <w:color w:val="auto"/>
              </w:rPr>
              <w:t>Seth M. Siegel</w:t>
            </w:r>
            <w:r>
              <w:rPr>
                <w:rFonts w:ascii="Arial" w:cs="Arial" w:eastAsia="Arial" w:hAnsi="Arial"/>
                <w:sz w:val="29"/>
                <w:szCs w:val="29"/>
                <w:color w:val="auto"/>
                <w:vertAlign w:val="superscript"/>
              </w:rPr>
              <w:t>(1)</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557,830</w:t>
            </w: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1.7%</w:t>
            </w:r>
          </w:p>
        </w:tc>
      </w:tr>
      <w:tr>
        <w:trPr>
          <w:trHeight w:val="254"/>
        </w:trPr>
        <w:tc>
          <w:tcPr>
            <w:tcW w:w="20" w:type="dxa"/>
            <w:vAlign w:val="bottom"/>
          </w:tcPr>
          <w:p>
            <w:pPr>
              <w:spacing w:after="0"/>
              <w:rPr>
                <w:sz w:val="22"/>
                <w:szCs w:val="22"/>
                <w:color w:val="auto"/>
              </w:rPr>
            </w:pPr>
          </w:p>
        </w:tc>
        <w:tc>
          <w:tcPr>
            <w:tcW w:w="5540" w:type="dxa"/>
            <w:vAlign w:val="bottom"/>
            <w:gridSpan w:val="3"/>
          </w:tcPr>
          <w:p>
            <w:pPr>
              <w:spacing w:after="0" w:line="253"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2,678,120</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8.3%</w:t>
            </w:r>
          </w:p>
        </w:tc>
      </w:tr>
      <w:tr>
        <w:trPr>
          <w:trHeight w:val="254"/>
        </w:trPr>
        <w:tc>
          <w:tcPr>
            <w:tcW w:w="20" w:type="dxa"/>
            <w:vAlign w:val="bottom"/>
            <w:shd w:val="clear" w:color="auto" w:fill="CCFFCC"/>
          </w:tcPr>
          <w:p>
            <w:pPr>
              <w:spacing w:after="0"/>
              <w:rPr>
                <w:sz w:val="22"/>
                <w:szCs w:val="22"/>
                <w:color w:val="auto"/>
              </w:rPr>
            </w:pPr>
          </w:p>
        </w:tc>
        <w:tc>
          <w:tcPr>
            <w:tcW w:w="5540" w:type="dxa"/>
            <w:vAlign w:val="bottom"/>
            <w:gridSpan w:val="3"/>
            <w:shd w:val="clear" w:color="auto" w:fill="CCFFCC"/>
          </w:tcPr>
          <w:p>
            <w:pPr>
              <w:spacing w:after="0" w:line="253"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(2)</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183,669</w:t>
            </w:r>
          </w:p>
        </w:tc>
        <w:tc>
          <w:tcPr>
            <w:tcW w:w="11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r>
      <w:tr>
        <w:trPr>
          <w:trHeight w:val="254"/>
        </w:trPr>
        <w:tc>
          <w:tcPr>
            <w:tcW w:w="20" w:type="dxa"/>
            <w:vAlign w:val="bottom"/>
          </w:tcPr>
          <w:p>
            <w:pPr>
              <w:spacing w:after="0"/>
              <w:rPr>
                <w:sz w:val="22"/>
                <w:szCs w:val="22"/>
                <w:color w:val="auto"/>
              </w:rPr>
            </w:pPr>
          </w:p>
        </w:tc>
        <w:tc>
          <w:tcPr>
            <w:tcW w:w="5540" w:type="dxa"/>
            <w:vAlign w:val="bottom"/>
            <w:gridSpan w:val="3"/>
          </w:tcPr>
          <w:p>
            <w:pPr>
              <w:spacing w:after="0" w:line="253"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1,083,195</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r>
      <w:tr>
        <w:trPr>
          <w:trHeight w:val="254"/>
        </w:trPr>
        <w:tc>
          <w:tcPr>
            <w:tcW w:w="20" w:type="dxa"/>
            <w:vAlign w:val="bottom"/>
            <w:shd w:val="clear" w:color="auto" w:fill="CCFFCC"/>
          </w:tcPr>
          <w:p>
            <w:pPr>
              <w:spacing w:after="0"/>
              <w:rPr>
                <w:sz w:val="22"/>
                <w:szCs w:val="22"/>
                <w:color w:val="auto"/>
              </w:rPr>
            </w:pPr>
          </w:p>
        </w:tc>
        <w:tc>
          <w:tcPr>
            <w:tcW w:w="5540" w:type="dxa"/>
            <w:vAlign w:val="bottom"/>
            <w:gridSpan w:val="3"/>
            <w:shd w:val="clear" w:color="auto" w:fill="CCFFCC"/>
          </w:tcPr>
          <w:p>
            <w:pPr>
              <w:spacing w:after="0" w:line="253"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(2)</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171,400</w:t>
            </w:r>
          </w:p>
        </w:tc>
        <w:tc>
          <w:tcPr>
            <w:tcW w:w="11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r>
      <w:tr>
        <w:trPr>
          <w:trHeight w:val="254"/>
        </w:trPr>
        <w:tc>
          <w:tcPr>
            <w:tcW w:w="20" w:type="dxa"/>
            <w:vAlign w:val="bottom"/>
          </w:tcPr>
          <w:p>
            <w:pPr>
              <w:spacing w:after="0"/>
              <w:rPr>
                <w:sz w:val="22"/>
                <w:szCs w:val="22"/>
                <w:color w:val="auto"/>
              </w:rPr>
            </w:pPr>
          </w:p>
        </w:tc>
        <w:tc>
          <w:tcPr>
            <w:tcW w:w="5540" w:type="dxa"/>
            <w:vAlign w:val="bottom"/>
            <w:gridSpan w:val="3"/>
          </w:tcPr>
          <w:p>
            <w:pPr>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188,854</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55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i w:val="1"/>
                <w:iCs w:val="1"/>
                <w:color w:val="auto"/>
              </w:rPr>
              <w:t>All executive officers and directors as a group (8 persons)</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13,459,012</w:t>
            </w: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40.60%</w:t>
            </w: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-5473700</wp:posOffset>
            </wp:positionV>
            <wp:extent cx="51600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3" w:lineRule="exact"/>
        <w:rPr>
          <w:sz w:val="20"/>
          <w:szCs w:val="20"/>
          <w:color w:val="auto"/>
        </w:rPr>
      </w:pPr>
    </w:p>
    <w:p>
      <w:pPr>
        <w:ind w:left="300" w:hanging="275"/>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Does not exceed 1% of the class</w:t>
      </w:r>
    </w:p>
    <w:p>
      <w:pPr>
        <w:spacing w:after="0" w:line="114" w:lineRule="exact"/>
        <w:rPr>
          <w:sz w:val="20"/>
          <w:szCs w:val="20"/>
          <w:color w:val="auto"/>
        </w:rPr>
      </w:pPr>
    </w:p>
    <w:p>
      <w:pPr>
        <w:ind w:left="300" w:hanging="275"/>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address of each listed stockholder is c/o Vringo Inc., 44 W. 28th Street New York, New York, 10001.</w:t>
      </w:r>
    </w:p>
    <w:p>
      <w:pPr>
        <w:spacing w:after="0" w:line="113"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address of each listed stockholder is c/o Innovate/Protect, Inc., 380 Madison Avenue, 22nd Floor, New York, New York 10017.</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March 30, 2012.</w:t>
      </w:r>
    </w:p>
    <w:p>
      <w:pPr>
        <w:spacing w:after="0" w:line="68" w:lineRule="exact"/>
        <w:rPr>
          <w:rFonts w:ascii="Arial" w:cs="Arial" w:eastAsia="Arial" w:hAnsi="Arial"/>
          <w:sz w:val="18"/>
          <w:szCs w:val="18"/>
          <w:color w:val="auto"/>
        </w:rPr>
      </w:pPr>
    </w:p>
    <w:p>
      <w:pPr>
        <w:ind w:left="300" w:hanging="275"/>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113" w:lineRule="exact"/>
        <w:rPr>
          <w:rFonts w:ascii="Arial" w:cs="Arial" w:eastAsia="Arial" w:hAnsi="Arial"/>
          <w:sz w:val="18"/>
          <w:szCs w:val="18"/>
          <w:color w:val="auto"/>
        </w:rPr>
      </w:pPr>
    </w:p>
    <w:p>
      <w:pPr>
        <w:ind w:left="300" w:hanging="275"/>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addition to any shares of Vringo common stock that Hudson Bay and its affiliates will hold after the</w:t>
      </w:r>
    </w:p>
    <w:p>
      <w:pPr>
        <w:spacing w:after="0" w:line="200" w:lineRule="exact"/>
        <w:rPr>
          <w:sz w:val="20"/>
          <w:szCs w:val="20"/>
          <w:color w:val="auto"/>
        </w:rPr>
      </w:pPr>
    </w:p>
    <w:p>
      <w:pPr>
        <w:spacing w:after="0" w:line="3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0"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83" w:lineRule="auto"/>
        <w:rPr>
          <w:sz w:val="20"/>
          <w:szCs w:val="20"/>
          <w:color w:val="auto"/>
        </w:rPr>
      </w:pPr>
      <w:r>
        <w:rPr>
          <w:rFonts w:ascii="Arial" w:cs="Arial" w:eastAsia="Arial" w:hAnsi="Arial"/>
          <w:sz w:val="16"/>
          <w:szCs w:val="16"/>
          <w:color w:val="auto"/>
        </w:rPr>
        <w:t>Merger, Hudson Bay Master Fund Ltd. will hold warrants exercisable for shares of common stock, and 6,474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w:t>
      </w:r>
    </w:p>
    <w:p>
      <w:pPr>
        <w:spacing w:after="0" w:line="67" w:lineRule="exact"/>
        <w:rPr>
          <w:sz w:val="20"/>
          <w:szCs w:val="20"/>
          <w:color w:val="auto"/>
        </w:rPr>
      </w:pPr>
    </w:p>
    <w:p>
      <w:pPr>
        <w:jc w:val="both"/>
        <w:ind w:left="280" w:right="619" w:hanging="275"/>
        <w:spacing w:after="0" w:line="270" w:lineRule="auto"/>
        <w:tabs>
          <w:tab w:leader="none" w:pos="2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1"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Because the market price of Vringo common stock is subject to fluctuation, the market value of the shares of Vringo common stock that holders of Innovate/Protect capital stock will receive in the Merger may increase or decrease. The foregoing information reflects only historical information.</w:t>
      </w:r>
    </w:p>
    <w:p>
      <w:pPr>
        <w:spacing w:after="0" w:line="7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Following the completion of the Merger and successful reapplication to the NYSE Amex for initial inclusion of the Vringo common stock on the NYSE Amex, the common stock of Vringo, including the shares of Vringo common stock issued to Innovate/Protect stockholders in connection with the Merger, will continue to be listed on the NYSE Amex.</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18" w:lineRule="exact"/>
        <w:rPr>
          <w:sz w:val="20"/>
          <w:szCs w:val="20"/>
          <w:color w:val="auto"/>
        </w:rPr>
      </w:pPr>
    </w:p>
    <w:p>
      <w:pPr>
        <w:jc w:val="both"/>
        <w:ind w:left="40" w:right="619" w:firstLine="267"/>
        <w:spacing w:after="0" w:line="264" w:lineRule="auto"/>
        <w:rPr>
          <w:sz w:val="20"/>
          <w:szCs w:val="20"/>
          <w:color w:val="auto"/>
        </w:rPr>
      </w:pPr>
      <w:r>
        <w:rPr>
          <w:rFonts w:ascii="Arial" w:cs="Arial" w:eastAsia="Arial" w:hAnsi="Arial"/>
          <w:sz w:val="17"/>
          <w:szCs w:val="17"/>
          <w:color w:val="auto"/>
        </w:rPr>
        <w:t>This proxy statement/prospectus and the other documents referred to in this proxy statement/prospectus contain or may contain forward-looking statements of Vringo within the meaning of Section 21E of the Exchange Act, which is applicable to Vringo but not to Innovate/Protect because Vringo, unlike Innovate/Protect, is a public company subject to the reporting requirements of the Exchange Act. For this purpose, any statements contained herein, other than statements of historical fact, may be forward-looking statements under the provisions of the Private Securities Litigation Reform Act of 1995. Such statements can be identified by the fact that they do not relate strictly to historical or current facts. Statements that include words such as may, will, project, might, expect, believe, anticipate, intend, could, would, estimate, continue or pursue or the negative of these words or other words or expressions of similar meaning may identify forward-looking statements. These forward-looking statements are found at various places throughout this proxy statement/prospectus and the other documents referred to and relate to a variety of matters, including but not limited to (i) the timing and anticipated completion of the Merger, (ii) the benefits expected to result from the Merger, (iii) the anticipated business of the combined company following the completion of the Merger, and (iv) other statements that are not purely statements of historical fact. These forward-looking statements are made on the basis of the current beliefs, expectations, and assumptions of management are not guarantees of performance and are subject to significant risks and uncertainty. These forward-looking statements should, therefore, be considered in light of various important factors, including those set forth in this proxy statement/prospectus and those that are referred to in this proxy statement/prospectus. Important factors that could cause actual results to differ materially from those described in forward-looking statements contained herein include, but are not limited to:</w:t>
      </w:r>
    </w:p>
    <w:p>
      <w:pPr>
        <w:spacing w:after="0" w:line="87" w:lineRule="exact"/>
        <w:rPr>
          <w:sz w:val="20"/>
          <w:szCs w:val="20"/>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expected timetable for completing the transaction;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potential value created by the Merger for Vringo’s and Innovate/Protect’s stockholders;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potential of the combined company’s technology platform;</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respective or combined ability to raise capital to fund the combined operations and business plan;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continued listing of Vringo’s or the combined company’s securities on the NYSE Amex;</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acceptance of Vringo products;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collective ability to protect intellectual property rights;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competition from other providers and products;</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ability to license and monetize the patents owned by Innovate/Protect, including the outcome of the Litigation against online search firms and other companies; and</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combined company’s management and board of directors.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 addition to the risk factors identified elsewhere, various important risks and uncertainties affecting each of Vringo and Innovate/Protect may cause the actual results of the combined company to differ materially from the results indicated by the forward-looking statement in this proxy statement/prospectus, including without limitation:</w:t>
      </w:r>
    </w:p>
    <w:p>
      <w:pPr>
        <w:spacing w:after="0" w:line="78" w:lineRule="exact"/>
        <w:rPr>
          <w:sz w:val="20"/>
          <w:szCs w:val="20"/>
          <w:color w:val="auto"/>
        </w:rPr>
      </w:pPr>
    </w:p>
    <w:p>
      <w:pPr>
        <w:ind w:left="600" w:hanging="328"/>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financial condition, financing requirements, prospects and cash flow of Vringo and Innovate/Protect;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expectations regarding potential growth;</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inability to have Vringo securities listed for trading on the NYSE Amex or another national securities exchange;</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loss of strategic relationships;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introduction and proliferation of competitive products;</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inability to achieve sustained profitability;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failure to implement short- or long-term growth strategies;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decrease in the market price for the securities;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of retaining and recruiting key personnel or the loss of such key personnel;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ability to maintain or protect the validity of patents and other intellectual property;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ability to obtain a positive verdict or settlement arrangement in Innovate/Protect’s initial Litigation;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ability to internally develop new inventions and intellectual property;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You are cautioned not to place undue reliance on these forward-looking statements, which speak only as of the date of this proxy statement/prospectus or, in the case of documents referred to in this proxy statement/prospectus, as of the date of those documents. Vringo disclaims any obligation to publicly update or release any revisions to these forward-looking statements, whether as a result of new information, future events or otherwise, after the date of this proxy statement/prospectus or to reflect the occurrence of unanticipated events, except as required by law.</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RISK FACTORS</w:t>
      </w:r>
    </w:p>
    <w:p>
      <w:pPr>
        <w:spacing w:after="0" w:line="11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i w:val="1"/>
          <w:iCs w:val="1"/>
          <w:color w:val="auto"/>
        </w:rPr>
        <w:t xml:space="preserve">In addition to the other information included and referred to in this proxy statement/prospectus, including the matters addressed in the section entitled “Cautionary Statement Regarding Forward-Looking Statements” beginning on page </w:t>
      </w:r>
      <w:r>
        <w:rPr>
          <w:rFonts w:ascii="Arial" w:cs="Arial" w:eastAsia="Arial" w:hAnsi="Arial"/>
          <w:sz w:val="17"/>
          <w:szCs w:val="17"/>
          <w:i w:val="1"/>
          <w:iCs w:val="1"/>
          <w:u w:val="single" w:color="auto"/>
          <w:color w:val="0000EE"/>
        </w:rPr>
        <w:t>36</w:t>
      </w:r>
      <w:r>
        <w:rPr>
          <w:rFonts w:ascii="Arial" w:cs="Arial" w:eastAsia="Arial" w:hAnsi="Arial"/>
          <w:sz w:val="17"/>
          <w:szCs w:val="17"/>
          <w:i w:val="1"/>
          <w:iCs w:val="1"/>
          <w:color w:val="auto"/>
        </w:rPr>
        <w:t>, you should carefully consider the following risk factors before deciding how to vote your shares of Vringo common stock at the Vringo annual meeting. These factors should be considered in conjunction with the other information included by Vringo in this proxy statement/prospectus. If any of the risks described below or referred to in this proxy statement/prospectus actually materialize, the business, financial condition, results of operations, or prospects of Vringo, Innovate/Protect, and/or the combined company, or the stock price of Vringo and/or the combined company, could be materially and adversely affected.</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Merger</w:t>
      </w:r>
    </w:p>
    <w:p>
      <w:pPr>
        <w:spacing w:after="0" w:line="114"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issuance of Vringo’s securities to Innovate/Protect security holders in connection with the Merger will substantially dilute the voting power of current Vringo stockholders.</w:t>
      </w:r>
    </w:p>
    <w:p>
      <w:pPr>
        <w:spacing w:after="0" w:line="6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i w:val="1"/>
          <w:iCs w:val="1"/>
          <w:color w:val="auto"/>
        </w:rPr>
        <w:t>Pursuant to the terms of the Merger Agreement, it is anticipated that Vringo will issue to Innovate/Protect common and preferred stockholders shares of Vringo common stock and Vringo preferred stock, and warrants to purchase shares of Vringo common stock. After such issuance (without taking into account any shares of Vringo common stock held by Innovate/Protect stockholders prior to the completion of the Merger), the stockholders of Innovate/Protect are expected to own approximately 56.05% of the outstanding common stock of the combined company (or 67.55% of the outstanding common stock of the combined company calculated on a fully diluted basis) and the stockholders of Vringo are expected to own approximately 43.95% of the outstanding common stock of the combined company (or 32.45% of the outstanding common stock of the combined company calculated on a fully diluted basis). Accordingly, the issuance of shares of Vringo common stock to Innovate/Protect stockholders in connection with the Merger will significantly reduce the relative voting power of each share of Vringo common stock held by current Vringo stockholders.</w:t>
      </w:r>
    </w:p>
    <w:p>
      <w:pPr>
        <w:spacing w:after="0" w:line="75" w:lineRule="exact"/>
        <w:rPr>
          <w:sz w:val="20"/>
          <w:szCs w:val="20"/>
          <w:color w:val="auto"/>
        </w:rPr>
      </w:pPr>
    </w:p>
    <w:p>
      <w:pPr>
        <w:jc w:val="both"/>
        <w:ind w:left="40" w:right="639" w:firstLine="267"/>
        <w:spacing w:after="0" w:line="339" w:lineRule="auto"/>
        <w:rPr>
          <w:sz w:val="20"/>
          <w:szCs w:val="20"/>
          <w:color w:val="auto"/>
        </w:rPr>
      </w:pPr>
      <w:r>
        <w:rPr>
          <w:rFonts w:ascii="Arial" w:cs="Arial" w:eastAsia="Arial" w:hAnsi="Arial"/>
          <w:sz w:val="16"/>
          <w:szCs w:val="16"/>
          <w:b w:val="1"/>
          <w:bCs w:val="1"/>
          <w:color w:val="auto"/>
        </w:rPr>
        <w:t>The announcement and pendency of the Merger could have an adverse effect on the business prospects for Vringo and/or Innovate/Protect and on Vringo’s stock price and/or business, financial condition or results of operations.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While there have been no significant adverse effects to date, the announcement and pendency of the Merger could disrupt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Vringo’s and/or Innovate/Protect’s prospective and current businesses in the following ways, among others:</w:t>
      </w:r>
    </w:p>
    <w:p>
      <w:pPr>
        <w:spacing w:after="0" w:line="101" w:lineRule="exact"/>
        <w:rPr>
          <w:sz w:val="20"/>
          <w:szCs w:val="20"/>
          <w:color w:val="auto"/>
        </w:rPr>
      </w:pPr>
    </w:p>
    <w:p>
      <w:pPr>
        <w:jc w:val="both"/>
        <w:ind w:left="600" w:right="619" w:hanging="328"/>
        <w:spacing w:after="0" w:line="272" w:lineRule="auto"/>
        <w:tabs>
          <w:tab w:leader="none" w:pos="6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third parties, including customers, suppliers and operators, may seek to terminate and/or renegotiate their relationships with Vringo or Innovate/Protect or decide not to conduct business with either Vringo or Innovate/Protect as a result of the Merger, whether pursuant to the terms of their existing agreements with Vringo and/or Innovate/Protect or otherwise. For example, Google, Inc. who was named as a defendant in the Litigation, may decline to conduct any business with Vringo or may seek to assert patent litigation claims against Vringo; and</w:t>
      </w:r>
    </w:p>
    <w:p>
      <w:pPr>
        <w:spacing w:after="0" w:line="68" w:lineRule="exact"/>
        <w:rPr>
          <w:rFonts w:ascii="Arial" w:cs="Arial" w:eastAsia="Arial" w:hAnsi="Arial"/>
          <w:sz w:val="17"/>
          <w:szCs w:val="17"/>
          <w:color w:val="auto"/>
        </w:rPr>
      </w:pPr>
    </w:p>
    <w:p>
      <w:pPr>
        <w:jc w:val="both"/>
        <w:ind w:left="600" w:right="619" w:hanging="328"/>
        <w:spacing w:after="0" w:line="259"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attention of Vringo and/or Innovate/Protect management may be directed toward the completion of the Merger and related matters and may be diverted from the day-to-day business operations of their respective companies, including from other opportunities that might otherwise be beneficial to Vringo or Innovate/Protect.</w:t>
      </w:r>
    </w:p>
    <w:p>
      <w:pPr>
        <w:spacing w:after="0" w:line="78"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Should they occur, any of these matters could adversely affect the stock price of Vringo or harm the financial condition, results of operations, or business prospects of Vringo, Innovate/Protect, and/or the combined company.</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Failure to complete the Merger or delays in completing the Merger could negatively impact Vringo’s business, financial condition, or results of operations or Vringo’s stock price.</w:t>
      </w:r>
    </w:p>
    <w:p>
      <w:pPr>
        <w:spacing w:after="0" w:line="6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completion of the Merger is subject to a number of conditions and there can be no assurance that the conditions to the completion of the Merger will be satisfied at all or satisfied in a timely manner. If the Merger is not completed or delayed, Vringo will be subject to several risks, including:</w:t>
      </w:r>
    </w:p>
    <w:p>
      <w:pPr>
        <w:spacing w:after="0" w:line="78" w:lineRule="exact"/>
        <w:rPr>
          <w:sz w:val="20"/>
          <w:szCs w:val="20"/>
          <w:color w:val="auto"/>
        </w:rPr>
      </w:pPr>
    </w:p>
    <w:p>
      <w:pPr>
        <w:jc w:val="both"/>
        <w:ind w:left="600" w:right="639" w:hanging="328"/>
        <w:spacing w:after="0" w:line="259"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current trading price of Vringo common stock may reflect a market assumption that the Merger will occur, meaning that a failure to complete the Merger or delays in completing the Merger could result in a decline in the price of Vringo common stock;</w:t>
      </w:r>
    </w:p>
    <w:p>
      <w:pPr>
        <w:spacing w:after="0" w:line="78" w:lineRule="exact"/>
        <w:rPr>
          <w:rFonts w:ascii="Arial" w:cs="Arial" w:eastAsia="Arial" w:hAnsi="Arial"/>
          <w:sz w:val="18"/>
          <w:szCs w:val="18"/>
          <w:color w:val="auto"/>
        </w:rPr>
      </w:pPr>
    </w:p>
    <w:p>
      <w:pPr>
        <w:jc w:val="both"/>
        <w:ind w:left="600" w:right="619" w:hanging="328"/>
        <w:spacing w:after="0" w:line="281" w:lineRule="auto"/>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certain executive officers and/or directors of Vringo or Innovate/Protect may seek other employment opportunities, and the departure of any of Vringo’s or Innovate/Protect’s executive officers and the possibility that Vringo would be unable to recruit and hire experienced executives could negatively impact Vringo’s future business;</w:t>
      </w:r>
    </w:p>
    <w:p>
      <w:pPr>
        <w:spacing w:after="0" w:line="61" w:lineRule="exact"/>
        <w:rPr>
          <w:rFonts w:ascii="Arial" w:cs="Arial" w:eastAsia="Arial" w:hAnsi="Arial"/>
          <w:sz w:val="17"/>
          <w:szCs w:val="17"/>
          <w:color w:val="auto"/>
        </w:rPr>
      </w:pPr>
    </w:p>
    <w:p>
      <w:pPr>
        <w:jc w:val="both"/>
        <w:ind w:left="600" w:right="619" w:hanging="328"/>
        <w:spacing w:after="0" w:line="259"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Vringo board of directors will need to reevaluate Vringo’s strategic alternatives, such alternatives will include other merger and acquisition opportunities and/or additional financing necessary to ensure that Vringo will continue to operate as a going concern;</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Vringo may be delisted from the NYSE Amex for failure to comply with NYSE Amex requirements related to minimum stockholders’ equity;</w:t>
      </w:r>
    </w:p>
    <w:p>
      <w:pPr>
        <w:spacing w:after="0" w:line="68" w:lineRule="exact"/>
        <w:rPr>
          <w:rFonts w:ascii="Arial" w:cs="Arial" w:eastAsia="Arial" w:hAnsi="Arial"/>
          <w:sz w:val="18"/>
          <w:szCs w:val="18"/>
          <w:color w:val="auto"/>
        </w:rPr>
      </w:pPr>
    </w:p>
    <w:p>
      <w:pPr>
        <w:jc w:val="both"/>
        <w:ind w:left="600" w:right="619" w:hanging="328"/>
        <w:spacing w:after="0" w:line="255"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w:t>
      </w:r>
    </w:p>
    <w:p>
      <w:pPr>
        <w:spacing w:after="0" w:line="82"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Vringo is expected to incur substantial transaction costs in connection with the Merger whether or not the Merger is completed; and</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Vringo would not realize any of the anticipated benefits of having completed the Merger.</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If the Merger is not completed, these risks may materialize and materially and adversely affect Vringo’s business, financial condition, results of operations, and Vringo’s stock price.</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Any delay in completing the Merger may substantially reduce the benefits that Vringo expects to obtain from the Merger.</w:t>
      </w:r>
    </w:p>
    <w:p>
      <w:pPr>
        <w:spacing w:after="0" w:line="6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In addition to obtaining the approval of the stockholders of each of Vringo and Innovate/Protect for the consummation of the Merger, the Merger is subject to a number of other conditions beyond the control of Vringo that may prevent, delay, or otherwise materially adversely affect its completion. Vringo cannot predict whether or when the conditions required to complete the Merger will be satisfied. The requirements for satisfying the closing conditions could delay the completion of the Merger for a significant period of time or prevent it from occurring. Any delay in completing the Merger may materially adversely affect the benefits that Vringo expects to achieve if the Merger and the integration of the companies’ respective businesses are completed within the expected timeframe.</w:t>
      </w:r>
    </w:p>
    <w:p>
      <w:pPr>
        <w:spacing w:after="0" w:line="85" w:lineRule="exact"/>
        <w:rPr>
          <w:sz w:val="20"/>
          <w:szCs w:val="20"/>
          <w:color w:val="auto"/>
        </w:rPr>
      </w:pPr>
    </w:p>
    <w:p>
      <w:pPr>
        <w:jc w:val="both"/>
        <w:ind w:left="40" w:right="639" w:firstLine="267"/>
        <w:spacing w:after="0" w:line="309" w:lineRule="auto"/>
        <w:rPr>
          <w:sz w:val="20"/>
          <w:szCs w:val="20"/>
          <w:color w:val="auto"/>
        </w:rPr>
      </w:pPr>
      <w:r>
        <w:rPr>
          <w:rFonts w:ascii="Arial" w:cs="Arial" w:eastAsia="Arial" w:hAnsi="Arial"/>
          <w:sz w:val="16"/>
          <w:szCs w:val="16"/>
          <w:b w:val="1"/>
          <w:bCs w:val="1"/>
          <w:color w:val="auto"/>
        </w:rPr>
        <w:t>NYSE Amex considers the anticipated Merger a “reverse merger” and therefore has required that Vringo submit a new listing application, which requires certain actions on the part of the combined company which may not be successful and, if unsuccessful, could make it more difficult for holders of shares of the combined company to sell their shares.</w:t>
      </w:r>
    </w:p>
    <w:p>
      <w:pPr>
        <w:spacing w:after="0" w:line="42"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NYSE Amex considers the Merger proposed in this proxy statement/prospectus a “reverse merger” and has required that Vringo submit a new listing application. NYSE Amex may not approve Vringo’s new listing application for the NYSE Amex on a timely basis, or at all. If this occurs and the Merger is still completed, you may have difficulty converting your investments into cash effectively.</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Additionally, as part of the new listing application, Vringo may be required to submit, among other things, a plan for the combined company to conduct a reverse stock split. A reverse stock split would likely increase the per share trading price by an as yet undetermined multiple. The change in share price may affect the volatility and liquidity of the combined company’s stock, as well as the marketplace’s perception of the stock. As a result, the relative price of the combined company’s stock may decline and/or fluctuate more than in the past, and you may have trouble converting your investments in the combined company into cash effectively.</w:t>
      </w:r>
    </w:p>
    <w:p>
      <w:pPr>
        <w:spacing w:after="0" w:line="82"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Some of the directors and executive officers of Vringo have interests in the Merger that are different from, or in addition to, those of the other Vringo stockholders.</w:t>
      </w:r>
    </w:p>
    <w:p>
      <w:pPr>
        <w:spacing w:after="0" w:line="6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When considering the recommendation by the Vringo board of directors that the Vringo stockholders vote “for” each of the Vringo Merger Proposals, Vringo’s stockholders should be aware that certain of the directors and executive officers of Vringo have arrangements that provide them with interests in the Merger that are different from, or in addition to, those of the stockholders of Vringo.</w:t>
      </w:r>
    </w:p>
    <w:p>
      <w:pPr>
        <w:spacing w:after="0" w:line="83"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For instance, in connection with the Merger, (i) each of Seth M. Siegel, Andrew D. Perlman and John Engelman, each a current director of the Vringo board of directors, will continue to serve as a director of the combined company following the completion of the Merger, and the remaining directors of Vringo will resign, effective as of the completion of the Merger, (ii) Andrew D. Perlman and Ellen Cohl, currently executive officers of Vringo, will remain executive officers of the combined company following the completion of the Merger, (iii) upon the change of control in connection with the consummation of the Merger, there will be a one year acceleration of option vesting for option holders for option grants prior to the consummation of the Merger, except for Andrew D. Perlman who will be entitled to 50% acceleration for all of his unvested options granted to him prior to him becoming Chief Executive Officer of Vringo; and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79"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 xml:space="preserve">In addition, the directors and executive officers of Vringo also have certain rights to indemnification and to directors’ and officers’ liability insurance that will be provided by the combined company following the completion of the Merger. See the sections entitled “The Merger — Interests of Vringo Directors and Executive Officers in the Merger” beginning on page </w:t>
      </w:r>
      <w:r>
        <w:rPr>
          <w:rFonts w:ascii="Arial" w:cs="Arial" w:eastAsia="Arial" w:hAnsi="Arial"/>
          <w:sz w:val="17"/>
          <w:szCs w:val="17"/>
          <w:u w:val="single" w:color="auto"/>
          <w:color w:val="0000EE"/>
        </w:rPr>
        <w:t>73</w:t>
      </w:r>
      <w:r>
        <w:rPr>
          <w:rFonts w:ascii="Arial" w:cs="Arial" w:eastAsia="Arial" w:hAnsi="Arial"/>
          <w:sz w:val="17"/>
          <w:szCs w:val="17"/>
          <w:color w:val="auto"/>
        </w:rPr>
        <w:t>.</w:t>
      </w:r>
    </w:p>
    <w:p>
      <w:pPr>
        <w:spacing w:after="0" w:line="62"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On March 11, 2012, in connection with the appointment of Andrew D. Perlman as Chief Executive Officer, the Vringo board of directors approved an increase in Mr. Perlman’s salary to $250,000 per year and the payment of severance for one year in the event he is no longer the Chief Executive Officer in connection with a change of control. In addition, the Vringo board of directors approved the grant of options to purchase 450,000 shares at an exercise price of $1.65 per share. Vringo and Mr. Perlman expect to enter into an amendment to his employment agreement to memorialize the foregoing terms.</w:t>
      </w:r>
    </w:p>
    <w:p>
      <w:pPr>
        <w:spacing w:after="0" w:line="68"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42"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Merger Agreement contains provisions that could discourage or make it difficult for a third party to acquire Vringo prior to the completion of the Merger.</w:t>
      </w:r>
    </w:p>
    <w:p>
      <w:pPr>
        <w:spacing w:after="0" w:line="6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 xml:space="preserve">The Merger Agreement contains provisions that make it difficult for Vringo to entertain a third-party proposal for an acquisition of Vringo. These provisions include the general prohibition on Vringo’s soliciting or engaging in discussions or negotiations regarding any alternative acquisition proposal. In addition, 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 See the sections entitled “The Merger Agreement — No Solicitation,” “The Merger Agreement — Board Recommendations” and “The Merger Agreement — Termination Fees and Expenses” beginning on pages </w:t>
      </w:r>
      <w:r>
        <w:rPr>
          <w:rFonts w:ascii="Arial" w:cs="Arial" w:eastAsia="Arial" w:hAnsi="Arial"/>
          <w:sz w:val="16"/>
          <w:szCs w:val="16"/>
          <w:u w:val="single" w:color="auto"/>
          <w:color w:val="0000EE"/>
        </w:rPr>
        <w:t>85</w:t>
      </w:r>
      <w:r>
        <w:rPr>
          <w:rFonts w:ascii="Arial" w:cs="Arial" w:eastAsia="Arial" w:hAnsi="Arial"/>
          <w:sz w:val="16"/>
          <w:szCs w:val="16"/>
          <w:color w:val="auto"/>
        </w:rPr>
        <w:t xml:space="preserve">, </w:t>
      </w:r>
      <w:r>
        <w:rPr>
          <w:rFonts w:ascii="Arial" w:cs="Arial" w:eastAsia="Arial" w:hAnsi="Arial"/>
          <w:sz w:val="16"/>
          <w:szCs w:val="16"/>
          <w:u w:val="single" w:color="auto"/>
          <w:color w:val="0000EE"/>
        </w:rPr>
        <w:t>86</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88</w:t>
      </w:r>
      <w:r>
        <w:rPr>
          <w:rFonts w:ascii="Arial" w:cs="Arial" w:eastAsia="Arial" w:hAnsi="Arial"/>
          <w:sz w:val="16"/>
          <w:szCs w:val="16"/>
          <w:color w:val="auto"/>
        </w:rPr>
        <w:t>, respectively.</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These provisions might discourage an otherwise interested third party from considering or proposing an acquisition of Vringo, even one that may be deemed of greater value than the Merger to Vringo stockholders.</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Innovate/Protect can terminate the Merger Agreement for any reason or no reason upon payment of a termination fee and Vringo will have no recourse against Innovate/Protect.</w:t>
      </w:r>
    </w:p>
    <w:p>
      <w:pPr>
        <w:spacing w:after="0" w:line="64"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Pursuant to the Merger Agreement, Innovate/Protect can terminate the Merger Agreement, at any time, for any reason or no reason, upon payment to Vringo of a termination fee equal to $5,000,000. Vringo will have no recourse against Innovate/Protect other than receiving such termination fee and would not realize any of the anticipated benefits of having completed the Merger.</w:t>
      </w:r>
    </w:p>
    <w:p>
      <w:pPr>
        <w:spacing w:after="0" w:line="41"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If the Merger does not qualify as a reorganization under Section 368(a) of the Code, the stockholders of Innovate/Protect may be required to pay substantial U.S. federal income taxes as a result of the Merger as would Innovate/Protect.</w:t>
      </w:r>
    </w:p>
    <w:p>
      <w:pPr>
        <w:spacing w:after="0" w:line="77"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Vringo and Innovate/Protect intend that the Merger will qualify as a “reorganization” under Section 368(a) of the Code. Vringo and Innovate/Protect currently anticipate that the U.S. holders of shares of Innovate/Protect capital stock generally will not recognize taxable gain or loss as a result of the Merger. However, neither Vringo nor Innovate/Protect has requested, or intends to request, a ruling from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xml:space="preserve">”)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 For a more complete discussion of the material U.S. federal income tax consequences of the Merger, see the section entitled “Material U.S. Federal Income Tax Consequences of the Merger” beginning on page </w:t>
      </w:r>
      <w:r>
        <w:rPr>
          <w:rFonts w:ascii="Arial" w:cs="Arial" w:eastAsia="Arial" w:hAnsi="Arial"/>
          <w:sz w:val="16"/>
          <w:szCs w:val="16"/>
          <w:u w:val="single" w:color="auto"/>
          <w:color w:val="0000EE"/>
        </w:rPr>
        <w:t>77</w:t>
      </w:r>
      <w:r>
        <w:rPr>
          <w:rFonts w:ascii="Arial" w:cs="Arial" w:eastAsia="Arial" w:hAnsi="Arial"/>
          <w:sz w:val="16"/>
          <w:szCs w:val="16"/>
          <w:color w:val="auto"/>
        </w:rPr>
        <w:t>.</w:t>
      </w:r>
    </w:p>
    <w:p>
      <w:pPr>
        <w:spacing w:after="0" w:line="57" w:lineRule="exact"/>
        <w:rPr>
          <w:sz w:val="20"/>
          <w:szCs w:val="20"/>
          <w:color w:val="auto"/>
        </w:rPr>
      </w:pPr>
    </w:p>
    <w:p>
      <w:pPr>
        <w:jc w:val="both"/>
        <w:ind w:left="40" w:right="639" w:firstLine="267"/>
        <w:spacing w:after="0" w:line="284" w:lineRule="auto"/>
        <w:rPr>
          <w:sz w:val="20"/>
          <w:szCs w:val="20"/>
          <w:color w:val="auto"/>
        </w:rPr>
      </w:pPr>
      <w:r>
        <w:rPr>
          <w:rFonts w:ascii="Arial" w:cs="Arial" w:eastAsia="Arial" w:hAnsi="Arial"/>
          <w:sz w:val="17"/>
          <w:szCs w:val="17"/>
          <w:b w:val="1"/>
          <w:bCs w:val="1"/>
          <w:color w:val="auto"/>
        </w:rPr>
        <w:t>Litigation may be instituted against Vringo, members of the Vringo board of directors, Innovate/Protect, members of the Innovate/Protect board of directors, and Merger Sub challenging the Merger and adverse judgments in these lawsuits may prevent the Merger from becoming effective within the expected timeframe or at all.</w:t>
      </w:r>
    </w:p>
    <w:p>
      <w:pPr>
        <w:spacing w:after="0" w:line="59"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Vringo, members of the Vringo board of directors, Innovate/Protect, members of the Innovate/Protect board of directors, and Merger Sub may be named as defendants in class action lawsuits to be brought by Vringo of Innovate/Protect stockholders challenging the Merger. If the plaintiffs in these potential cases are successful, they may prevent the parties from completing the Merger in the expected timeframe, if at all. Even if the plaintiffs in these potential actions are not successful, the costs of defending against such claims could adversely affect the financial condition of Vringo or Innovate/Protect.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Combined Company if the Merger Is Completed</w:t>
      </w:r>
    </w:p>
    <w:p>
      <w:pPr>
        <w:spacing w:after="0" w:line="114"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42"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The success of the Merger will depend, in large part, on the ability of the combined company following the completion of the Merger to realize the anticipated benefits from combining the businesses of Vringo and Innovate/Protect.</w:t>
      </w:r>
    </w:p>
    <w:p>
      <w:pPr>
        <w:spacing w:after="0" w:line="4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114" w:lineRule="exact"/>
        <w:rPr>
          <w:sz w:val="20"/>
          <w:szCs w:val="20"/>
          <w:color w:val="auto"/>
        </w:rPr>
      </w:pPr>
    </w:p>
    <w:p>
      <w:pPr>
        <w:ind w:left="600" w:hanging="328"/>
        <w:spacing w:after="0"/>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using the combined company’s cash and other assets efficiently to develop the business of the combined company;</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realize the potential value and benefits created by the Merger.</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success of the Merger will depend, in part, on Vringo’s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66" w:lineRule="exact"/>
        <w:rPr>
          <w:sz w:val="20"/>
          <w:szCs w:val="20"/>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failure to implement Vringo’s business plan for the combined business;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lost sales and customers as a result of certain customers of Vringo deciding not to do business with Vringo after the Merger;</w:t>
      </w:r>
    </w:p>
    <w:p>
      <w:pPr>
        <w:spacing w:after="0" w:line="136" w:lineRule="exact"/>
        <w:rPr>
          <w:rFonts w:ascii="Arial" w:cs="Arial" w:eastAsia="Arial" w:hAnsi="Arial"/>
          <w:sz w:val="16"/>
          <w:szCs w:val="16"/>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Vringo’s ability to realize any expected benefits on a timely basis, or at all.</w:t>
      </w:r>
    </w:p>
    <w:p>
      <w:pPr>
        <w:spacing w:after="0" w:line="69"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Vringo may not accomplish the integration of Innovate/Protect’s business smoothly, successfully, or within the anticipated costs or time frame. The diversion of the attention of management from Vringo’s current operations to the integration effort and any difficulties encountered in combining businesses could prevent Vringo from realizing the full expected potential value and benefits to result from the Merger and could adversely affect its business. In addition, the integration efforts could divert the focus and resources of the management of Vringo and Innovate/Protect from other strategic opportunities and operational matters during the integration process.</w:t>
      </w:r>
    </w:p>
    <w:p>
      <w:pPr>
        <w:spacing w:after="0" w:line="82"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The combined company will be dependent on certain key personnel, and the loss of these key personnel could have a material adverse effect on the combined company’s business, financial conditions and results of operations.</w:t>
      </w:r>
    </w:p>
    <w:p>
      <w:pPr>
        <w:spacing w:after="0" w:line="42"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success and future prospects of the combined company largely depend on the skills, experience and efforts of its key personnel, including Andrew D. Perlman, Vringo’s current Chief Executive Officer and President, and Andrew Kennedy Lang, Innovate/Protect’s Chief Executive Officer, Chief Technology Officer and President. The loss of Messrs. Perlman or Lang or other executives of the combined company, or the combined company’s failure to retain other key personnel, would jeopardize the combined company’s ability to execute its strategic plan and materially harm its business.</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The Merger will result in changes to the Vringo board of directors and the combined company may pursue different strategies than either Vringo or Innovate/Protect may have pursued independently.</w:t>
      </w:r>
    </w:p>
    <w:p>
      <w:pPr>
        <w:spacing w:after="0" w:line="6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If the parties complete the Merger, the composition of the Vringo board of directors will change in accordance with the Merger Agreement. Following the completion of the Merger, the combined company’s board of directors will consist of seven members, including Seth M. Siegel, as Chairman, Andrew D. Perlman, John Engelman, all of whom are currently members of the Vringo board of directors, and Andrew Kennedy Lang, Alexander R. Berger, Donald E. Stout and H. Van Sinclair, all of whom are currently members of the Innovate/Protect board of directors. Currently, it is anticipated that the combined company will maximize the economic benefits of its intellectual property portfolio, add significant talent in technological innovation and potentially enhance its opportunities for revenue generation through the monetization of the combined company’s assets. However, because the composition of the board of directors of the combined company will consist of directors from both Vringo and Innovate/Protect, the combined company may determine to pursue certain business strategies that neither Vringo nor Innovate/Protect would have pursued independently.</w:t>
      </w:r>
    </w:p>
    <w:p>
      <w:pPr>
        <w:spacing w:after="0" w:line="75"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Ownership of the combined company’s common stock may be highly concentrated, and it may prevent you and other stockholders from influencing significant corporate decisions and may result in conflicts of interest that could cause the combined company’s stock price to decline.</w:t>
      </w:r>
    </w:p>
    <w:p>
      <w:pPr>
        <w:spacing w:after="0" w:line="77"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 xml:space="preserve">Upon completion of the Merger, Vringo’s and Innovate/Protect’s executive officers and directors continuing with the combined company and are expected to beneficially own or control approximately 40.6% of the combined company (see the sections entitled “Vringo Security Ownership of Certain Beneficial Owners and Management” beginning on page </w:t>
      </w:r>
      <w:r>
        <w:rPr>
          <w:rFonts w:ascii="Arial" w:cs="Arial" w:eastAsia="Arial" w:hAnsi="Arial"/>
          <w:sz w:val="16"/>
          <w:szCs w:val="16"/>
          <w:u w:val="single" w:color="auto"/>
          <w:color w:val="0000EE"/>
        </w:rPr>
        <w:t>157</w:t>
      </w:r>
      <w:r>
        <w:rPr>
          <w:rFonts w:ascii="Arial" w:cs="Arial" w:eastAsia="Arial" w:hAnsi="Arial"/>
          <w:sz w:val="16"/>
          <w:szCs w:val="16"/>
          <w:color w:val="auto"/>
        </w:rPr>
        <w:t xml:space="preserve">, “Innovate/Protect Security Ownership of Certain Beneficial Owners and Management” beginning on page </w:t>
      </w:r>
      <w:r>
        <w:rPr>
          <w:rFonts w:ascii="Arial" w:cs="Arial" w:eastAsia="Arial" w:hAnsi="Arial"/>
          <w:sz w:val="16"/>
          <w:szCs w:val="16"/>
          <w:u w:val="single" w:color="auto"/>
          <w:color w:val="0000EE"/>
        </w:rPr>
        <w:t>158</w:t>
      </w:r>
      <w:r>
        <w:rPr>
          <w:rFonts w:ascii="Arial" w:cs="Arial" w:eastAsia="Arial" w:hAnsi="Arial"/>
          <w:sz w:val="16"/>
          <w:szCs w:val="16"/>
          <w:color w:val="auto"/>
        </w:rPr>
        <w:t xml:space="preserve"> and “Security Ownership of Certain Beneficial Owners and Management of the Combined Company Following the Merger” beginning on page </w:t>
      </w:r>
      <w:r>
        <w:rPr>
          <w:rFonts w:ascii="Arial" w:cs="Arial" w:eastAsia="Arial" w:hAnsi="Arial"/>
          <w:sz w:val="16"/>
          <w:szCs w:val="16"/>
          <w:u w:val="single" w:color="auto"/>
          <w:color w:val="0000EE"/>
        </w:rPr>
        <w:t>160</w:t>
      </w:r>
      <w:r>
        <w:rPr>
          <w:rFonts w:ascii="Arial" w:cs="Arial" w:eastAsia="Arial" w:hAnsi="Arial"/>
          <w:sz w:val="16"/>
          <w:szCs w:val="16"/>
          <w:color w:val="auto"/>
        </w:rPr>
        <w:t xml:space="preserve"> for more information on the estimated ownership of the combined company following the Merger). Accordingly, these executive officers and directors, acting individually or as a group,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may also exert influence in delaying or preventing a change in control of the combined company, even if such change in control would benefit the other stockholders of the combined company. In addition, the significant concentration of stock ownership may adversely affect the market value of the combined company’s common stock due to investors’ perception that conflicts of interest may exist or arise.</w:t>
      </w:r>
    </w:p>
    <w:p>
      <w:pPr>
        <w:spacing w:after="0" w:line="57" w:lineRule="exact"/>
        <w:rPr>
          <w:sz w:val="20"/>
          <w:szCs w:val="20"/>
          <w:color w:val="auto"/>
        </w:rPr>
      </w:pPr>
    </w:p>
    <w:p>
      <w:pPr>
        <w:jc w:val="both"/>
        <w:ind w:left="40" w:right="619" w:firstLine="267"/>
        <w:spacing w:after="0" w:line="309" w:lineRule="auto"/>
        <w:rPr>
          <w:sz w:val="20"/>
          <w:szCs w:val="20"/>
          <w:color w:val="auto"/>
        </w:rPr>
      </w:pPr>
      <w:r>
        <w:rPr>
          <w:rFonts w:ascii="Arial" w:cs="Arial" w:eastAsia="Arial" w:hAnsi="Arial"/>
          <w:sz w:val="16"/>
          <w:szCs w:val="16"/>
          <w:b w:val="1"/>
          <w:bCs w:val="1"/>
          <w:color w:val="auto"/>
        </w:rPr>
        <w:t>The success of the combined company will depend in part on relationships with third parties, which relationships may be affected by third-party preferences or public attitudes about the Merger. Any adverse changes in these relationships could adversely affect the combined company’s business, financial condition, or results of operations.</w:t>
      </w:r>
    </w:p>
    <w:p>
      <w:pPr>
        <w:spacing w:after="0" w:line="42"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The combined company’s success will be dependent on its ability to maintain and renew the business relationships of both Vringo and Innovate/Protect and to establish new business relationships. There can be no assurance that the management of the combined company will be able to maintain such business relationships, or enter into or maintain new business contracts and other business relationships, on acceptable terms, if at all. The failure to maintain important business relationships could have a material adverse effect on the business, financial condition, or results of operations of the combined company.</w:t>
      </w:r>
    </w:p>
    <w:p>
      <w:pPr>
        <w:spacing w:after="0" w:line="53"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Future results of the combined company may differ materially from the unaudited pro forma financial statements presented in this proxy statement/prospectus and the financial forecasts prepared by Vringo and Innovate/Protect in connection with discussions concerning the Merger.</w:t>
      </w:r>
    </w:p>
    <w:p>
      <w:pPr>
        <w:spacing w:after="0" w:line="77"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future results of the combined company may be materially different from those shown in the unaudited pro forma combined financial statements presented in this proxy statement/prospectus, which show only a combination of the historical results of Vringo and Innovate/Protect prepared by Vringo and Innovate/Protect in connection with discussions concerning the Merger. Vringo expects to incur significant costs associated with the completion of the Merger and combining the operations of the two companies. The exact magnitude of these costs are not yet known, but are estimated to be approximately $______ million.</w:t>
      </w: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334" w:lineRule="auto"/>
        <w:rPr>
          <w:sz w:val="20"/>
          <w:szCs w:val="20"/>
          <w:color w:val="auto"/>
        </w:rPr>
      </w:pPr>
      <w:r>
        <w:rPr>
          <w:rFonts w:ascii="Arial" w:cs="Arial" w:eastAsia="Arial" w:hAnsi="Arial"/>
          <w:sz w:val="16"/>
          <w:szCs w:val="16"/>
          <w:color w:val="auto"/>
        </w:rPr>
        <w:t>Furthermore, these costs may decrease the capital that the combined company could use for continued development of the combined company’s business in the future or may cause the combined company to seek to raise new capital sooner than expected.</w:t>
      </w:r>
    </w:p>
    <w:p>
      <w:pPr>
        <w:spacing w:after="0" w:line="19"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The combined company will require additional capital to support its present business plan and its anticipated business growth, and such capital may not be available on acceptable terms, or at all, which would adversely affect the combined company’s ability to operate.</w:t>
      </w:r>
    </w:p>
    <w:p>
      <w:pPr>
        <w:spacing w:after="0" w:line="77"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combined company will require additional funds to further develop its business plan. Based on current operating plans of Vringo and Innovate/Protect, the current resources of the combined company are expected to be sufficient to fund its planned operations into the fourth quarter of 2012.</w:t>
      </w:r>
    </w:p>
    <w:p>
      <w:pPr>
        <w:spacing w:after="0" w:line="7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The combined company intends to continue to make investments to support its business growth, including patent or other intellectual property asset creation. In addition, the combined company may also need additional funds to respond to business opportunities and challenges, including its ongoing operating expenses, protecting its assets, satisfying debt payment obligations, developing new lines of business and enhancing its operating infrastructure. While the combined company will need to seek additional funding, it may not be able to obtain financing on acceptable terms, or at all. In addition, the terms of the combined company’s financings may be dilutive to, or otherwise adversely affect, holders of its common stock. The combined company may also seek additional funds through arrangements with collaborators or other third parties. The combined company may not be able to negotiate arrangements on acceptable terms, if at all. If the combined company is unable to obtain additional funding on a timely basis, it may be required to curtail or terminate some or all of its business plans.</w:t>
      </w:r>
    </w:p>
    <w:p>
      <w:pPr>
        <w:spacing w:after="0" w:line="61"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combined company’s business and financial condition could be constrained by the debt incurred in connection with the Merger.</w:t>
      </w:r>
    </w:p>
    <w:p>
      <w:pPr>
        <w:spacing w:after="0" w:line="6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Innovate/Protect is obligated under a senior secured note payable to Hudson Bay with an outstanding balance of $3,200,000 as of December 31, 2011.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Innovate/Protect has granted Hudson Bay a security interest in all of its tangible and intangible personal property (including the Lycos’s patents) to secure its obligations under the senior secured note.</w:t>
      </w:r>
    </w:p>
    <w:p>
      <w:pPr>
        <w:spacing w:after="0" w:line="61"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In connection with the Merger, Vringo will guaranty the senior secured note. This could have a material adverse effect on the financial condition of Vringo following the Merger, including limiting Vringo’s ability to incur additional indebtedness, limiting its available funds for future operations and making Vringo vulnerable to economic or industry downturns.</w:t>
      </w:r>
    </w:p>
    <w:p>
      <w:pPr>
        <w:spacing w:after="0" w:line="58"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price of Vringo common stock after the Merger is completed may be affected by factors different from those currently affecting the shares of Vringo.</w:t>
      </w:r>
    </w:p>
    <w:p>
      <w:pPr>
        <w:spacing w:after="0" w:line="6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Upon completion of the Merger, holders of Innovate/Protect capital stock will become holders of Vringo common stock and preferred stock. The business of Vringo differs from the business of Innovate/Protect and, accordingly, the results of operations of the combined company and the trading price of Vringo common stock following the completion of the Merger may be significantly affected by factors different from those currently affecting the independent results of operations of Vringo because the combined company will be conducting activities not undertaken by Vringo prior to the completion of the Merger. For a discussion of the businesses of Vringo and Innovate/Protect and of certain factors to consider in connection with those businesses, see the sections entitled “Vringo’s Business,” “Vringo’s Management’s Discussion and Analysis of Financial Condition and Results of Operations,” “Innovate/Protect’s Business,” “Innovate/Protect’s Management’s Discussion and Analysis of Financial Condition and Results of Operations,” and the financial statements of</w:t>
      </w:r>
    </w:p>
    <w:p>
      <w:pPr>
        <w:spacing w:after="0" w:line="200" w:lineRule="exact"/>
        <w:rPr>
          <w:sz w:val="20"/>
          <w:szCs w:val="20"/>
          <w:color w:val="auto"/>
        </w:rPr>
      </w:pPr>
    </w:p>
    <w:p>
      <w:pPr>
        <w:spacing w:after="0" w:line="3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Vringo and Innovate/Protect, including the notes thereto, which are included elsewhere in this proxy statement/prospectus, and the other information contained in this proxy statement/prospectus.</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Material weaknesses may exist when the combined company reports on the effectiveness of its internal control over financial reporting for purposes of its reporting requirements.</w:t>
      </w:r>
    </w:p>
    <w:p>
      <w:pPr>
        <w:spacing w:after="0" w:line="6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Prior to the filing of the registration statement of which this proxy statement/prospectus forms a part, Innovate/Protect was not subject to Sarbanes-Oxley Act of 2002 (“</w:t>
      </w:r>
      <w:r>
        <w:rPr>
          <w:rFonts w:ascii="Arial" w:cs="Arial" w:eastAsia="Arial" w:hAnsi="Arial"/>
          <w:sz w:val="16"/>
          <w:szCs w:val="16"/>
          <w:b w:val="1"/>
          <w:bCs w:val="1"/>
          <w:color w:val="auto"/>
        </w:rPr>
        <w:t>Sarbanes-Oxley</w:t>
      </w:r>
      <w:r>
        <w:rPr>
          <w:rFonts w:ascii="Arial" w:cs="Arial" w:eastAsia="Arial" w:hAnsi="Arial"/>
          <w:sz w:val="16"/>
          <w:szCs w:val="16"/>
          <w:color w:val="auto"/>
        </w:rPr>
        <w:t>”). Therefore, Innovate/Protect’s management and independent registered public accounting firm did not perform an evaluation of Innovate/Protect’s internal control over financial reporting as of December 31, 2011 in accordance with the provisions of Sarbanes-Oxley. Material weaknesses may exist when the combined company reports on the effectiveness of its internal control over financial reporting for purposes of its reporting requirements under the Exchange Act or Section 404 of Sarbanes-Oxley following the completion of the Merger. The existence of one or more material weaknesses would preclude a conclusion that the combined company maintains effective internal control over financial reporting. Such a conclusion would be required to be disclosed in the combined company’s future Annual Reports on Form 10-K and could impact the accuracy and timing of its financial reporting and the reliability of its internal control over financial reporting, which could harm the combined company’s reputation and cause the market price of its common stock to drop.</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does not expect the combined company to pay cash dividends on its common stock.</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Vringo anticipates that the combined company will retain its earnings, if any, for future growth and therefore does not anticipate paying cash dividends on its common stock in the future. Investors seeking cash dividends should not invest in the combined company’s common stock for that purpose.</w:t>
      </w:r>
    </w:p>
    <w:p>
      <w:pPr>
        <w:spacing w:after="0" w:line="74"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Anti-takeover provisions in the combined company’s charter and bylaws may prevent or frustrate attempts by stockholders to change the board of directors or current management and could make a third-party acquisition of the combined company difficult.</w:t>
      </w:r>
    </w:p>
    <w:p>
      <w:pPr>
        <w:spacing w:after="0" w:line="7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combined company’s certificate of incorporation and bylaws will contain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the combined company’s common stock.</w:t>
      </w:r>
    </w:p>
    <w:p>
      <w:pPr>
        <w:spacing w:after="0" w:line="79"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Because the lack of a public market for Innovate/Protect’s capital stock makes it difficult to evaluate the fairness of the Merger, Innovate/Protect’s stockholders may receive consideration in the Merger that is greater than or less than the fair market value of Innovate/Protect’s capital stock.</w:t>
      </w:r>
    </w:p>
    <w:p>
      <w:pPr>
        <w:spacing w:after="0" w:line="7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outstanding capital stock of Innovate/Protect is privately held and is not traded in any public market. The lack of a public market makes it difficult to determine the fair market value of Innovate/Protect. Since the percentage of Vringo common stock, preferred stock and warrants to be issued to Innovate/Protect’s stockholders was determined based on negotiations between the parties, it is possible that the value of the Vringo common stock, preferred stock and warrants to be issued in connection with the Merger will be greater than the fair market value of Innovate/Protect. Alternatively, it is possible that the value of the shares of Vringo common stock, preferred stock and warrants to be issued in connection with the Merger will be less than the fair market value of Innovate/Protect.</w:t>
      </w:r>
    </w:p>
    <w:p>
      <w:pPr>
        <w:spacing w:after="0" w:line="85"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If any of the events described in “Risks Related to Vringo’s Business” or “Risks Related to Innovate/Protect’s Business” occur, those events could cause the potential benefits of the Merger not to be realized.</w:t>
      </w:r>
    </w:p>
    <w:p>
      <w:pPr>
        <w:spacing w:after="0" w:line="42"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 xml:space="preserve">Following the completion of the Merger, current Vringo executive officers and certain Innovate/Protect executive officers and certain Innovate/Protect and Vringo directors will direct the business and operations of the combined company. Additionally, Innovate/Protect’s business is expected to be an important part of the business of the combined company following the Merger. As a result, the risks described below in the section entitled “Risks Related to Innovate/Protect’s Business” beginning on page </w:t>
      </w:r>
      <w:r>
        <w:rPr>
          <w:rFonts w:ascii="Arial" w:cs="Arial" w:eastAsia="Arial" w:hAnsi="Arial"/>
          <w:sz w:val="16"/>
          <w:szCs w:val="16"/>
          <w:u w:val="single" w:color="auto"/>
          <w:color w:val="0000EE"/>
        </w:rPr>
        <w:t>54</w:t>
      </w:r>
      <w:r>
        <w:rPr>
          <w:rFonts w:ascii="Arial" w:cs="Arial" w:eastAsia="Arial" w:hAnsi="Arial"/>
          <w:sz w:val="16"/>
          <w:szCs w:val="16"/>
          <w:color w:val="auto"/>
        </w:rPr>
        <w:t xml:space="preserve"> are among the significant risks to the combined company if the Merger is completed. To the extent any of the events in the risks described below in either the section entitled “Risks Related to Vringo’s Business” or “Risks Related to Innovate/</w:t>
      </w:r>
    </w:p>
    <w:p>
      <w:pPr>
        <w:spacing w:after="0" w:line="200" w:lineRule="exact"/>
        <w:rPr>
          <w:sz w:val="20"/>
          <w:szCs w:val="20"/>
          <w:color w:val="auto"/>
        </w:rPr>
      </w:pP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Protect’s Business” occur, those events could cause the potential benefits of the Merger not to be realized and the market price of the combined company’s common stock to decline.</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Vringo’s Business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i w:val="1"/>
          <w:iCs w:val="1"/>
          <w:color w:val="auto"/>
        </w:rPr>
        <w:t>Vringo is currently, and after the completion of the Merger the combined company will continue to be, subject to the risks described below.</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be able to consummate the Merger with Innovate/Protect.</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The consummation of the Merger with Innovate/Protect is subject to stockholders approval and other closing conditions. Vringo has expended significant effort and management attention to the proposed transaction. There is no assurance that the Merger will be approved. For example, Vringo’s stockholders may not approve the Merger. If the Merger is not consummated for any reason, Vringo’s business and operations, as well as the market price of its stock and warrants may be adversely affected.</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 date, Vringo has generated only losses, which are expected to continue for the foreseeable future.</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As of December 31, 2011, Vringo had a cash balance of $1.2 million and $1.0 million of net working capital. For the years ended December 31, 2011 and 2010 and for the cumulative period from inception until December 31, 2011, Vringo incurred net losses of $7.5 million, $9.9 million and $37.5 million, respectively. As of December 31, 2011, Vringo’s deficit in stockholders’ equity was $1.2 million.</w:t>
      </w:r>
    </w:p>
    <w:p>
      <w:pPr>
        <w:spacing w:after="0" w:line="83"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62"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Vringo is a development stage company with no significant source of income and there is a significant doubt about Vringo’s ability to continue its activities as a going concern.</w:t>
      </w:r>
    </w:p>
    <w:p>
      <w:pPr>
        <w:spacing w:after="0" w:line="6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substantial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6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Vringo believes that current cash levels will be sufficient to support its activity into the fourth quarter of 2012.The continuation of its business is dependent upon the successful consummation of the Merger with Innovate/Protect, or similar merger or acquisition, financing and upon the further development of Vringo’s products.</w:t>
      </w:r>
    </w:p>
    <w:p>
      <w:pPr>
        <w:spacing w:after="0" w:line="74"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6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Should Vringo’s currently outstanding warrants be exercised, there will be an additional 7,885,042 shares of common stock eligible for trading in the public market. In addition, Vringo currently has options outstanding to purchase 4,718,450 shares of common stock, granted as of the reporting date, to Vringo’s management, employees, directors and consultants. In March 2012, the Vringo board of directors approved participation of all outstanding options in future dividends, as well as, acceleration of vesting of all outstanding options, if certain market conditions are met. In addition,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5" w:lineRule="auto"/>
        <w:rPr>
          <w:sz w:val="20"/>
          <w:szCs w:val="20"/>
          <w:color w:val="auto"/>
        </w:rPr>
      </w:pPr>
      <w:r>
        <w:rPr>
          <w:rFonts w:ascii="Arial" w:cs="Arial" w:eastAsia="Arial" w:hAnsi="Arial"/>
          <w:sz w:val="17"/>
          <w:szCs w:val="17"/>
          <w:color w:val="auto"/>
        </w:rPr>
        <w:t>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March 30, 2012, is $3.17 per share.</w:t>
      </w:r>
    </w:p>
    <w:p>
      <w:pPr>
        <w:spacing w:after="0" w:line="66"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Under the terms of the Merger Agreement, Vringo will issue Innovate/Protect stockholders warrants to purchase 15,959,838 shares of Vringo common stock at an exercise price of $1.76 per share, each subject to equitable adjustment in the event of a reverse stock split. In addition, the issued and outstanding warrant to purchase 250,000 shares of Innovate/Protect’s common stock that is outstanding and unexercised immediately prior to the Merger will be exchanged for 250,000 shares of Vringo common stock and 850,000 warrant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of an approval of the Merger with Innovate/Protect, the total number of warrants and options held by Vringo’s security holders will be increased by 16,851,016 and the former stockholders of Innovate/Protect (without taking into account any shares of Vringo common stock held by Innovate/Protect stockholders prior to the completion of the Merger) are expected to own approximately 56.05% of the outstanding common stock of the combined company (or 67.55% of the outstanding common stock of the combined company calculated on a fully diluted basis) and the current stockholders of Vringo are expected to own approximately 43.95% of the outstanding common stock of the combined company (or 32.45% of the outstanding common stock of the combined company calculated on a fully diluted basis).</w:t>
      </w:r>
    </w:p>
    <w:p>
      <w:pPr>
        <w:spacing w:after="0" w:line="275"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6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As of March 30, 2012, Vringo has 13,861,423 shares of common stock issued and outstanding,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On March 30, 2012, Vringo filed with the SEC a Registration Statement on Form S-3 to register shares of common stock underlying the 2,672,756 new warrants issued in February 2012 (including 11,834 warrants issued to Vringo’s placement agent) and Vringo anticipates registering in the near future shares of common stock underlying 4,718,450 options currently outstanding under Vringo’s 2006 Stock Option Plan.</w:t>
      </w:r>
    </w:p>
    <w:p>
      <w:pPr>
        <w:spacing w:after="0" w:line="71"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Under the terms of the Merger Agreement, Vringo will issue Innovate/Protect stockholders 17,425,628 of its common stock shares and Series A Convertible Preferred stock, initially convertible into 20,573,998 of Vringo shares of common stock. In addition, the outstanding warrant to purchase 250,000 shares of Innovate/Protect’s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Upon the consummation of the Merger, the number of outstanding shares of common stock (calculated on a fully diluted basis) held by Vringo’s security holders will significantly increase.</w:t>
      </w:r>
    </w:p>
    <w:p>
      <w:pPr>
        <w:spacing w:after="0" w:line="200" w:lineRule="exact"/>
        <w:rPr>
          <w:sz w:val="20"/>
          <w:szCs w:val="20"/>
          <w:color w:val="auto"/>
        </w:rPr>
      </w:pPr>
    </w:p>
    <w:p>
      <w:pPr>
        <w:spacing w:after="0" w:line="3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If Vringo is not able to adequately protect its intellectual property, Vringo may not be able to compete effectively.</w:t>
      </w:r>
    </w:p>
    <w:p>
      <w:pPr>
        <w:spacing w:after="0" w:line="129"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81"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8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6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72"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6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59" w:lineRule="auto"/>
        <w:rPr>
          <w:sz w:val="20"/>
          <w:szCs w:val="20"/>
          <w:color w:val="auto"/>
        </w:rPr>
      </w:pPr>
      <w:r>
        <w:rPr>
          <w:rFonts w:ascii="Arial" w:cs="Arial" w:eastAsia="Arial" w:hAnsi="Arial"/>
          <w:sz w:val="18"/>
          <w:szCs w:val="18"/>
          <w:color w:val="auto"/>
        </w:rPr>
        <w:t>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78" w:lineRule="exact"/>
        <w:rPr>
          <w:sz w:val="20"/>
          <w:szCs w:val="20"/>
          <w:color w:val="auto"/>
        </w:rPr>
      </w:pPr>
    </w:p>
    <w:p>
      <w:pPr>
        <w:jc w:val="both"/>
        <w:ind w:left="40" w:right="619" w:firstLine="267"/>
        <w:spacing w:after="0" w:line="264" w:lineRule="auto"/>
        <w:rPr>
          <w:sz w:val="20"/>
          <w:szCs w:val="20"/>
          <w:color w:val="auto"/>
        </w:rPr>
      </w:pPr>
      <w:r>
        <w:rPr>
          <w:rFonts w:ascii="Arial" w:cs="Arial" w:eastAsia="Arial" w:hAnsi="Arial"/>
          <w:sz w:val="17"/>
          <w:szCs w:val="17"/>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83"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strategic relationships with such mobile carriers and/or other partners, Vringo will be unable to distribute its products effectively or generate significant revenue.</w:t>
      </w:r>
    </w:p>
    <w:p>
      <w:pPr>
        <w:spacing w:after="0" w:line="77"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Vringo’s strategy for pursuing a significant share of the video ringtone market is dependent upon establishing distribution arrangements with major mobile carriers and other partners. Vringo needs to develop and maintain strategic relationships with these entities in order for them to market its service to their end users. While Vringo has entered into agreements with certain partners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57"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If Vringo is unsuccessful in entering into and maintaining content license agreements, its revenues will be negatively affected.</w:t>
      </w:r>
    </w:p>
    <w:p>
      <w:pPr>
        <w:spacing w:after="0" w:line="6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Vringo may not be able to continue to maintain its application on all of the operating systems that it currently supports.</w:t>
      </w:r>
    </w:p>
    <w:p>
      <w:pPr>
        <w:spacing w:after="0" w:line="141"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11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76"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66"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w:t>
      </w:r>
    </w:p>
    <w:p>
      <w:pPr>
        <w:spacing w:after="0" w:line="200" w:lineRule="exact"/>
        <w:rPr>
          <w:sz w:val="20"/>
          <w:szCs w:val="20"/>
          <w:color w:val="auto"/>
        </w:rPr>
      </w:pPr>
    </w:p>
    <w:p>
      <w:pPr>
        <w:spacing w:after="0" w:line="29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300" w:lineRule="auto"/>
        <w:rPr>
          <w:sz w:val="20"/>
          <w:szCs w:val="20"/>
          <w:color w:val="auto"/>
        </w:rPr>
      </w:pPr>
      <w:r>
        <w:rPr>
          <w:rFonts w:ascii="Arial" w:cs="Arial" w:eastAsia="Arial" w:hAnsi="Arial"/>
          <w:sz w:val="17"/>
          <w:szCs w:val="17"/>
          <w:color w:val="auto"/>
        </w:rPr>
        <w:t>computer-based attacks, which could cause lapses in Vringo’s service or adversely affect the ability of Vringo’s customers to access its service. Such lapses could have a material adverse effect on Vringo’s business and its results of operations.</w:t>
      </w:r>
    </w:p>
    <w:p>
      <w:pPr>
        <w:spacing w:after="0" w:line="42"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6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Vringo’s Facetones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5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6"/>
          <w:szCs w:val="16"/>
          <w:color w:val="auto"/>
        </w:rPr>
        <w:t>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creates automated video slideshow using friends’ photos from social media web sites, primarily from Facebook®, the world’s leading social media site.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mark and domain name.</w:t>
      </w:r>
    </w:p>
    <w:p>
      <w:pPr>
        <w:spacing w:after="0" w:line="53" w:lineRule="exact"/>
        <w:rPr>
          <w:sz w:val="20"/>
          <w:szCs w:val="20"/>
          <w:color w:val="auto"/>
        </w:rPr>
      </w:pPr>
    </w:p>
    <w:p>
      <w:pPr>
        <w:jc w:val="both"/>
        <w:ind w:left="40" w:right="639" w:firstLine="267"/>
        <w:spacing w:after="0" w:line="212" w:lineRule="auto"/>
        <w:rPr>
          <w:sz w:val="20"/>
          <w:szCs w:val="20"/>
          <w:color w:val="auto"/>
        </w:rPr>
      </w:pPr>
      <w:r>
        <w:rPr>
          <w:rFonts w:ascii="Arial" w:cs="Arial" w:eastAsia="Arial" w:hAnsi="Arial"/>
          <w:sz w:val="18"/>
          <w:szCs w:val="18"/>
          <w:b w:val="1"/>
          <w:bCs w:val="1"/>
          <w:color w:val="auto"/>
        </w:rPr>
        <w:t>If Vringo’s Facetones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trademark is challenged by another party, Vringo’s revenue from this application may be adversely affected.</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February 2012, Vringo entered into an agreement with Facebook, Inc., an online social network, relating to the use of</w:t>
      </w:r>
    </w:p>
    <w:p>
      <w:pPr>
        <w:spacing w:after="0" w:line="49" w:lineRule="exact"/>
        <w:rPr>
          <w:sz w:val="20"/>
          <w:szCs w:val="20"/>
          <w:color w:val="auto"/>
        </w:rPr>
      </w:pPr>
    </w:p>
    <w:p>
      <w:pPr>
        <w:jc w:val="both"/>
        <w:ind w:left="40" w:right="619"/>
        <w:spacing w:after="0" w:line="243" w:lineRule="auto"/>
        <w:rPr>
          <w:sz w:val="20"/>
          <w:szCs w:val="20"/>
          <w:color w:val="auto"/>
        </w:rPr>
      </w:pPr>
      <w:r>
        <w:rPr>
          <w:rFonts w:ascii="Arial" w:cs="Arial" w:eastAsia="Arial" w:hAnsi="Arial"/>
          <w:sz w:val="17"/>
          <w:szCs w:val="17"/>
          <w:color w:val="auto"/>
        </w:rPr>
        <w:t>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mark and domain name (collectively, the “</w:t>
      </w:r>
      <w:r>
        <w:rPr>
          <w:rFonts w:ascii="Arial" w:cs="Arial" w:eastAsia="Arial" w:hAnsi="Arial"/>
          <w:sz w:val="17"/>
          <w:szCs w:val="17"/>
          <w:b w:val="1"/>
          <w:bCs w:val="1"/>
          <w:color w:val="auto"/>
        </w:rPr>
        <w:t>Facetones Mark</w:t>
      </w:r>
      <w:r>
        <w:rPr>
          <w:rFonts w:ascii="Arial" w:cs="Arial" w:eastAsia="Arial" w:hAnsi="Arial"/>
          <w:sz w:val="17"/>
          <w:szCs w:val="17"/>
          <w:color w:val="auto"/>
        </w:rPr>
        <w:t>”).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118"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200" w:lineRule="exact"/>
        <w:rPr>
          <w:sz w:val="20"/>
          <w:szCs w:val="20"/>
          <w:color w:val="auto"/>
        </w:rPr>
      </w:pPr>
    </w:p>
    <w:p>
      <w:pPr>
        <w:spacing w:after="0" w:line="31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In order for Vringo to raise capital through equity or equity-linked transactions, stockholder approval is required to enable Vringo to issue more than 19.99% of Vringo’s outstanding shares of common stock pursuant to the rules and regulations of the NYSE Amex. Should stockholders not approve such issuances, Vringo’s sole means to raise capital would be through debt, which could have a material adverse effect on Vringo’s balance sheet and overall financial condition.</w:t>
      </w:r>
    </w:p>
    <w:p>
      <w:pPr>
        <w:spacing w:after="0" w:line="62" w:lineRule="exact"/>
        <w:rPr>
          <w:sz w:val="20"/>
          <w:szCs w:val="20"/>
          <w:color w:val="auto"/>
        </w:rPr>
      </w:pPr>
    </w:p>
    <w:p>
      <w:pPr>
        <w:jc w:val="both"/>
        <w:ind w:left="40" w:right="619" w:firstLine="267"/>
        <w:spacing w:after="0" w:line="257" w:lineRule="auto"/>
        <w:rPr>
          <w:sz w:val="20"/>
          <w:szCs w:val="20"/>
          <w:color w:val="auto"/>
        </w:rPr>
      </w:pPr>
      <w:r>
        <w:rPr>
          <w:rFonts w:ascii="Arial" w:cs="Arial" w:eastAsia="Arial" w:hAnsi="Arial"/>
          <w:sz w:val="18"/>
          <w:szCs w:val="18"/>
          <w:b w:val="1"/>
          <w:bCs w:val="1"/>
          <w:color w:val="auto"/>
        </w:rPr>
        <w:t>If Vringo is unable to make progress with respect to its plan to regain compliance with the minimum stockholders’ equity requirements imposed by the NYSE Amex within the required timeframes, its common stock could be delisted, which could limit stockholders’ ability to make transactions in Vringo common stock and subject Vringo to additional trading restrictions.</w:t>
      </w:r>
    </w:p>
    <w:p>
      <w:pPr>
        <w:spacing w:after="0" w:line="80"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Vringo’s common stock and warrants are listed on the NYSE Amex, a national securities exchange, which imposes continued listing requirements with respect to listed shares. In May 2011, Vringo received a letter from the NYSE Amex, stating that it is not in compliance with Section 1003(a)(iv) of the NYSE Amex Company Guide because Vringo has sustained losses which are so substantial in relation to Vringo’s overall operations or Vringo’s existing financial resources, or Vringo’s financial condition has become so impaired that it appears questionable, in the opinion of the NYSE Amex, as to whether Vringo will be able to continue operations and/or meet its obligations as they mature.</w:t>
      </w:r>
    </w:p>
    <w:p>
      <w:pPr>
        <w:spacing w:after="0" w:line="86"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On June 23, 2011, Vringo submitted a plan to the NYSE Amex addressing how Vringo intends to regain compliance with the continued listing standards by September 30, 2011. Based on the information in Vringo’s compliance plan and related discussions with the NYSE Amex staff, the NYSE Amex determined that Vringo had made a reasonable demonstration of its ability to regain compliance with Section 1003(a)(iv) of the NYSE Amex Company Guide by September 30, 2011 (subsequently extended to April 15, 2012) and that it would continue the listing of its common stock subject to conditions. The conditions include providing updates to the NYSE Amex staff as appropriate or upon request, but no later than at each quarter completion concurrent with Vringo’s filing with the SEC. If Vringo does not show progress consistent with its compliance plan, or Vringo does not meet the continued listing standards by April 15, 2012, the NYSE Amex could initiate delisting proceedings. While the NYSE Amex has not initiated delisting proceedings, there is no assurance that it will not do so in the future.</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the NYSE Amex delists Vringo’s securities from trading, Vringo could face significant consequences, including:</w:t>
      </w:r>
    </w:p>
    <w:p>
      <w:pPr>
        <w:spacing w:after="0" w:line="114" w:lineRule="exact"/>
        <w:rPr>
          <w:sz w:val="20"/>
          <w:szCs w:val="20"/>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113"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spacing w:after="0" w:line="78" w:lineRule="exact"/>
        <w:rPr>
          <w:rFonts w:ascii="Arial" w:cs="Arial" w:eastAsia="Arial" w:hAnsi="Arial"/>
          <w:sz w:val="18"/>
          <w:szCs w:val="18"/>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 addition, Vringo would no longer be subject to the NYSE Amex rules, including rules requiring Vringo to have a certain number of independent directors and to meet other corporate governance standards.</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6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8"/>
          <w:szCs w:val="18"/>
          <w:color w:val="auto"/>
        </w:rPr>
        <w:t>several countries restrict business with Israeli companies, which may impair Vringo’s ability to create new business relationships or to be, or become, profitable.</w:t>
      </w:r>
    </w:p>
    <w:p>
      <w:pPr>
        <w:spacing w:after="0" w:line="6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Vringo may not be able to enforce covenants not-to-compete under current Israeli law, which may result in added competition.</w:t>
      </w:r>
    </w:p>
    <w:p>
      <w:pPr>
        <w:spacing w:after="0" w:line="6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72"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77"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61" w:lineRule="exact"/>
        <w:rPr>
          <w:sz w:val="20"/>
          <w:szCs w:val="20"/>
          <w:color w:val="auto"/>
        </w:rPr>
      </w:pPr>
    </w:p>
    <w:p>
      <w:pPr>
        <w:jc w:val="both"/>
        <w:ind w:left="40" w:right="639" w:firstLine="267"/>
        <w:spacing w:after="0" w:line="339" w:lineRule="auto"/>
        <w:rPr>
          <w:sz w:val="20"/>
          <w:szCs w:val="20"/>
          <w:color w:val="auto"/>
        </w:rPr>
      </w:pPr>
      <w:r>
        <w:rPr>
          <w:rFonts w:ascii="Arial" w:cs="Arial" w:eastAsia="Arial" w:hAnsi="Arial"/>
          <w:sz w:val="16"/>
          <w:szCs w:val="16"/>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9"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200" w:lineRule="exact"/>
        <w:rPr>
          <w:sz w:val="20"/>
          <w:szCs w:val="20"/>
          <w:color w:val="auto"/>
        </w:rPr>
      </w:pPr>
    </w:p>
    <w:p>
      <w:pPr>
        <w:spacing w:after="0" w:line="3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Innovate/Protect’s limited operating history makes it difficult to evaluate its current business and future prospects.</w:t>
      </w:r>
    </w:p>
    <w:p>
      <w:pPr>
        <w:spacing w:after="0" w:line="141"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89"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69" w:lineRule="exact"/>
        <w:rPr>
          <w:sz w:val="20"/>
          <w:szCs w:val="20"/>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Innovate/Protect cannot execute any one of the foregoing or similar matters relating to its operations, its business may fail.</w:t>
      </w:r>
    </w:p>
    <w:p>
      <w:pPr>
        <w:spacing w:after="0" w:line="133"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Innovate/Protect’s formation in June 2011, Innovate/Protect acquired a portfolio of patent assets from Lycos that</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Innovate/Protect plans to license or otherwise monetize. If Innovate/Protect’s efforts to generate revenue from such assets fail,</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Innovate/Protect  will  have  incurred  significant  losses  and  may  be  unable  to  acquire  additional  assets.  If  this  occurs,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Innovate/Protect’s business would likely fail.</w:t>
      </w:r>
    </w:p>
    <w:p>
      <w:pPr>
        <w:spacing w:after="0" w:line="97"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7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86"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w:t>
      </w:r>
    </w:p>
    <w:p>
      <w:pPr>
        <w:spacing w:after="0" w:line="200" w:lineRule="exact"/>
        <w:rPr>
          <w:sz w:val="20"/>
          <w:szCs w:val="20"/>
          <w:color w:val="auto"/>
        </w:rPr>
      </w:pPr>
    </w:p>
    <w:p>
      <w:pPr>
        <w:spacing w:after="0" w:line="3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59" w:lineRule="auto"/>
        <w:rPr>
          <w:sz w:val="20"/>
          <w:szCs w:val="20"/>
          <w:color w:val="auto"/>
        </w:rPr>
      </w:pPr>
      <w:r>
        <w:rPr>
          <w:rFonts w:ascii="Arial" w:cs="Arial" w:eastAsia="Arial" w:hAnsi="Arial"/>
          <w:sz w:val="18"/>
          <w:szCs w:val="18"/>
          <w:color w:val="auto"/>
        </w:rPr>
        <w:t>legal fees and other expenses will be material and will negatively impact Innovate/Protect’s financial condition and results of operations and may result in its inability to continue its business. Innovate/Protect’s failure to monetize its patent assets would significantly harm its business.</w:t>
      </w:r>
    </w:p>
    <w:p>
      <w:pPr>
        <w:spacing w:after="0" w:line="74" w:lineRule="exact"/>
        <w:rPr>
          <w:sz w:val="20"/>
          <w:szCs w:val="20"/>
          <w:color w:val="auto"/>
        </w:rPr>
      </w:pPr>
    </w:p>
    <w:p>
      <w:pPr>
        <w:jc w:val="both"/>
        <w:ind w:left="40" w:right="619" w:firstLine="267"/>
        <w:spacing w:after="0" w:line="269"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7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64"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23"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8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83"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48"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77"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Members of Innovate/Protect’s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Innovate/Protect’s management team from its present business initiatives, which could have a material and adverse effect on</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334" w:lineRule="auto"/>
        <w:rPr>
          <w:sz w:val="20"/>
          <w:szCs w:val="20"/>
          <w:color w:val="auto"/>
        </w:rPr>
      </w:pPr>
      <w:r>
        <w:rPr>
          <w:rFonts w:ascii="Arial" w:cs="Arial" w:eastAsia="Arial" w:hAnsi="Arial"/>
          <w:sz w:val="16"/>
          <w:szCs w:val="16"/>
          <w:color w:val="auto"/>
        </w:rPr>
        <w:t>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2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83" w:lineRule="exact"/>
        <w:rPr>
          <w:sz w:val="20"/>
          <w:szCs w:val="20"/>
          <w:color w:val="auto"/>
        </w:rPr>
      </w:pPr>
    </w:p>
    <w:p>
      <w:pPr>
        <w:ind w:left="600" w:right="639" w:hanging="328"/>
        <w:spacing w:after="0" w:line="270"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73"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7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New legislation, regulations or court rulings related to enforcing patents could harm Innovate/Protect’s business and operating results.</w:t>
      </w:r>
    </w:p>
    <w:p>
      <w:pPr>
        <w:spacing w:after="0" w:line="6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7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62"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6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7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85"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81"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77"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8"/>
          <w:szCs w:val="18"/>
          <w:color w:val="auto"/>
        </w:rPr>
        <w:t>assets, many of whom have greater cash resources than Innovate/Protect has. In addition, any failure to satisfy Innovate/Protect’s debt repayment obligations may result in adverse consequences to its operating results.</w:t>
      </w:r>
    </w:p>
    <w:p>
      <w:pPr>
        <w:spacing w:after="0" w:line="65"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77"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86"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7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Despite Innovate/Protect’s efforts to protect its intellectual property rights, any of the following or similar occurrences may reduce the value of Innovate/Protect’s intellectual property:</w:t>
      </w:r>
    </w:p>
    <w:p>
      <w:pPr>
        <w:spacing w:after="0" w:line="69" w:lineRule="exact"/>
        <w:rPr>
          <w:sz w:val="20"/>
          <w:szCs w:val="20"/>
          <w:color w:val="auto"/>
        </w:rPr>
      </w:pPr>
    </w:p>
    <w:p>
      <w:pPr>
        <w:ind w:left="600" w:right="619" w:hanging="328"/>
        <w:spacing w:after="0" w:line="270"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Innovate/Protect’s applications for patents, trademarks and copyrights may not be granted and, if granted, may be challenged or invalidated;</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6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79"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42" w:lineRule="exact"/>
        <w:rPr>
          <w:sz w:val="20"/>
          <w:szCs w:val="20"/>
          <w:color w:val="auto"/>
        </w:rPr>
      </w:pPr>
    </w:p>
    <w:p>
      <w:pPr>
        <w:jc w:val="both"/>
        <w:ind w:left="40" w:right="639" w:firstLine="267"/>
        <w:spacing w:after="0" w:line="290" w:lineRule="auto"/>
        <w:rPr>
          <w:sz w:val="20"/>
          <w:szCs w:val="20"/>
          <w:color w:val="auto"/>
        </w:rPr>
      </w:pPr>
      <w:r>
        <w:rPr>
          <w:rFonts w:ascii="Arial" w:cs="Arial" w:eastAsia="Arial" w:hAnsi="Arial"/>
          <w:sz w:val="16"/>
          <w:szCs w:val="16"/>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200" w:lineRule="exact"/>
        <w:rPr>
          <w:sz w:val="20"/>
          <w:szCs w:val="20"/>
          <w:color w:val="auto"/>
        </w:rPr>
      </w:pP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THE MERGER</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Structure of the Merger</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 accordance with the Merger Agreement and the DGCL, at the effective time, Innovate/Protect will merge with and into Merger Sub, a wholly-owned subsidiary of Vringo formed solely for the purpose of carrying out the Merger, with Merger Sub continuing as the surviving corporation and a wholly-owned subsidiary of Vringo. In connection with the Merger, each share of Innovate/Protect capital stock outstanding as of immediately prior to the effective time will be converted into the right to receive shares of Vringo common stock and Vringo preferred stock, as applicable, and warrants, all in accordance with the terms and conditions of the Merger Agreement. The Merger will become effective when a certificate of merger is filed with the Secretary of State of the State of Delaware or at such other time as agreed to by the parties and specified in the certificate of merger. If the Vringo stockholders approve the Vringo Merger Proposals, then Vringo expects the Merger to be completed as soon as practicable following the Vringo annual meeting.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Innovate/Protect Stockholders Will Receive in the Merger</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Upon completion of the Merger, each Innovate/Protect common stock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6,818 shares, as of April 5, 2012, shall be initially convertible into an aggregate of 20,573,998 shares of Vringo common stock (or at a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immediately following the completion of the Merger (without taking into account any shares of Vringo common stock held by Innovate/Protect stockholders prior to the completion of the Merger), the former stockholders of Innovate/Protect are expected to own approximately 56.05% of the outstanding common stock of the combined company (or 67.55% of the outstanding common stock of the combined company calculated on a fully diluted basis) and the current stockholders of Vringo are expected to own approximately 43.95% of the outstanding common stock of the combined company (or 32.45% of the outstanding common stock of the combined company calculated on a fully diluted basis).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 xml:space="preserve">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 For an additional discussion of what Innovate/Protect stockholders will receive in connection with the Merger, see the section entitled “The Merger Agreement — Merger Consideration” beginning on page </w:t>
      </w:r>
      <w:r>
        <w:rPr>
          <w:rFonts w:ascii="Arial" w:cs="Arial" w:eastAsia="Arial" w:hAnsi="Arial"/>
          <w:sz w:val="18"/>
          <w:szCs w:val="18"/>
          <w:u w:val="single" w:color="auto"/>
          <w:color w:val="0000EE"/>
        </w:rPr>
        <w:t>81</w:t>
      </w:r>
      <w:r>
        <w:rPr>
          <w:rFonts w:ascii="Arial" w:cs="Arial" w:eastAsia="Arial" w:hAnsi="Arial"/>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Ownership of the Combined Company after the Completion of the Merger</w:t>
      </w:r>
    </w:p>
    <w:p>
      <w:pPr>
        <w:spacing w:after="0" w:line="118"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Upon completion of the Merger and regardless of the exact Exchange Ratio (or any reverse stock split), the Innovate/Protect stockholders and warrantholder are expected to receive shares of Vringo common stock and preferred stock and warrants representing an aggregate of approximately 67.55% of the outstanding shares of common stock of the combined company calculated on a fully diluted basis. Vringo stockholders will continue to own their existing shares of Vringo common stock, which will not be affected by the Merger, and, unless they hold shares of Innovate/Protect capital stock, will not receive any additional shares of Vringo common stock in connection with the Merger. As a result, immediately upon completion of the Merger, such shares will represent an aggregate of approximately 32.45% of the outstanding shares of common stock of the combined company calculated on a fully diluted basis. For example, if you are a Vringo stockholder and hold 5% of the outstanding shares of Vringo common stock calculated on a fully diluted basis immediately prior to the completion of the Merger and do not also hold shares of Innovate/Protect capital stock, then upon completion of the Merger you will hold an aggregate of approximately 1.62% of the outstanding shares of common stock of the combined company calculated on a fully diluted basis as of immediately following the completion of the Merger. If you are an Innovate/Protect stockholder and hold 5% of the outstanding shares of Innovate/Protect capital stock calculated on a fully diluted basis immediately prior to the completion of the Merger and do not also hold shares of Vringo common stock, then upon completion of the Merger you will hold an aggregate of approximately 2.38% of the outstanding shares of common stock of the combined company, calculated on a fully diluted basis as of immediately following the completion of the Merger.</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Treatment of Innovate/Protect Stock Options and Warrants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March 30, 2012, the outstanding and unexercised Innovate/Protect stock options to purchase 13,646 shares of Innovate/Protect common stock will be converted into and become options to purchase an aggregate of 41,178 shares of Vringo common stock at an exercise price of $0.994 per share.</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____________, 2012, the latest practicable date before the printing of this proxy statement/prospectus, there were</w:t>
      </w:r>
    </w:p>
    <w:p>
      <w:pPr>
        <w:spacing w:after="0" w:line="31" w:lineRule="exact"/>
        <w:rPr>
          <w:sz w:val="20"/>
          <w:szCs w:val="20"/>
          <w:color w:val="auto"/>
        </w:rPr>
      </w:pPr>
    </w:p>
    <w:p>
      <w:pPr>
        <w:jc w:val="both"/>
        <w:ind w:left="40" w:right="619"/>
        <w:spacing w:after="0" w:line="317" w:lineRule="auto"/>
        <w:rPr>
          <w:sz w:val="20"/>
          <w:szCs w:val="20"/>
          <w:color w:val="auto"/>
        </w:rPr>
      </w:pPr>
      <w:r>
        <w:rPr>
          <w:rFonts w:ascii="Arial" w:cs="Arial" w:eastAsia="Arial" w:hAnsi="Arial"/>
          <w:sz w:val="16"/>
          <w:szCs w:val="16"/>
          <w:color w:val="auto"/>
        </w:rPr>
        <w:t xml:space="preserve">outstanding options to purchase 13,646 shares of Innovate/Protect capital stock. For an additional discussion of the treatment of Innovate/Protect stock options, see the section entitled “The Merger Agreement — Merger Consideration” beginning on page </w:t>
      </w:r>
      <w:r>
        <w:rPr>
          <w:rFonts w:ascii="Arial" w:cs="Arial" w:eastAsia="Arial" w:hAnsi="Arial"/>
          <w:sz w:val="16"/>
          <w:szCs w:val="16"/>
          <w:u w:val="single" w:color="auto"/>
          <w:color w:val="0000EE"/>
        </w:rPr>
        <w:t>81</w:t>
      </w:r>
      <w:r>
        <w:rPr>
          <w:rFonts w:ascii="Arial" w:cs="Arial" w:eastAsia="Arial" w:hAnsi="Arial"/>
          <w:sz w:val="16"/>
          <w:szCs w:val="16"/>
          <w:color w:val="auto"/>
        </w:rPr>
        <w: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w:t>
      </w:r>
    </w:p>
    <w:p>
      <w:pPr>
        <w:spacing w:after="0" w:line="11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____________, 2012, the latest practicable date before the printing of this proxy statement/prospectus, there was an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warrant to purchase 250,000 shares of Innovate/Protect capital stock. For</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 xml:space="preserve">an additional discussion of the treatment of Innovate/Protect warrants, see the section entitled “The Merger Agreement — Merger Consideration” beginning on page </w:t>
      </w:r>
      <w:r>
        <w:rPr>
          <w:rFonts w:ascii="Arial" w:cs="Arial" w:eastAsia="Arial" w:hAnsi="Arial"/>
          <w:sz w:val="18"/>
          <w:szCs w:val="18"/>
          <w:u w:val="single" w:color="auto"/>
          <w:color w:val="0000EE"/>
        </w:rPr>
        <w:t>81</w:t>
      </w:r>
      <w:r>
        <w:rPr>
          <w:rFonts w:ascii="Arial" w:cs="Arial" w:eastAsia="Arial" w:hAnsi="Arial"/>
          <w:sz w:val="18"/>
          <w:szCs w:val="18"/>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Background of the Merger</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terms of the merger are the result of negotiations that took place between executives and board members of Vringo, executives and board members of Innovate/Protect, partners of Hudson Bay Capital Management LP (“</w:t>
      </w:r>
      <w:r>
        <w:rPr>
          <w:rFonts w:ascii="Arial" w:cs="Arial" w:eastAsia="Arial" w:hAnsi="Arial"/>
          <w:sz w:val="18"/>
          <w:szCs w:val="18"/>
          <w:b w:val="1"/>
          <w:bCs w:val="1"/>
          <w:color w:val="auto"/>
        </w:rPr>
        <w:t>Hudson Bay Capital</w:t>
      </w:r>
      <w:r>
        <w:rPr>
          <w:rFonts w:ascii="Arial" w:cs="Arial" w:eastAsia="Arial" w:hAnsi="Arial"/>
          <w:sz w:val="18"/>
          <w:szCs w:val="18"/>
          <w:color w:val="auto"/>
        </w:rPr>
        <w:t>”), the investment manager for Innovate/Protect’s controlling shareholder, Hudson Bay.</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Vringo’s Background</w:t>
      </w:r>
    </w:p>
    <w:p>
      <w:pPr>
        <w:spacing w:after="0" w:line="114"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Vringo was incorporated in January 2006 and is still a development stage company. Vringo’s principal executive offices are located in New York, New York and its subsidiary, Vringo (Israel) Ltd., is located in Beit Shemesh, Israel. On June 25, 2010, Vringo successfully completed its initial public offering on the NYSE Amex. During the period from February 2011 through the entry into the Merger Agreement, Vringo has explored a number of potential mergers to maximize shareholder value.</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Innovate/Protect’s Background</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Innovate/Protect was incorporated under the laws of the state of Delaware on June 8, 2011 as Labrador Search Corporation. On September 6, 2011, Labrador Search Corporation changed its name to Innovate/Protect, Inc. Innovate/Protect is a holding company, which owns 100% of the issued and outstanding common stock of I/P Engine, Inc. (“</w:t>
      </w:r>
      <w:r>
        <w:rPr>
          <w:rFonts w:ascii="Arial" w:cs="Arial" w:eastAsia="Arial" w:hAnsi="Arial"/>
          <w:sz w:val="17"/>
          <w:szCs w:val="17"/>
          <w:b w:val="1"/>
          <w:bCs w:val="1"/>
          <w:color w:val="auto"/>
        </w:rPr>
        <w:t>I/P Engine</w:t>
      </w:r>
      <w:r>
        <w:rPr>
          <w:rFonts w:ascii="Arial" w:cs="Arial" w:eastAsia="Arial" w:hAnsi="Arial"/>
          <w:sz w:val="17"/>
          <w:szCs w:val="17"/>
          <w:color w:val="auto"/>
        </w:rPr>
        <w:t>”) and I/P Labs,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Engine, the “</w:t>
      </w:r>
      <w:r>
        <w:rPr>
          <w:rFonts w:ascii="Arial" w:cs="Arial" w:eastAsia="Arial" w:hAnsi="Arial"/>
          <w:sz w:val="17"/>
          <w:szCs w:val="17"/>
          <w:b w:val="1"/>
          <w:bCs w:val="1"/>
          <w:color w:val="auto"/>
        </w:rPr>
        <w:t>I/P Subsidiaries</w:t>
      </w:r>
      <w:r>
        <w:rPr>
          <w:rFonts w:ascii="Arial" w:cs="Arial" w:eastAsia="Arial" w:hAnsi="Arial"/>
          <w:sz w:val="17"/>
          <w:szCs w:val="17"/>
          <w:color w:val="auto"/>
        </w:rPr>
        <w:t>”).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Innovate/Protect’s principal offices are located in New York City.</w:t>
      </w:r>
    </w:p>
    <w:p>
      <w:pPr>
        <w:spacing w:after="0" w:line="7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Contemporaneously with the formation of Innovate/Protect, on June 22, 2011, Innovate/Protect consummated a private placement transaction with Hudson Bay whereby Hudson Bay purchased 6,968 shares of Innovate/Protect’s Series A Convertible Preferred Stock for $1,800,000 and a $3,200,000 Senior Secured Note.</w:t>
      </w:r>
    </w:p>
    <w:p>
      <w:pPr>
        <w:spacing w:after="0" w:line="7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Innovate/Protect has raised an aggregate of $5,145,229 through the sale of its common stock to investors other than Hudson Bay pursuant to private placement transactions. On August 31, 2011, Innovate/Protect closed a private placement of 1,250,000 shares of its common stock to an aggregate of five accredited investors for an aggregate purchase price of $1,250,000. 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History of Events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On December 22, 2011, Sander Gerber, Chief Executive Officer of Hudson Bay Capital and a Vringo stockholder, met with John Engelman, a director of Vringo, and at the suggestion of Alexander R. Berger, the Chief Operating Officer and a director of Innovate/Protect, briefly discussed a potential merger between Vringo and Innovate/Protect.</w:t>
      </w:r>
    </w:p>
    <w:p>
      <w:pPr>
        <w:spacing w:after="0" w:line="7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On December 23, 2011, Mr. Engelman provided an introduction between Yoav Roth, a partner of Hudson Bay Capital, the Investment Manager of Hudson Bay, and then-Chairman of Innovate/Protect, and Andrew Perlman, then- President and a director of Vringo.</w:t>
      </w:r>
    </w:p>
    <w:p>
      <w:pPr>
        <w:spacing w:after="0" w:line="7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On January 3, 2012, an introductory meeting took place between Messrs. Roth, Berger and Perlman at Hudson Bay Capital’s offices. The history of Innovate/Protect, mission statement of Innovate/Protect, patent portfolio and outstanding litigation were discussed. Mr. Perlman provided an overview of Vringo’s business,</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organization and current capital structure. As a result of the meeting, Messrs. Perlman, Roth and Berger decided that they would have internal discussions with other members of their respective boards and management regarding next steps and the potential for a future merger.</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On January 4, 2012, Vringo’s board of directors held a call and discussed a number of potential merger scenarios. The board of directors authorized Mr. Perlman to negotiate the terms of a potential deal with Innovate/Protect.</w:t>
      </w:r>
    </w:p>
    <w:p>
      <w:pPr>
        <w:spacing w:after="0" w:line="6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On January 6, 2012, Messrs. Berger and Perlman met at Vringo’s offices to begin discussions on potential merger terms. They were joined by Clifford Weinstein, Vringo’s Executive Vice President, and Andrew K. Lang, the Chief Executive Officer and a director of Innovate/Protect. The framework of a potential merger was discussed and Mr. Perlman was tasked with presenting Innovate/Protect with a term sheet.</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On January 9, 2012, Mr. Perlman sent headline terms to Messrs. Roth and Berger, and held a conference call with Mr. Berger where Innovate/Protect agreed that it would return the previously delivered term sheet with comments and additional points that would be negotiated. Mr. Berger shared the headline terms with the Innovate/Protect board of directors and held informal discussions with each member of the board of directors.</w:t>
      </w:r>
    </w:p>
    <w:p>
      <w:pPr>
        <w:spacing w:after="0" w:line="83"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January 10-12, 2012, a number of additional calls were held while Mr. Perlman was traveling in Asia to discuss additional outstanding deal points. Term sheets were exchanged between Messrs. Berger and Perlman. Mr. Berger indicated that Innovate/Protect would not be able to engage any offer that was not at a premium to Innovate/Protect’s valuation in its most recent round of financing, which was approximately $42 million. At that point the 30-day volume weighted average price of Vringo stock was $1.02.</w:t>
      </w:r>
    </w:p>
    <w:p>
      <w:pPr>
        <w:spacing w:after="0" w:line="8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On January 13, 2012, when Mr. Perlman returned to New York, Messrs. Perlman, Roth and Berger discussed top line deal terms and decided to proceed with planning items relating to the potential merger of Innovate/Protect and Vringo. A number of meetings and calls occurred between Messrs. Perlman, Weinstein, Roth, Berger and Lang, and external counsel and accounting firms Mintz Levin Cohn Ferris Glovsky &amp; Popeo, P.C. (“</w:t>
      </w:r>
      <w:r>
        <w:rPr>
          <w:rFonts w:ascii="Arial" w:cs="Arial" w:eastAsia="Arial" w:hAnsi="Arial"/>
          <w:sz w:val="17"/>
          <w:szCs w:val="17"/>
          <w:b w:val="1"/>
          <w:bCs w:val="1"/>
          <w:color w:val="auto"/>
        </w:rPr>
        <w:t>Mintz</w:t>
      </w:r>
      <w:r>
        <w:rPr>
          <w:rFonts w:ascii="Arial" w:cs="Arial" w:eastAsia="Arial" w:hAnsi="Arial"/>
          <w:sz w:val="17"/>
          <w:szCs w:val="17"/>
          <w:color w:val="auto"/>
        </w:rPr>
        <w:t>”), Somekh Chaikin, a member firm of KPMG International (“</w:t>
      </w:r>
      <w:r>
        <w:rPr>
          <w:rFonts w:ascii="Arial" w:cs="Arial" w:eastAsia="Arial" w:hAnsi="Arial"/>
          <w:sz w:val="17"/>
          <w:szCs w:val="17"/>
          <w:b w:val="1"/>
          <w:bCs w:val="1"/>
          <w:color w:val="auto"/>
        </w:rPr>
        <w:t>KPMG</w:t>
      </w:r>
      <w:r>
        <w:rPr>
          <w:rFonts w:ascii="Arial" w:cs="Arial" w:eastAsia="Arial" w:hAnsi="Arial"/>
          <w:sz w:val="17"/>
          <w:szCs w:val="17"/>
          <w:color w:val="auto"/>
        </w:rPr>
        <w:t>”) and Schulte Roth &amp; Zabel LLP. While top line deal terms appeared agreeable to both sides, details regarding the valuation of warrants that would be issued to Innovate/Protect stockholders and the preferred stock that would be issued to Hudson Bay as merger consideration remained outstanding.</w:t>
      </w:r>
    </w:p>
    <w:p>
      <w:pPr>
        <w:spacing w:after="0" w:line="7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January 18, 2012, Seth M. Siegel, the Chairman of Vringo’s board of directors and Messrs. Engelman and Perlman met with Messrs. Lang and Berger to discuss Innovate/Protect’s business model.</w:t>
      </w:r>
    </w:p>
    <w:p>
      <w:pPr>
        <w:spacing w:after="0" w:line="69"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On January 19, 2012, the Vringo board of directors held a call to review the terms of the Innovate/Protect merger as well as other strategic alternatives. The board of directors concluded that Vringo should move forward with the merger between Innovate/Protect and Vringo, as well as leaving open other potential transactions that might maintain shareholder value.</w:t>
      </w:r>
    </w:p>
    <w:p>
      <w:pPr>
        <w:spacing w:after="0" w:line="62"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On January 19, 2012, the Vringo board of directors held a call to review the terms of the Innovate/Protect merger as well as other strategic alternatives. The board concluded that Vringo should move forward with the merger between Innovate/Protect and Vringo, as well as leaving open other potential transactions that might maintain shareholder value.</w:t>
      </w:r>
    </w:p>
    <w:p>
      <w:pPr>
        <w:spacing w:after="0" w:line="62"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On January 23, 2012, Messrs. Roth, Berger, Perlman and Weinstein met to discuss outstanding items on the term sheet, including the features of the preferred stock that would be issued to Hudson Bay as merger consideration.</w:t>
      </w:r>
    </w:p>
    <w:p>
      <w:pPr>
        <w:spacing w:after="0" w:line="69"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On January 25, 2012, Messrs. Berger, Lang, Perlman and Weinstein met to discuss the capital market strategy should a deal be completed. As part of that strategy discussion the parties met with an analyst from an investment bank for informal advice.</w:t>
      </w:r>
    </w:p>
    <w:p>
      <w:pPr>
        <w:spacing w:after="0" w:line="23"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From January 26 to 28, 2012, the parties engaged in further discussions regarding the features of the warrants that would be issued to Innovate/Protect shareholders as merger consideration, plans for the budget priorities of the combined company, and covenants for uses of cash between the execution of the merger agreement and closing.</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On January 29, 2012, the Vringo board of directors held a call to discuss the Innovate/Protect merger, additional strategic alternatives, as well as the ongoing deal negotiations with another party.</w:t>
      </w:r>
    </w:p>
    <w:p>
      <w:pPr>
        <w:spacing w:after="0" w:line="69"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 xml:space="preserve">On January 30, 2012, the news media reported that Facebook, Inc. intended to file a Form S-1 registration statement with the U.S. Securities and Exchange Commission for its initial public offering, and the website </w:t>
      </w:r>
      <w:r>
        <w:rPr>
          <w:rFonts w:ascii="Arial" w:cs="Arial" w:eastAsia="Arial" w:hAnsi="Arial"/>
          <w:sz w:val="18"/>
          <w:szCs w:val="18"/>
          <w:i w:val="1"/>
          <w:iCs w:val="1"/>
          <w:color w:val="auto"/>
        </w:rPr>
        <w:t>Seeking Alpha</w:t>
      </w:r>
      <w:r>
        <w:rPr>
          <w:rFonts w:ascii="Arial" w:cs="Arial" w:eastAsia="Arial" w:hAnsi="Arial"/>
          <w:sz w:val="18"/>
          <w:szCs w:val="18"/>
          <w:color w:val="auto"/>
        </w:rPr>
        <w:t xml:space="preserve"> published an article entitled “Why Wait for IPO When You Can Buy Facebook’s Friends Today” featuring Vringo. Subsequent to these events, the price of Vringo shares closed at $1.16 per share, $0.165 above the average of the preceding 30 days’ closing prices, which was $0.995. Volume spiked to 1,068,133 shares, over 9.5 times the average trading volume for the preceding 30 days, which was 107,230 shares per day.</w:t>
      </w:r>
    </w:p>
    <w:p>
      <w:pPr>
        <w:spacing w:after="0" w:line="8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On January 31, 2012, Mr. Berger and Ms. Cohl participated in a teleconference with KPMG who performed the financial due diligence of Innovate/Protect for Vringo.</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February 2, 2012, the Vringo board of directors held a call to discuss the current increase in the company’s market capitalization. The board chose to explore its ability to raise capital while continuing its merger talks.</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On February 3, 2012, Messrs. Berger and Perlman traveled to Washington, DC for legal due diligence. They were accompanied by Vringo’s intellectual property counsel from Mintz. At market close, shares of Vringo were priced at $1.76 per share. Later in the day, the Innovate/Protect held an board call.</w:t>
      </w:r>
    </w:p>
    <w:p>
      <w:pPr>
        <w:spacing w:after="0" w:line="78"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On February 5, 2012, the Vringo board of directors held a call to discuss its options given the high trading volume of its stock and its increase in price. Upon the recommendation of management, the board of directors agreed that the best way to ensure value for its shareholders would be to terminate all merger discussions to negotiate with its warrantholders and improve the financial condition of the company.</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February 6, 2012, Mr. Perlman notified Messrs. Berger and Roth of Vringo’s decision to terminate merger discussions.</w:t>
      </w:r>
    </w:p>
    <w:p>
      <w:pPr>
        <w:spacing w:after="0" w:line="137"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On February 6, 2012, Vringo attained one million downloads of its flagship </w:t>
      </w:r>
      <w:r>
        <w:rPr>
          <w:rFonts w:ascii="Arial" w:cs="Arial" w:eastAsia="Arial" w:hAnsi="Arial"/>
          <w:sz w:val="17"/>
          <w:szCs w:val="17"/>
          <w:i w:val="1"/>
          <w:iCs w:val="1"/>
          <w:color w:val="auto"/>
        </w:rPr>
        <w:t>Facetones</w:t>
      </w:r>
      <w:r>
        <w:rPr>
          <w:rFonts w:ascii="Arial" w:cs="Arial" w:eastAsia="Arial" w:hAnsi="Arial"/>
          <w:sz w:val="17"/>
          <w:szCs w:val="17"/>
          <w:color w:val="auto"/>
        </w:rPr>
        <w:t xml:space="preserve"> application. Following the release of this news, Vringo traded over 4.8 million shares. Messrs. Perlman and Weinstein proceeded to discuss with certain holders of its $0.936 warrants to exercise their warrants by offering them new five-year warrants exercisable for $1.76 per share. As a result of these warrant exercises, Vringo raised $3.6 million through the exercise of 3,828,993 warrants. New warrants to purchase 2,660,922 shares of common stock were issued between February 6 and February 9, 2012.</w:t>
      </w:r>
    </w:p>
    <w:p>
      <w:pPr>
        <w:spacing w:after="0" w:line="6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On February 10, 2012, Mr. Berger approached Mr. Perlman about reengaging in potential merger talks. Messrs. Perlman and Weinstein discussed with Messrs. Lang and Berger that as a result of Vringo’s increased cash position, higher share price and trading volume a number of alternatives had become available to the company and it was unclear if they could proceed at that point.</w:t>
      </w:r>
    </w:p>
    <w:p>
      <w:pPr>
        <w:spacing w:after="0" w:line="83"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On February 13, 2012 Josh Wolff was travelling in New York and at the request of Mr. Perlman met with Mr. Lang to discuss the potential strategic directions for the existing Vringo business. While this meeting occurred Messrs. Perlman and Weinstein received an update on Innovate Protect’s progress from Mr. Berger.</w:t>
      </w:r>
    </w:p>
    <w:p>
      <w:pPr>
        <w:spacing w:after="0" w:line="78"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On February 15, 2012, Messrs. Roth, Lang and Berger invited Messrs. Perlman and Weinstein to Hudson Bay Capital’s offices to discuss new deal terms. Mr. Perlman indicated the number of shares it would issue to Innovate/Protect would be reduced from its previous offer. Mr. Berger indicated that in the period of time in which negotiations had been terminated, the value of Innovate/Protect had increased due to a number of factors, including: (i) Innovate/Protect had received a scheduling order in I/P Engine’s litigation, (ii) David Cohen had joined Innovate/Protect as special counsel, and (iii) Innovate/Protect had been approached by at least one other company interested in acquiring it. As a result of the meeting, Mr. Berger sent Mr. Perlman a new draft term sheet and further negotiations continued through February 18, 2012 when a confidential non-binding term sheet between the parties was agreed to pending approval by the Vringo and Innovate/Protect board of directors.</w:t>
      </w:r>
    </w:p>
    <w:p>
      <w:pPr>
        <w:spacing w:after="0" w:line="6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February 18, 2012, Messrs. Lang, Berger, Perlman and Weinstein met at Vringo’s offices to discuss plans for the merger, including mutual due diligence.</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February 21, 2012, Messrs. Berger and Perlman addressed additional concerns regarding the term sheet.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February 22, 2012, Messrs. Berger and Weinstein met and discussed strategies for the joint business.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On February 23, 2012, Vringo’s board of directors held a board meeting to approve the terms set forth in the proposed confidential non-binding term sheet. The Vringo board of directors gave Mr. Perlman the authorization to move forward under the terms of the deal.</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On February 23, 2012, Innovate/Protect’s board of directors adopted a resolution by written consent to establish an independent committee to conduct due diligence and report to the full board of directors of Innovate/Protect.</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From February 24-28, 2012, the parties engaged in mutual due diligence, drafted and negotiated the definitive merger agreement and related documents.</w:t>
      </w:r>
    </w:p>
    <w:p>
      <w:pPr>
        <w:spacing w:after="0" w:line="69"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On February 29, 2012, Messrs. Berger, Cohen, Perlman and Weinstein traveled to Washington, D.C. for meetings, which included meetings with Donald Stout and H. Van Sinclair, members of the Innovate/Protect board of directors and with counsel.</w:t>
      </w:r>
    </w:p>
    <w:p>
      <w:pPr>
        <w:spacing w:after="0" w:line="2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March 5, 2012, Mr. Perlman held a call with Vringo’s director Philip Serlin and separately an in person meeting with Geoffrey Skolnik.</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March 7, 2012, Mr. Perlman held a call with Messrs. Engelman and Siegel to update them on the progress of the transaction.</w:t>
      </w:r>
    </w:p>
    <w:p>
      <w:pPr>
        <w:spacing w:after="0" w:line="13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On March 7, 2012, the Vringo board of directors held a conference call to discuss outstanding issues relating to the definitive agreement, including break-up fees. In addition, the Vringo board of directors provided the authorization to retain Etico Capital to render an opinion whether the Merger consideration was fair, from a financial point of view, to the stockholders of Vringo. Vringo’s board of directors retained Etico Capital on March 7, 2012.</w:t>
      </w:r>
    </w:p>
    <w:p>
      <w:pPr>
        <w:spacing w:after="0" w:line="8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March 8, 2012, Messrs. Berger, Roth, Gerber, Engelman and Perlman met at Hudson Bay Capital’s offices to discuss number of outstanding issues.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Drafting of the definitive merger agreement and related documents continued through March 8 and 9, 2012.</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On Sunday, March 11, 2012, the Vringo board of directors held a telephonic board meeting where it reviewed a presentation and the draft fairness opinion provided by Etico Capital and considered the approval of the final terms and conditions of the merger agreement. The fairness opinion was based on the assumptions, qualifications and limitations set forth in their written fairness opinion, the merger consideration to be issued by Vringo in connection with the merger was fair, from a financial point of view, to the stockholders of Vringo (other than those who own, or whose affiliates own, securites of Innovate/Protect, regarding which Etico Capital expressed no view). The Vringo board of directors approved and adopted, by a unanimous vote, the merger agreement and the merger and declared the merger agreement and the merger to be advisable, fair to, and in the best interests of Vringo and its stockholders and recommended that the Vringo stockholders vote in favor of the merger agreement and the merger.</w:t>
      </w:r>
    </w:p>
    <w:p>
      <w:pPr>
        <w:spacing w:after="0" w:line="6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On Monday, March 12, 2012, Etico Capital delivered its final fairness opinion which was circulated to the Vringo board of directors. Messrs. Berger, Perlman and Weinstein met at Mintz’s offices, each with counsel, to complete all outstanding items. Vringo counsel and Mr. Perlman consulted with Mr. Engelman on a number of issues throughout the day with Ms. Cohl participating in a number of calls. The day concluded with the parties signing the definitive merger agreement and the related documents, which the parties announced via a joint press release, followed by a joint conference call to answer initial questions from investors and analysts on March 14, 2012.</w:t>
      </w:r>
    </w:p>
    <w:p>
      <w:pPr>
        <w:spacing w:after="0" w:line="8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On April 4, 2012, Vringo, Merger Sub and Innovate/Protect consented and agreed to modify the requirement that the Registration Statement containing the proxy statement be filed with the SEC from 15 business days from the date of the Merger Agreement to 19 business days from the date of the Merger</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2" w:lineRule="auto"/>
        <w:rPr>
          <w:sz w:val="20"/>
          <w:szCs w:val="20"/>
          <w:color w:val="auto"/>
        </w:rPr>
      </w:pPr>
      <w:r>
        <w:rPr>
          <w:rFonts w:ascii="Arial" w:cs="Arial" w:eastAsia="Arial" w:hAnsi="Arial"/>
          <w:sz w:val="17"/>
          <w:szCs w:val="17"/>
          <w:color w:val="auto"/>
        </w:rPr>
        <w:t>Agreement. In addition, the parties agreed to clarify that the exchange ratios and shares issuable in connection with the Merger shall be equitably adjusted to reflect the reverse stock split, if any, and the aggregate number of shares of Vringo common stock and the aggregate number of warrants (and the aggregate number of shares of Vringo common stock that may be purchased upon exercise thereof) to be issued in exchange for the Innovate/Protect warrant shall each be ratably adjusted to give effect to any partial exercise of the Innovate/Protect warrant prior to the effective time of the Merger.</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Recommendations of the Vringo Board of Directors and its Reasons for the Merger</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Vringo board of directors, after considering the factors described below, (i) has determined that the Merger Agreement and the transactions contemplated thereby, including the Merger, are advisable and fair to, and in the best interests of, Vringo and its stockholders, (ii) has approved the Merger Agreement and each of the amendments to Vringo’s Certificate, and (iii) recommends that the Vringo stockholders vote FOR the Vringo Merger Proposals. The board of directors made its recommendation to the Vringo stockholders after considering the factors described in this proxy statement/prospectus. The Vringo board of directors consulted with Vringo’s senior management in evaluating the Merger. In addition, the Vringo board of directors considered a number of factors that they believed supported their respective decisions to take the foregoing actions, including, but not limited to, the following:</w:t>
      </w:r>
    </w:p>
    <w:p>
      <w:pPr>
        <w:spacing w:after="0" w:line="86" w:lineRule="exact"/>
        <w:rPr>
          <w:sz w:val="20"/>
          <w:szCs w:val="20"/>
          <w:color w:val="auto"/>
        </w:rPr>
      </w:pPr>
    </w:p>
    <w:p>
      <w:pPr>
        <w:jc w:val="both"/>
        <w:ind w:left="600" w:right="619" w:hanging="328"/>
        <w:spacing w:after="0" w:line="259"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belief that the combination of Vringo’s and Innovate/Protect’s businesses would create more value for the Vringo stockholders in the long-term than Vringo could create as a stand-alone business given the challenges in its business and those presented by a volatile economy;</w:t>
      </w:r>
    </w:p>
    <w:p>
      <w:pPr>
        <w:spacing w:after="0" w:line="7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Vringo board of directors’ consideration of strategic alternatives to the Merger or continuing to operate Vringo on a stand-alone basis;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opportunity for the Vringo stockholders to participate in the potential future value of the combined company;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consideration of Vringo short- and long-term performance on a stand-alone basis;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belief that the Merger is more favorable to the Vringo stockholders than the alternatives to the Merger;</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terms and conditions of the Merger Agreement, including, but not limited to, the closing condition with respect to the Litigation;</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fairness opinion of Etico Capital;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likelihood that the Merger will be completed on a timely basis; and</w:t>
      </w:r>
    </w:p>
    <w:p>
      <w:pPr>
        <w:spacing w:after="0" w:line="113"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fact that the Common Stock Exchange Ratio will not fluctuate based upon changes in the price of Vringo common stock or the value of Innovate/Protect capital stock prior to the completion of the Merger, which protects the Vringo stockholders from any materially negative trends in the price of Vringo common stock.</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Vringo board of directors also considered a number of potentially negative factors in its deliberations concerning the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Merger, including:</w:t>
      </w:r>
    </w:p>
    <w:p>
      <w:pPr>
        <w:spacing w:after="0" w:line="101" w:lineRule="exact"/>
        <w:rPr>
          <w:sz w:val="20"/>
          <w:szCs w:val="20"/>
          <w:color w:val="auto"/>
        </w:rPr>
      </w:pPr>
    </w:p>
    <w:p>
      <w:pPr>
        <w:ind w:left="600" w:hanging="32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general challenges associated with successfully integrating two companies;</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failure to integrate successfully the businesses of Vringo and Innovate/Protect in the expected timeframe could adversely affect the combined company’s future results following the completion of the Merger;</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 that Innovate/Protect will be unable to achieve a positive verdict or settlement in the Litigation;</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possible volatility, at least in the short term, of the trading price of Vringo common stock resulting from the public announcement of the Merger;</w:t>
      </w: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0" w:right="639" w:hanging="328"/>
        <w:spacing w:after="0" w:line="300" w:lineRule="auto"/>
        <w:tabs>
          <w:tab w:leader="none" w:pos="6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announcement and pendency of the Merger could have an adverse effect on Vringo’s stock price and/or the business, financial condition, results of operations, or business prospects for Vringo and/or Innovate/Protect;</w:t>
      </w:r>
    </w:p>
    <w:p>
      <w:pPr>
        <w:spacing w:after="0" w:line="45" w:lineRule="exact"/>
        <w:rPr>
          <w:rFonts w:ascii="Arial" w:cs="Arial" w:eastAsia="Arial" w:hAnsi="Arial"/>
          <w:sz w:val="17"/>
          <w:szCs w:val="17"/>
          <w:color w:val="auto"/>
        </w:rPr>
      </w:pPr>
    </w:p>
    <w:p>
      <w:pPr>
        <w:ind w:left="600" w:hanging="32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potential loss of key employees critical to the ongoing success of the combined company’s business;</w:t>
      </w:r>
    </w:p>
    <w:p>
      <w:pPr>
        <w:spacing w:after="0" w:line="113"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the interests of Vringo directors and executive officers in the Merger, including the matters described under the section entitled “The Merger — Interests of Vringo Directors and Executive Officers in the Merger” beginning on page </w:t>
      </w:r>
      <w:r>
        <w:rPr>
          <w:rFonts w:ascii="Arial" w:cs="Arial" w:eastAsia="Arial" w:hAnsi="Arial"/>
          <w:sz w:val="16"/>
          <w:szCs w:val="16"/>
          <w:u w:val="single" w:color="auto"/>
          <w:color w:val="0000EE"/>
        </w:rPr>
        <w:t>73</w:t>
      </w:r>
      <w:r>
        <w:rPr>
          <w:rFonts w:ascii="Arial" w:cs="Arial" w:eastAsia="Arial" w:hAnsi="Arial"/>
          <w:sz w:val="16"/>
          <w:szCs w:val="16"/>
          <w:color w:val="auto"/>
        </w:rPr>
        <w:t>;</w:t>
      </w:r>
    </w:p>
    <w:p>
      <w:pPr>
        <w:spacing w:after="0" w:line="22" w:lineRule="exact"/>
        <w:rPr>
          <w:rFonts w:ascii="Arial" w:cs="Arial" w:eastAsia="Arial" w:hAnsi="Arial"/>
          <w:sz w:val="16"/>
          <w:szCs w:val="16"/>
          <w:color w:val="auto"/>
        </w:rPr>
      </w:pPr>
    </w:p>
    <w:p>
      <w:pPr>
        <w:ind w:left="600" w:right="639" w:hanging="328"/>
        <w:spacing w:after="0" w:line="270"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impact of certain deal protection measures contained in the Merger Agreement on Vringo, its business and operation, including the restrictions on Vringo’s ability to solicit better offers;</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risk that conditions to the completion of the Merger will not be satisfied and that the Merger may not be completed in a timely manner or at all;</w:t>
      </w:r>
    </w:p>
    <w:p>
      <w:pPr>
        <w:spacing w:after="0" w:line="6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ability of Innovate/Protect’s current stockholders and board members to significantly influence the combined company’s business following the completion of the Merger;</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ability of Innovate/Protect to terminate the Merger Agreement for any reason;</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requirement that Vringo receive approval from NYSE Amex for the listing of Vringo’s common stock to be issued in connection with the Merger; and</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other risks described above under the section entitled “Risk Factors” beginning on page </w:t>
      </w:r>
      <w:r>
        <w:rPr>
          <w:rFonts w:ascii="Arial" w:cs="Arial" w:eastAsia="Arial" w:hAnsi="Arial"/>
          <w:sz w:val="18"/>
          <w:szCs w:val="18"/>
          <w:u w:val="single" w:color="auto"/>
          <w:color w:val="0000EE"/>
        </w:rPr>
        <w:t>38</w:t>
      </w:r>
      <w:r>
        <w:rPr>
          <w:rFonts w:ascii="Arial" w:cs="Arial" w:eastAsia="Arial" w:hAnsi="Arial"/>
          <w:sz w:val="18"/>
          <w:szCs w:val="18"/>
          <w:color w:val="auto"/>
        </w:rPr>
        <w:t>.</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This discussion of the information and factors considered by the Vringo board of directors is not intended to be exhaustive but is intended to summarize all material factors considered by the Vringo board of directors in connection with its approval and recommendation of the Merger and the other related transactions described in this proxy statement/prospectus. In view of the wide variety of factors considered, Vringo board of directors has not found it practicable to quantify or otherwise assign relative weights to the specific factors considered. However, the Vringo board of directors concluded that the potential benefits of the Merger outweighed the potential negative factors and that, overall, the Merger had greater potential benefits for the Vringo stockholders than other strategic alternatives, including continuing to operate Vringo as a stand-alone publicly traded company on the NYSE Amex. Therefore, after taking into account all of the factors set forth above, the Vringo board of directors determined that the Merger Agreement and the transactions contemplated thereby, including the Merger, are advisable and fair to, and in the best interests of, Vringo and its stockholders and that Vringo should enter into the Merger Agreement and take all actions necessary to complete the Merger.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of Etico Capital to the Vringo Board of Directors</w:t>
      </w:r>
    </w:p>
    <w:p>
      <w:pPr>
        <w:spacing w:after="0" w:line="118"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board of directors of Vringo engaged Etico Capital to provide a fairness opinion to the board of directors.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60" w:lineRule="exact"/>
        <w:rPr>
          <w:sz w:val="20"/>
          <w:szCs w:val="20"/>
          <w:color w:val="auto"/>
        </w:rPr>
      </w:pPr>
    </w:p>
    <w:p>
      <w:pPr>
        <w:jc w:val="both"/>
        <w:ind w:left="40" w:right="619" w:firstLine="267"/>
        <w:spacing w:after="0" w:line="291" w:lineRule="auto"/>
        <w:rPr>
          <w:sz w:val="20"/>
          <w:szCs w:val="20"/>
          <w:color w:val="auto"/>
        </w:rPr>
      </w:pPr>
      <w:r>
        <w:rPr>
          <w:rFonts w:ascii="Arial" w:cs="Arial" w:eastAsia="Arial" w:hAnsi="Arial"/>
          <w:sz w:val="16"/>
          <w:szCs w:val="16"/>
          <w:b w:val="1"/>
          <w:bCs w:val="1"/>
          <w:color w:val="auto"/>
        </w:rPr>
        <w:t xml:space="preserve">The full text of the written opinion, dated as of March 12, 2012, of Etico Capital is attached as </w:t>
      </w:r>
      <w:r>
        <w:rPr>
          <w:rFonts w:ascii="Arial" w:cs="Arial" w:eastAsia="Arial" w:hAnsi="Arial"/>
          <w:sz w:val="16"/>
          <w:szCs w:val="16"/>
          <w:b w:val="1"/>
          <w:bCs w:val="1"/>
          <w:u w:val="single" w:color="auto"/>
          <w:color w:val="auto"/>
        </w:rPr>
        <w:t>Annex H</w:t>
      </w:r>
      <w:r>
        <w:rPr>
          <w:rFonts w:ascii="Arial" w:cs="Arial" w:eastAsia="Arial" w:hAnsi="Arial"/>
          <w:sz w:val="16"/>
          <w:szCs w:val="16"/>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39"/>
        <w:spacing w:after="0" w:line="291" w:lineRule="auto"/>
        <w:rPr>
          <w:sz w:val="20"/>
          <w:szCs w:val="20"/>
          <w:color w:val="auto"/>
        </w:rPr>
      </w:pPr>
      <w:r>
        <w:rPr>
          <w:rFonts w:ascii="Arial" w:cs="Arial" w:eastAsia="Arial" w:hAnsi="Arial"/>
          <w:sz w:val="16"/>
          <w:szCs w:val="16"/>
          <w:b w:val="1"/>
          <w:bCs w:val="1"/>
          <w:color w:val="auto"/>
        </w:rPr>
        <w:t>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rendering its opinion and performing its related financial analysis, Etico Capital, among other things:</w:t>
      </w:r>
    </w:p>
    <w:p>
      <w:pPr>
        <w:spacing w:after="0" w:line="125" w:lineRule="exact"/>
        <w:rPr>
          <w:sz w:val="20"/>
          <w:szCs w:val="20"/>
          <w:color w:val="auto"/>
        </w:rPr>
      </w:pPr>
    </w:p>
    <w:p>
      <w:pPr>
        <w:ind w:left="600" w:right="639" w:hanging="328"/>
        <w:spacing w:after="0" w:line="300" w:lineRule="auto"/>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reviewed a draft, dated March 10, 2012, of the Merger Agreement and the exhibits thereto, which, for the purposes of its opinion, Etico Capital assumed to be, in all material respects, identical to the Merger Agreement as entered into;</w:t>
      </w:r>
    </w:p>
    <w:p>
      <w:pPr>
        <w:spacing w:after="0" w:line="45" w:lineRule="exact"/>
        <w:rPr>
          <w:rFonts w:ascii="Arial" w:cs="Arial" w:eastAsia="Arial" w:hAnsi="Arial"/>
          <w:sz w:val="17"/>
          <w:szCs w:val="17"/>
          <w:color w:val="auto"/>
        </w:rPr>
      </w:pPr>
    </w:p>
    <w:p>
      <w:pPr>
        <w:ind w:left="600" w:right="639" w:hanging="328"/>
        <w:spacing w:after="0" w:line="270"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the audited financial statements of Vringo as of and for the year ended December 31, 2010 and unaudited financial statements of Vringo as of and for the three and nine months ended September 30, 2011;</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the audited financial statements of Innovate/Protect for the period from June 8, 2011 (inception) to and as of December 31, 2011;</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volumes of Vringo common stock;</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held discussions with the senior management of Vringo with respect to the business and prospects of Vringo and Innovate/Protect and the reasons for the Merger;</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data for companies that Etico Capital deemed relevant in evaluating Vringo and Innovate/Protect;</w:t>
      </w:r>
    </w:p>
    <w:p>
      <w:pPr>
        <w:spacing w:after="0" w:line="68" w:lineRule="exact"/>
        <w:rPr>
          <w:rFonts w:ascii="Arial" w:cs="Arial" w:eastAsia="Arial" w:hAnsi="Arial"/>
          <w:sz w:val="18"/>
          <w:szCs w:val="18"/>
          <w:color w:val="auto"/>
        </w:rPr>
      </w:pPr>
    </w:p>
    <w:p>
      <w:pPr>
        <w:ind w:left="600" w:right="639" w:hanging="328"/>
        <w:spacing w:after="0" w:line="300" w:lineRule="auto"/>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information for certain similar transactions in evaluating the Merger consideration and the reported prices and historical trading activities of the securities of such companies; and</w:t>
      </w:r>
    </w:p>
    <w:p>
      <w:pPr>
        <w:spacing w:after="0" w:line="45" w:lineRule="exact"/>
        <w:rPr>
          <w:rFonts w:ascii="Arial" w:cs="Arial" w:eastAsia="Arial" w:hAnsi="Arial"/>
          <w:sz w:val="17"/>
          <w:szCs w:val="17"/>
          <w:color w:val="auto"/>
        </w:rPr>
      </w:pPr>
    </w:p>
    <w:p>
      <w:pPr>
        <w:ind w:left="600" w:right="619" w:hanging="328"/>
        <w:spacing w:after="0" w:line="270"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Etico Capital deemed appropriate.</w:t>
      </w:r>
    </w:p>
    <w:p>
      <w:pPr>
        <w:spacing w:after="0" w:line="69"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In rendering its opinion, Etico Capital relied upon and assumed, without independent verification or investigation, the accuracy and completeness of all of the financial and other information provided to or discussed with it by Vringo, Innovate/Protect and their respective employees, legal counsel, representatives and affiliates or otherwise reviewed by Etico Capital. No forecast or projections of financial performance or results of operations or of the financial condition of Vringo, Innovate/Protect or of the combined company were supplied to Etico Capital. Moreover, Etico Capital did not value or consider the anti-dilution or other terms or rights of securities to be issued as part of the Merger consideration which may be superior to the rights of the holders of Vringo common stock. Etico Capital did not make nor obtain any independent evaluations or appraisals of the assets or liabilities, contingent or otherwise, of Vringo or Innovate/Protect. Etico Capital also, at the direction and consent of Vringo, did not, and did not seek to: (a) independently value US patent numbers 6,314,420 and 6,775,664 (the “</w:t>
      </w:r>
      <w:r>
        <w:rPr>
          <w:rFonts w:ascii="Arial" w:cs="Arial" w:eastAsia="Arial" w:hAnsi="Arial"/>
          <w:sz w:val="16"/>
          <w:szCs w:val="16"/>
          <w:b w:val="1"/>
          <w:bCs w:val="1"/>
          <w:color w:val="auto"/>
        </w:rPr>
        <w:t>Patents</w:t>
      </w:r>
      <w:r>
        <w:rPr>
          <w:rFonts w:ascii="Arial" w:cs="Arial" w:eastAsia="Arial" w:hAnsi="Arial"/>
          <w:sz w:val="16"/>
          <w:szCs w:val="16"/>
          <w:color w:val="auto"/>
        </w:rPr>
        <w:t xml:space="preserve">”) acquired by Innovate/Protect in June 2011 or (b) determine the likelihood of success, the amount of damages, if any, that may be recovered, nor the timing and cost (and whether the combined company has or will have adequate resources, financial or otherwise, to prosecute) the Litigation initiated by Innovate/Protect, in which Innovate/Protect alleges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infringement of the Patents by the defendants named therein. At the direction and with the consent of Vringo, Etico Capital also assumed that the Merger will qualify for federal income tax purposes as a “reorganization” within the meaning of Section 368(a) of the Code.</w:t>
      </w:r>
    </w:p>
    <w:p>
      <w:pPr>
        <w:spacing w:after="0" w:line="6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Etico Capital also assumed, with the consent of Vringo, that (a) all representations and warranties of each party contained in the Merger Agreement are true and correct, (b) each party will perform all of the covenants and agreements to be performed by it pursuant to the Merger Agreement and (c) the Merger will be</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97" w:lineRule="auto"/>
        <w:rPr>
          <w:sz w:val="20"/>
          <w:szCs w:val="20"/>
          <w:color w:val="auto"/>
        </w:rPr>
      </w:pPr>
      <w:r>
        <w:rPr>
          <w:rFonts w:ascii="Arial" w:cs="Arial" w:eastAsia="Arial" w:hAnsi="Arial"/>
          <w:sz w:val="16"/>
          <w:szCs w:val="16"/>
          <w:color w:val="auto"/>
        </w:rPr>
        <w:t>consummated in accordance with the terms of the draft Merger Agreement reviewed by it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Innovate/Protect.</w:t>
      </w:r>
    </w:p>
    <w:p>
      <w:pPr>
        <w:spacing w:after="0" w:line="52"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Etico Capital’s opinion relates to the relative values of Vringo and Innovate/Protect. Etico Capital did not express any opinion as to the underlying valuation, future performance or long term viability of Vringo or the combined company, the actual value of Vringo common stock when issued in the Merger or the price at which Vringo common stock will trade at any time. Etico Capital expressed no view as to, and its opinion does not address, any terms or other aspects or implications of the Merger (other than the consideration to be paid by Vringo in the Merger to the extent expressly specified in its opinion)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Innovate/Protect, the existence or lack of conflicts of interest between officers, directors, employees and stockholders of Vringo and Innovate/Protect or the class of such persons, whether relative to the Merger or otherwise.</w:t>
      </w:r>
    </w:p>
    <w:p>
      <w:pPr>
        <w:spacing w:after="0" w:line="6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addition, Etico Capital expressed no view as to, and its opinion does not address, the underlying business decision of Vringo to proceed with or effect the Merger nor does its opinion address the relative merits of the Merger as compared to any alternative business strategies that might exist for Vringo or the effect of any other transaction in which Vringo might engage. Etico Capital relied, without independent verification, upon the views of management of Vringo concerning the business, operational and strategic benefits and implications of the Merger. In connection with its engagement, Etico Capital was not requested to, and it did not, solicit third party indications of interest in possible alternative transactions for Vringo. Etico Capital did not otherwise participate in the origination, negotiation or structuring of the Merger or in the transaction process.</w:t>
      </w:r>
    </w:p>
    <w:p>
      <w:pPr>
        <w:spacing w:after="0" w:line="7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Etico Capital was not asked to pass upon, and expressed no opinion with respect to, any matters, including any agreements between Vringo and Innovate/Protect or any of their respective affiliates, other than the fairness from a financial point of view of the Merger consideration to holders of Vringo common stock (other than those who own, or whose affiliates own, securities of Innovate/Protect).</w:t>
      </w:r>
    </w:p>
    <w:p>
      <w:pPr>
        <w:spacing w:after="0" w:line="83"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Etico Capital has not conducted, nor has Etico Capital assumed any obligation to conduct, any physical inspection of the properties or facilities of Vringo or Innovate/Protect. Etico Capital assumed, with the consent of the Vringo board of directors, that there are no legal issues with regard to Vringo or Innovate/Protect that would affect its opinion, and Etico Capital relied on this assumption without undertaking any independent investigation or inquiry. Etico Capital’s opinion is necessarily based on the information available to it and general economic, financial and stock market conditions and circumstances as they existed and could be evaluated by it on March 12, 2012. It should be understood that, although subsequent developments may affect its opinion, Etico Capital does not have any obligation to update, revise or reaffirm the opinion.</w:t>
      </w:r>
    </w:p>
    <w:p>
      <w:pPr>
        <w:spacing w:after="0" w:line="76"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following is a summary explanation of the various sources of information and valuation methodologies employed by Etico Capital in rendering its opinion. These analyses were provided to the Vringo board of directors at its meeting on March 11, 2012. There were no material changes to these analyses prior to March 12, 2012. This summary describes the financial analyses used by Etico Capital and deemed to be material, but does not purport to be a complete description of the analyses performed by Etico Capital in arriving at its opinion. Etico Capital did not explicitly assign any relative weights to the various factors or analyses considered. The summary of financial analyses includes information presented in tabular format. In order to fully understand the financial analyses used by Etico Capital, the tables must be read together with the text of each summary. The tables alone do not constitute a complete description of the financial analyses.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purposes of its analysis, Etico Capital evaluated each of Vringo and Innovate/Protect on a standalone basis.</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2" w:name="page83"/>
    <w:bookmarkEnd w:id="8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Vringo Valuation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Comparable Companies Analysis</w:t>
      </w:r>
    </w:p>
    <w:p>
      <w:pPr>
        <w:spacing w:after="0" w:line="118" w:lineRule="exact"/>
        <w:rPr>
          <w:sz w:val="20"/>
          <w:szCs w:val="20"/>
          <w:color w:val="auto"/>
        </w:rPr>
      </w:pPr>
    </w:p>
    <w:p>
      <w:pPr>
        <w:jc w:val="both"/>
        <w:ind w:left="60" w:right="639" w:firstLine="267"/>
        <w:spacing w:after="0" w:line="292" w:lineRule="auto"/>
        <w:rPr>
          <w:sz w:val="20"/>
          <w:szCs w:val="20"/>
          <w:color w:val="auto"/>
        </w:rPr>
      </w:pPr>
      <w:r>
        <w:rPr>
          <w:rFonts w:ascii="Arial" w:cs="Arial" w:eastAsia="Arial" w:hAnsi="Arial"/>
          <w:sz w:val="16"/>
          <w:szCs w:val="16"/>
          <w:color w:val="auto"/>
        </w:rPr>
        <w:t>Etico Capital compared Vringo to a group of comparable public companies that Etico Capital deemed comparable to Vringo’s limited universe. Etico Capital selected public companies competing in the mobile solutions industry with enterprise values ranging from $3.3 million to $901.0 million, with revenues for the trailing twelve months that were publicly available at the time of the analysis of between $.6 million and $138.0 million and with EBITDA (defined below) for the trailing twelve months that were publicly available at the time of the analysis of between a negative $12.0 million and a positive $31.0 million.</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comparable companies were:</w:t>
      </w:r>
    </w:p>
    <w:p>
      <w:pPr>
        <w:spacing w:after="0" w:line="114" w:lineRule="exact"/>
        <w:rPr>
          <w:sz w:val="20"/>
          <w:szCs w:val="20"/>
          <w:color w:val="auto"/>
        </w:rPr>
      </w:pPr>
    </w:p>
    <w:p>
      <w:pPr>
        <w:ind w:left="620" w:hanging="328"/>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BroadSoft,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Dynavox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Glu Mobile,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LiveWire Mobile,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Macrosolve,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Motricity, Inc.</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Etico Capital considered:</w:t>
      </w:r>
    </w:p>
    <w:p>
      <w:pPr>
        <w:spacing w:after="0" w:line="110" w:lineRule="exact"/>
        <w:rPr>
          <w:sz w:val="20"/>
          <w:szCs w:val="20"/>
          <w:color w:val="auto"/>
        </w:rPr>
      </w:pPr>
    </w:p>
    <w:p>
      <w:pPr>
        <w:ind w:left="620" w:right="639" w:hanging="328"/>
        <w:spacing w:after="0" w:line="275" w:lineRule="auto"/>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ratio of equity market capitalization, adjusted for cash and debt when appropriate, to reflect enterprise value (“</w:t>
      </w:r>
      <w:r>
        <w:rPr>
          <w:rFonts w:ascii="Arial" w:cs="Arial" w:eastAsia="Arial" w:hAnsi="Arial"/>
          <w:sz w:val="18"/>
          <w:szCs w:val="18"/>
          <w:b w:val="1"/>
          <w:bCs w:val="1"/>
          <w:color w:val="auto"/>
        </w:rPr>
        <w:t>EV</w:t>
      </w:r>
      <w:r>
        <w:rPr>
          <w:rFonts w:ascii="Arial" w:cs="Arial" w:eastAsia="Arial" w:hAnsi="Arial"/>
          <w:sz w:val="18"/>
          <w:szCs w:val="18"/>
          <w:color w:val="auto"/>
        </w:rPr>
        <w:t>”) to earnings before interest, taxes, depreciation and amortization (“</w:t>
      </w:r>
      <w:r>
        <w:rPr>
          <w:rFonts w:ascii="Arial" w:cs="Arial" w:eastAsia="Arial" w:hAnsi="Arial"/>
          <w:sz w:val="18"/>
          <w:szCs w:val="18"/>
          <w:b w:val="1"/>
          <w:bCs w:val="1"/>
          <w:color w:val="auto"/>
        </w:rPr>
        <w:t>EBITDA</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620" w:hanging="328"/>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ratio of market price to earnings (“</w:t>
      </w:r>
      <w:r>
        <w:rPr>
          <w:rFonts w:ascii="Arial" w:cs="Arial" w:eastAsia="Arial" w:hAnsi="Arial"/>
          <w:sz w:val="18"/>
          <w:szCs w:val="18"/>
          <w:b w:val="1"/>
          <w:bCs w:val="1"/>
          <w:color w:val="auto"/>
        </w:rPr>
        <w:t>P/E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ratio of equity market capitalization to book value (“</w:t>
      </w:r>
      <w:r>
        <w:rPr>
          <w:rFonts w:ascii="Arial" w:cs="Arial" w:eastAsia="Arial" w:hAnsi="Arial"/>
          <w:sz w:val="18"/>
          <w:szCs w:val="18"/>
          <w:b w:val="1"/>
          <w:bCs w:val="1"/>
          <w:color w:val="auto"/>
        </w:rPr>
        <w:t>P/Book</w:t>
      </w:r>
      <w:r>
        <w:rPr>
          <w:rFonts w:ascii="Arial" w:cs="Arial" w:eastAsia="Arial" w:hAnsi="Arial"/>
          <w:sz w:val="18"/>
          <w:szCs w:val="18"/>
          <w:color w:val="auto"/>
        </w:rPr>
        <w:t>”); and</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ratio of EV to revenues for the trailing twelve months (“</w:t>
      </w:r>
      <w:r>
        <w:rPr>
          <w:rFonts w:ascii="Arial" w:cs="Arial" w:eastAsia="Arial" w:hAnsi="Arial"/>
          <w:sz w:val="18"/>
          <w:szCs w:val="18"/>
          <w:b w:val="1"/>
          <w:bCs w:val="1"/>
          <w:color w:val="auto"/>
        </w:rPr>
        <w:t>EV/Rev</w:t>
      </w:r>
      <w:r>
        <w:rPr>
          <w:rFonts w:ascii="Arial" w:cs="Arial" w:eastAsia="Arial" w:hAnsi="Arial"/>
          <w:sz w:val="18"/>
          <w:szCs w:val="18"/>
          <w:color w:val="auto"/>
        </w:rPr>
        <w:t>”).</w:t>
      </w:r>
    </w:p>
    <w:p>
      <w:pPr>
        <w:spacing w:after="0" w:line="118"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In order to perform this analysis, Etico Capital compared financial information of Vringo with publicly available information for the comparable companies. Etico Capital considered the entire range of multiples yielded by the comparable companies in establishing a more limited reference range of multiples which it used for its analysis. For this analysis, as well as other analyses, Etico Capital examined publicly available information.</w:t>
      </w:r>
    </w:p>
    <w:p>
      <w:pPr>
        <w:spacing w:after="0" w:line="83" w:lineRule="exact"/>
        <w:rPr>
          <w:sz w:val="20"/>
          <w:szCs w:val="20"/>
          <w:color w:val="auto"/>
        </w:rPr>
      </w:pPr>
    </w:p>
    <w:p>
      <w:pPr>
        <w:jc w:val="both"/>
        <w:ind w:left="60" w:right="639" w:firstLine="267"/>
        <w:spacing w:after="0" w:line="282" w:lineRule="auto"/>
        <w:rPr>
          <w:sz w:val="20"/>
          <w:szCs w:val="20"/>
          <w:color w:val="auto"/>
        </w:rPr>
      </w:pPr>
      <w:r>
        <w:rPr>
          <w:rFonts w:ascii="Arial" w:cs="Arial" w:eastAsia="Arial" w:hAnsi="Arial"/>
          <w:sz w:val="17"/>
          <w:szCs w:val="17"/>
          <w:color w:val="auto"/>
        </w:rPr>
        <w:t>The following table presents, based on closing prices as of March 9, 2012 (the last trading day prior to the date of Etico Capital’s opinion), the reference range of multiples for the comparable companies of EV/EBITDA, P/E, P/Book,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46932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932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6000" w:type="dxa"/>
            <w:vAlign w:val="bottom"/>
          </w:tcPr>
          <w:p>
            <w:pPr>
              <w:spacing w:after="0"/>
              <w:rPr>
                <w:sz w:val="12"/>
                <w:szCs w:val="12"/>
                <w:color w:val="auto"/>
              </w:rPr>
            </w:pPr>
          </w:p>
        </w:tc>
        <w:tc>
          <w:tcPr>
            <w:tcW w:w="1420" w:type="dxa"/>
            <w:vAlign w:val="bottom"/>
          </w:tcPr>
          <w:p>
            <w:pPr>
              <w:jc w:val="right"/>
              <w:ind w:right="317"/>
              <w:spacing w:after="0" w:line="147" w:lineRule="exact"/>
              <w:rPr>
                <w:sz w:val="20"/>
                <w:szCs w:val="20"/>
                <w:color w:val="auto"/>
              </w:rPr>
            </w:pPr>
            <w:r>
              <w:rPr>
                <w:rFonts w:ascii="Arial" w:cs="Arial" w:eastAsia="Arial" w:hAnsi="Arial"/>
                <w:sz w:val="14"/>
                <w:szCs w:val="14"/>
                <w:b w:val="1"/>
                <w:bCs w:val="1"/>
                <w:color w:val="auto"/>
              </w:rPr>
              <w:t>Reference</w:t>
            </w:r>
          </w:p>
        </w:tc>
      </w:tr>
      <w:tr>
        <w:trPr>
          <w:trHeight w:val="170"/>
        </w:trPr>
        <w:tc>
          <w:tcPr>
            <w:tcW w:w="6000" w:type="dxa"/>
            <w:vAlign w:val="bottom"/>
          </w:tcPr>
          <w:p>
            <w:pPr>
              <w:spacing w:after="0"/>
              <w:rPr>
                <w:sz w:val="14"/>
                <w:szCs w:val="14"/>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Range of Multiples</w:t>
            </w:r>
          </w:p>
        </w:tc>
      </w:tr>
      <w:tr>
        <w:trPr>
          <w:trHeight w:val="207"/>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5.12x – 29.11x</w:t>
            </w:r>
          </w:p>
        </w:tc>
      </w:tr>
      <w:tr>
        <w:trPr>
          <w:trHeight w:val="214"/>
        </w:trPr>
        <w:tc>
          <w:tcPr>
            <w:tcW w:w="6000" w:type="dxa"/>
            <w:vAlign w:val="bottom"/>
          </w:tcPr>
          <w:p>
            <w:pPr>
              <w:ind w:left="20"/>
              <w:spacing w:after="0"/>
              <w:rPr>
                <w:sz w:val="20"/>
                <w:szCs w:val="20"/>
                <w:color w:val="auto"/>
              </w:rPr>
            </w:pPr>
            <w:r>
              <w:rPr>
                <w:rFonts w:ascii="Arial" w:cs="Arial" w:eastAsia="Arial" w:hAnsi="Arial"/>
                <w:sz w:val="18"/>
                <w:szCs w:val="18"/>
                <w:color w:val="auto"/>
              </w:rPr>
              <w:t>P/E</w:t>
            </w:r>
          </w:p>
        </w:tc>
        <w:tc>
          <w:tcPr>
            <w:tcW w:w="1420" w:type="dxa"/>
            <w:vAlign w:val="bottom"/>
          </w:tcPr>
          <w:p>
            <w:pPr>
              <w:jc w:val="right"/>
              <w:spacing w:after="0"/>
              <w:rPr>
                <w:sz w:val="20"/>
                <w:szCs w:val="20"/>
                <w:color w:val="auto"/>
              </w:rPr>
            </w:pPr>
            <w:r>
              <w:rPr>
                <w:rFonts w:ascii="Arial" w:cs="Arial" w:eastAsia="Arial" w:hAnsi="Arial"/>
                <w:sz w:val="18"/>
                <w:szCs w:val="18"/>
                <w:color w:val="auto"/>
              </w:rPr>
              <w:t>12.72x – 32.12x</w:t>
            </w:r>
          </w:p>
        </w:tc>
      </w:tr>
      <w:tr>
        <w:trPr>
          <w:trHeight w:val="214"/>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1.05x – 7.51x</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EV/REV</w:t>
            </w:r>
          </w:p>
        </w:tc>
        <w:tc>
          <w:tcPr>
            <w:tcW w:w="1420" w:type="dxa"/>
            <w:vAlign w:val="bottom"/>
          </w:tcPr>
          <w:p>
            <w:pPr>
              <w:jc w:val="right"/>
              <w:spacing w:after="0"/>
              <w:rPr>
                <w:sz w:val="20"/>
                <w:szCs w:val="20"/>
                <w:color w:val="auto"/>
              </w:rPr>
            </w:pPr>
            <w:r>
              <w:rPr>
                <w:rFonts w:ascii="Arial" w:cs="Arial" w:eastAsia="Arial" w:hAnsi="Arial"/>
                <w:sz w:val="18"/>
                <w:szCs w:val="18"/>
                <w:color w:val="auto"/>
              </w:rPr>
              <w:t>.31x – 27.94x</w:t>
            </w:r>
          </w:p>
        </w:tc>
      </w:tr>
    </w:tbl>
    <w:p>
      <w:pPr>
        <w:spacing w:after="0" w:line="80"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Because Vringo did not have positive EBITDA, earnings or book value, Etico Capital relied on EV/Rev to determine an implied valuation range for Vringo. Based on this comparable companies analysis and Vringo’s annualized 2011 revenue based on revenue for the nine months ended September 30, 2011, Etico Capital concluded that Vringo had an implied valuation range between $230,000 and $20.7 million.</w:t>
      </w:r>
    </w:p>
    <w:p>
      <w:pPr>
        <w:spacing w:after="0" w:line="83" w:lineRule="exact"/>
        <w:rPr>
          <w:sz w:val="20"/>
          <w:szCs w:val="20"/>
          <w:color w:val="auto"/>
        </w:rPr>
      </w:pPr>
    </w:p>
    <w:p>
      <w:pPr>
        <w:jc w:val="both"/>
        <w:ind w:left="60" w:right="639" w:firstLine="267"/>
        <w:spacing w:after="0" w:line="275" w:lineRule="auto"/>
        <w:rPr>
          <w:sz w:val="20"/>
          <w:szCs w:val="20"/>
          <w:color w:val="auto"/>
        </w:rPr>
      </w:pPr>
      <w:r>
        <w:rPr>
          <w:rFonts w:ascii="Arial" w:cs="Arial" w:eastAsia="Arial" w:hAnsi="Arial"/>
          <w:sz w:val="17"/>
          <w:szCs w:val="17"/>
          <w:color w:val="auto"/>
        </w:rPr>
        <w:t>No company utilized in the public company comparables analysis as a comparison to Vringo is identical to Vringo. In evaluating the comparables, Etico Capital made numerous assumptions with respect to the mobile solutions industry’s performance and general economic conditions, many of which are beyond the control of Vringo. Mathematical analysis, such as determining the median, average or range, is not in itself a meaningful method of using comparable company data.</w:t>
      </w:r>
    </w:p>
    <w:p>
      <w:pPr>
        <w:spacing w:after="0" w:line="200" w:lineRule="exact"/>
        <w:rPr>
          <w:sz w:val="20"/>
          <w:szCs w:val="20"/>
          <w:color w:val="auto"/>
        </w:rPr>
      </w:pPr>
    </w:p>
    <w:p>
      <w:pPr>
        <w:spacing w:after="0" w:line="3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83" w:name="page84"/>
    <w:bookmarkEnd w:id="8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Vringo Common Stock Trading History</w:t>
      </w:r>
    </w:p>
    <w:p>
      <w:pPr>
        <w:spacing w:after="0" w:line="118"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Etico Capital considered the trading price and volume of Vringo common stock on the NYSE Amex, focusing primarily on the sixty trading days prior to the rendering of Etico Capital’s opinion. As of March 9, 2012, Vringo had an aggregate of 26,464,915 shares of common stock outstanding on a fully diluted basis. The following table sets forth the last sale price on March 9, 2012 (the last trading day prior to the date of Etico Capital’s opinion) and daily trading volume for such period as well a sixty day trading average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47015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7"/>
        </w:trPr>
        <w:tc>
          <w:tcPr>
            <w:tcW w:w="528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Date Range</w:t>
            </w:r>
          </w:p>
        </w:tc>
        <w:tc>
          <w:tcPr>
            <w:tcW w:w="16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157"/>
              <w:spacing w:after="0" w:line="157" w:lineRule="exact"/>
              <w:rPr>
                <w:sz w:val="20"/>
                <w:szCs w:val="20"/>
                <w:color w:val="auto"/>
              </w:rPr>
            </w:pPr>
            <w:r>
              <w:rPr>
                <w:rFonts w:ascii="Arial" w:cs="Arial" w:eastAsia="Arial" w:hAnsi="Arial"/>
                <w:sz w:val="14"/>
                <w:szCs w:val="14"/>
                <w:b w:val="1"/>
                <w:bCs w:val="1"/>
                <w:color w:val="auto"/>
                <w:w w:val="97"/>
              </w:rPr>
              <w:t>Average</w:t>
            </w:r>
          </w:p>
        </w:tc>
      </w:tr>
      <w:tr>
        <w:trPr>
          <w:trHeight w:val="170"/>
        </w:trPr>
        <w:tc>
          <w:tcPr>
            <w:tcW w:w="5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Closing Price</w:t>
            </w:r>
          </w:p>
        </w:tc>
      </w:tr>
      <w:tr>
        <w:trPr>
          <w:trHeight w:val="193"/>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(000s omitted)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7"/>
        </w:trPr>
        <w:tc>
          <w:tcPr>
            <w:tcW w:w="5280" w:type="dxa"/>
            <w:vAlign w:val="bottom"/>
          </w:tcPr>
          <w:p>
            <w:pPr>
              <w:ind w:left="20"/>
              <w:spacing w:after="0"/>
              <w:rPr>
                <w:sz w:val="20"/>
                <w:szCs w:val="20"/>
                <w:color w:val="auto"/>
              </w:rPr>
            </w:pPr>
            <w:r>
              <w:rPr>
                <w:rFonts w:ascii="Arial" w:cs="Arial" w:eastAsia="Arial" w:hAnsi="Arial"/>
                <w:sz w:val="18"/>
                <w:szCs w:val="18"/>
                <w:color w:val="auto"/>
              </w:rPr>
              <w:t>December 13, 2011 – March 9, 2012</w:t>
            </w:r>
          </w:p>
        </w:tc>
        <w:tc>
          <w:tcPr>
            <w:tcW w:w="1000" w:type="dxa"/>
            <w:vAlign w:val="bottom"/>
            <w:gridSpan w:val="2"/>
          </w:tcPr>
          <w:p>
            <w:pPr>
              <w:jc w:val="right"/>
              <w:ind w:right="69"/>
              <w:spacing w:after="0"/>
              <w:rPr>
                <w:sz w:val="20"/>
                <w:szCs w:val="20"/>
                <w:color w:val="auto"/>
              </w:rPr>
            </w:pPr>
            <w:r>
              <w:rPr>
                <w:rFonts w:ascii="Arial" w:cs="Arial" w:eastAsia="Arial" w:hAnsi="Arial"/>
                <w:sz w:val="18"/>
                <w:szCs w:val="18"/>
                <w:color w:val="auto"/>
              </w:rPr>
              <w:t>687</w:t>
            </w:r>
          </w:p>
        </w:tc>
        <w:tc>
          <w:tcPr>
            <w:tcW w:w="3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7"/>
              <w:spacing w:after="0"/>
              <w:rPr>
                <w:sz w:val="20"/>
                <w:szCs w:val="20"/>
                <w:color w:val="auto"/>
              </w:rPr>
            </w:pPr>
            <w:r>
              <w:rPr>
                <w:rFonts w:ascii="Arial" w:cs="Arial" w:eastAsia="Arial" w:hAnsi="Arial"/>
                <w:sz w:val="18"/>
                <w:szCs w:val="18"/>
                <w:color w:val="auto"/>
              </w:rPr>
              <w:t>1.22</w:t>
            </w:r>
          </w:p>
        </w:tc>
      </w:tr>
      <w:tr>
        <w:trPr>
          <w:trHeight w:val="215"/>
        </w:trPr>
        <w:tc>
          <w:tcPr>
            <w:tcW w:w="5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March 9, 2012</w:t>
            </w:r>
          </w:p>
        </w:tc>
        <w:tc>
          <w:tcPr>
            <w:tcW w:w="1000" w:type="dxa"/>
            <w:vAlign w:val="bottom"/>
            <w:gridSpan w:val="2"/>
            <w:shd w:val="clear" w:color="auto" w:fill="CCFFCC"/>
          </w:tcPr>
          <w:p>
            <w:pPr>
              <w:jc w:val="right"/>
              <w:ind w:right="69"/>
              <w:spacing w:after="0"/>
              <w:rPr>
                <w:sz w:val="20"/>
                <w:szCs w:val="20"/>
                <w:color w:val="auto"/>
              </w:rPr>
            </w:pPr>
            <w:r>
              <w:rPr>
                <w:rFonts w:ascii="Arial" w:cs="Arial" w:eastAsia="Arial" w:hAnsi="Arial"/>
                <w:sz w:val="18"/>
                <w:szCs w:val="18"/>
                <w:color w:val="auto"/>
              </w:rPr>
              <w:t>386</w:t>
            </w:r>
          </w:p>
        </w:tc>
        <w:tc>
          <w:tcPr>
            <w:tcW w:w="34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57"/>
              <w:spacing w:after="0"/>
              <w:rPr>
                <w:sz w:val="20"/>
                <w:szCs w:val="20"/>
                <w:color w:val="auto"/>
              </w:rPr>
            </w:pPr>
            <w:r>
              <w:rPr>
                <w:rFonts w:ascii="Arial" w:cs="Arial" w:eastAsia="Arial" w:hAnsi="Arial"/>
                <w:sz w:val="18"/>
                <w:szCs w:val="18"/>
                <w:color w:val="auto"/>
              </w:rPr>
              <w:t>1.72</w:t>
            </w:r>
          </w:p>
        </w:tc>
      </w:tr>
    </w:tbl>
    <w:p>
      <w:pPr>
        <w:spacing w:after="0" w:line="93"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Based on those market prices of Vringo common stock, Vringo had a fully diluted equity value of between $32.3 million to $45.5 million.</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Consideration of Comparable Transactions Analysis</w:t>
      </w:r>
    </w:p>
    <w:p>
      <w:pPr>
        <w:spacing w:after="0" w:line="118"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Etico Capital did not employ a comparable transactions analysis of Vringo as a result of the lack of reasonably comparable transactions.</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Consideration of the Discounted Cash Flow Methodology</w:t>
      </w:r>
    </w:p>
    <w:p>
      <w:pPr>
        <w:spacing w:after="0" w:line="118"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Etico Capital did not employ a discounted cash flow analysis of Vringo for the purposes of its opinion. Discounted cash flow analysis is most appropriate for companies that exhibit relatively steady or somewhat predictable streams of positive future cash flow. To date, Vringo has generated negative cash flows. Furthermore, Vringo did not provide Etico Capital with forecasts. Because of these factors, Etico Capital considered a discounted cash flow analysis inappropriate for valuing Vringo.</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Innovate/Protect Valuation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Innovate/Protect Comparable Companies Analysis</w:t>
      </w:r>
    </w:p>
    <w:p>
      <w:pPr>
        <w:spacing w:after="0" w:line="118" w:lineRule="exact"/>
        <w:rPr>
          <w:sz w:val="20"/>
          <w:szCs w:val="20"/>
          <w:color w:val="auto"/>
        </w:rPr>
      </w:pPr>
    </w:p>
    <w:p>
      <w:pPr>
        <w:jc w:val="both"/>
        <w:ind w:left="60" w:right="619" w:firstLine="267"/>
        <w:spacing w:after="0" w:line="281" w:lineRule="auto"/>
        <w:rPr>
          <w:sz w:val="20"/>
          <w:szCs w:val="20"/>
          <w:color w:val="auto"/>
        </w:rPr>
      </w:pPr>
      <w:r>
        <w:rPr>
          <w:rFonts w:ascii="Arial" w:cs="Arial" w:eastAsia="Arial" w:hAnsi="Arial"/>
          <w:sz w:val="17"/>
          <w:szCs w:val="17"/>
          <w:color w:val="auto"/>
        </w:rPr>
        <w:t>Etico Capital compared Innovate/Protect to a group of companies engaged in seeking to monetize their intellectual property. The Innovate/Protect comparable companies are public companies that Etico Capital deemed comparable to Innovate/Protect. Etico Capital selected companies with market capitalizations ranging from $1.85 million to $1,857.0 million.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Innovate/Protect comparable companies were:</w:t>
      </w:r>
    </w:p>
    <w:p>
      <w:pPr>
        <w:spacing w:after="0" w:line="114" w:lineRule="exact"/>
        <w:rPr>
          <w:sz w:val="20"/>
          <w:szCs w:val="20"/>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Acacia Research Corporation</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Augme Technologies,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Competitive Technologies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Innovaro,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IP Group Plc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Ipso Ventures Plc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RPX Corporation</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Sagentia Group PLC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Star Scientific, Inc.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VirnetX Holding Corp</w:t>
      </w:r>
    </w:p>
    <w:p>
      <w:pPr>
        <w:spacing w:after="0" w:line="200" w:lineRule="exact"/>
        <w:rPr>
          <w:sz w:val="20"/>
          <w:szCs w:val="20"/>
          <w:color w:val="auto"/>
        </w:rPr>
      </w:pPr>
    </w:p>
    <w:p>
      <w:pPr>
        <w:spacing w:after="0" w:line="3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84" w:name="page85"/>
    <w:bookmarkEnd w:id="8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Etico Capital considered:</w:t>
      </w:r>
    </w:p>
    <w:p>
      <w:pPr>
        <w:spacing w:after="0" w:line="114" w:lineRule="exact"/>
        <w:rPr>
          <w:sz w:val="20"/>
          <w:szCs w:val="20"/>
          <w:color w:val="auto"/>
        </w:rPr>
      </w:pPr>
    </w:p>
    <w:p>
      <w:pPr>
        <w:ind w:left="620" w:hanging="328"/>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ratio of EV to EBITDA;</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P/E ratio;</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P/Book ratio; and</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EV/Rev ratio for trailing twelve months.</w:t>
      </w:r>
    </w:p>
    <w:p>
      <w:pPr>
        <w:spacing w:after="0" w:line="114" w:lineRule="exact"/>
        <w:rPr>
          <w:sz w:val="20"/>
          <w:szCs w:val="20"/>
          <w:color w:val="auto"/>
        </w:rPr>
      </w:pPr>
    </w:p>
    <w:p>
      <w:pPr>
        <w:jc w:val="both"/>
        <w:ind w:left="60" w:right="619" w:firstLine="267"/>
        <w:spacing w:after="0" w:line="275" w:lineRule="auto"/>
        <w:rPr>
          <w:sz w:val="20"/>
          <w:szCs w:val="20"/>
          <w:color w:val="auto"/>
        </w:rPr>
      </w:pPr>
      <w:r>
        <w:rPr>
          <w:rFonts w:ascii="Arial" w:cs="Arial" w:eastAsia="Arial" w:hAnsi="Arial"/>
          <w:sz w:val="17"/>
          <w:szCs w:val="17"/>
          <w:color w:val="auto"/>
        </w:rPr>
        <w:t>In order to perform this analysis, Etico Capital compared financial information of Innovate/Protect with publicly available information for the Innovate/Protect comparable companies. Etico Capital considered the entire range of multiples yielded by the Innovate/Protect comparable companies in establishing a more limited reference range of multiples which it used for its analysis. For this analysis, as well as other analyses, Etico Capital examined publicly available information.</w:t>
      </w:r>
    </w:p>
    <w:p>
      <w:pPr>
        <w:spacing w:after="0" w:line="66"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presents, based on closing prices as of March 8, 2012, the range of multiples for the Innovate/Protect comparable companies of EV/EBITDA, P/E, P/Book and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932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932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6000" w:type="dxa"/>
            <w:vAlign w:val="bottom"/>
          </w:tcPr>
          <w:p>
            <w:pPr>
              <w:spacing w:after="0"/>
              <w:rPr>
                <w:sz w:val="12"/>
                <w:szCs w:val="12"/>
                <w:color w:val="auto"/>
              </w:rPr>
            </w:pPr>
          </w:p>
        </w:tc>
        <w:tc>
          <w:tcPr>
            <w:tcW w:w="14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8"/>
              </w:rPr>
              <w:t>Reference</w:t>
            </w:r>
          </w:p>
        </w:tc>
      </w:tr>
      <w:tr>
        <w:trPr>
          <w:trHeight w:val="170"/>
        </w:trPr>
        <w:tc>
          <w:tcPr>
            <w:tcW w:w="600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Range of Multiples</w:t>
            </w:r>
          </w:p>
        </w:tc>
      </w:tr>
      <w:tr>
        <w:trPr>
          <w:trHeight w:val="207"/>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11.63x</w:t>
            </w:r>
          </w:p>
        </w:tc>
        <w:tc>
          <w:tcPr>
            <w:tcW w:w="720" w:type="dxa"/>
            <w:vAlign w:val="bottom"/>
            <w:shd w:val="clear" w:color="auto" w:fill="CCFFCC"/>
          </w:tcPr>
          <w:p>
            <w:pPr>
              <w:ind w:left="20"/>
              <w:spacing w:after="0"/>
              <w:rPr>
                <w:sz w:val="20"/>
                <w:szCs w:val="20"/>
                <w:color w:val="auto"/>
              </w:rPr>
            </w:pPr>
            <w:r>
              <w:rPr>
                <w:rFonts w:ascii="Arial" w:cs="Arial" w:eastAsia="Arial" w:hAnsi="Arial"/>
                <w:sz w:val="18"/>
                <w:szCs w:val="18"/>
                <w:color w:val="auto"/>
                <w:w w:val="98"/>
              </w:rPr>
              <w:t>– 73.39x</w:t>
            </w:r>
          </w:p>
        </w:tc>
      </w:tr>
      <w:tr>
        <w:trPr>
          <w:trHeight w:val="214"/>
        </w:trPr>
        <w:tc>
          <w:tcPr>
            <w:tcW w:w="6000" w:type="dxa"/>
            <w:vAlign w:val="bottom"/>
          </w:tcPr>
          <w:p>
            <w:pPr>
              <w:ind w:left="20"/>
              <w:spacing w:after="0"/>
              <w:rPr>
                <w:sz w:val="20"/>
                <w:szCs w:val="20"/>
                <w:color w:val="auto"/>
              </w:rPr>
            </w:pPr>
            <w:r>
              <w:rPr>
                <w:rFonts w:ascii="Arial" w:cs="Arial" w:eastAsia="Arial" w:hAnsi="Arial"/>
                <w:sz w:val="18"/>
                <w:szCs w:val="18"/>
                <w:color w:val="auto"/>
              </w:rPr>
              <w:t>P/E</w:t>
            </w:r>
          </w:p>
        </w:tc>
        <w:tc>
          <w:tcPr>
            <w:tcW w:w="700" w:type="dxa"/>
            <w:vAlign w:val="bottom"/>
          </w:tcPr>
          <w:p>
            <w:pPr>
              <w:jc w:val="right"/>
              <w:spacing w:after="0"/>
              <w:rPr>
                <w:sz w:val="20"/>
                <w:szCs w:val="20"/>
                <w:color w:val="auto"/>
              </w:rPr>
            </w:pPr>
            <w:r>
              <w:rPr>
                <w:rFonts w:ascii="Arial" w:cs="Arial" w:eastAsia="Arial" w:hAnsi="Arial"/>
                <w:sz w:val="18"/>
                <w:szCs w:val="18"/>
                <w:color w:val="auto"/>
              </w:rPr>
              <w:t>.91x</w:t>
            </w:r>
          </w:p>
        </w:tc>
        <w:tc>
          <w:tcPr>
            <w:tcW w:w="720" w:type="dxa"/>
            <w:vAlign w:val="bottom"/>
          </w:tcPr>
          <w:p>
            <w:pPr>
              <w:ind w:left="20"/>
              <w:spacing w:after="0"/>
              <w:rPr>
                <w:sz w:val="20"/>
                <w:szCs w:val="20"/>
                <w:color w:val="auto"/>
              </w:rPr>
            </w:pPr>
            <w:r>
              <w:rPr>
                <w:rFonts w:ascii="Arial" w:cs="Arial" w:eastAsia="Arial" w:hAnsi="Arial"/>
                <w:sz w:val="18"/>
                <w:szCs w:val="18"/>
                <w:color w:val="auto"/>
                <w:w w:val="98"/>
              </w:rPr>
              <w:t>– 61.04x</w:t>
            </w:r>
          </w:p>
        </w:tc>
      </w:tr>
      <w:tr>
        <w:trPr>
          <w:trHeight w:val="214"/>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.44x</w:t>
            </w:r>
          </w:p>
        </w:tc>
        <w:tc>
          <w:tcPr>
            <w:tcW w:w="720" w:type="dxa"/>
            <w:vAlign w:val="bottom"/>
            <w:shd w:val="clear" w:color="auto" w:fill="CCFFCC"/>
          </w:tcPr>
          <w:p>
            <w:pPr>
              <w:ind w:left="20"/>
              <w:spacing w:after="0"/>
              <w:rPr>
                <w:sz w:val="20"/>
                <w:szCs w:val="20"/>
                <w:color w:val="auto"/>
              </w:rPr>
            </w:pPr>
            <w:r>
              <w:rPr>
                <w:rFonts w:ascii="Arial" w:cs="Arial" w:eastAsia="Arial" w:hAnsi="Arial"/>
                <w:sz w:val="18"/>
                <w:szCs w:val="18"/>
                <w:color w:val="auto"/>
                <w:w w:val="98"/>
              </w:rPr>
              <w:t>– 61.58x</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EV/REV</w:t>
            </w:r>
          </w:p>
        </w:tc>
        <w:tc>
          <w:tcPr>
            <w:tcW w:w="700" w:type="dxa"/>
            <w:vAlign w:val="bottom"/>
          </w:tcPr>
          <w:p>
            <w:pPr>
              <w:jc w:val="right"/>
              <w:spacing w:after="0"/>
              <w:rPr>
                <w:sz w:val="20"/>
                <w:szCs w:val="20"/>
                <w:color w:val="auto"/>
              </w:rPr>
            </w:pPr>
            <w:r>
              <w:rPr>
                <w:rFonts w:ascii="Arial" w:cs="Arial" w:eastAsia="Arial" w:hAnsi="Arial"/>
                <w:sz w:val="18"/>
                <w:szCs w:val="18"/>
                <w:color w:val="auto"/>
              </w:rPr>
              <w:t>5.44x</w:t>
            </w:r>
          </w:p>
        </w:tc>
        <w:tc>
          <w:tcPr>
            <w:tcW w:w="720" w:type="dxa"/>
            <w:vAlign w:val="bottom"/>
          </w:tcPr>
          <w:p>
            <w:pPr>
              <w:ind w:left="20"/>
              <w:spacing w:after="0"/>
              <w:rPr>
                <w:sz w:val="20"/>
                <w:szCs w:val="20"/>
                <w:color w:val="auto"/>
              </w:rPr>
            </w:pPr>
            <w:r>
              <w:rPr>
                <w:rFonts w:ascii="Arial" w:cs="Arial" w:eastAsia="Arial" w:hAnsi="Arial"/>
                <w:sz w:val="18"/>
                <w:szCs w:val="18"/>
                <w:color w:val="auto"/>
                <w:w w:val="98"/>
              </w:rPr>
              <w:t>– 47.38x</w:t>
            </w:r>
          </w:p>
        </w:tc>
      </w:tr>
    </w:tbl>
    <w:p>
      <w:pPr>
        <w:spacing w:after="0" w:line="80"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Because Innovate/Protect did not have positive EBITDA, earnings or revenue, Etico Capital relied on P/Book to determine an implied valuation range for Innovate/Protect. Based on this comparable companies analysis and Innovate/Protect’s book value as of December 31, 2011, Etico Capital concluded that Innovate/Protect had an implied valuation range between $2.0 million and $287.0 million.</w:t>
      </w:r>
    </w:p>
    <w:p>
      <w:pPr>
        <w:spacing w:after="0" w:line="83" w:lineRule="exact"/>
        <w:rPr>
          <w:sz w:val="20"/>
          <w:szCs w:val="20"/>
          <w:color w:val="auto"/>
        </w:rPr>
      </w:pPr>
    </w:p>
    <w:p>
      <w:pPr>
        <w:jc w:val="both"/>
        <w:ind w:left="60" w:right="619" w:firstLine="267"/>
        <w:spacing w:after="0" w:line="251" w:lineRule="auto"/>
        <w:rPr>
          <w:sz w:val="20"/>
          <w:szCs w:val="20"/>
          <w:color w:val="auto"/>
        </w:rPr>
      </w:pPr>
      <w:r>
        <w:rPr>
          <w:rFonts w:ascii="Arial" w:cs="Arial" w:eastAsia="Arial" w:hAnsi="Arial"/>
          <w:sz w:val="18"/>
          <w:szCs w:val="18"/>
          <w:color w:val="auto"/>
        </w:rPr>
        <w:t>No company utilized in the public company comparables analysis as a comparison to Innovate/Protect is identical to Innovate/Protect. The ultimate value of Innovate/Protect is likely to be based upon the value of the Patents and, in particular, the ultimate success of the Litigation and other litigations that may be commenced against other putative infringers. Etico Capital did not value the Patents or determine the likelihood of success, the amount of damages, if any, that may be recovered, nor the timing and cost (and whether the combined company has or will have adequate resources, financial or otherwise, to prosecute) the Litigation. Accordingly, Etico Capital accepted the book value of Innovate/Protect as set forth in its audited financial statements as of December 31, 2011. Mathematical analysis, such as determining the median, average or range, is not in itself a meaningful method of using comparable company data.</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Investments in Innovate/Protect</w:t>
      </w:r>
    </w:p>
    <w:p>
      <w:pPr>
        <w:spacing w:after="0" w:line="11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Etico Capital examined the value of Innovate/Protect implied by recent investments by unaffiliated third parties in Innovate/Protect. As of December 31, 2011, Innovate/Protect had an aggregate of 12,856,307 shares of common stock outstanding on a fully diluted basis. In November and December 2011, Innovate/Protect sold common stock to unaffiliated third parties at $3.30 per share, or a fully diluted implied equity value of Innovate/Protect of $42.4 million.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Innovate/Protect Comparable Transactions Analysis</w:t>
      </w:r>
    </w:p>
    <w:p>
      <w:pPr>
        <w:spacing w:after="0" w:line="118"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Etico Capital found two transactions, one in December 2002 and the other in March 2010, involving companies deemed by Etico Capital to be comparable to Innovate/Protect. For this analysis, Etico Capital examined publicly available information. The Innovate/Protect comparable transactions involved:</w:t>
      </w:r>
    </w:p>
    <w:p>
      <w:pPr>
        <w:spacing w:after="0" w:line="78" w:lineRule="exact"/>
        <w:rPr>
          <w:sz w:val="20"/>
          <w:szCs w:val="20"/>
          <w:color w:val="auto"/>
        </w:rPr>
      </w:pPr>
    </w:p>
    <w:p>
      <w:pPr>
        <w:ind w:left="620" w:hanging="328"/>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Sagentia Group PLC</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Yet2.com, Inc.</w:t>
      </w:r>
    </w:p>
    <w:p>
      <w:pPr>
        <w:spacing w:after="0" w:line="200" w:lineRule="exact"/>
        <w:rPr>
          <w:sz w:val="20"/>
          <w:szCs w:val="20"/>
          <w:color w:val="auto"/>
        </w:rPr>
      </w:pPr>
    </w:p>
    <w:p>
      <w:pPr>
        <w:spacing w:after="0" w:line="3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85" w:name="page86"/>
    <w:bookmarkEnd w:id="8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presents, as of March 8, 2012, the reference range of multiples. Because the comparable transactions involved the acquisition of companies with negative earnings, P/E could not be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932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932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6000" w:type="dxa"/>
            <w:vAlign w:val="bottom"/>
          </w:tcPr>
          <w:p>
            <w:pPr>
              <w:spacing w:after="0"/>
              <w:rPr>
                <w:sz w:val="12"/>
                <w:szCs w:val="12"/>
                <w:color w:val="auto"/>
              </w:rPr>
            </w:pPr>
          </w:p>
        </w:tc>
        <w:tc>
          <w:tcPr>
            <w:tcW w:w="1420" w:type="dxa"/>
            <w:vAlign w:val="bottom"/>
          </w:tcPr>
          <w:p>
            <w:pPr>
              <w:jc w:val="right"/>
              <w:ind w:right="317"/>
              <w:spacing w:after="0" w:line="148" w:lineRule="exact"/>
              <w:rPr>
                <w:sz w:val="20"/>
                <w:szCs w:val="20"/>
                <w:color w:val="auto"/>
              </w:rPr>
            </w:pPr>
            <w:r>
              <w:rPr>
                <w:rFonts w:ascii="Arial" w:cs="Arial" w:eastAsia="Arial" w:hAnsi="Arial"/>
                <w:sz w:val="14"/>
                <w:szCs w:val="14"/>
                <w:b w:val="1"/>
                <w:bCs w:val="1"/>
                <w:color w:val="auto"/>
              </w:rPr>
              <w:t>Reference</w:t>
            </w:r>
          </w:p>
        </w:tc>
      </w:tr>
      <w:tr>
        <w:trPr>
          <w:trHeight w:val="170"/>
        </w:trPr>
        <w:tc>
          <w:tcPr>
            <w:tcW w:w="6000" w:type="dxa"/>
            <w:vAlign w:val="bottom"/>
          </w:tcPr>
          <w:p>
            <w:pPr>
              <w:spacing w:after="0"/>
              <w:rPr>
                <w:sz w:val="14"/>
                <w:szCs w:val="14"/>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Range of Multiples</w:t>
            </w:r>
          </w:p>
        </w:tc>
      </w:tr>
      <w:tr>
        <w:trPr>
          <w:trHeight w:val="207"/>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25.52x – 25.53x</w:t>
            </w:r>
          </w:p>
        </w:tc>
      </w:tr>
      <w:tr>
        <w:trPr>
          <w:trHeight w:val="214"/>
        </w:trPr>
        <w:tc>
          <w:tcPr>
            <w:tcW w:w="6000" w:type="dxa"/>
            <w:vAlign w:val="bottom"/>
          </w:tcPr>
          <w:p>
            <w:pPr>
              <w:ind w:left="20"/>
              <w:spacing w:after="0"/>
              <w:rPr>
                <w:sz w:val="20"/>
                <w:szCs w:val="20"/>
                <w:color w:val="auto"/>
              </w:rPr>
            </w:pPr>
            <w:r>
              <w:rPr>
                <w:rFonts w:ascii="Arial" w:cs="Arial" w:eastAsia="Arial" w:hAnsi="Arial"/>
                <w:sz w:val="18"/>
                <w:szCs w:val="18"/>
                <w:color w:val="auto"/>
              </w:rPr>
              <w:t>P/E</w:t>
            </w:r>
          </w:p>
        </w:tc>
        <w:tc>
          <w:tcPr>
            <w:tcW w:w="14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4"/>
        </w:trPr>
        <w:tc>
          <w:tcPr>
            <w:tcW w:w="6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.41x – .59x</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EV/REV</w:t>
            </w:r>
          </w:p>
        </w:tc>
        <w:tc>
          <w:tcPr>
            <w:tcW w:w="1420" w:type="dxa"/>
            <w:vAlign w:val="bottom"/>
          </w:tcPr>
          <w:p>
            <w:pPr>
              <w:jc w:val="right"/>
              <w:spacing w:after="0"/>
              <w:rPr>
                <w:sz w:val="20"/>
                <w:szCs w:val="20"/>
                <w:color w:val="auto"/>
              </w:rPr>
            </w:pPr>
            <w:r>
              <w:rPr>
                <w:rFonts w:ascii="Arial" w:cs="Arial" w:eastAsia="Arial" w:hAnsi="Arial"/>
                <w:sz w:val="18"/>
                <w:szCs w:val="18"/>
                <w:color w:val="auto"/>
              </w:rPr>
              <w:t>.33x – .33x</w:t>
            </w:r>
          </w:p>
        </w:tc>
      </w:tr>
    </w:tbl>
    <w:p>
      <w:pPr>
        <w:spacing w:after="0" w:line="80"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Because of the limited number of transactions and their infrequency, Etico Capital did not consider these comparable transactions to be meaningful.</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Consideration of the Discounted Cash Flow Methodology</w:t>
      </w:r>
    </w:p>
    <w:p>
      <w:pPr>
        <w:spacing w:after="0" w:line="118"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Etico Capital did not employ a discounted cash flow analysis of Innovate/Protect for the purposes of its opinion. Discounted cash flow analysis is most appropriate for companies that exhibit relatively steady or somewhat predictable streams of positive future cash flow. To date, Innovate/Protect has generated negative cash flows. Furthermore, Etico Capital was not provided with forecasts regarding Innovate/Protect and Etico Capital was directed by the Vringo board of directors not to value the Litigation and, therefore, did not consider any cash flow that may be provided by or used in the Litigation. Because of these factors, Etico Capital considered a discounted cash flow analysis inappropriate for valuing Innovate/Protect.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Miscellaneous</w:t>
      </w:r>
    </w:p>
    <w:p>
      <w:pPr>
        <w:spacing w:after="0" w:line="114"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7"/>
          <w:szCs w:val="17"/>
          <w:color w:val="auto"/>
        </w:rPr>
        <w:t>The preparation of a fairness opinion is a complex process involving determinations as to the most appropriate and relevant methods of financial analysis and the application of these methods to the particular circumstances, limitations on the scope of the engagement and the quantitative and qualitative available comparable information and, therefore, is not necessarily susceptible to partial analysis or summary description. Selecting portions of the analysis or the summary set forth above, without considering the analysis as a whole, could create an incomplete view of the processes underlying the opinion of Etico Capital. In arriving at its fairness determination, Etico Capital considered the results of all these constituent analyses and did not attribute any particular weight to any particular factor or analysis considered by it. Rather, Etico Capital made its determination as to fairness on the basis of its experience and professional judgment after considering the results of all such analyses. The foregoing summary does not purport to be a complete description of the analyses performed by Etico Capital. Additionally, analyses relating to the value of businesses or securities are not appraisals. Accordingly, such analyses and estimates are inherently subject to substantial uncertainty.</w:t>
      </w:r>
    </w:p>
    <w:p>
      <w:pPr>
        <w:spacing w:after="0" w:line="76" w:lineRule="exact"/>
        <w:rPr>
          <w:sz w:val="20"/>
          <w:szCs w:val="20"/>
          <w:color w:val="auto"/>
        </w:rPr>
      </w:pPr>
    </w:p>
    <w:p>
      <w:pPr>
        <w:jc w:val="both"/>
        <w:ind w:left="60" w:right="619" w:firstLine="267"/>
        <w:spacing w:after="0" w:line="285" w:lineRule="auto"/>
        <w:rPr>
          <w:sz w:val="20"/>
          <w:szCs w:val="20"/>
          <w:color w:val="auto"/>
        </w:rPr>
      </w:pPr>
      <w:r>
        <w:rPr>
          <w:rFonts w:ascii="Arial" w:cs="Arial" w:eastAsia="Arial" w:hAnsi="Arial"/>
          <w:sz w:val="16"/>
          <w:szCs w:val="16"/>
          <w:color w:val="auto"/>
        </w:rPr>
        <w:t>In performing its analyses, Etico Capital made numerous assumptions with respect to industry performance and general business and economic conditions and other matters, many of which are beyond Vringo’s control. The analyses performed by Etico Capital are not necessarily indicative of actual values or actual future results, which may be significantly more or less favorable than suggested by such analyses. The Merger consideration and other terms of the Merger Agreement were determined through arm’s length negotiations between Vringo and Innovate/Protect, and were approved by the Vringo board of directors. Etico Capital’s opinion was one of many factors taken into consideration by the Vringo board of directors in making its decision to approve the Merger Agreement and the Merger. Consequently, the Etico Capital analyses as described above should not be viewed as determinative of the opinion of the Vringo board of directors with respect to the value of Vringo or Innovate/Protect or whether the Vringo board of director would have been willing to agree to different consideration.</w:t>
      </w:r>
    </w:p>
    <w:p>
      <w:pPr>
        <w:spacing w:after="0" w:line="65"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Etico Capital was retained under an engagement letter, dated March 7, 2012, to give an opinion as to the fairness of the Merger consideration, from a financial point of view, to the holders of Vringo common stock (other than those who own, or whose affiliates own, securities of Innovate/Protect, regarding which Etico Capital expressed no view). Etico Capital did not serve as financial advisor to Vringo in connection with the Merger. Etico Capital received a fee of $115,000 (and the reimbursement of $10,000 of expenses) upon delivery of its opinion. No portion of Etico Capital’s fee is contingent upon the consummation of the Merger.</w:t>
      </w:r>
    </w:p>
    <w:p>
      <w:pPr>
        <w:spacing w:after="0" w:line="200" w:lineRule="exact"/>
        <w:rPr>
          <w:sz w:val="20"/>
          <w:szCs w:val="20"/>
          <w:color w:val="auto"/>
        </w:rPr>
      </w:pPr>
    </w:p>
    <w:p>
      <w:pPr>
        <w:spacing w:after="0" w:line="2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86" w:name="page87"/>
    <w:bookmarkEnd w:id="8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272" w:lineRule="auto"/>
        <w:rPr>
          <w:sz w:val="20"/>
          <w:szCs w:val="20"/>
          <w:color w:val="auto"/>
        </w:rPr>
      </w:pPr>
      <w:r>
        <w:rPr>
          <w:rFonts w:ascii="Arial" w:cs="Arial" w:eastAsia="Arial" w:hAnsi="Arial"/>
          <w:sz w:val="17"/>
          <w:szCs w:val="17"/>
          <w:color w:val="auto"/>
        </w:rPr>
        <w:t>In addition, Vringo has agreed to indemnify Etico Capital and its affiliates and their respective officers, directors, employees and agents, and any persons controlling Etico Capital or any of its affiliates against liabilities and expenses, relating to or arising out of Etico Capital’s engagement, except in the case of gross negligence or willful misconduct. A principal of Etico Capital is related by marriage to a general partner of a holder of Vringo common stock and of warrants to purchase Vringo common stock, which holder is also a holder of common stock of Innovate/Protect and preferred stock of Innovate/Protect.</w:t>
      </w:r>
    </w:p>
    <w:p>
      <w:pPr>
        <w:spacing w:after="0" w:line="91" w:lineRule="exact"/>
        <w:rPr>
          <w:sz w:val="20"/>
          <w:szCs w:val="20"/>
          <w:color w:val="auto"/>
        </w:rPr>
      </w:pPr>
    </w:p>
    <w:p>
      <w:pPr>
        <w:ind w:left="60" w:right="719"/>
        <w:spacing w:after="0" w:line="397" w:lineRule="auto"/>
        <w:rPr>
          <w:sz w:val="20"/>
          <w:szCs w:val="20"/>
          <w:color w:val="auto"/>
        </w:rPr>
      </w:pPr>
      <w:r>
        <w:rPr>
          <w:rFonts w:ascii="Arial" w:cs="Arial" w:eastAsia="Arial" w:hAnsi="Arial"/>
          <w:sz w:val="18"/>
          <w:szCs w:val="18"/>
          <w:b w:val="1"/>
          <w:bCs w:val="1"/>
          <w:color w:val="auto"/>
        </w:rPr>
        <w:t xml:space="preserve">Board of Directors, Executive Officers and Key Employees of the Combined Company After the Completion of the Merger </w:t>
      </w:r>
      <w:r>
        <w:rPr>
          <w:rFonts w:ascii="Arial" w:cs="Arial" w:eastAsia="Arial" w:hAnsi="Arial"/>
          <w:sz w:val="18"/>
          <w:szCs w:val="18"/>
          <w:b w:val="1"/>
          <w:bCs w:val="1"/>
          <w:i w:val="1"/>
          <w:iCs w:val="1"/>
          <w:color w:val="auto"/>
        </w:rPr>
        <w:t>Board of Directors</w:t>
      </w:r>
    </w:p>
    <w:p>
      <w:pPr>
        <w:spacing w:after="0" w:line="1"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Innovate/Protect’s board of directors.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executive management team of the combined company is expected to be composed of the following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46761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7614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47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93"/>
        </w:trPr>
        <w:tc>
          <w:tcPr>
            <w:tcW w:w="2480" w:type="dxa"/>
            <w:vAlign w:val="bottom"/>
          </w:tcPr>
          <w:p>
            <w:pPr>
              <w:ind w:left="20"/>
              <w:spacing w:after="0" w:line="193"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4780" w:type="dxa"/>
            <w:vAlign w:val="bottom"/>
          </w:tcPr>
          <w:p>
            <w:pPr>
              <w:spacing w:after="0" w:line="193" w:lineRule="exact"/>
              <w:rPr>
                <w:sz w:val="20"/>
                <w:szCs w:val="20"/>
                <w:color w:val="auto"/>
              </w:rPr>
            </w:pPr>
            <w:r>
              <w:rPr>
                <w:rFonts w:ascii="Arial" w:cs="Arial" w:eastAsia="Arial" w:hAnsi="Arial"/>
                <w:sz w:val="18"/>
                <w:szCs w:val="18"/>
                <w:color w:val="auto"/>
              </w:rPr>
              <w:t>Chief Executive Officer</w:t>
            </w:r>
          </w:p>
        </w:tc>
      </w:tr>
      <w:tr>
        <w:trPr>
          <w:trHeight w:val="214"/>
        </w:trPr>
        <w:tc>
          <w:tcPr>
            <w:tcW w:w="2480" w:type="dxa"/>
            <w:vAlign w:val="bottom"/>
          </w:tcPr>
          <w:p>
            <w:pPr>
              <w:ind w:left="20"/>
              <w:spacing w:after="0"/>
              <w:rPr>
                <w:sz w:val="20"/>
                <w:szCs w:val="20"/>
                <w:color w:val="auto"/>
              </w:rPr>
            </w:pPr>
            <w:r>
              <w:rPr>
                <w:rFonts w:ascii="Arial" w:cs="Arial" w:eastAsia="Arial" w:hAnsi="Arial"/>
                <w:sz w:val="18"/>
                <w:szCs w:val="18"/>
                <w:color w:val="auto"/>
              </w:rPr>
              <w:t>Andrew Kennedy Lang</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Technology Officer and President</w:t>
            </w:r>
          </w:p>
        </w:tc>
      </w:tr>
      <w:tr>
        <w:trPr>
          <w:trHeight w:val="214"/>
        </w:trPr>
        <w:tc>
          <w:tcPr>
            <w:tcW w:w="248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Operating Officer and Secretary</w:t>
            </w:r>
          </w:p>
        </w:tc>
      </w:tr>
      <w:tr>
        <w:trPr>
          <w:trHeight w:val="227"/>
        </w:trPr>
        <w:tc>
          <w:tcPr>
            <w:tcW w:w="248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761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761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47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93"/>
        </w:trPr>
        <w:tc>
          <w:tcPr>
            <w:tcW w:w="2480" w:type="dxa"/>
            <w:vAlign w:val="bottom"/>
          </w:tcPr>
          <w:p>
            <w:pPr>
              <w:ind w:left="20"/>
              <w:spacing w:after="0" w:line="193" w:lineRule="exact"/>
              <w:rPr>
                <w:sz w:val="20"/>
                <w:szCs w:val="20"/>
                <w:color w:val="auto"/>
              </w:rPr>
            </w:pPr>
            <w:r>
              <w:rPr>
                <w:rFonts w:ascii="Arial" w:cs="Arial" w:eastAsia="Arial" w:hAnsi="Arial"/>
                <w:sz w:val="18"/>
                <w:szCs w:val="18"/>
                <w:color w:val="auto"/>
              </w:rPr>
              <w:t>David L. Cohen</w:t>
            </w:r>
          </w:p>
        </w:tc>
        <w:tc>
          <w:tcPr>
            <w:tcW w:w="160" w:type="dxa"/>
            <w:vAlign w:val="bottom"/>
          </w:tcPr>
          <w:p>
            <w:pPr>
              <w:spacing w:after="0"/>
              <w:rPr>
                <w:sz w:val="16"/>
                <w:szCs w:val="16"/>
                <w:color w:val="auto"/>
              </w:rPr>
            </w:pPr>
          </w:p>
        </w:tc>
        <w:tc>
          <w:tcPr>
            <w:tcW w:w="4780" w:type="dxa"/>
            <w:vAlign w:val="bottom"/>
          </w:tcPr>
          <w:p>
            <w:pPr>
              <w:spacing w:after="0" w:line="193" w:lineRule="exact"/>
              <w:rPr>
                <w:sz w:val="20"/>
                <w:szCs w:val="20"/>
                <w:color w:val="auto"/>
              </w:rPr>
            </w:pPr>
            <w:r>
              <w:rPr>
                <w:rFonts w:ascii="Arial" w:cs="Arial" w:eastAsia="Arial" w:hAnsi="Arial"/>
                <w:sz w:val="18"/>
                <w:szCs w:val="18"/>
                <w:color w:val="auto"/>
              </w:rPr>
              <w:t>Special Counsel</w:t>
            </w:r>
          </w:p>
        </w:tc>
      </w:tr>
      <w:tr>
        <w:trPr>
          <w:trHeight w:val="214"/>
        </w:trPr>
        <w:tc>
          <w:tcPr>
            <w:tcW w:w="2480" w:type="dxa"/>
            <w:vAlign w:val="bottom"/>
          </w:tcPr>
          <w:p>
            <w:pPr>
              <w:ind w:left="20"/>
              <w:spacing w:after="0"/>
              <w:rPr>
                <w:sz w:val="20"/>
                <w:szCs w:val="20"/>
                <w:color w:val="auto"/>
              </w:rPr>
            </w:pPr>
            <w:r>
              <w:rPr>
                <w:rFonts w:ascii="Arial" w:cs="Arial" w:eastAsia="Arial" w:hAnsi="Arial"/>
                <w:sz w:val="18"/>
                <w:szCs w:val="18"/>
                <w:color w:val="auto"/>
              </w:rPr>
              <w:t>Clifford Weinstein</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7"/>
        </w:trPr>
        <w:tc>
          <w:tcPr>
            <w:tcW w:w="2480" w:type="dxa"/>
            <w:vAlign w:val="bottom"/>
          </w:tcPr>
          <w:p>
            <w:pPr>
              <w:ind w:left="20"/>
              <w:spacing w:after="0"/>
              <w:rPr>
                <w:sz w:val="20"/>
                <w:szCs w:val="20"/>
                <w:color w:val="auto"/>
              </w:rPr>
            </w:pPr>
            <w:r>
              <w:rPr>
                <w:rFonts w:ascii="Arial" w:cs="Arial" w:eastAsia="Arial" w:hAnsi="Arial"/>
                <w:sz w:val="18"/>
                <w:szCs w:val="18"/>
                <w:color w:val="auto"/>
              </w:rPr>
              <w:t>Josh Wolff</w:t>
            </w:r>
          </w:p>
        </w:tc>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 for Partner Solutions</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Interests of Vringo Directors and Executive Officers in the Merger</w:t>
      </w:r>
    </w:p>
    <w:p>
      <w:pPr>
        <w:spacing w:after="0" w:line="118"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In considering the recommendation of the Vringo board of directors to vote FOR the Vringo Merger Proposals, Vringo stockholders should be aware that the directors and executive officers of Vringo have interests in the Merger that may be in addition to, or different from, your interests as Vringo stockholders, which could create conflicts of interest in their determinations to recommend the Merger. You should consider these interests in voting on the merger. These interests in connection with the Merger relate to or arise from, among other things:</w:t>
      </w:r>
    </w:p>
    <w:p>
      <w:pPr>
        <w:spacing w:after="0" w:line="85" w:lineRule="exact"/>
        <w:rPr>
          <w:sz w:val="20"/>
          <w:szCs w:val="20"/>
          <w:color w:val="auto"/>
        </w:rPr>
      </w:pPr>
    </w:p>
    <w:p>
      <w:pPr>
        <w:ind w:left="620" w:right="619" w:hanging="328"/>
        <w:spacing w:after="0" w:line="270"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Seth M. Siegel, Andrew D. Perlman and John Engelman are currently directors of Vringo and will remain directors of the combined company following the completion of the Merger;</w:t>
      </w:r>
    </w:p>
    <w:p>
      <w:pPr>
        <w:spacing w:after="0" w:line="68" w:lineRule="exact"/>
        <w:rPr>
          <w:rFonts w:ascii="Arial" w:cs="Arial" w:eastAsia="Arial" w:hAnsi="Arial"/>
          <w:sz w:val="18"/>
          <w:szCs w:val="18"/>
          <w:color w:val="auto"/>
        </w:rPr>
      </w:pPr>
    </w:p>
    <w:p>
      <w:pPr>
        <w:ind w:left="620" w:right="619" w:hanging="328"/>
        <w:spacing w:after="0" w:line="270"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Andrew D. Perlman and Ellen Cohl are currently executive officers of Vringo and will remain executive officers of the combined company following the completion of the Merger;</w:t>
      </w:r>
    </w:p>
    <w:p>
      <w:pPr>
        <w:spacing w:after="0" w:line="68" w:lineRule="exact"/>
        <w:rPr>
          <w:rFonts w:ascii="Arial" w:cs="Arial" w:eastAsia="Arial" w:hAnsi="Arial"/>
          <w:sz w:val="18"/>
          <w:szCs w:val="18"/>
          <w:color w:val="auto"/>
        </w:rPr>
      </w:pPr>
    </w:p>
    <w:p>
      <w:pPr>
        <w:jc w:val="both"/>
        <w:ind w:left="620" w:right="639" w:hanging="328"/>
        <w:spacing w:after="0" w:line="255"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change of control in connection with the consummation of the Merger, there will be a one year acceleration of option vesting for option holders for grants prior to consummation of the Merger, except for Andrew D. Perlman who will be entitled to 50% acceleration for all of his unvested options granted to him prior to him becoming Chief Executive Officer of Vringo;</w:t>
      </w:r>
    </w:p>
    <w:p>
      <w:pPr>
        <w:spacing w:after="0" w:line="82" w:lineRule="exact"/>
        <w:rPr>
          <w:rFonts w:ascii="Arial" w:cs="Arial" w:eastAsia="Arial" w:hAnsi="Arial"/>
          <w:sz w:val="18"/>
          <w:szCs w:val="18"/>
          <w:color w:val="auto"/>
        </w:rPr>
      </w:pPr>
    </w:p>
    <w:p>
      <w:pPr>
        <w:jc w:val="both"/>
        <w:ind w:left="620" w:right="619" w:hanging="328"/>
        <w:spacing w:after="0" w:line="259"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87" w:name="page88"/>
    <w:bookmarkEnd w:id="8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20" w:right="639" w:hanging="328"/>
        <w:spacing w:after="0" w:line="270" w:lineRule="auto"/>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right to continued indemnification for directors and executive officers of Vringo following the completion of the Merger.</w:t>
      </w:r>
    </w:p>
    <w:p>
      <w:pPr>
        <w:spacing w:after="0" w:line="69"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The Vringo board of directors was aware of these potential conflicts of interest during its deliberations on the merits of the Merger and when making its decision regarding the Merger Agreement and the transactions contemplated thereby, including the Merger.</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Ownership Interests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______________, 2012, the latest practicable date before the printing of this proxy statement/prospectus, directors and</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executive officers of Vringo, together with their respective affiliates, beneficially owned and were entitled to vote ______________</w:t>
      </w:r>
    </w:p>
    <w:p>
      <w:pPr>
        <w:spacing w:after="0" w:line="30" w:lineRule="exact"/>
        <w:rPr>
          <w:sz w:val="20"/>
          <w:szCs w:val="20"/>
          <w:color w:val="auto"/>
        </w:rPr>
      </w:pPr>
    </w:p>
    <w:p>
      <w:pPr>
        <w:jc w:val="both"/>
        <w:ind w:left="60" w:right="619"/>
        <w:spacing w:after="0" w:line="250" w:lineRule="auto"/>
        <w:rPr>
          <w:sz w:val="20"/>
          <w:szCs w:val="20"/>
          <w:color w:val="auto"/>
        </w:rPr>
      </w:pPr>
      <w:r>
        <w:rPr>
          <w:rFonts w:ascii="Arial" w:cs="Arial" w:eastAsia="Arial" w:hAnsi="Arial"/>
          <w:sz w:val="18"/>
          <w:szCs w:val="18"/>
          <w:color w:val="auto"/>
        </w:rPr>
        <w:t>shares of Vringo common stock, or approximately ___% of the shares of Vringo common stock outstanding on that date. Assuming the Merger had been completed as of such date, all directors and executive officers of Vringo, together with their respective affiliates, would beneficially own, in the aggregate, approximately ___% of the outstanding shares of common stock of the combined company.</w:t>
      </w:r>
    </w:p>
    <w:p>
      <w:pPr>
        <w:spacing w:after="0" w:line="87" w:lineRule="exact"/>
        <w:rPr>
          <w:sz w:val="20"/>
          <w:szCs w:val="20"/>
          <w:color w:val="auto"/>
        </w:rPr>
      </w:pPr>
    </w:p>
    <w:p>
      <w:pPr>
        <w:jc w:val="both"/>
        <w:ind w:left="60" w:right="619" w:firstLine="267"/>
        <w:spacing w:after="0" w:line="282" w:lineRule="auto"/>
        <w:rPr>
          <w:sz w:val="20"/>
          <w:szCs w:val="20"/>
          <w:color w:val="auto"/>
        </w:rPr>
      </w:pPr>
      <w:r>
        <w:rPr>
          <w:rFonts w:ascii="Arial" w:cs="Arial" w:eastAsia="Arial" w:hAnsi="Arial"/>
          <w:sz w:val="16"/>
          <w:szCs w:val="16"/>
          <w:color w:val="auto"/>
        </w:rPr>
        <w:t>The following table sets forth information as of March 30, 2012, regarding the beneficial ownership of the combined company for each executive officer and director of Vringo and Innovate/Protect following the completion of the Merger. Percentage of beneficial ownership is calculated in relation to 31,537,040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March 30, 2012. The table also sets forth the total number of additional options that each executive officer and director of Innovate/Protect will have the right to acquire following the Merger, but which are not exercisable within 60 days of March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51600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288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5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0"/>
              </w:rPr>
              <w:t>Total Shares to be</w:t>
            </w:r>
          </w:p>
        </w:tc>
        <w:tc>
          <w:tcPr>
            <w:tcW w:w="160" w:type="dxa"/>
            <w:vAlign w:val="bottom"/>
          </w:tcPr>
          <w:p>
            <w:pPr>
              <w:spacing w:after="0"/>
              <w:rPr>
                <w:sz w:val="13"/>
                <w:szCs w:val="13"/>
                <w:color w:val="auto"/>
              </w:rPr>
            </w:pPr>
          </w:p>
        </w:tc>
        <w:tc>
          <w:tcPr>
            <w:tcW w:w="15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Total Additional</w:t>
            </w:r>
          </w:p>
        </w:tc>
        <w:tc>
          <w:tcPr>
            <w:tcW w:w="16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2"/>
              </w:rPr>
              <w:t>Combined Company</w:t>
            </w:r>
          </w:p>
        </w:tc>
      </w:tr>
      <w:tr>
        <w:trPr>
          <w:trHeight w:val="147"/>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Beneficially Owned</w:t>
            </w: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Options to be Held</w:t>
            </w:r>
          </w:p>
        </w:tc>
        <w:tc>
          <w:tcPr>
            <w:tcW w:w="16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Beneficial</w:t>
            </w:r>
          </w:p>
        </w:tc>
      </w:tr>
      <w:tr>
        <w:trPr>
          <w:trHeight w:val="147"/>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Ownership Percentage</w:t>
            </w:r>
          </w:p>
        </w:tc>
      </w:tr>
      <w:tr>
        <w:trPr>
          <w:trHeight w:val="170"/>
        </w:trPr>
        <w:tc>
          <w:tcPr>
            <w:tcW w:w="2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Following the Merger</w:t>
            </w:r>
          </w:p>
        </w:tc>
      </w:tr>
      <w:tr>
        <w:trPr>
          <w:trHeight w:val="207"/>
        </w:trPr>
        <w:tc>
          <w:tcPr>
            <w:tcW w:w="2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172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561,584</w:t>
            </w:r>
          </w:p>
        </w:tc>
        <w:tc>
          <w:tcPr>
            <w:tcW w:w="172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377,250</w:t>
            </w:r>
          </w:p>
        </w:tc>
        <w:tc>
          <w:tcPr>
            <w:tcW w:w="1820" w:type="dxa"/>
            <w:vAlign w:val="bottom"/>
            <w:gridSpan w:val="2"/>
            <w:shd w:val="clear" w:color="auto" w:fill="CCFFCC"/>
          </w:tcPr>
          <w:p>
            <w:pPr>
              <w:jc w:val="right"/>
              <w:ind w:right="389"/>
              <w:spacing w:after="0"/>
              <w:rPr>
                <w:sz w:val="20"/>
                <w:szCs w:val="20"/>
                <w:color w:val="auto"/>
              </w:rPr>
            </w:pPr>
            <w:r>
              <w:rPr>
                <w:rFonts w:ascii="Arial" w:cs="Arial" w:eastAsia="Arial" w:hAnsi="Arial"/>
                <w:sz w:val="18"/>
                <w:szCs w:val="18"/>
                <w:color w:val="auto"/>
              </w:rPr>
              <w:t>1.8%</w:t>
            </w:r>
          </w:p>
        </w:tc>
      </w:tr>
      <w:tr>
        <w:trPr>
          <w:trHeight w:val="214"/>
        </w:trPr>
        <w:tc>
          <w:tcPr>
            <w:tcW w:w="288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1720" w:type="dxa"/>
            <w:vAlign w:val="bottom"/>
            <w:gridSpan w:val="2"/>
          </w:tcPr>
          <w:p>
            <w:pPr>
              <w:jc w:val="right"/>
              <w:ind w:right="49"/>
              <w:spacing w:after="0"/>
              <w:rPr>
                <w:sz w:val="20"/>
                <w:szCs w:val="20"/>
                <w:color w:val="auto"/>
              </w:rPr>
            </w:pPr>
            <w:r>
              <w:rPr>
                <w:rFonts w:ascii="Arial" w:cs="Arial" w:eastAsia="Arial" w:hAnsi="Arial"/>
                <w:sz w:val="18"/>
                <w:szCs w:val="18"/>
                <w:color w:val="auto"/>
              </w:rPr>
              <w:t>557,830</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276,042</w:t>
            </w:r>
          </w:p>
        </w:tc>
        <w:tc>
          <w:tcPr>
            <w:tcW w:w="1820" w:type="dxa"/>
            <w:vAlign w:val="bottom"/>
            <w:gridSpan w:val="2"/>
          </w:tcPr>
          <w:p>
            <w:pPr>
              <w:jc w:val="right"/>
              <w:ind w:right="389"/>
              <w:spacing w:after="0"/>
              <w:rPr>
                <w:sz w:val="20"/>
                <w:szCs w:val="20"/>
                <w:color w:val="auto"/>
              </w:rPr>
            </w:pPr>
            <w:r>
              <w:rPr>
                <w:rFonts w:ascii="Arial" w:cs="Arial" w:eastAsia="Arial" w:hAnsi="Arial"/>
                <w:sz w:val="18"/>
                <w:szCs w:val="18"/>
                <w:color w:val="auto"/>
              </w:rPr>
              <w:t>1.7%</w:t>
            </w:r>
          </w:p>
        </w:tc>
      </w:tr>
      <w:tr>
        <w:trPr>
          <w:trHeight w:val="214"/>
        </w:trPr>
        <w:tc>
          <w:tcPr>
            <w:tcW w:w="2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72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8,034,360</w:t>
            </w: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389"/>
              <w:spacing w:after="0"/>
              <w:rPr>
                <w:sz w:val="20"/>
                <w:szCs w:val="20"/>
                <w:color w:val="auto"/>
              </w:rPr>
            </w:pPr>
            <w:r>
              <w:rPr>
                <w:rFonts w:ascii="Arial" w:cs="Arial" w:eastAsia="Arial" w:hAnsi="Arial"/>
                <w:sz w:val="18"/>
                <w:szCs w:val="18"/>
                <w:color w:val="auto"/>
              </w:rPr>
              <w:t>23.7%</w:t>
            </w:r>
          </w:p>
        </w:tc>
      </w:tr>
      <w:tr>
        <w:trPr>
          <w:trHeight w:val="214"/>
        </w:trPr>
        <w:tc>
          <w:tcPr>
            <w:tcW w:w="2880" w:type="dxa"/>
            <w:vAlign w:val="bottom"/>
          </w:tcPr>
          <w:p>
            <w:pPr>
              <w:ind w:left="20"/>
              <w:spacing w:after="0"/>
              <w:rPr>
                <w:sz w:val="20"/>
                <w:szCs w:val="20"/>
                <w:color w:val="auto"/>
              </w:rPr>
            </w:pPr>
            <w:r>
              <w:rPr>
                <w:rFonts w:ascii="Arial" w:cs="Arial" w:eastAsia="Arial" w:hAnsi="Arial"/>
                <w:sz w:val="18"/>
                <w:szCs w:val="18"/>
                <w:color w:val="auto"/>
              </w:rPr>
              <w:t>Alexender R. Berger</w:t>
            </w:r>
          </w:p>
        </w:tc>
        <w:tc>
          <w:tcPr>
            <w:tcW w:w="1720" w:type="dxa"/>
            <w:vAlign w:val="bottom"/>
            <w:gridSpan w:val="2"/>
          </w:tcPr>
          <w:p>
            <w:pPr>
              <w:jc w:val="right"/>
              <w:ind w:right="49"/>
              <w:spacing w:after="0"/>
              <w:rPr>
                <w:sz w:val="20"/>
                <w:szCs w:val="20"/>
                <w:color w:val="auto"/>
              </w:rPr>
            </w:pPr>
            <w:r>
              <w:rPr>
                <w:rFonts w:ascii="Arial" w:cs="Arial" w:eastAsia="Arial" w:hAnsi="Arial"/>
                <w:sz w:val="18"/>
                <w:szCs w:val="18"/>
                <w:color w:val="auto"/>
              </w:rPr>
              <w:t>2,678,120</w:t>
            </w:r>
          </w:p>
        </w:tc>
        <w:tc>
          <w:tcPr>
            <w:tcW w:w="16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9"/>
              <w:spacing w:after="0"/>
              <w:rPr>
                <w:sz w:val="20"/>
                <w:szCs w:val="20"/>
                <w:color w:val="auto"/>
              </w:rPr>
            </w:pPr>
            <w:r>
              <w:rPr>
                <w:rFonts w:ascii="Arial" w:cs="Arial" w:eastAsia="Arial" w:hAnsi="Arial"/>
                <w:sz w:val="18"/>
                <w:szCs w:val="18"/>
                <w:color w:val="auto"/>
              </w:rPr>
              <w:t>8.3%</w:t>
            </w:r>
          </w:p>
        </w:tc>
      </w:tr>
      <w:tr>
        <w:trPr>
          <w:trHeight w:val="214"/>
        </w:trPr>
        <w:tc>
          <w:tcPr>
            <w:tcW w:w="2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72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83,669</w:t>
            </w:r>
          </w:p>
        </w:tc>
        <w:tc>
          <w:tcPr>
            <w:tcW w:w="1720" w:type="dxa"/>
            <w:vAlign w:val="bottom"/>
            <w:gridSpan w:val="2"/>
            <w:shd w:val="clear" w:color="auto" w:fill="CCFFCC"/>
          </w:tcPr>
          <w:p>
            <w:pPr>
              <w:jc w:val="right"/>
              <w:ind w:right="59"/>
              <w:spacing w:after="0"/>
              <w:rPr>
                <w:sz w:val="20"/>
                <w:szCs w:val="20"/>
                <w:color w:val="auto"/>
              </w:rPr>
            </w:pPr>
            <w:r>
              <w:rPr>
                <w:rFonts w:ascii="Arial" w:cs="Arial" w:eastAsia="Arial" w:hAnsi="Arial"/>
                <w:sz w:val="18"/>
                <w:szCs w:val="18"/>
                <w:color w:val="auto"/>
              </w:rPr>
              <w:t>147,135</w:t>
            </w:r>
          </w:p>
        </w:tc>
        <w:tc>
          <w:tcPr>
            <w:tcW w:w="1820" w:type="dxa"/>
            <w:vAlign w:val="bottom"/>
            <w:gridSpan w:val="2"/>
            <w:shd w:val="clear" w:color="auto" w:fill="CCFFCC"/>
          </w:tcPr>
          <w:p>
            <w:pPr>
              <w:jc w:val="right"/>
              <w:ind w:right="389"/>
              <w:spacing w:after="0"/>
              <w:rPr>
                <w:sz w:val="20"/>
                <w:szCs w:val="20"/>
                <w:color w:val="auto"/>
              </w:rPr>
            </w:pPr>
            <w:r>
              <w:rPr>
                <w:rFonts w:ascii="Arial" w:cs="Arial" w:eastAsia="Arial" w:hAnsi="Arial"/>
                <w:sz w:val="18"/>
                <w:szCs w:val="18"/>
                <w:color w:val="auto"/>
              </w:rPr>
              <w:t>0.6%</w:t>
            </w:r>
          </w:p>
        </w:tc>
      </w:tr>
      <w:tr>
        <w:trPr>
          <w:trHeight w:val="214"/>
        </w:trPr>
        <w:tc>
          <w:tcPr>
            <w:tcW w:w="288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1720" w:type="dxa"/>
            <w:vAlign w:val="bottom"/>
            <w:gridSpan w:val="2"/>
          </w:tcPr>
          <w:p>
            <w:pPr>
              <w:jc w:val="right"/>
              <w:ind w:right="49"/>
              <w:spacing w:after="0"/>
              <w:rPr>
                <w:sz w:val="20"/>
                <w:szCs w:val="20"/>
                <w:color w:val="auto"/>
              </w:rPr>
            </w:pPr>
            <w:r>
              <w:rPr>
                <w:rFonts w:ascii="Arial" w:cs="Arial" w:eastAsia="Arial" w:hAnsi="Arial"/>
                <w:sz w:val="18"/>
                <w:szCs w:val="18"/>
                <w:color w:val="auto"/>
              </w:rPr>
              <w:t>1,083,195</w:t>
            </w:r>
          </w:p>
        </w:tc>
        <w:tc>
          <w:tcPr>
            <w:tcW w:w="16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9"/>
              <w:spacing w:after="0"/>
              <w:rPr>
                <w:sz w:val="20"/>
                <w:szCs w:val="20"/>
                <w:color w:val="auto"/>
              </w:rPr>
            </w:pPr>
            <w:r>
              <w:rPr>
                <w:rFonts w:ascii="Arial" w:cs="Arial" w:eastAsia="Arial" w:hAnsi="Arial"/>
                <w:sz w:val="18"/>
                <w:szCs w:val="18"/>
                <w:color w:val="auto"/>
              </w:rPr>
              <w:t>3.4%</w:t>
            </w:r>
          </w:p>
        </w:tc>
      </w:tr>
      <w:tr>
        <w:trPr>
          <w:trHeight w:val="214"/>
        </w:trPr>
        <w:tc>
          <w:tcPr>
            <w:tcW w:w="2880" w:type="dxa"/>
            <w:vAlign w:val="bottom"/>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172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171,400</w:t>
            </w: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389"/>
              <w:spacing w:after="0"/>
              <w:rPr>
                <w:sz w:val="20"/>
                <w:szCs w:val="20"/>
                <w:color w:val="auto"/>
              </w:rPr>
            </w:pPr>
            <w:r>
              <w:rPr>
                <w:rFonts w:ascii="Arial" w:cs="Arial" w:eastAsia="Arial" w:hAnsi="Arial"/>
                <w:sz w:val="18"/>
                <w:szCs w:val="18"/>
                <w:color w:val="auto"/>
              </w:rPr>
              <w:t>0.5%</w:t>
            </w:r>
          </w:p>
        </w:tc>
      </w:tr>
      <w:tr>
        <w:trPr>
          <w:trHeight w:val="227"/>
        </w:trPr>
        <w:tc>
          <w:tcPr>
            <w:tcW w:w="288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1720" w:type="dxa"/>
            <w:vAlign w:val="bottom"/>
            <w:gridSpan w:val="2"/>
          </w:tcPr>
          <w:p>
            <w:pPr>
              <w:jc w:val="right"/>
              <w:ind w:right="49"/>
              <w:spacing w:after="0"/>
              <w:rPr>
                <w:sz w:val="20"/>
                <w:szCs w:val="20"/>
                <w:color w:val="auto"/>
              </w:rPr>
            </w:pPr>
            <w:r>
              <w:rPr>
                <w:rFonts w:ascii="Arial" w:cs="Arial" w:eastAsia="Arial" w:hAnsi="Arial"/>
                <w:sz w:val="18"/>
                <w:szCs w:val="18"/>
                <w:color w:val="auto"/>
              </w:rPr>
              <w:t>188,854</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211,146</w:t>
            </w:r>
          </w:p>
        </w:tc>
        <w:tc>
          <w:tcPr>
            <w:tcW w:w="1820" w:type="dxa"/>
            <w:vAlign w:val="bottom"/>
            <w:gridSpan w:val="2"/>
          </w:tcPr>
          <w:p>
            <w:pPr>
              <w:jc w:val="right"/>
              <w:ind w:right="389"/>
              <w:spacing w:after="0"/>
              <w:rPr>
                <w:sz w:val="20"/>
                <w:szCs w:val="20"/>
                <w:color w:val="auto"/>
              </w:rPr>
            </w:pPr>
            <w:r>
              <w:rPr>
                <w:rFonts w:ascii="Arial" w:cs="Arial" w:eastAsia="Arial" w:hAnsi="Arial"/>
                <w:sz w:val="18"/>
                <w:szCs w:val="18"/>
                <w:color w:val="auto"/>
              </w:rPr>
              <w:t>0.6%</w:t>
            </w:r>
          </w:p>
        </w:tc>
      </w:tr>
    </w:tbl>
    <w:p>
      <w:pPr>
        <w:spacing w:after="0" w:line="80"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 xml:space="preserve">For a more complete discussion of the ownership interests of the directors and executive officers of Vringo, see the sections entitled “Vringo Security Ownership of Certain Beneficial Owners and Management” and “Security Ownership of Certain Beneficial Owners and Management of the Combined Company Following the Merger” beginning on pages </w:t>
      </w:r>
      <w:r>
        <w:rPr>
          <w:rFonts w:ascii="Arial" w:cs="Arial" w:eastAsia="Arial" w:hAnsi="Arial"/>
          <w:sz w:val="18"/>
          <w:szCs w:val="18"/>
          <w:u w:val="single" w:color="auto"/>
          <w:color w:val="0000EE"/>
        </w:rPr>
        <w:t>157</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160</w:t>
      </w:r>
      <w:r>
        <w:rPr>
          <w:rFonts w:ascii="Arial" w:cs="Arial" w:eastAsia="Arial" w:hAnsi="Arial"/>
          <w:sz w:val="18"/>
          <w:szCs w:val="18"/>
          <w:color w:val="auto"/>
        </w:rPr>
        <w:t>, respectively.</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Employment Agreements with Certain Executive Officers of Vringo</w:t>
      </w:r>
    </w:p>
    <w:p>
      <w:pPr>
        <w:spacing w:after="0" w:line="114"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On March 11, 2012, in connection with the appointment of Andrew D. Perlman as Chief Executive Officer, Vringo’s board of directors approved an increase in Mr. Perlman’s salary to $250,000 per year and the payment of severance for one year in the event he is no longer the Chief Executive Officer in connection with the change of control. In addition, the board of directors approved the grant of options to purchase 450,000 shares at an exercise price of $1.65 per share. Vringo and Mr. Perlman expect to enter into an amendment to his employment agreement to memorialize the foregoing terms.</w:t>
      </w:r>
    </w:p>
    <w:p>
      <w:pPr>
        <w:spacing w:after="0" w:line="200" w:lineRule="exact"/>
        <w:rPr>
          <w:sz w:val="20"/>
          <w:szCs w:val="20"/>
          <w:color w:val="auto"/>
        </w:rPr>
      </w:pPr>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Accelerated Vesting of Stock Options</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law.</w:t>
      </w:r>
    </w:p>
    <w:p>
      <w:pPr>
        <w:spacing w:after="0" w:line="56"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Merger Agreement provides the Vringo will continue to indemnify and hold harmless each present and former director or officer of Vringo or any of its subsidiaries, with respect to acts or omissions occurring or alleged to have occurred at or prior to the completion of the Merger, to the fullest extent permitted under applicable law and Vringo’s certificate of incorporation or Vringo’s bylaws (the “</w:t>
      </w:r>
      <w:r>
        <w:rPr>
          <w:rFonts w:ascii="Arial" w:cs="Arial" w:eastAsia="Arial" w:hAnsi="Arial"/>
          <w:sz w:val="17"/>
          <w:szCs w:val="17"/>
          <w:b w:val="1"/>
          <w:bCs w:val="1"/>
          <w:color w:val="auto"/>
        </w:rPr>
        <w:t>Vringo’s Bylaws</w:t>
      </w:r>
      <w:r>
        <w:rPr>
          <w:rFonts w:ascii="Arial" w:cs="Arial" w:eastAsia="Arial" w:hAnsi="Arial"/>
          <w:sz w:val="17"/>
          <w:szCs w:val="17"/>
          <w:color w:val="auto"/>
        </w:rPr>
        <w:t>”). The Merger Agreement also provides that the combined company will honor all indemnification agreements in place with each present and former director or officer of Vringo.</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Anticipated Accounting Treatment</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Merger will be treated by Vringo as a reverse merger under the acquisition method of accounting in accordance with GAAP. For accounting purposes, Innovate/Protect is considered to be acquiring Vringo in this transaction. Therefore, the aggregate consideration paid in connection with the Merger will be allocated to Vringo tangible and intangible assets and liabilities based on their fair market values. The assets and liabilities and results of operations of Vringo will be consolidated into the results of operations of Innovate/Protect as of the completion of the Merger. These allocations will be based upon a valuation that has not yet been finalized.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Treatment of the Merger</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Vringo and Innovate/Protect intend the Merger to qualify as a reorganization within the meaning of Section 368(a) of the Code and have agreed to use reasonable best efforts to structure the Merger to qualify as a reorganization and not to take any action that would prevent the Merger from qualifying as a reorganization under Section 368(a) of the Code. For a more complete discussion of the material U.S. federal income tax consequences of the Merger, see the section entitled “Material U.S. Federal Income Tax Consequences of the Merger” beginning on page </w:t>
      </w:r>
      <w:r>
        <w:rPr>
          <w:rFonts w:ascii="Arial" w:cs="Arial" w:eastAsia="Arial" w:hAnsi="Arial"/>
          <w:sz w:val="18"/>
          <w:szCs w:val="18"/>
          <w:u w:val="single" w:color="auto"/>
          <w:color w:val="0000EE"/>
        </w:rPr>
        <w:t>77</w:t>
      </w:r>
      <w:r>
        <w:rPr>
          <w:rFonts w:ascii="Arial" w:cs="Arial" w:eastAsia="Arial" w:hAnsi="Arial"/>
          <w:sz w:val="18"/>
          <w:szCs w:val="18"/>
          <w:color w:val="auto"/>
        </w:rPr>
        <w: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18"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As of the date of this proxy statement/prospectus, neither Vringo nor Innovate/Protect is required to make filings or to obtain approvals or clearances from any antitrust regulatory authorities in the U.S. or other countries to complete the Merger. In the U.S., Vringo must comply with applicable federal and state securities laws and the rules and regulations of the NYSE Amex in connection with the issuance of shares of Vringo common stock and preferred stock and warrants in the Merger and the resulting change in control of Vringo and the filing of this proxy statement/prospectus with the SEC.</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Restrictions on Sales of Shares of Vringo Common Stock Received by Innovate/Protect Stockholder in the Merger</w:t>
      </w:r>
    </w:p>
    <w:p>
      <w:pPr>
        <w:spacing w:after="0" w:line="12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84" w:lineRule="auto"/>
        <w:rPr>
          <w:sz w:val="20"/>
          <w:szCs w:val="20"/>
          <w:color w:val="auto"/>
        </w:rPr>
      </w:pPr>
      <w:r>
        <w:rPr>
          <w:rFonts w:ascii="Arial" w:cs="Arial" w:eastAsia="Arial" w:hAnsi="Arial"/>
          <w:sz w:val="16"/>
          <w:szCs w:val="16"/>
          <w:color w:val="auto"/>
        </w:rPr>
        <w:t>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pursuant to the Merger Agreement,</w:t>
      </w:r>
    </w:p>
    <w:p>
      <w:pPr>
        <w:spacing w:after="0" w:line="1" w:lineRule="exact"/>
        <w:rPr>
          <w:sz w:val="20"/>
          <w:szCs w:val="20"/>
          <w:color w:val="auto"/>
        </w:rPr>
      </w:pPr>
    </w:p>
    <w:p>
      <w:pPr>
        <w:jc w:val="both"/>
        <w:ind w:left="40" w:right="619" w:firstLine="5"/>
        <w:spacing w:after="0" w:line="282" w:lineRule="auto"/>
        <w:tabs>
          <w:tab w:leader="none" w:pos="324"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shares of Vringo common stock issued upon exercise of any Series 1 Warrants or Series 2 Warrants issued to Hudson Bay pursuant to the Merger Agreement, in the forms attached to this proxy statement/prospectus as Annex F and Annex G, respectively,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description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w:t>
      </w:r>
    </w:p>
    <w:p>
      <w:pPr>
        <w:spacing w:after="0" w:line="6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Appraisal Rights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Under the DGCL,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NYSE Amex Listing of Vringo Common Stock</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 common stock currently is listed on the NYSE Amex under the symbol “VRNG.” Vringo has agreed to use its reasonable best efforts to cause the shares of Vringo common stock to be approved, at or prior to the completion of the Merger, for listing (subject only to notice of issuance) on the NYSE Amex at and following the completion of the Merger, and the listing of the shares of Vringo common stock issuable pursuant to the Merger Agreement on the NYSE Amex is a condition to Innovate/Protect’s obligation to complete the Merger.</w:t>
      </w:r>
    </w:p>
    <w:p>
      <w:pPr>
        <w:spacing w:after="0" w:line="8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As of the date of the mailing of this proxy statement/prospectus, Vringo has filed an initial listing application for listing on the NYSE Amex in connection with the Merger pursuant to NYSE Amex’s reverse merger rules. If such application is approved, Vringo anticipates that its common stock will be listed on the NYSE Amex following the completion of the Merger under the trading symbol “VRNG.”</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following discussion summarizes the material U.S. federal income tax consequences of the Merger. This summary is based upon current provisions of the Code, existing Treasury Regulations promulgated thereunder and current administrative rulings and court decisions, all of which are subject to change and to differing interpretations, possibly with retroactive effect. Any change could alter the tax consequences to Vringo, Innovate/Protect or Innovate/Protect stockholders, as described in this summary. This summary is not binding on the IRS, and there can be no assurance that the IRS (or a court, in the event of an IRS challenge) will agree with the conclusions stated herein.</w:t>
      </w:r>
    </w:p>
    <w:p>
      <w:pPr>
        <w:spacing w:after="0" w:line="71"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This discussion does not address all of the U.S. federal income tax consequences of the Merger that may be relevant to Innovate/Protect stockholders and Vringo stockholders in light of their particular circumstances and does not apply to stockholders that are subject to special treatment under U.S. federal income tax laws, including, without limitation:</w:t>
      </w:r>
    </w:p>
    <w:p>
      <w:pPr>
        <w:spacing w:after="0" w:line="62" w:lineRule="exact"/>
        <w:rPr>
          <w:sz w:val="20"/>
          <w:szCs w:val="20"/>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dealers, brokers and traders in securities;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individuals who are not citizens or residents of the U.S., including U.S. expatriates;</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corporations (or other entities taxable as a corporation for U.S. federal income tax purposes) created or organized outside of the U.S.;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institutions, regulated investment companies, real estate investment trusts or insurance companies;</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limited liability companies that are not treated as corporations for U.S. federal income tax purposes, subchapter S corporations and other pass-through entities and investors in such entities;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or trust;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holders who are subject to the alternative minimum tax provisions of the Code;</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holders who acquired their shares in connection with stock option or stock purchase plans or in other compensatory transactions;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holders who hold their shares through a pension plan or other qualified retirement plan;</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holders who hold their shares as part of an integrated investment such as a hedge or as part of a hedging, straddle or other risk reduction strategy;</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holders who do not hold their shares as capital assets within the meaning of Section 1221 of the Code (generally, property held for investment will be a capital asset); or</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holders who have a functional currency other than the U.S. dollar.</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discussion does not address:</w:t>
      </w:r>
    </w:p>
    <w:p>
      <w:pPr>
        <w:spacing w:after="0" w:line="114" w:lineRule="exact"/>
        <w:rPr>
          <w:sz w:val="20"/>
          <w:szCs w:val="20"/>
          <w:color w:val="auto"/>
        </w:rPr>
      </w:pPr>
    </w:p>
    <w:p>
      <w:pPr>
        <w:ind w:left="600" w:hanging="328"/>
        <w:spacing w:after="0"/>
        <w:tabs>
          <w:tab w:leader="none" w:pos="6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tax consequences of the Merger under any U.S. federal non-income tax laws or under state, local or foreign tax laws;</w:t>
      </w:r>
    </w:p>
    <w:p>
      <w:pPr>
        <w:spacing w:after="0" w:line="136" w:lineRule="exact"/>
        <w:rPr>
          <w:rFonts w:ascii="Arial" w:cs="Arial" w:eastAsia="Arial" w:hAnsi="Arial"/>
          <w:sz w:val="16"/>
          <w:szCs w:val="16"/>
          <w:color w:val="auto"/>
        </w:rPr>
      </w:pPr>
    </w:p>
    <w:p>
      <w:pPr>
        <w:jc w:val="both"/>
        <w:ind w:left="600" w:right="639" w:hanging="328"/>
        <w:spacing w:after="0" w:line="259"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tax consequences of transactions effectuated before, after or at the same time as the Merger, whether or not they are in connection with the Merger, including, without limitation, transactions in which shares of Innovate/Protect capital stock or Vringo capital stock are acquired;</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tax consequences to holders of options issued by Innovate/Protect that are assumed, replaced, exercised or converted, as the case may be, in connection with the Merger;</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tax consequences of the receipt of equity securities of Vringo other than in exchange for shares of Innovate/Protect capital stock; or</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tax consequences of the ownership or disposition of equity securities of Vringo common stock acquired in the Merger.</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39" w:firstLine="267"/>
        <w:spacing w:after="0" w:line="284" w:lineRule="auto"/>
        <w:rPr>
          <w:sz w:val="20"/>
          <w:szCs w:val="20"/>
          <w:color w:val="auto"/>
        </w:rPr>
      </w:pPr>
      <w:r>
        <w:rPr>
          <w:rFonts w:ascii="Arial" w:cs="Arial" w:eastAsia="Arial" w:hAnsi="Arial"/>
          <w:sz w:val="17"/>
          <w:szCs w:val="17"/>
          <w:b w:val="1"/>
          <w:bCs w:val="1"/>
          <w:color w:val="auto"/>
        </w:rPr>
        <w:t>Accordingly, Innovate/Protect stockholders are advised and expected to consult their own tax advisors regarding the U.S. federal income tax consequences of the Merger in light of their personal circumstances and the consequences of the Merger under U.S. federal non-income tax laws and state, local and foreign tax laws.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Income Tax Consequences of the Merger</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The Merger is intended to qualify as a “reorganization” within the meaning of Section 368(a) of the Code. Vringo and Innovate/Protect have agreed to use reasonable best efforts to structure the Merger to qualify as a “reorganization” and not to take any action that would prevent the Merger from qualifying as a reorganization under Section 368(a) of the Code. Neither Vringo nor Innovate/Protect presently intends to waive these conditions.</w:t>
      </w:r>
    </w:p>
    <w:p>
      <w:pPr>
        <w:spacing w:after="0" w:line="8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If, as intended, the Merger is treated for U.S. federal income tax purposes as a “reorganization” within the meaning of Section 368(a) of the Code, then the Merger will have the following material U.S. federal income tax consequences:</w:t>
      </w:r>
    </w:p>
    <w:p>
      <w:pPr>
        <w:spacing w:after="0" w:line="69"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The Merger will be treated for U.S. federal income tax purposes as a “reorganization” within the meaning of Section 368(a) of the Code and that the Merger will have the following material U.S. federal income tax consequences:</w:t>
      </w:r>
    </w:p>
    <w:p>
      <w:pPr>
        <w:spacing w:after="0" w:line="46" w:lineRule="exact"/>
        <w:rPr>
          <w:sz w:val="20"/>
          <w:szCs w:val="20"/>
          <w:color w:val="auto"/>
        </w:rPr>
      </w:pPr>
    </w:p>
    <w:p>
      <w:pPr>
        <w:ind w:left="600" w:right="619" w:hanging="328"/>
        <w:spacing w:after="0" w:line="270"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Vringo, Merger Sub, Innovate/Protect and the Vringo stockholders generally will recognize no gain or loss solely as a result of the Merger;</w:t>
      </w:r>
    </w:p>
    <w:p>
      <w:pPr>
        <w:spacing w:after="0" w:line="6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Innovate/Protect stockholders, other than Innovate/Protect stockholders who exercise appraisal rights (as discussed below), generally will recognize no gain or loss upon the receipt of equity securities of Vringo for their Innovate/Protect capital stock;</w:t>
      </w:r>
    </w:p>
    <w:p>
      <w:pPr>
        <w:spacing w:after="0" w:line="78" w:lineRule="exact"/>
        <w:rPr>
          <w:rFonts w:ascii="Arial" w:cs="Arial" w:eastAsia="Arial" w:hAnsi="Arial"/>
          <w:sz w:val="18"/>
          <w:szCs w:val="18"/>
          <w:color w:val="auto"/>
        </w:rPr>
      </w:pPr>
    </w:p>
    <w:p>
      <w:pPr>
        <w:jc w:val="both"/>
        <w:ind w:left="600" w:right="639" w:hanging="328"/>
        <w:spacing w:after="0" w:line="334" w:lineRule="auto"/>
        <w:tabs>
          <w:tab w:leader="none" w:pos="6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aggregate tax basis of the equity securities of Vringo that are received by an Innovate/Protect stockholder in the Merger will be equal to the aggregate tax basis of the shares of Innovate/Protect capital stock surrendered in exchange therefor; and</w:t>
      </w:r>
    </w:p>
    <w:p>
      <w:pPr>
        <w:spacing w:after="0" w:line="22" w:lineRule="exact"/>
        <w:rPr>
          <w:rFonts w:ascii="Arial" w:cs="Arial" w:eastAsia="Arial" w:hAnsi="Arial"/>
          <w:sz w:val="16"/>
          <w:szCs w:val="16"/>
          <w:color w:val="auto"/>
        </w:rPr>
      </w:pPr>
    </w:p>
    <w:p>
      <w:pPr>
        <w:ind w:left="600" w:right="619" w:hanging="328"/>
        <w:spacing w:after="0" w:line="334" w:lineRule="auto"/>
        <w:tabs>
          <w:tab w:leader="none" w:pos="6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holding period of the equity securities of Vringo received by an Innovate/Protect stockholder in connection with the Merger will include the holding period of the shares of Innovate/Protect capital stock surrendered in exchange therefor.</w:t>
      </w:r>
    </w:p>
    <w:p>
      <w:pPr>
        <w:spacing w:after="0" w:line="19"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Neither Vringo nor Innovate/Protect has requested, or intends to request, a ruling from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w:t>
      </w:r>
    </w:p>
    <w:p>
      <w:pPr>
        <w:spacing w:after="0" w:line="7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There will be no material U.S. federal income tax consequences of the Merger for Vringo stockholders whether or not the Merger qualifies as a “reorganization” within the meaning of Section 368(a) of the Code.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Treatment of Innovate/Protect Stockholders Who Exercise Appraisal Rights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discussion above does not apply to Innovate/Protect stockholders who properly perfect appraisal rights with respect to such stockholder’s shares of Innovate/Protect capital stock. Generally, an Innovate/Protect stockholder who perfects appraisal rights and receives cash in exchange for such stockholder’s Innovate/Protect capital stock will recognize capital gain or loss measured by the difference between the amount of cash received and such stockholder’s adjusted tax basis in those shares. Such gain or loss will generally be long-term capital gain or loss, provided the shares of Innovate/Protect capital stock were held for more than one year before the disposition of the shares. The deductibility of capital losses is subject to limitations.</w:t>
      </w:r>
    </w:p>
    <w:p>
      <w:pPr>
        <w:spacing w:after="0" w:line="200" w:lineRule="exact"/>
        <w:rPr>
          <w:sz w:val="20"/>
          <w:szCs w:val="20"/>
          <w:color w:val="auto"/>
        </w:rPr>
      </w:pP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Generally, non-corporate Innovate/Protect stockholders may be subject to information reporting and backup withholding (currently at a rate of 28%) with respect to cash received for perfecting appraisal rights. However, backup withholding will not apply to an Innovate/Protect stockholder who furnishes a valid taxpayer identification number and complies with certain certification procedures or otherwise establishes an exemption from backup withholding. Amounts withheld, if any, are generally not an additional tax and may be refunded or credited against the Innovate/Protect stockholder’s U.S. federal income tax liability, provided that the Innovate/Protect stockholder timely furnishes the required information to the IRS.</w:t>
      </w:r>
    </w:p>
    <w:p>
      <w:pPr>
        <w:spacing w:after="0" w:line="71"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THE FOREGOING SUMMARY OF MATERIAL U.S. FEDERAL INCOME TAX CONSEQUENCES IS NOT INTENDED TO BE A COMPLETE ANALYSIS OR DESCRIPTION OF ALL POTENTIAL U.S. FEDERAL INCOME TAX CONSEQUENCES OF THE MERGER. IN ADDITION, THE SUMMARY DOES NOT ADDRESS TAX CONSEQUENCES THAT MAY VARY WITH, OR ARE CONTINGENT ON, INDIVIDUAL CIRCUMSTANCES. MOREOVER, THE SUMMARY DOES NOT ADDRESS ANY U.S. FEDERAL NON-INCOME TAX OR ANY FOREIGN, STATE OR LOCAL TAX CONSEQUENCES OF THE MERGER, NOR ANY TAX CONSEQUENCES OF ANY TRANSACTION OTHER THAN THE MERGER. ACCORDINGLY, EACH INNOVATE/PROTECT STOCKHOLDER IS STRONGLY URGED TO CONSULT HIS, HER, OR ITS OWN TAX ADVISOR TO DETERMINE THE PARTICULAR FEDERAL, STATE, LOCAL, OR FOREIGN INCOME OR OTHER TAX CONSEQUENCES OF THE MERGER TO SUCH INNOVATE/PROTECT STOCKHOLDER.</w:t>
      </w:r>
    </w:p>
    <w:p>
      <w:pPr>
        <w:spacing w:after="0" w:line="200" w:lineRule="exact"/>
        <w:rPr>
          <w:sz w:val="20"/>
          <w:szCs w:val="20"/>
          <w:color w:val="auto"/>
        </w:rPr>
      </w:pPr>
    </w:p>
    <w:p>
      <w:pPr>
        <w:spacing w:after="0" w:line="3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MERGER AGREEMENT</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i w:val="1"/>
          <w:iCs w:val="1"/>
          <w:color w:val="auto"/>
        </w:rPr>
        <w:t>The following is a summary of the material provisions of the Merger Agreement but does not purport to describe all of the terms of the Merger Agreement. The following summary is qualified in its entirety by reference to the complete text of the Merger Agreement, a copy of which is attached as Annex A to this proxy statement/prospectus and is incorporated by reference into this proxy statement/prospectus. This summary may not contain all of the information about the Merger Agreement that is important to you. You should refer to the full text of the Merger Agreement for details of the transaction and the terms and conditions of the Merger Agreement.</w:t>
      </w:r>
    </w:p>
    <w:p>
      <w:pPr>
        <w:spacing w:after="0" w:line="86"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i w:val="1"/>
          <w:iCs w:val="1"/>
          <w:color w:val="auto"/>
        </w:rPr>
        <w:t>Additionally, the representations, warranties and covenants described in this section and contained in the Merger Agreement have been made only for the purpose of the Merger Agreement and, as such, are intended solely for the benefit of Vringo, Merger Sub and Innovate/Protect. In many cases, these representations, warranties and covenants are subject to limitations agreed upon by the parties and are qualified by certain disclosures exchanged by the parties in connection with the execution of the Merger Agreement. Furthermore, many of the representations and warranties in the Merger Agreement are the result of a negotiated allocation of contractual risk among the parties and, taken in isolation, do not necessarily reflect facts about Vringo or Innovate/Protect, their respective subsidiaries and affiliates or any other party. Likewise, any references to materiality contained in the representations and warranties may not correspond to concepts of materiality applicable to investors or stockholders. Finally, information concerning the subject matter of the representations and warranties may have changed since the date of the Merger Agreement or may change in the future and these changes may not be fully reflected in the public disclosures made by Vringo and/or Innovate/Protect. As a result of the foregoing, you are strongly encouraged not to rely on the representations, warranties and covenants contained in the Merger Agreement, or any descriptions thereof, as accurate characterizations of the state of facts or condition of Vringo, Innovate/Protect, or any other party. You are likewise cautioned that you are not a third-party beneficiary under the Merger Agreement and do not have any direct rights or remedies pursuant to the Merger Agreement.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Terms of the Merger</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Merger Agreement provides that, subject to the terms and conditions of the Merger Agreement and in accordance with Delaware law, at the completion of the Merger, Innovate/Protect will merge with and into Merger Sub with Merger Sub being the surviving corporation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through an exchange of capital stock of Innovate/Protect for capital stock of Vringo.</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Completion of the Merger</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 xml:space="preserve">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Vringo, Innovate/Protect and Merger Sub may mutually agree. For a more complete discussion of the conditions to the completion of the Merger, see the section entitled “The Merger Agreement — Conditions to the Completion of the Merger” beginning on page </w:t>
      </w:r>
      <w:r>
        <w:rPr>
          <w:rFonts w:ascii="Arial" w:cs="Arial" w:eastAsia="Arial" w:hAnsi="Arial"/>
          <w:sz w:val="17"/>
          <w:szCs w:val="17"/>
          <w:u w:val="single" w:color="auto"/>
          <w:color w:val="0000EE"/>
        </w:rPr>
        <w:t>87</w:t>
      </w:r>
      <w:r>
        <w:rPr>
          <w:rFonts w:ascii="Arial" w:cs="Arial" w:eastAsia="Arial" w:hAnsi="Arial"/>
          <w:sz w:val="17"/>
          <w:szCs w:val="17"/>
          <w:color w:val="auto"/>
        </w:rPr>
        <w:t>. The completion of the Merger will occur at the time that the parties file the certificate of merger with the Secretary of State of the State of Delaware on the closing date of the Merger or on such later date as Vringo, Merger Sub and Innovate/Protect mutually agree (and set forth in the certificate of merger). Because the completion of the Merger is subject to the satisfaction of other conditions, Vringo cannot predict the exact time at which the Merger will become effective.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Certificate of Incorporation; Bylaws; Directors and Officers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Upon completion of the Merger, the certificate of incorporation and bylaws of Merger Sub will be the certificate of incorporation and bylaws of the Surviving Corporation. Notwithstanding the foregoing, the certificate of incorporation of Merger Sub will be amended to change the name of the Surviving Corporation to Innovate/Protect, Inc.</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Following the closing, the following persons shall serve on the board of directors of Vringo and the Surviving Corporation: Seth M. Siegel (Chairman), Andrew D. Perlman, John Engelman, Andrew Kennedy Lang, Alexander R. Berger, Donald E. Stout and H. Van Sinclair, and the following persons shall be appointed to the following positions of Vringo and the Surviving Corporation: Andrew D. Perlman (Chief Executive Officer), Andrew Kennedy Lang (Chief Technology Officer and President), Alexander R. Berger (Chief Operating Officer and Secretary), Ellen Cohl (Chief Financial Officer and Treasurer) and Clifford Weinstein (Chief Communication Officer).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Merger Consideration</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Upon completion of the Merger, (i) each share of Innovate/Protect common stock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6,818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6,818 shares, as of April 5, 2012, shall be initially convertible into an aggregate of 20,573,998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6"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which is to be filed by Vringo prior to closing, which rights include, among other things, a liquidation preference of $6,818,000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20,573,998 shares of Vringo common stock (subject to a provision that restricts conversion in the event the holder will acquire beneficial ownership of more than 9.99% of 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 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3" w:lineRule="auto"/>
        <w:rPr>
          <w:sz w:val="20"/>
          <w:szCs w:val="20"/>
          <w:color w:val="auto"/>
        </w:rPr>
      </w:pPr>
      <w:r>
        <w:rPr>
          <w:rFonts w:ascii="Arial" w:cs="Arial" w:eastAsia="Arial" w:hAnsi="Arial"/>
          <w:sz w:val="18"/>
          <w:szCs w:val="18"/>
          <w:color w:val="auto"/>
        </w:rPr>
        <w:t>closing in which the lender expressly subordinates to the holder of the Vringo preferred stock.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85"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No fractional shares of Vringo common stock or Vringo preferred stock will be issued in connection with the Merger. Instead, each Innovate/Protect stockholder who would be otherwise entitled to receive a fractional share will receive from Vringo, in lieu thereof, the next highest whole number shares of Vringo common stock or Vringo preferred stock, as applicable.</w:t>
      </w:r>
    </w:p>
    <w:p>
      <w:pPr>
        <w:spacing w:after="0" w:line="45"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Exchange of Innovate/Protect Stock Certificates</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As promptly as practicable before or after the completion of the Merger, Vringo (or its designee) will send to each Innovate/Protect stockholder and warrantholder a letter of transmittal and instructions for use in surrendering all certificates of Innovate/Protect common stock and/or Innovate/Protect preferred stock and warrants for the applicable portion of the Merger Consideration. The Merger Agreement provides that upon surrender to the Parent (or its designee) of a properly completed letter of transmittal, a holder of shares of Innovate/Protect capital stock will be entitled to receive the applicable portion of the Merger Consideration.</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If any stockholder has lost a certificate representing shares of Innovate/Protect capital stock, or if any such certificate has been stolen or destroyed, such stockholder will, as a condition to receiving the applicable portion of Merger Consideration for the shares represented by such certificate, be required to make an affidavit of the loss, theft or destruction and, if reasonably required by Vringo, post a bond in a reasonable amount as indemnity against any claim that may be made against Vringo with respect to such certificate.</w:t>
      </w:r>
    </w:p>
    <w:p>
      <w:pPr>
        <w:spacing w:after="0" w:line="8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From and after the completion of the Merger each Innovate/Protect stock certificate will represent only the right to receive an applicable portion of the merger consideration to which such Innovate/Protect stockholder is entitled to receive under the Merger Agreement.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Representations and Warranties</w:t>
      </w:r>
    </w:p>
    <w:p>
      <w:pPr>
        <w:spacing w:after="0" w:line="11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Merger Agreement contains customary representations and warranties of Vringo and Innovate/Protect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material permits; (k) employee and employee benefit plans; (l) taxes; (m) tangible assets; (n) insurance; (o) intellectual property; (p) interested party transactions; (q) brokers; and (r) information related to the Proxy Statement (as defined below).</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Adverse Effect</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Several of the representations, warranties, covenants and closing conditions contained in the Merger Agreement refer to the concept of “</w:t>
      </w:r>
      <w:r>
        <w:rPr>
          <w:rFonts w:ascii="Arial" w:cs="Arial" w:eastAsia="Arial" w:hAnsi="Arial"/>
          <w:sz w:val="18"/>
          <w:szCs w:val="18"/>
          <w:b w:val="1"/>
          <w:bCs w:val="1"/>
          <w:color w:val="auto"/>
        </w:rPr>
        <w:t>Innovate/Protect Material Adverse Effect</w:t>
      </w:r>
      <w:r>
        <w:rPr>
          <w:rFonts w:ascii="Arial" w:cs="Arial" w:eastAsia="Arial" w:hAnsi="Arial"/>
          <w:sz w:val="18"/>
          <w:szCs w:val="18"/>
          <w:color w:val="auto"/>
        </w:rPr>
        <w:t>” or “</w:t>
      </w:r>
      <w:r>
        <w:rPr>
          <w:rFonts w:ascii="Arial" w:cs="Arial" w:eastAsia="Arial" w:hAnsi="Arial"/>
          <w:sz w:val="18"/>
          <w:szCs w:val="18"/>
          <w:b w:val="1"/>
          <w:bCs w:val="1"/>
          <w:color w:val="auto"/>
        </w:rPr>
        <w:t>Vringo Material Adverse Effect</w:t>
      </w:r>
      <w:r>
        <w:rPr>
          <w:rFonts w:ascii="Arial" w:cs="Arial" w:eastAsia="Arial" w:hAnsi="Arial"/>
          <w:sz w:val="18"/>
          <w:szCs w:val="18"/>
          <w:color w:val="auto"/>
        </w:rPr>
        <w:t>”.</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Innovate/Protect Material Adverse Effect</w:t>
      </w:r>
    </w:p>
    <w:p>
      <w:pPr>
        <w:spacing w:after="0" w:line="110" w:lineRule="exact"/>
        <w:rPr>
          <w:sz w:val="20"/>
          <w:szCs w:val="20"/>
          <w:color w:val="auto"/>
        </w:rPr>
      </w:pPr>
    </w:p>
    <w:p>
      <w:pPr>
        <w:jc w:val="both"/>
        <w:ind w:left="40" w:right="639" w:firstLine="267"/>
        <w:spacing w:after="0" w:line="273" w:lineRule="auto"/>
        <w:rPr>
          <w:sz w:val="20"/>
          <w:szCs w:val="20"/>
          <w:color w:val="auto"/>
        </w:rPr>
      </w:pPr>
      <w:r>
        <w:rPr>
          <w:rFonts w:ascii="Arial" w:cs="Arial" w:eastAsia="Arial" w:hAnsi="Arial"/>
          <w:sz w:val="17"/>
          <w:szCs w:val="17"/>
          <w:color w:val="auto"/>
        </w:rPr>
        <w:t xml:space="preserve">For purposes of the Merger Agreement, an </w:t>
      </w:r>
      <w:r>
        <w:rPr>
          <w:rFonts w:ascii="Arial" w:cs="Arial" w:eastAsia="Arial" w:hAnsi="Arial"/>
          <w:sz w:val="17"/>
          <w:szCs w:val="17"/>
          <w:b w:val="1"/>
          <w:bCs w:val="1"/>
          <w:color w:val="auto"/>
        </w:rPr>
        <w:t>“Innovate/Protect Material Adverse Effect”</w:t>
      </w:r>
      <w:r>
        <w:rPr>
          <w:rFonts w:ascii="Arial" w:cs="Arial" w:eastAsia="Arial" w:hAnsi="Arial"/>
          <w:sz w:val="17"/>
          <w:szCs w:val="17"/>
          <w:color w:val="auto"/>
        </w:rPr>
        <w:t xml:space="preserve"> means any change, event or occurrence that has a material adverse effect on the condition (financial or otherwise), business, operations, properties, assets or liabilities of Innovate/Protect or its subsidiaries, taken as a whole; provided, that none of the following, in and of itself or themselves, nor any effect arising out of or resulting from the following shall constitute or be taken in account in determining whether a Innovate/Protect Material Adverse Effect has occurred or may, would or could occur:</w:t>
      </w:r>
    </w:p>
    <w:p>
      <w:pPr>
        <w:spacing w:after="0" w:line="68" w:lineRule="exact"/>
        <w:rPr>
          <w:sz w:val="20"/>
          <w:szCs w:val="20"/>
          <w:color w:val="auto"/>
        </w:rPr>
      </w:pPr>
    </w:p>
    <w:p>
      <w:pPr>
        <w:jc w:val="both"/>
        <w:ind w:left="600" w:right="639" w:hanging="328"/>
        <w:spacing w:after="0" w:line="259"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industries in which Innovate/Protect and its subsidiaries conduct operations;</w:t>
      </w:r>
    </w:p>
    <w:p>
      <w:pPr>
        <w:spacing w:after="0" w:line="68" w:lineRule="exact"/>
        <w:rPr>
          <w:rFonts w:ascii="Arial" w:cs="Arial" w:eastAsia="Arial" w:hAnsi="Arial"/>
          <w:sz w:val="18"/>
          <w:szCs w:val="18"/>
          <w:color w:val="auto"/>
        </w:rPr>
      </w:pPr>
    </w:p>
    <w:p>
      <w:pPr>
        <w:jc w:val="both"/>
        <w:ind w:left="600" w:right="639" w:hanging="328"/>
        <w:spacing w:after="0" w:line="255"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82" w:lineRule="exact"/>
        <w:rPr>
          <w:rFonts w:ascii="Arial" w:cs="Arial" w:eastAsia="Arial" w:hAnsi="Arial"/>
          <w:sz w:val="18"/>
          <w:szCs w:val="18"/>
          <w:color w:val="auto"/>
        </w:rPr>
      </w:pPr>
    </w:p>
    <w:p>
      <w:pPr>
        <w:jc w:val="both"/>
        <w:ind w:left="600" w:right="639" w:hanging="328"/>
        <w:spacing w:after="0" w:line="281" w:lineRule="auto"/>
        <w:tabs>
          <w:tab w:leader="none" w:pos="6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61" w:lineRule="exact"/>
        <w:rPr>
          <w:rFonts w:ascii="Arial" w:cs="Arial" w:eastAsia="Arial" w:hAnsi="Arial"/>
          <w:sz w:val="17"/>
          <w:szCs w:val="17"/>
          <w:color w:val="auto"/>
        </w:rPr>
      </w:pPr>
    </w:p>
    <w:p>
      <w:pPr>
        <w:jc w:val="both"/>
        <w:ind w:left="600" w:right="639" w:hanging="328"/>
        <w:spacing w:after="0" w:line="259"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action taken by Innovate/Protect or its subsidiaries that is required by the Merger Agreement or taken at Vringo’s written request, or the failure to take any action by Innovate/Protect or its subsidiaries if that action is prohibited by the Merger Agreement; or</w:t>
      </w:r>
    </w:p>
    <w:p>
      <w:pPr>
        <w:spacing w:after="0" w:line="7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change resulting or arising from the identity of, or any facts or circumstances relating to Vringo, Merger Sub or their respective affiliates.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Vringo Material Adverse Effect</w:t>
      </w:r>
    </w:p>
    <w:p>
      <w:pPr>
        <w:spacing w:after="0" w:line="110" w:lineRule="exact"/>
        <w:rPr>
          <w:sz w:val="20"/>
          <w:szCs w:val="20"/>
          <w:color w:val="auto"/>
        </w:rPr>
      </w:pPr>
    </w:p>
    <w:p>
      <w:pPr>
        <w:jc w:val="both"/>
        <w:ind w:left="40" w:right="619" w:firstLine="267"/>
        <w:spacing w:after="0" w:line="254" w:lineRule="auto"/>
        <w:rPr>
          <w:sz w:val="20"/>
          <w:szCs w:val="20"/>
          <w:color w:val="auto"/>
        </w:rPr>
      </w:pPr>
      <w:r>
        <w:rPr>
          <w:rFonts w:ascii="Arial" w:cs="Arial" w:eastAsia="Arial" w:hAnsi="Arial"/>
          <w:sz w:val="18"/>
          <w:szCs w:val="18"/>
          <w:color w:val="auto"/>
        </w:rPr>
        <w:t xml:space="preserve">For purposes of the Merger Agreement, a </w:t>
      </w:r>
      <w:r>
        <w:rPr>
          <w:rFonts w:ascii="Arial" w:cs="Arial" w:eastAsia="Arial" w:hAnsi="Arial"/>
          <w:sz w:val="18"/>
          <w:szCs w:val="18"/>
          <w:b w:val="1"/>
          <w:bCs w:val="1"/>
          <w:color w:val="auto"/>
        </w:rPr>
        <w:t>“Vringo Material Adverse Effect”</w:t>
      </w:r>
      <w:r>
        <w:rPr>
          <w:rFonts w:ascii="Arial" w:cs="Arial" w:eastAsia="Arial" w:hAnsi="Arial"/>
          <w:sz w:val="18"/>
          <w:szCs w:val="18"/>
          <w:color w:val="auto"/>
        </w:rPr>
        <w:t xml:space="preserve"> means any change, event or occurrence that has a material adverse effect on the condition (financial or otherwise), business, operations, properties, assets or liabilities of Vringo or its subsidiaries, taken as a whole; provided, that none of the following, in and of itself or themselves, nor any effect arising out of or resulting from the following shall constitute or be taken in account in determining whether a Vringo Material Adverse Effect has occurred or may, would or could occur:</w:t>
      </w:r>
    </w:p>
    <w:p>
      <w:pPr>
        <w:spacing w:after="0" w:line="85" w:lineRule="exact"/>
        <w:rPr>
          <w:sz w:val="20"/>
          <w:szCs w:val="20"/>
          <w:color w:val="auto"/>
        </w:rPr>
      </w:pPr>
    </w:p>
    <w:p>
      <w:pPr>
        <w:jc w:val="both"/>
        <w:ind w:left="600" w:right="639" w:hanging="328"/>
        <w:spacing w:after="0" w:line="259"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industries in which Vringo and its subsidiaries conduct operations;</w:t>
      </w:r>
    </w:p>
    <w:p>
      <w:pPr>
        <w:spacing w:after="0" w:line="68" w:lineRule="exact"/>
        <w:rPr>
          <w:rFonts w:ascii="Arial" w:cs="Arial" w:eastAsia="Arial" w:hAnsi="Arial"/>
          <w:sz w:val="18"/>
          <w:szCs w:val="18"/>
          <w:color w:val="auto"/>
        </w:rPr>
      </w:pPr>
    </w:p>
    <w:p>
      <w:pPr>
        <w:jc w:val="both"/>
        <w:ind w:left="600" w:right="639" w:hanging="328"/>
        <w:spacing w:after="0" w:line="255"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39" w:hanging="328"/>
        <w:spacing w:after="0" w:line="281" w:lineRule="auto"/>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61" w:lineRule="exact"/>
        <w:rPr>
          <w:rFonts w:ascii="Arial" w:cs="Arial" w:eastAsia="Arial" w:hAnsi="Arial"/>
          <w:sz w:val="17"/>
          <w:szCs w:val="17"/>
          <w:color w:val="auto"/>
        </w:rPr>
      </w:pPr>
    </w:p>
    <w:p>
      <w:pPr>
        <w:jc w:val="both"/>
        <w:ind w:left="600" w:right="639" w:hanging="328"/>
        <w:spacing w:after="0" w:line="259"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action taken by Vringo or its subsidiaries that is required by the Merger Agreement or taken at Innovate/Protect’s written request, or the failure to take any action by Vringo or its subsidiaries if that action is prohibited by the Merger Agreement; or</w:t>
      </w:r>
    </w:p>
    <w:p>
      <w:pPr>
        <w:spacing w:after="0" w:line="7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change resulting or arising from the identity of, or any facts or circumstances relating to Innovate/Protect or its subsidiaries or their respective affiliates.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Certain Covenants of the Parties</w:t>
      </w:r>
    </w:p>
    <w:p>
      <w:pPr>
        <w:spacing w:after="0" w:line="118"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color w:val="auto"/>
        </w:rPr>
        <w:t>The Merger Agreement provides that each of Vringo and its subsidiaries on the one hand and Innovate/Protect and its subsidiaries on the other hand shall: (x) conduct its business only in the ordinary course of business, consistent with past practice;</w:t>
      </w:r>
    </w:p>
    <w:p>
      <w:pPr>
        <w:spacing w:after="0" w:line="1" w:lineRule="exact"/>
        <w:rPr>
          <w:sz w:val="20"/>
          <w:szCs w:val="20"/>
          <w:color w:val="auto"/>
        </w:rPr>
      </w:pPr>
    </w:p>
    <w:p>
      <w:pPr>
        <w:jc w:val="both"/>
        <w:ind w:left="40" w:right="619" w:firstLine="5"/>
        <w:spacing w:after="0" w:line="270" w:lineRule="auto"/>
        <w:tabs>
          <w:tab w:leader="none" w:pos="292"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not take any action, or fail to take any action, except in the ordinary course of business, consistent with past practice; and (z) use their reasonable best efforts to preserve intact their business organization, properties and assets, keep available the services of their officers, employees and consultants, maintain in effect all material contracts, as applicable, and preserve their relationships, customers, licensees, suppliers and other persons with which they have business relations.</w:t>
      </w:r>
    </w:p>
    <w:p>
      <w:pPr>
        <w:spacing w:after="0" w:line="70"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The Merger Agreement contains certain other agreements of the parties including, among other things, that (a) Vringo will prepare and file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 registration statement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containing a proxy statement (the “</w:t>
      </w:r>
      <w:r>
        <w:rPr>
          <w:rFonts w:ascii="Arial" w:cs="Arial" w:eastAsia="Arial" w:hAnsi="Arial"/>
          <w:sz w:val="16"/>
          <w:szCs w:val="16"/>
          <w:b w:val="1"/>
          <w:bCs w:val="1"/>
          <w:color w:val="auto"/>
        </w:rPr>
        <w:t>Proxy Statement</w:t>
      </w:r>
      <w:r>
        <w:rPr>
          <w:rFonts w:ascii="Arial" w:cs="Arial" w:eastAsia="Arial" w:hAnsi="Arial"/>
          <w:sz w:val="16"/>
          <w:szCs w:val="16"/>
          <w:color w:val="auto"/>
        </w:rPr>
        <w:t>”) for the vote of the Vringo stockholders to approve the Merger; (b) each party will take all action necessary to have its stockholders vote on the Merger; (c) each party will allow reasonable access to their books and records until the closing of the Merger; (d) each party will maintain in confidence any non-public information received from the other party; (e) individuals who are employed on a full time basis by Innovate/Protect at the time of the Merger will remain employees of the Surviving Corporation; (f) each of Innovate/Protect and Vringo will not and will use its reasonable best efforts not to permit any of its affiliates to take any action that could prevent the Merger from being treated as a reorganization within the meaning of Section 368 of the Internal Revenue Code; (g)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Vringo, Innovate/Protect or Merger Sub, as the case may be, to comply with or satisfy in any material respect any covenant, condition or agreement to be complied with or satisfied by it, (iii) any notice or communication from any person alleging that the consent of such person is required in connection with the Merger or the Merger Agreement, (iv) any notice or other communication from any governmental authority in connection with the Merger or other transactions contemplated by the Merger Agreement, (v) the occurrence of a default or event that, with notice or lapse of time or both, will become a default under a material contract of either party, and (vi) any change that would be considered reasonably likely to result in a Innovate/Protect Material Adverse Effect or Vringo Material Adverse Effect, as the case may be, or is likely to impair in any material respect the ability of either Vringo or Innovate/Protect to consummate the transactions contemplated by the Merger Agreement; (h) Vringo will use its reasonable best efforts to cause the shares of Vringo common stock to be issued pursuant to the Merger to be approved for listing on the NYSE Amex; (i)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 unreasonably withheld, conditioned or delayed; (j) each party will continue to indemnify its own present and former directors and officers (as further described below); (k) the parties will take all action to appoint certain</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59" w:lineRule="auto"/>
        <w:rPr>
          <w:sz w:val="20"/>
          <w:szCs w:val="20"/>
          <w:color w:val="auto"/>
        </w:rPr>
      </w:pPr>
      <w:r>
        <w:rPr>
          <w:rFonts w:ascii="Arial" w:cs="Arial" w:eastAsia="Arial" w:hAnsi="Arial"/>
          <w:sz w:val="18"/>
          <w:szCs w:val="18"/>
          <w:color w:val="auto"/>
        </w:rPr>
        <w:t>individuals to serve on the board of directors of Vringo and as officers of Vringo (as described above); and (l) Innovate/Protect will use its commercially reasonable efforts to receive all necessary consents required to disclose to Vringo the terms and conditions of certain agreements.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Solicitation</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either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either party to abandon or terminate the Merger Agreement (other than executing a non-disclosure agreement having provisions no less favorable than that certain non-disclosure agreement between Vringo and Innovate/Protect);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either party.</w:t>
      </w:r>
    </w:p>
    <w:p>
      <w:pPr>
        <w:spacing w:after="0" w:line="76"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Notwithstanding the foregoing, Innovate/Protect or Vringo, as the case may be, or each of their boards of directors, may enter to discussions with any person in response to an unsolicited bona fide written Innovate/Protect Acquisition Proposal or Vringo Acquisition Proposal, as applicable, if prior to engaging in any such discussions the Innovate/Protect board of directors or the Vringo board of directors, as the case may be, determines in good faith, after consultation with its outside legal counsel and other advisors, that such Innovate/Protect Acquisition Proposal or Vringo Acquisition Proposal, as applicable, either constitutes or could reasonably be expected to lead to a Innovate/Protect Superior Proposal (as defined below) or Vringo Superior Proposal (as defined below), as the case may be, and the Innovate/Protect board of directors or the Vringo board of directors, as the case may be, receives from such person a non-disclosure agreement.</w:t>
      </w:r>
    </w:p>
    <w:p>
      <w:pPr>
        <w:spacing w:after="0" w:line="67"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b w:val="1"/>
          <w:bCs w:val="1"/>
          <w:color w:val="auto"/>
        </w:rPr>
        <w:t xml:space="preserve">“Innovate/Protect Acquisition Proposal” </w:t>
      </w:r>
      <w:r>
        <w:rPr>
          <w:rFonts w:ascii="Arial" w:cs="Arial" w:eastAsia="Arial" w:hAnsi="Arial"/>
          <w:sz w:val="16"/>
          <w:szCs w:val="16"/>
          <w:color w:val="auto"/>
        </w:rPr>
        <w:t>means any offer, proposal, discussions, negotiations, indication of interest or inquiry</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in writing or otherwise) by any person (other than Vringo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Innovate/Protect or any subsidiary (including, for the avoidance of doubt, any issuance of equity securities of Innovate/Protect), (ii) any direct or indirect sale, transfer, acquisition or disposition of more than 20% of the consolidated assets of Innovate/Protect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Innovate/Protect or any subsidiary.</w:t>
      </w:r>
    </w:p>
    <w:p>
      <w:pPr>
        <w:spacing w:after="0" w:line="200" w:lineRule="exact"/>
        <w:rPr>
          <w:sz w:val="20"/>
          <w:szCs w:val="20"/>
          <w:color w:val="auto"/>
        </w:rPr>
      </w:pP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Vringo Acquisition Proposal</w:t>
      </w:r>
      <w:r>
        <w:rPr>
          <w:rFonts w:ascii="Arial" w:cs="Arial" w:eastAsia="Arial" w:hAnsi="Arial"/>
          <w:sz w:val="16"/>
          <w:szCs w:val="16"/>
          <w:color w:val="auto"/>
        </w:rPr>
        <w:t>” means any offer, proposal, discussions, negotiations, indication of interest or inquiry (whether in writing or otherwise) by any person (other than Innovate/Protect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Vringo or any subsidiary (including, for the avoidance of doubt, any issuance of equity securities of Vringo, (ii) any tender offer, exchange offer, stock purchase or other transaction in which, if consummated, any person or “group” (as such term is defined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shall acquire beneficial ownership (as such term is defined in Rule 13d-3 under the Exchange Act), or the right to acquire beneficial ownership, of 20% or more of the voting power or economic interests of Vringo or any subsidiary, (iii) any direct or indirect sale, transfer, acquisition or disposition of more than 20% of the consolidated assets of Vringo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Vringo or any subsidiary.</w:t>
      </w:r>
    </w:p>
    <w:p>
      <w:pPr>
        <w:spacing w:after="0" w:line="6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Innovate/Protect Superior Proposal</w:t>
      </w:r>
      <w:r>
        <w:rPr>
          <w:rFonts w:ascii="Arial" w:cs="Arial" w:eastAsia="Arial" w:hAnsi="Arial"/>
          <w:sz w:val="17"/>
          <w:szCs w:val="17"/>
          <w:color w:val="auto"/>
        </w:rPr>
        <w:t>” means any bona fide offer or proposal that constitutes an Innovate/Protect Acquisition Proposal on terms that the Innovate/Protect Board of Directors (or any committee thereof) shall have determined in good faith (after consultation with its financial advisor and outside legal counsel), taking into account all relevant legal (including conditions), financial, regulatory, timing and other aspects of such Innovate/Protect Acquisition Proposal, is reasonably likely to be consummated and would be more favorable to Innovate/Protect’s stockholders (in their capacity as such) than the Merger, if consummated (including after taking into account any changes to the terms of this Agreement proposed by Vringo in response to such Innovate/Protect Acquisition Proposal); provided that, for purposes of the definition of “Innovate/Protect Superior Proposal, “the references to “20%” in the definition of “Innovate/Protect Acquisition Proposal” shall be deemed to be references to “more than 50%.”</w:t>
      </w:r>
    </w:p>
    <w:p>
      <w:pPr>
        <w:spacing w:after="0" w:line="7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Vringo Superior Proposal</w:t>
      </w:r>
      <w:r>
        <w:rPr>
          <w:rFonts w:ascii="Arial" w:cs="Arial" w:eastAsia="Arial" w:hAnsi="Arial"/>
          <w:sz w:val="17"/>
          <w:szCs w:val="17"/>
          <w:color w:val="auto"/>
        </w:rPr>
        <w:t>” means any bona fide offer or proposal that constitutes a Vringo Acquisition Proposal on terms that the Vringo Board of Directors (or any committee thereof) shall have determined in good faith (after consultation with its financial advisor and outside legal counsel), taking into account all relevant legal (including conditions), financial, regulatory, timing and other aspects of such Vringo Acquisition Proposal, is reasonably likely to be consummated and would be more favorable to Vringo’s stockholders (in their capacity as such) than the Merger, if consummated (including after taking into account any changes to the terms of this Agreement proposed by Innovate/Protect in response to such Vringo Acquisition Proposal); provided that, for purposes of the definition of “Vringo Superior Proposal,”, the references to “20%” in the definition of “Vringo Acquisition Proposal” shall be deemed to be references to “more than 50%.”</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Recommendations</w:t>
      </w:r>
    </w:p>
    <w:p>
      <w:pPr>
        <w:spacing w:after="0" w:line="118"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Under the Merger Agreement, subject to the exceptions set forth below, (i) the Innovate/Protect board of directors has agreed to recommend that Innovate/Protect stockholders vote in favor of the Merger (</w:t>
      </w:r>
      <w:r>
        <w:rPr>
          <w:rFonts w:ascii="Arial" w:cs="Arial" w:eastAsia="Arial" w:hAnsi="Arial"/>
          <w:sz w:val="16"/>
          <w:szCs w:val="16"/>
          <w:b w:val="1"/>
          <w:bCs w:val="1"/>
          <w:color w:val="auto"/>
        </w:rPr>
        <w:t>“Innovate/Protect Board Recommendation”</w:t>
      </w:r>
      <w:r>
        <w:rPr>
          <w:rFonts w:ascii="Arial" w:cs="Arial" w:eastAsia="Arial" w:hAnsi="Arial"/>
          <w:sz w:val="16"/>
          <w:szCs w:val="16"/>
          <w:color w:val="auto"/>
        </w:rPr>
        <w:t xml:space="preserve">) and (ii) the Vringo board of directors has agreed to recommend that Vringo stockholders vote in favor of the Merger (the </w:t>
      </w:r>
      <w:r>
        <w:rPr>
          <w:rFonts w:ascii="Arial" w:cs="Arial" w:eastAsia="Arial" w:hAnsi="Arial"/>
          <w:sz w:val="16"/>
          <w:szCs w:val="16"/>
          <w:b w:val="1"/>
          <w:bCs w:val="1"/>
          <w:color w:val="auto"/>
        </w:rPr>
        <w:t>“Vringo Board</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w:t>
      </w:r>
      <w:r>
        <w:rPr>
          <w:rFonts w:ascii="Arial" w:cs="Arial" w:eastAsia="Arial" w:hAnsi="Arial"/>
          <w:sz w:val="16"/>
          <w:szCs w:val="16"/>
          <w:color w:val="auto"/>
        </w:rPr>
        <w:t>). Subject to the exceptions described below, the Merger Agreement provides that:</w:t>
      </w:r>
    </w:p>
    <w:p>
      <w:pPr>
        <w:spacing w:after="0" w:line="52" w:lineRule="exact"/>
        <w:rPr>
          <w:sz w:val="20"/>
          <w:szCs w:val="20"/>
          <w:color w:val="auto"/>
        </w:rPr>
      </w:pPr>
    </w:p>
    <w:p>
      <w:pPr>
        <w:jc w:val="both"/>
        <w:ind w:left="600" w:right="619" w:hanging="328"/>
        <w:spacing w:after="0" w:line="267" w:lineRule="auto"/>
        <w:tabs>
          <w:tab w:leader="none" w:pos="6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neither the Innovate/Protect board of directors nor the Vringo board of directors will (i) fail to make the Innovate/Protect Board Recommendation or the Vringo Board Recommendation, as applicable, (ii) withdraw, amend or modify in a manner adverse to the other company, the Innovate/Protect Board Recommendation or the Vringo Board Recommendation, as applicable, or (iii) recommend, adopt, endorse or approve an Innovate/Protect Acquisition Proposal or Vringo Acquisition Proposal, as the case may be; provided, that, with respect to Vringo, any action described in clauses (ii) and (iii) as well as any failure to timely respond to the commencement of (x) a tender or exchange offer relating to any shares of Vringo common stock by issuing a public statement reaffirming, filing a Schedule 14D-9 pursuant to Rule 14e-2 and Rule 14d-9 promulgated under the Exchange Act a statement reaffirming, and sending to Vringo’s stockholders a statement reaffirming, the Vringo</w:t>
      </w:r>
    </w:p>
    <w:p>
      <w:pPr>
        <w:spacing w:after="0" w:line="200" w:lineRule="exact"/>
        <w:rPr>
          <w:sz w:val="20"/>
          <w:szCs w:val="20"/>
          <w:color w:val="auto"/>
        </w:rPr>
      </w:pPr>
    </w:p>
    <w:p>
      <w:pPr>
        <w:spacing w:after="0" w:line="3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39"/>
        <w:spacing w:after="0" w:line="281" w:lineRule="auto"/>
        <w:rPr>
          <w:sz w:val="20"/>
          <w:szCs w:val="20"/>
          <w:color w:val="auto"/>
        </w:rPr>
      </w:pPr>
      <w:r>
        <w:rPr>
          <w:rFonts w:ascii="Arial" w:cs="Arial" w:eastAsia="Arial" w:hAnsi="Arial"/>
          <w:sz w:val="17"/>
          <w:szCs w:val="17"/>
          <w:color w:val="auto"/>
        </w:rPr>
        <w:t>Board Recommendation and disclosing that Vringo’s board of directors recommends rejection of such tender offer or exchange offer or (y) a publicly announced Vringo Acquisition Proposal by issuing a press release that reaffirms the recommendation of Vringo’s board of directors that Vringo’s stockholders vote in favor of the Merger, and</w:t>
      </w:r>
    </w:p>
    <w:p>
      <w:pPr>
        <w:spacing w:after="0" w:line="62" w:lineRule="exact"/>
        <w:rPr>
          <w:sz w:val="20"/>
          <w:szCs w:val="20"/>
          <w:color w:val="auto"/>
        </w:rPr>
      </w:pPr>
    </w:p>
    <w:p>
      <w:pPr>
        <w:ind w:left="600" w:right="639" w:hanging="328"/>
        <w:spacing w:after="0" w:line="270"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neither the Innovate/Protect board of directors nor the Vringo board of directors will resolve, agree or publicly propose to take any of the actions described above.</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Each of the foregoing actions is referred to as a </w:t>
      </w:r>
      <w:r>
        <w:rPr>
          <w:rFonts w:ascii="Arial" w:cs="Arial" w:eastAsia="Arial" w:hAnsi="Arial"/>
          <w:sz w:val="18"/>
          <w:szCs w:val="18"/>
          <w:b w:val="1"/>
          <w:bCs w:val="1"/>
          <w:color w:val="auto"/>
        </w:rPr>
        <w:t>“Recommendation Change”</w:t>
      </w:r>
      <w:r>
        <w:rPr>
          <w:rFonts w:ascii="Arial" w:cs="Arial" w:eastAsia="Arial" w:hAnsi="Arial"/>
          <w:sz w:val="18"/>
          <w:szCs w:val="18"/>
          <w:color w:val="auto"/>
        </w:rPr>
        <w:t>.</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restrictions set forth above will not prohibit the Vringo board of directors or the Innovate/Protect board of directors, as the case may be, from effecting a Recommendation Change if Innovate/Protect or Vringo, as applicable, has determined in good faith, after consulting with outside legal counsel, that (i) it has received an Innovate/Protect Superior Proposal or Vringo Superior Proposal, as the case may be or (ii) a failure to take action would be inconsistent with its fiduciary duties, and certain other conditions are met.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Approval of Stockholders</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Each of Vringo and Innovate/Protect has agreed to take all action necessary for the purpose of obtaining the required stockholder approval of the Merger, as promptly as practicable.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will remain in effect.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applicable law.</w:t>
      </w:r>
    </w:p>
    <w:p>
      <w:pPr>
        <w:spacing w:after="0" w:line="8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Merger Agreement provides that Vringo will continue to indemnify and hold harmless each present and former director or officer of Vringo or any of its subsidiaries, with respect to acts or omissions occurring or alleged to have occurred before or at the completion of the Merger, to the fullest extent permitted under applicable law and in Vringo’s certificate of incorporation and bylaws.</w:t>
      </w:r>
    </w:p>
    <w:p>
      <w:pPr>
        <w:spacing w:after="0" w:line="83"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Merger Agreement provides that, prior to the completion of the Merger, Innovate/Protect will purchase and Vringo will maintain for a period of six years following the completion of the Merger, a directors’ and officers’ liability “tail” insurance policy covering the present and former directors and officers of Vringo and directors and officers of Innovate/Protect for events occurring at or prior to the completion of the Merger. Such policy must contain terms no less favorable than the policies maintained by Vringo or Innovate/Protect, as applicable, as of the date of the Merger Agreement.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The obligations of each of Vringo and Innovate/Protect to consummate the Merger are subject to the satisfaction or waiver of certain additional conditions, including, among other things, (a) the stockholders of each of Vringo and Innovate/Protect have approved the Merger and the Merger Agreement; (b) the Registration Statement has become effective; (c) the shares of Vringo common stock shall have been approved for listing on the NYSE Amex; (d) Vringo or Innovate/Protect, as applicable, shall have entered into certain agreements amending and restating the existing indebtedness of Innovate/Protect; (e) the representations and warranties of the other party contained in the Merger Agreement are true and correct in all material respects; (f) the other party shall have performed or complied in all material respects with all agreements and covenants under the Merger Agreement; (g) the receipt of all necessary consents or approvals; (h) the absence of an Innovate/Protect Material Adverse Effect or a Vringo Material Adverse Effect, as the case may be; (i) Vringo shall have received written resignations from all of the directors and officers of Innovate/Protect and its subsidiaries; (j) a letter agreement between Vringo and Hudson Bay, providing for, among other things, restrictions on the number of shares of Vringo common stock that Hudson Bay may sell and a right of</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5" w:lineRule="auto"/>
        <w:rPr>
          <w:sz w:val="20"/>
          <w:szCs w:val="20"/>
          <w:color w:val="auto"/>
        </w:rPr>
      </w:pPr>
      <w:r>
        <w:rPr>
          <w:rFonts w:ascii="Arial" w:cs="Arial" w:eastAsia="Arial" w:hAnsi="Arial"/>
          <w:sz w:val="16"/>
          <w:szCs w:val="16"/>
          <w:color w:val="auto"/>
        </w:rPr>
        <w:t xml:space="preserve">Hudson Bay to participate in up to 25% of certain offerings conducted by Vringo, shall be effective at closing; (k) 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nor (B) assigned, promised, transferred, conveyed, encumbered, or granted a security interest in any of those claims and (ii) there has been no dismissal (including, without limitation, by motion to dismiss or summary judgment) of the Litigation; (l) holders of no more than 10% of the issued and outstanding Innovate/Protect capital stock shall have demanded and perfected their right to an appraisal of Innovate/Protect capital stock under the Delaware General Corporation Law; and (m)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The Merger Agreement may be terminated at any time prior to the closing of the Merger, as follows: (a) by mutual written consent of Vringo, Merger Sub and Innovate/Protect; (b) by either Vringo or Innovate/Protect if the closing has not occurred on or before September 30, 2012; (c) by either Vringo or Innovate/Protect if any law enacted by a governmental authority prohibits the consummation of the Merger, or any governmental authority has issued an order or taken any other action which restrains, enjoins or otherwise prohibits the Merger; (d) by either Vringo or Innovate/Protect if the other party’s stockholders do not approve the Merger, unless the failure to obtain approval is attributable to a failure on the part of such party seeking to terminate the Agreement; (e) by Vringo if (i) the Innovate/Protect board of directors has effected a Recommendation Change, (ii) the board of directors of Innovate/Protect or any authorized committee has failed to present or recommend the approval of the Merger Agreement and the Merger to the stockholders, (iii) Innovate/Protect shall have entered or caused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(f) by Innovate/Protect if (i) the Vringo board of directors has effected a Recommendation Change, (ii) the board of directors of Vringo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(iv) Vringo shall have breached any term of the non-solicitation provision of the Merger Agreement; (g) by either party if the other party, or in the case of Innovate/Protect, Vringo or Merger Sub, is in material breach of its obligations or representations or warranties under the Agreement; (h) by either Vringo or Innovate/Protect if prior to obtaining stockholder approval such party determines to enter into a definitive agreement relating to an Innovate/Protect Superior Proposal or a Vringo Superior Proposal, as the case may be; or (i) by Innovate/Protect, at any time, upon payment to Vringo of the Innovate/Protect Termination Fee (as defined below).</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Fees and Expenses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Merger Agreement provides that, subject to certain exceptions discussed below, all fees and expenses incurred in connection with the Merger Agreement and the transactions contemplated by the Merger Agreement will be paid by the party incurring such expenses.</w:t>
      </w:r>
    </w:p>
    <w:p>
      <w:pPr>
        <w:spacing w:after="0" w:line="7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the event that either (a) Innovate/Protect terminates the Merger Agreement because (i) it determines to enter into a definitive agreement relating to a Innovate/Protect Acquisition Proposal that the board of directors of Innovate/Protect has determined constitutes a Innovate/Protect Superior Proposal or (ii) Innovate/Protect, at any time, elects to terminate for any reason or no reason at all or (b) Vringo or Innovate/Protect validly terminates the Merger Agreement if the Innovate/Protect stockholders shall have taken a final vote on a proposal to adopt the Merger Agreement and the transactions contemplated thereby, including the Merger, and the Innovate/Protect stockholders shall not have approved the Merger or by Vringo if the Innovate/Protect board of directors have effected a Recommendation Change, then Innovate/Protect shall pay to Vringo a fee (the “</w:t>
      </w:r>
      <w:r>
        <w:rPr>
          <w:rFonts w:ascii="Arial" w:cs="Arial" w:eastAsia="Arial" w:hAnsi="Arial"/>
          <w:sz w:val="17"/>
          <w:szCs w:val="17"/>
          <w:b w:val="1"/>
          <w:bCs w:val="1"/>
          <w:color w:val="auto"/>
        </w:rPr>
        <w:t>Innovate/Protect Termination</w:t>
      </w:r>
      <w:r>
        <w:rPr>
          <w:rFonts w:ascii="Arial" w:cs="Arial" w:eastAsia="Arial" w:hAnsi="Arial"/>
          <w:sz w:val="17"/>
          <w:szCs w:val="17"/>
          <w:color w:val="auto"/>
        </w:rPr>
        <w:t xml:space="preserve"> </w:t>
      </w:r>
      <w:r>
        <w:rPr>
          <w:rFonts w:ascii="Arial" w:cs="Arial" w:eastAsia="Arial" w:hAnsi="Arial"/>
          <w:sz w:val="17"/>
          <w:szCs w:val="17"/>
          <w:b w:val="1"/>
          <w:bCs w:val="1"/>
          <w:color w:val="auto"/>
        </w:rPr>
        <w:t>Fee</w:t>
      </w:r>
      <w:r>
        <w:rPr>
          <w:rFonts w:ascii="Arial" w:cs="Arial" w:eastAsia="Arial" w:hAnsi="Arial"/>
          <w:sz w:val="17"/>
          <w:szCs w:val="17"/>
          <w:color w:val="auto"/>
        </w:rPr>
        <w:t>”) equal to $5,000,000.</w:t>
      </w:r>
    </w:p>
    <w:p>
      <w:pPr>
        <w:spacing w:after="0" w:line="200" w:lineRule="exact"/>
        <w:rPr>
          <w:sz w:val="20"/>
          <w:szCs w:val="20"/>
          <w:color w:val="auto"/>
        </w:rPr>
      </w:pPr>
    </w:p>
    <w:p>
      <w:pPr>
        <w:spacing w:after="0" w:line="31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In the event that (i) Innovate/Protect terminates the Merger Agreement because the Vringo board of directors have effected a Recommendation Change or (ii) Vringo determines to enter into a definitive agreement relating to a Vringo Acquisition Proposal that the board of directors has determined constitutes a Vringo Superior Proposal, then Vringo shall pay to Innovate/Protect a fee (the “</w:t>
      </w:r>
      <w:r>
        <w:rPr>
          <w:rFonts w:ascii="Arial" w:cs="Arial" w:eastAsia="Arial" w:hAnsi="Arial"/>
          <w:sz w:val="17"/>
          <w:szCs w:val="17"/>
          <w:b w:val="1"/>
          <w:bCs w:val="1"/>
          <w:color w:val="auto"/>
        </w:rPr>
        <w:t>Vringo Termination Fee</w:t>
      </w:r>
      <w:r>
        <w:rPr>
          <w:rFonts w:ascii="Arial" w:cs="Arial" w:eastAsia="Arial" w:hAnsi="Arial"/>
          <w:sz w:val="17"/>
          <w:szCs w:val="17"/>
          <w:color w:val="auto"/>
        </w:rPr>
        <w:t>”) equal to 5% of the consideration paid to all security holders of Vringo in connection with a Vringo Superior Proposal, in the same form as such consideration is paid.</w:t>
      </w:r>
    </w:p>
    <w:p>
      <w:pPr>
        <w:spacing w:after="0" w:line="6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 the event that (i) the Merger Agreement is terminated by Vringo because (a) the Merger is not consummated on or before September 30, 2012, (b) if the Vringo stockholders shall have taken a final vote on a proposal to adopt the Merger Agreement and approve the transactions contemplated thereby, including the Merger, and the Vringo stockholders shall not have approved the Merger, or (c) if neither Vringo nor Merger Sub is in material breach of its obligations or representations under the Merger Agreement and if Innovate/Protect is in breach of its represtations, warranties and covenants under the Merger Agreement such that the conditions of the obligations of Vringo to effect the Merger could not be satisfied, and (ii) a Vringo Acquisition Proposal has either previously been publicly announced (or has become publicly known) or has been proposed or communicated to Vringo and a definitive agreement with respect to such Vringo Acquisition Proposal has been signed or consummated within six (6) months following the termination of the Merger Agreement, then Vringo shall pay to Innovate/Protect the Vringo Termination Fee. Notwithstanding the foregoing, with respect to this termination only each reference to 20% in the definition of Vringo Acquisition Proposal shall be deemed to be a reference to 35%.</w:t>
      </w:r>
    </w:p>
    <w:p>
      <w:pPr>
        <w:spacing w:after="0" w:line="76"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 the event that (i) the Merger Agreement is terminated by Innovate/Protect because (a) the Merger is not consummated on or before September 30, 2012, or (b) if Innovate/Protect is not in material breach of its obligations or representations under the Merger Agreement and if neither Vringo nor Merger Sub is in breach of its representations, warranties and covenants under the Merger Agreement such that the conditions of the obligations of Innovate/Protect to effect the Merger would not be satisfied, and (ii) an Innovate/Protect Acquisition Proposal has either previously been publicly announced (or has become publicly known) or has been proposed or communicated to Innovate/Protect and a definitive agreement with respect to such Innovate/Protect Acquisition Proposal has been signed or consummated within six (6) months following the termination of the Agreement, then Innovate/Protect shall pay to Vringo the Innovate/Protect Termination Fee. Notwithstanding the foregoing, with respect to this termination only each reference to 20% in the definition of Vringo Acquisition Proposal shall be deemed to be a reference to 35%.</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Amendments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Merger Agreement may be amended only by the written agreement of Vringo, Merger Sub and Innovate/Protect at any time prior to the completion of the Merger.</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Governing Law</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Merger Agreement is governed by the laws of the State of New York, except to the extent required under Delaware law.</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ABOUT THE COMPANIES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Inc.</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Vringo’s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 believes that its services represent the next stage in the evolution of the mobile content and mobile social applications market. Vringo anticipates that the mobile content and service market will begin to migrate from standard audio ringtones and content to high-quality video services, with social networking capability and integration with web systems. Vringo also believes that social network information and updates will be shared regularly when friends regularly communicate by voice and by text. Vringo’s video ringtone solutions and other mobile social and video applications, which encompasses a suite of mobile and PC-based tools, enables users to create, download and share video and other social content with ease as part of the normal communication process, and provides Vringo’s business partners with a consumer-friendly and easy-to-integrate monetization platform.</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date, Vringo has developed four different mobile video, personalization and mobile social application platforms:</w:t>
      </w:r>
    </w:p>
    <w:p>
      <w:pPr>
        <w:spacing w:after="0" w:line="110" w:lineRule="exact"/>
        <w:rPr>
          <w:sz w:val="20"/>
          <w:szCs w:val="20"/>
          <w:color w:val="auto"/>
        </w:rPr>
      </w:pPr>
    </w:p>
    <w:p>
      <w:pPr>
        <w:ind w:left="600" w:right="619" w:hanging="328"/>
        <w:spacing w:after="0" w:line="275"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Vringo Video Ringtones </w:t>
      </w:r>
      <w:r>
        <w:rPr>
          <w:rFonts w:ascii="Arial" w:cs="Arial" w:eastAsia="Arial" w:hAnsi="Arial"/>
          <w:sz w:val="18"/>
          <w:szCs w:val="18"/>
          <w:color w:val="auto"/>
        </w:rPr>
        <w:t>— Vringo’s original product platform that allows users to create, download and share mobile</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content in the form of video ringtones for mobile phones;</w:t>
      </w:r>
    </w:p>
    <w:p>
      <w:pPr>
        <w:spacing w:after="0" w:line="53" w:lineRule="exact"/>
        <w:rPr>
          <w:rFonts w:ascii="Arial" w:cs="Arial" w:eastAsia="Arial" w:hAnsi="Arial"/>
          <w:sz w:val="18"/>
          <w:szCs w:val="18"/>
          <w:color w:val="auto"/>
        </w:rPr>
      </w:pPr>
    </w:p>
    <w:p>
      <w:pPr>
        <w:ind w:left="600" w:hanging="328"/>
        <w:spacing w:after="0"/>
        <w:tabs>
          <w:tab w:leader="none" w:pos="600" w:val="left"/>
        </w:tabs>
        <w:numPr>
          <w:ilvl w:val="0"/>
          <w:numId w:val="98"/>
        </w:numPr>
        <w:rPr>
          <w:rFonts w:ascii="Arial" w:cs="Arial" w:eastAsia="Arial" w:hAnsi="Arial"/>
          <w:sz w:val="36"/>
          <w:szCs w:val="36"/>
          <w:color w:val="auto"/>
          <w:vertAlign w:val="superscript"/>
        </w:rPr>
      </w:pPr>
      <w:r>
        <w:rPr>
          <w:rFonts w:ascii="Arial" w:cs="Arial" w:eastAsia="Arial" w:hAnsi="Arial"/>
          <w:sz w:val="18"/>
          <w:szCs w:val="18"/>
          <w:b w:val="1"/>
          <w:bCs w:val="1"/>
          <w:color w:val="auto"/>
        </w:rPr>
        <w:t>Facetones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 a visual ringtone experience based on social network pictures from a user’s friends;</w:t>
      </w:r>
    </w:p>
    <w:p>
      <w:pPr>
        <w:ind w:left="600" w:right="619" w:hanging="328"/>
        <w:spacing w:after="0" w:line="252"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Video ReMix </w:t>
      </w:r>
      <w:r>
        <w:rPr>
          <w:rFonts w:ascii="Arial" w:cs="Arial" w:eastAsia="Arial" w:hAnsi="Arial"/>
          <w:sz w:val="18"/>
          <w:szCs w:val="18"/>
          <w:color w:val="auto"/>
        </w:rPr>
        <w:t>— an application that allows a user to create his or her own music video by tapping on a smartphone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tablet, in partnership with music artists and brands; and</w:t>
      </w:r>
    </w:p>
    <w:p>
      <w:pPr>
        <w:spacing w:after="0" w:line="79" w:lineRule="exact"/>
        <w:rPr>
          <w:rFonts w:ascii="Arial" w:cs="Arial" w:eastAsia="Arial" w:hAnsi="Arial"/>
          <w:sz w:val="18"/>
          <w:szCs w:val="18"/>
          <w:color w:val="auto"/>
        </w:rPr>
      </w:pPr>
    </w:p>
    <w:p>
      <w:pPr>
        <w:ind w:left="600" w:right="639" w:hanging="328"/>
        <w:spacing w:after="0" w:line="275"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Fan Loyalty </w:t>
      </w:r>
      <w:r>
        <w:rPr>
          <w:rFonts w:ascii="Arial" w:cs="Arial" w:eastAsia="Arial" w:hAnsi="Arial"/>
          <w:sz w:val="18"/>
          <w:szCs w:val="18"/>
          <w:color w:val="auto"/>
        </w:rPr>
        <w:t>— a platform that allows users to obtain video and video ringtones, view information on reality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and stars and vote for contestants.</w:t>
      </w:r>
    </w:p>
    <w:p>
      <w:pPr>
        <w:spacing w:after="0" w:line="6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To develop these platforms, Vringo has leveraged its existing technology, intellectual property and extensive experience with mobile video, personalization and social applications. Vringo believes that these platforms will represent a significant component of its business going forward.</w:t>
      </w:r>
    </w:p>
    <w:p>
      <w:pPr>
        <w:spacing w:after="0" w:line="7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83"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Vringo’s video ringtone platform was its initial product focus since inception.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Furthermore, Vringo’s solution provides Vringo’s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7" w:lineRule="exact"/>
        <w:rPr>
          <w:sz w:val="20"/>
          <w:szCs w:val="20"/>
          <w:color w:val="auto"/>
        </w:rPr>
      </w:pPr>
    </w:p>
    <w:p>
      <w:pPr>
        <w:jc w:val="both"/>
        <w:ind w:left="40" w:right="619"/>
        <w:spacing w:after="0" w:line="221" w:lineRule="auto"/>
        <w:rPr>
          <w:sz w:val="20"/>
          <w:szCs w:val="20"/>
          <w:color w:val="auto"/>
        </w:rPr>
      </w:pPr>
      <w:r>
        <w:rPr>
          <w:rFonts w:ascii="Arial" w:cs="Arial" w:eastAsia="Arial" w:hAnsi="Arial"/>
          <w:sz w:val="18"/>
          <w:szCs w:val="18"/>
          <w:color w:val="auto"/>
        </w:rPr>
        <w:t>carriers and other partners to include their own content and deliver it exclusively to their customers. Vringo’s VringFoward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video ringtone technology allows users to enjoy a rich social experience by sharing video ringtones from Vringo’s library or which they created.</w:t>
      </w:r>
    </w:p>
    <w:p>
      <w:pPr>
        <w:spacing w:after="0" w:line="200" w:lineRule="exact"/>
        <w:rPr>
          <w:sz w:val="20"/>
          <w:szCs w:val="20"/>
          <w:color w:val="auto"/>
        </w:rPr>
      </w:pPr>
    </w:p>
    <w:p>
      <w:pPr>
        <w:spacing w:after="0" w:line="35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headquartered in New York, New York and was incorporated in Delaware in 2006. Vringo’s principal offices are</w:t>
      </w:r>
    </w:p>
    <w:p>
      <w:pPr>
        <w:spacing w:after="0" w:line="49" w:lineRule="exact"/>
        <w:rPr>
          <w:sz w:val="20"/>
          <w:szCs w:val="20"/>
          <w:color w:val="auto"/>
        </w:rPr>
      </w:pPr>
    </w:p>
    <w:p>
      <w:pPr>
        <w:jc w:val="both"/>
        <w:ind w:left="40" w:right="639"/>
        <w:spacing w:after="0" w:line="263" w:lineRule="auto"/>
        <w:rPr>
          <w:sz w:val="20"/>
          <w:szCs w:val="20"/>
          <w:color w:val="auto"/>
        </w:rPr>
      </w:pPr>
      <w:r>
        <w:rPr>
          <w:rFonts w:ascii="Arial" w:cs="Arial" w:eastAsia="Arial" w:hAnsi="Arial"/>
          <w:sz w:val="16"/>
          <w:szCs w:val="16"/>
          <w:color w:val="auto"/>
        </w:rPr>
        <w:t>located at 44 West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1414, New York, New York 10001 and its telephone number is (646) 525-4319. Vringo’s principal website is </w:t>
      </w:r>
      <w:r>
        <w:rPr>
          <w:rFonts w:ascii="Arial" w:cs="Arial" w:eastAsia="Arial" w:hAnsi="Arial"/>
          <w:sz w:val="16"/>
          <w:szCs w:val="16"/>
          <w:i w:val="1"/>
          <w:iCs w:val="1"/>
          <w:color w:val="auto"/>
        </w:rPr>
        <w:t>www.vringo.com</w:t>
      </w:r>
      <w:r>
        <w:rPr>
          <w:rFonts w:ascii="Arial" w:cs="Arial" w:eastAsia="Arial" w:hAnsi="Arial"/>
          <w:sz w:val="16"/>
          <w:szCs w:val="16"/>
          <w:color w:val="auto"/>
        </w:rPr>
        <w:t xml:space="preserve">. The information on or that can be accessed through Vringo’s website is not part of this proxy statement/prospectus. Vringo common stock is listed on the NYSE Amex and trades under the symbol VRNG. For a more complete discussion of Vringo’s business and operating results, see the sections entitled “Vringo’s Business” and “Vringo’s Management’s Discussion and Analysis of Financial Condition and Results of Operations” beginning on pages </w:t>
      </w:r>
      <w:r>
        <w:rPr>
          <w:rFonts w:ascii="Arial" w:cs="Arial" w:eastAsia="Arial" w:hAnsi="Arial"/>
          <w:sz w:val="16"/>
          <w:szCs w:val="16"/>
          <w:u w:val="single" w:color="auto"/>
          <w:color w:val="0000EE"/>
        </w:rPr>
        <w:t>113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119</w:t>
      </w:r>
      <w:r>
        <w:rPr>
          <w:rFonts w:ascii="Arial" w:cs="Arial" w:eastAsia="Arial" w:hAnsi="Arial"/>
          <w:sz w:val="16"/>
          <w:szCs w:val="16"/>
          <w:color w:val="auto"/>
        </w:rPr>
        <w:t>, respectively.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Innovate/Protect, Inc.</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Innovate/Protect is a company focused on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8" w:lineRule="exact"/>
        <w:rPr>
          <w:sz w:val="20"/>
          <w:szCs w:val="20"/>
          <w:color w:val="auto"/>
        </w:rPr>
      </w:pPr>
    </w:p>
    <w:p>
      <w:pPr>
        <w:ind w:left="600" w:hanging="328"/>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Innovate/Protect is the owner of patent assets acquired from Lycos, one of the largest search engine websites of its kind in the mid-late 1990s, with technologies that remain critical to current search platforms. Innovate/Protect’s Chief Executive Officer, Chief Technology Officer and President, Andrew K. Lang, is the former Chief Technology Officer of Lycos and led the development of the patented technologies.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49" w:lineRule="exact"/>
        <w:rPr>
          <w:sz w:val="20"/>
          <w:szCs w:val="20"/>
          <w:color w:val="auto"/>
        </w:rPr>
      </w:pPr>
    </w:p>
    <w:p>
      <w:pPr>
        <w:jc w:val="both"/>
        <w:ind w:left="40" w:right="619"/>
        <w:spacing w:after="0" w:line="249" w:lineRule="auto"/>
        <w:rPr>
          <w:sz w:val="20"/>
          <w:szCs w:val="20"/>
          <w:color w:val="auto"/>
        </w:rPr>
      </w:pPr>
      <w:r>
        <w:rPr>
          <w:rFonts w:ascii="Arial" w:cs="Arial" w:eastAsia="Arial" w:hAnsi="Arial"/>
          <w:sz w:val="17"/>
          <w:szCs w:val="17"/>
          <w:color w:val="auto"/>
        </w:rPr>
        <w:t>principal offices are located at 380 Madison Avenue,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New York, New York 10017 and its telephone number is (212) 309-7549. Innovate/Protect’s principal website is </w:t>
      </w:r>
      <w:r>
        <w:rPr>
          <w:rFonts w:ascii="Arial" w:cs="Arial" w:eastAsia="Arial" w:hAnsi="Arial"/>
          <w:sz w:val="17"/>
          <w:szCs w:val="17"/>
          <w:i w:val="1"/>
          <w:iCs w:val="1"/>
          <w:color w:val="auto"/>
        </w:rPr>
        <w:t>www.InnovateProtect.com</w:t>
      </w:r>
      <w:r>
        <w:rPr>
          <w:rFonts w:ascii="Arial" w:cs="Arial" w:eastAsia="Arial" w:hAnsi="Arial"/>
          <w:sz w:val="17"/>
          <w:szCs w:val="17"/>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7"/>
          <w:szCs w:val="17"/>
          <w:u w:val="single" w:color="auto"/>
          <w:color w:val="0000EE"/>
        </w:rPr>
        <w:t>132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138</w:t>
      </w:r>
      <w:r>
        <w:rPr>
          <w:rFonts w:ascii="Arial" w:cs="Arial" w:eastAsia="Arial" w:hAnsi="Arial"/>
          <w:sz w:val="17"/>
          <w:szCs w:val="17"/>
          <w:color w:val="000000"/>
        </w:rPr>
        <w:t>, and F-</w:t>
      </w:r>
      <w:r>
        <w:rPr>
          <w:rFonts w:ascii="Arial" w:cs="Arial" w:eastAsia="Arial" w:hAnsi="Arial"/>
          <w:sz w:val="17"/>
          <w:szCs w:val="17"/>
          <w:u w:val="single" w:color="auto"/>
          <w:color w:val="0000EE"/>
        </w:rPr>
        <w:t>34</w:t>
      </w:r>
      <w:r>
        <w:rPr>
          <w:rFonts w:ascii="Arial" w:cs="Arial" w:eastAsia="Arial" w:hAnsi="Arial"/>
          <w:sz w:val="17"/>
          <w:szCs w:val="17"/>
          <w:color w:val="000000"/>
        </w:rPr>
        <w:t>, respectively.</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VIP Merger Sub, Inc.</w:t>
      </w:r>
    </w:p>
    <w:p>
      <w:pPr>
        <w:spacing w:after="0" w:line="118"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THE ANNUAL MEETING OF VRINGO STOCKHOLDERS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Time and Place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Vringo annual meeting will be held on ___________, 2012, at 10:00 a.m., local time, at the offices of Mintz, Levin, Cohn,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Ferris, Glovsky and Popeo, P.C., the Chrysler Center, 666 Third Avenue, 32nd floor, New York, New York 10017.</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Purpose of the Vringo Annual Meeting</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Vringo annual meeting will be held for the following purposes:</w:t>
      </w:r>
    </w:p>
    <w:p>
      <w:pPr>
        <w:spacing w:after="0" w:line="114" w:lineRule="exact"/>
        <w:rPr>
          <w:sz w:val="20"/>
          <w:szCs w:val="20"/>
          <w:color w:val="auto"/>
        </w:rPr>
      </w:pPr>
    </w:p>
    <w:p>
      <w:pPr>
        <w:ind w:left="540" w:hanging="268"/>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Securities Issuance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Reverse Stock Split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Authorized Shares Increase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elect seven (7) director nominees as set forth in the Election of Directors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2012 Equity Incentive Plan Proposal;</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approve the Ratification of the Appointment of Vringo’s Independent Registered Public Accounting Firm Proposal;</w:t>
      </w:r>
    </w:p>
    <w:p>
      <w:pPr>
        <w:spacing w:after="0" w:line="125" w:lineRule="exact"/>
        <w:rPr>
          <w:rFonts w:ascii="Arial" w:cs="Arial" w:eastAsia="Arial" w:hAnsi="Arial"/>
          <w:sz w:val="17"/>
          <w:szCs w:val="17"/>
          <w:color w:val="auto"/>
        </w:rPr>
      </w:pPr>
    </w:p>
    <w:p>
      <w:pPr>
        <w:ind w:left="540" w:right="619" w:hanging="268"/>
        <w:spacing w:after="0" w:line="27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approve the adjournment of the Vringo annual meeting, if necessary, to solicit additional proxies if there are not sufficient votes in favor of the Vringo Merger Proposals; and</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conduct any other business as may properly come before the Vringo annual meeting or any adjournment or postponement thereof.</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Record Date; Shares Entitled to Vote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Vringo board of directors has fixed _________________, 2012 as the record date for the determination of stockholders</w:t>
      </w:r>
    </w:p>
    <w:p>
      <w:pPr>
        <w:spacing w:after="0" w:line="43" w:lineRule="exact"/>
        <w:rPr>
          <w:sz w:val="20"/>
          <w:szCs w:val="20"/>
          <w:color w:val="auto"/>
        </w:rPr>
      </w:pPr>
    </w:p>
    <w:p>
      <w:pPr>
        <w:jc w:val="both"/>
        <w:ind w:left="40" w:right="619"/>
        <w:spacing w:after="0" w:line="250" w:lineRule="auto"/>
        <w:rPr>
          <w:sz w:val="20"/>
          <w:szCs w:val="20"/>
          <w:color w:val="auto"/>
        </w:rPr>
      </w:pPr>
      <w:r>
        <w:rPr>
          <w:rFonts w:ascii="Arial" w:cs="Arial" w:eastAsia="Arial" w:hAnsi="Arial"/>
          <w:sz w:val="18"/>
          <w:szCs w:val="18"/>
          <w:color w:val="auto"/>
        </w:rPr>
        <w:t>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outstanding and entitled to vote ________ shares of common stock.</w:t>
      </w:r>
    </w:p>
    <w:p>
      <w:pPr>
        <w:spacing w:after="0" w:line="87"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Vringo common stock is the only class of securities entitled to vote at the Vringo annual meeting. Each share of Vringo’s common stock outstanding on the record date entitles the holder thereof to one vote on each matter properly brought before the Vringo annual meeting, exercisable in person or by proxy.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Quorum</w:t>
      </w:r>
    </w:p>
    <w:p>
      <w:pPr>
        <w:spacing w:after="0" w:line="118"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In order to conduct the business described above at the Vringo annual meeting, Vringo must have a quorum present. Stockholders who hold a majority of the Vringo common stock outstanding as of the close of business on the record date for the Vringo annual meeting must be present either in person or by proxy in order to constitute a quorum to conduct business at the Vringo annual meeting. As of the record date, there were ________ shares of Vringo common stock outstanding and entitled to vote</w:t>
      </w:r>
    </w:p>
    <w:p>
      <w:pPr>
        <w:ind w:left="40"/>
        <w:spacing w:after="0"/>
        <w:rPr>
          <w:sz w:val="20"/>
          <w:szCs w:val="20"/>
          <w:color w:val="auto"/>
        </w:rPr>
      </w:pPr>
      <w:r>
        <w:rPr>
          <w:rFonts w:ascii="Arial" w:cs="Arial" w:eastAsia="Arial" w:hAnsi="Arial"/>
          <w:sz w:val="17"/>
          <w:szCs w:val="17"/>
          <w:color w:val="auto"/>
        </w:rPr>
        <w:t>at the Vringo annual meeting. Accordingly, the presence, in person or by proxy, of the holders of ________ shares of Vringo</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will be required in order to establish a quorum.</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Required Vote</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proposals being submitted for approval by the Vringo stockholders at the Vringo annual meeting will be approved or rejected on the basis of certain specific voting thresholds. In particular:</w:t>
      </w:r>
    </w:p>
    <w:p>
      <w:pPr>
        <w:spacing w:after="0" w:line="69" w:lineRule="exact"/>
        <w:rPr>
          <w:sz w:val="20"/>
          <w:szCs w:val="20"/>
          <w:color w:val="auto"/>
        </w:rPr>
      </w:pPr>
    </w:p>
    <w:p>
      <w:pPr>
        <w:ind w:left="600" w:right="619" w:hanging="328"/>
        <w:spacing w:after="0" w:line="334" w:lineRule="auto"/>
        <w:tabs>
          <w:tab w:leader="none" w:pos="6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approval of the Securities Issuance Proposal requires the affirmative vote of the holders of a majority of the shares of Vringo common stock present and entitled to vote on the matter either in person or by proxy at the Vringo annual meeting;</w:t>
      </w:r>
    </w:p>
    <w:p>
      <w:pPr>
        <w:spacing w:after="0" w:line="22" w:lineRule="exact"/>
        <w:rPr>
          <w:rFonts w:ascii="Arial" w:cs="Arial" w:eastAsia="Arial" w:hAnsi="Arial"/>
          <w:sz w:val="16"/>
          <w:szCs w:val="16"/>
          <w:color w:val="auto"/>
        </w:rPr>
      </w:pPr>
    </w:p>
    <w:p>
      <w:pPr>
        <w:jc w:val="both"/>
        <w:ind w:left="600" w:right="619" w:hanging="328"/>
        <w:spacing w:after="0" w:line="259"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approval of the Reverse Stock Split Proposal requires the affirmative vote of the holders of a majority of the shares of Vringo common stock outstanding and entitled to vote on the matter either in person or by proxy at the Vringo annual meeting;</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39" w:hanging="328"/>
        <w:spacing w:after="0" w:line="259"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approval of the Authorized Shares Increase Proposal requires the affirmative vote of the holders of a majority of the shares of Vringo common stock outstanding and entitled to vote on the matter either in person or by proxy at the Vringo annual meeting;</w:t>
      </w:r>
    </w:p>
    <w:p>
      <w:pPr>
        <w:spacing w:after="0" w:line="7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election of the director nominees as set forth in the Election of Directors Proposal requires the affirmative vote of a plurality of the voting power of the shares present or represented by proxy at the Vringo annual meeting and entitled to vote on the election of directors;</w:t>
      </w:r>
    </w:p>
    <w:p>
      <w:pPr>
        <w:spacing w:after="0" w:line="78" w:lineRule="exact"/>
        <w:rPr>
          <w:rFonts w:ascii="Arial" w:cs="Arial" w:eastAsia="Arial" w:hAnsi="Arial"/>
          <w:sz w:val="18"/>
          <w:szCs w:val="18"/>
          <w:color w:val="auto"/>
        </w:rPr>
      </w:pPr>
    </w:p>
    <w:p>
      <w:pPr>
        <w:jc w:val="both"/>
        <w:ind w:left="600" w:right="639" w:hanging="328"/>
        <w:spacing w:after="0" w:line="259"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approval of the 2012 Equity Incentive Plan Proposal requires the affirmative vote of the holders of a majority of the shares of Vringo common stock present and entitled to vote on the matter either in person or by proxy at the Vringo annual meeting;</w:t>
      </w:r>
    </w:p>
    <w:p>
      <w:pPr>
        <w:spacing w:after="0" w:line="78" w:lineRule="exact"/>
        <w:rPr>
          <w:rFonts w:ascii="Arial" w:cs="Arial" w:eastAsia="Arial" w:hAnsi="Arial"/>
          <w:sz w:val="18"/>
          <w:szCs w:val="18"/>
          <w:color w:val="auto"/>
        </w:rPr>
      </w:pPr>
    </w:p>
    <w:p>
      <w:pPr>
        <w:jc w:val="both"/>
        <w:ind w:left="600" w:right="639" w:hanging="328"/>
        <w:spacing w:after="0" w:line="259"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approval of the Ratification of the Appointment of Vringo’s Independent Registered Public Accounting Firm Proposal requires the affirmative vote of the holders of a majority of the shares of Vringo common stock present and entitled to vote on the matter either in person or by proxy at the Vringo annual meeting; and</w:t>
      </w:r>
    </w:p>
    <w:p>
      <w:pPr>
        <w:spacing w:after="0" w:line="78" w:lineRule="exact"/>
        <w:rPr>
          <w:rFonts w:ascii="Arial" w:cs="Arial" w:eastAsia="Arial" w:hAnsi="Arial"/>
          <w:sz w:val="18"/>
          <w:szCs w:val="18"/>
          <w:color w:val="auto"/>
        </w:rPr>
      </w:pPr>
    </w:p>
    <w:p>
      <w:pPr>
        <w:jc w:val="both"/>
        <w:ind w:left="600" w:right="639" w:hanging="328"/>
        <w:spacing w:after="0" w:line="281" w:lineRule="auto"/>
        <w:tabs>
          <w:tab w:leader="none" w:pos="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approval of the adjournment of the Vringo annual meeting, if necessary, to solicit proxies if there are not sufficient votes in favor of the Vringo Merger Proposals, requires the affirmative vote of the holders of a majority of the Vringo common stock present and entitled to vote on the matter either in person or by proxy at the Vringo annual meeting.</w:t>
      </w:r>
    </w:p>
    <w:p>
      <w:pPr>
        <w:spacing w:after="0" w:line="58"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Approval of the Securities Issuance Proposal, the Reverse Stock Split Proposal, and the Authorized Shares Increase Proposal are required conditions to the completion of the Merger. If any of these proposals are not approved by the Vringo stockholders, the Merger may not be completed.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Counting of Votes; Treatment of Abstentions and Incomplete Proxies</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If a Vringo stockholder fails to submit a proxy as instructed on the enclosed proxy card and fails to vote at the Vringo annual meeting, such stockholder’s shares will not be counted as present for the purpose of determining the presence of a quorum, which is required to transact business at the Vringo annual meeting, and will have no effect on the outcome of Vringo Proposals No. 1 (Securities Issuance Proposal), No. 4 (Election of Directors Proposal), No. 5 (2012 Equity Incentive Plan Proposal), No. 6 (Ratification of the Appointment of Vringo’s Independent Registered Public Accounting Firm Proposal) and No. 7 (adjournment to solicit additional proxies, if necessary). However, the failure to submit a proxy or vote at the Vringo annual meeting will have the same effect as voting AGAINST Vringo Proposals No. 2 (Reverse Stock Split Proposal) and No. 3 (Authorized Shares Increase Proposal).</w:t>
      </w:r>
    </w:p>
    <w:p>
      <w:pPr>
        <w:spacing w:after="0" w:line="86"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If a Vringo stockholder submits a proxy and affirmatively elects to abstain from voting, that proxy will be counted as present for the purpose of determining the presence of a quorum for the Vringo annual meeting, but will not be voted at the Vringo annual meeting. As a result, such abstention will have the same effect as voting AGAINST Vringo Proposal Nos. 1, 2, 3, 5 and 7 and will have no effect on Vringo Proposal Nos. 4 and 6. Abstentions are not counted for purposes of electing directors.</w:t>
      </w:r>
    </w:p>
    <w:p>
      <w:pPr>
        <w:spacing w:after="0" w:line="52"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If a Vringo stockholder submits a proxy card without indicating how such stockholder wishes to vote, the shares of Vringo common stock represented by such proxy card will be counted as present for the purpose of determining the presence of a quorum for the Vringo annual meeting and all of such shares will be voted FOR Vringo Proposal Nos. 1, 2, 3, 4, 5, 6 and 7.</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by Vringo Directors and Executive Officers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directors and</w:t>
      </w:r>
    </w:p>
    <w:p>
      <w:pPr>
        <w:spacing w:after="0" w:line="31" w:lineRule="exact"/>
        <w:rPr>
          <w:sz w:val="20"/>
          <w:szCs w:val="20"/>
          <w:color w:val="auto"/>
        </w:rPr>
      </w:pPr>
    </w:p>
    <w:p>
      <w:pPr>
        <w:jc w:val="both"/>
        <w:ind w:left="40" w:right="619"/>
        <w:spacing w:after="0" w:line="273" w:lineRule="auto"/>
        <w:rPr>
          <w:sz w:val="20"/>
          <w:szCs w:val="20"/>
          <w:color w:val="auto"/>
        </w:rPr>
      </w:pPr>
      <w:r>
        <w:rPr>
          <w:rFonts w:ascii="Arial" w:cs="Arial" w:eastAsia="Arial" w:hAnsi="Arial"/>
          <w:sz w:val="17"/>
          <w:szCs w:val="17"/>
          <w:color w:val="auto"/>
        </w:rPr>
        <w:t>executive officers of Vringo beneficially owned and were entitled to vote [•] shares of Vringo common stock, or approximately __% of the total outstanding voting power of Vringo. It is expected that Vringo’s directors and executive officers will vote their shares FOR the approval of the Merger, although none of them has entered into any agreement requiring them to do so.</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of Proxies by Registered Holders</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Giving a proxy means that a Vringo stockholder authorizes the persons named in the enclosed proxy card to vote the stockholder’s shares at the Vringo annual meeting in the manner such stockholder directs. If you are a registered Vringo stockholder (that is, you hold your stock in your own name), you may vote in person at the Vringo annual meeting or vote by submitting your proxy (i) through the Internet, (ii) by telephone or (iii) by marking, signing and dating the enclosed proxy card and returning it in the postage-paid envelope provided. Whether or not you plan to attend the Vringo annual meeting, Vringo urges you to vote by proxy to ensure that your vote is counted. You may still attend the Vringo annual meeting and vote in person even if you have already voted by proxy.</w:t>
      </w:r>
    </w:p>
    <w:p>
      <w:pPr>
        <w:spacing w:after="0" w:line="89" w:lineRule="exact"/>
        <w:rPr>
          <w:sz w:val="20"/>
          <w:szCs w:val="20"/>
          <w:color w:val="auto"/>
        </w:rPr>
      </w:pPr>
    </w:p>
    <w:p>
      <w:pPr>
        <w:ind w:left="600" w:hanging="328"/>
        <w:spacing w:after="0"/>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vote in person, come to the Vringo annual meeting and Vringo will give you a ballot when you arrive.</w:t>
      </w:r>
    </w:p>
    <w:p>
      <w:pPr>
        <w:spacing w:after="0" w:line="113" w:lineRule="exact"/>
        <w:rPr>
          <w:rFonts w:ascii="Arial" w:cs="Arial" w:eastAsia="Arial" w:hAnsi="Arial"/>
          <w:sz w:val="18"/>
          <w:szCs w:val="18"/>
          <w:color w:val="auto"/>
        </w:rPr>
      </w:pPr>
    </w:p>
    <w:p>
      <w:pPr>
        <w:jc w:val="both"/>
        <w:ind w:left="600" w:right="639" w:hanging="328"/>
        <w:spacing w:after="0" w:line="281" w:lineRule="auto"/>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vote using a proxy, simply follow the instructions included in the enclosed proxy card to vote by Internet or telephone or complete, sign and date the enclosed proxy card and return it promptly in the postage-paid envelope provided. If your proxy is received before the Vringo annual meeting, your proxy will be voted as you direct.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Shares Held in Street Name</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If your shares of Vringo common stock are held in street name in a stock brokerage account or by another nominee, you must provide the record holder of your shares with instructions on how to vote the shares. Please follow the voting instructions provided by your broker or other nominee. You may not vote shares of Vringo common stock held in street name by returning a proxy card directly to Vringo or by voting in person at the Vringo annual meeting unless you provide a legal proxy, which you must obtain from your broker or other nominee.</w:t>
      </w:r>
    </w:p>
    <w:p>
      <w:pPr>
        <w:spacing w:after="0" w:line="85"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color w:val="auto"/>
        </w:rPr>
        <w:t>Brokers or other nominees who hold shares of Vringo common stock in street name for a beneficial owner typically have the authority to vote in their discretion on routine proposals, even when they have not received instructions from beneficial owners. However, brokers or other nominees are not allowed to exercise their voting discretion on matters that are determined to be non-routine without specific instructions from the beneficial owner. Broker non-votes are shares held by a broker or other nominee that are represented at the Vringo annual meeting, but with respect to which the broker or other nominee is not instructed by the beneficial owner of such shares to vote on the particular proposal and the broker or other nominee does not have discretionary voting power on such proposal. Therefore, if you are a Vringo stockholder and hold your shares in street name, you should instruct your broker or other nominee on how to vote your shares to ensure that your shares are voted with respect to each of the Vringo Merger Proposals. Broker non-votes will be counted for purposes of determining whether a quorum exists at the Vringo annual meeting.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Revocability of Proxies and Changes to a Vringo Stockholder’s Vote</w:t>
      </w:r>
    </w:p>
    <w:p>
      <w:pPr>
        <w:spacing w:after="0" w:line="118"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If you are a Vringo stockholder and wish to change your vote with respect to any proposal, you may do so by revoking your proxy at any time prior to the commencement of voting with respect to such proposal at the Vringo annual meeting by:</w:t>
      </w:r>
    </w:p>
    <w:p>
      <w:pPr>
        <w:spacing w:after="0" w:line="46" w:lineRule="exact"/>
        <w:rPr>
          <w:sz w:val="20"/>
          <w:szCs w:val="20"/>
          <w:color w:val="auto"/>
        </w:rPr>
      </w:pPr>
    </w:p>
    <w:p>
      <w:pPr>
        <w:ind w:left="600" w:right="639" w:hanging="328"/>
        <w:spacing w:after="0" w:line="274" w:lineRule="auto"/>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sending a written notice stating that you would like to revoke your proxy to Vringo’s Corporate Secretary at Vringo, Inc., at 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1414, New York, New York 10001;</w:t>
      </w:r>
    </w:p>
    <w:p>
      <w:pPr>
        <w:ind w:left="600" w:hanging="328"/>
        <w:spacing w:after="0"/>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voting on a later date by the Internet or telephone;</w:t>
      </w:r>
    </w:p>
    <w:p>
      <w:pPr>
        <w:spacing w:after="0" w:line="97" w:lineRule="exact"/>
        <w:rPr>
          <w:rFonts w:ascii="Arial" w:cs="Arial" w:eastAsia="Arial" w:hAnsi="Arial"/>
          <w:sz w:val="18"/>
          <w:szCs w:val="18"/>
          <w:color w:val="auto"/>
        </w:rPr>
      </w:pPr>
    </w:p>
    <w:p>
      <w:pPr>
        <w:ind w:left="600" w:hanging="328"/>
        <w:spacing w:after="0"/>
        <w:tabs>
          <w:tab w:leader="none" w:pos="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submitting new proxy instructions on a new proxy card with a later date; or</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attending the Vringo annual meeting and voting in person (but note that your attendance alone will not revoke your proxy).</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color w:val="auto"/>
        </w:rPr>
        <w:t>If you are a Vringo stockholder of record, revocation of your proxy or voting instructions by written notice must be received by Vringo’s Corporate Secretary by no later than the close of business on ___________, 2012, although you may also revoke your</w:t>
      </w:r>
    </w:p>
    <w:p>
      <w:pPr>
        <w:spacing w:after="0" w:line="1" w:lineRule="exact"/>
        <w:rPr>
          <w:sz w:val="20"/>
          <w:szCs w:val="20"/>
          <w:color w:val="auto"/>
        </w:rPr>
      </w:pPr>
    </w:p>
    <w:p>
      <w:pPr>
        <w:jc w:val="both"/>
        <w:ind w:left="40" w:right="619"/>
        <w:spacing w:after="0" w:line="273" w:lineRule="auto"/>
        <w:rPr>
          <w:sz w:val="20"/>
          <w:szCs w:val="20"/>
          <w:color w:val="auto"/>
        </w:rPr>
      </w:pPr>
      <w:r>
        <w:rPr>
          <w:rFonts w:ascii="Arial" w:cs="Arial" w:eastAsia="Arial" w:hAnsi="Arial"/>
          <w:sz w:val="17"/>
          <w:szCs w:val="17"/>
          <w:color w:val="auto"/>
        </w:rPr>
        <w:t xml:space="preserve">proxy by attending the Vringo annual meeting and voting in person. </w:t>
      </w:r>
      <w:r>
        <w:rPr>
          <w:rFonts w:ascii="Arial" w:cs="Arial" w:eastAsia="Arial" w:hAnsi="Arial"/>
          <w:sz w:val="17"/>
          <w:szCs w:val="17"/>
          <w:b w:val="1"/>
          <w:bCs w:val="1"/>
          <w:color w:val="auto"/>
        </w:rPr>
        <w:t>However, if your shares are held in street name by a broker</w:t>
      </w:r>
      <w:r>
        <w:rPr>
          <w:rFonts w:ascii="Arial" w:cs="Arial" w:eastAsia="Arial" w:hAnsi="Arial"/>
          <w:sz w:val="17"/>
          <w:szCs w:val="17"/>
          <w:color w:val="auto"/>
        </w:rPr>
        <w:t xml:space="preserve"> </w:t>
      </w:r>
      <w:r>
        <w:rPr>
          <w:rFonts w:ascii="Arial" w:cs="Arial" w:eastAsia="Arial" w:hAnsi="Arial"/>
          <w:sz w:val="17"/>
          <w:szCs w:val="17"/>
          <w:b w:val="1"/>
          <w:bCs w:val="1"/>
          <w:color w:val="auto"/>
        </w:rPr>
        <w:t>or other nominee and you have instructed such broker or other nominee to vote your shares, you must follow directions received from your broker or other nominee in order to change those voting instructions.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Solicitation of Proxies</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 in connection with the filing of this proxy statement/prospectus and the related Registration Statement on Form S-</w:t>
      </w:r>
    </w:p>
    <w:p>
      <w:pPr>
        <w:spacing w:after="0" w:line="1" w:lineRule="exact"/>
        <w:rPr>
          <w:sz w:val="20"/>
          <w:szCs w:val="20"/>
          <w:color w:val="auto"/>
        </w:rPr>
      </w:pPr>
    </w:p>
    <w:p>
      <w:pPr>
        <w:jc w:val="both"/>
        <w:ind w:left="40" w:right="619" w:firstLine="5"/>
        <w:spacing w:after="0" w:line="268" w:lineRule="auto"/>
        <w:tabs>
          <w:tab w:leader="none" w:pos="2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Vringo may also reimburse brokerage houses and other custodians, nominees, and fiduciaries for their costs of soliciting and obtaining proxies from beneficial owners of Vringo common stock, including the costs of reimbursing brokerage houses and other custodians, nominees, and fiduciaries for their costs of forwarding this proxy statement/prospectus and other solicitation materials to such beneficial owners. In addition, proxies may be solicited without extra compensation by directors, officers, and employees of each of Vringo and Innovate/Protect by mail, telephone, fax, or other methods of communication.</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Delivery of Proxy Materials to Households Where Two or More Vringo Stockholders Reside</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with respect to two or more stockholders sharing the same address by delivering a single proxy statement/prospectus addressed to those stockholders. This process, which is commonly referred to as householding, potentially means extra convenience for stockholders and cost savings for companies.</w:t>
      </w:r>
    </w:p>
    <w:p>
      <w:pPr>
        <w:spacing w:after="0" w:line="83"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 connection with the Vringo annual meeting, a number of brokers with account holders who are Vringo stockholders will be householding Vringo proxy materials. As a result, a single proxy statement/prospectus will be delivered to multiple stockholders sharing an address unless contrary instructions have been received from the applicable stockholders. Once a Vringo stockholder receives notice from its broker that they will be householding communications to such stockholder’s address, householding will continue until such stockholder is notified otherwise or until such stockholder revokes its consent. If, at any time, a Vringo stockholder no longer wishes to participate in householding and would prefer to receive a separate proxy statement/prospectus,</w:t>
      </w:r>
    </w:p>
    <w:p>
      <w:pPr>
        <w:spacing w:after="0" w:line="3" w:lineRule="exact"/>
        <w:rPr>
          <w:sz w:val="20"/>
          <w:szCs w:val="20"/>
          <w:color w:val="auto"/>
        </w:rPr>
      </w:pPr>
    </w:p>
    <w:p>
      <w:pPr>
        <w:jc w:val="both"/>
        <w:ind w:left="40" w:right="619"/>
        <w:spacing w:after="0" w:line="251" w:lineRule="auto"/>
        <w:rPr>
          <w:sz w:val="20"/>
          <w:szCs w:val="20"/>
          <w:color w:val="auto"/>
        </w:rPr>
      </w:pPr>
      <w:r>
        <w:rPr>
          <w:rFonts w:ascii="Arial" w:cs="Arial" w:eastAsia="Arial" w:hAnsi="Arial"/>
          <w:sz w:val="16"/>
          <w:szCs w:val="16"/>
          <w:color w:val="auto"/>
        </w:rPr>
        <w:t>such stockholder should notify its broker or contact Vringo’s Corporate Secretary at Vringo, Inc., 44 West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1414, New York, New York 10001. Vringo stockholders who currently receive multiple copies of this proxy statement/prospectus at their address and would like to request householding of their communications should contact their broker.</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Attending the Vringo Annual Meeting</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All Vringo stockholders as of the record date, or their duly appointed proxies, may attend the Vringo annual meeting. If you are a registered Vringo stockholder (that is, if you hold your stock in your own name) and you wish to attend the Vringo annual meeting, please bring your proxy and evidence of your stock ownership, such as your most recent account statement, to the Vringo annual meeting. You should also bring valid picture identification.</w:t>
      </w:r>
    </w:p>
    <w:p>
      <w:pPr>
        <w:spacing w:after="0" w:line="83"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If your shares are held in street name in a stock brokerage account or by another nominee and you wish to attend the Vringo annual meeting, you need to bring a copy of a brokerage or bank statement to the Vringo annual meeting reflecting your stock ownership as of the record date. You should also bring valid picture identification.</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PROPOSALS</w:t>
      </w:r>
    </w:p>
    <w:p>
      <w:pPr>
        <w:spacing w:after="0" w:line="141" w:lineRule="exact"/>
        <w:rPr>
          <w:sz w:val="20"/>
          <w:szCs w:val="20"/>
          <w:color w:val="auto"/>
        </w:rPr>
      </w:pPr>
    </w:p>
    <w:p>
      <w:pPr>
        <w:jc w:val="both"/>
        <w:ind w:left="40" w:right="639"/>
        <w:spacing w:after="0" w:line="275" w:lineRule="auto"/>
        <w:rPr>
          <w:sz w:val="20"/>
          <w:szCs w:val="20"/>
          <w:color w:val="auto"/>
        </w:rPr>
      </w:pPr>
      <w:r>
        <w:rPr>
          <w:rFonts w:ascii="Arial" w:cs="Arial" w:eastAsia="Arial" w:hAnsi="Arial"/>
          <w:sz w:val="18"/>
          <w:szCs w:val="18"/>
          <w:b w:val="1"/>
          <w:bCs w:val="1"/>
          <w:color w:val="auto"/>
        </w:rPr>
        <w:t>Vringo Proposal No. 1: Approval of the Issuance of Vringo Common Stock and Preferred Stock and Warrants in Connection with the Merger</w:t>
      </w:r>
    </w:p>
    <w:p>
      <w:pPr>
        <w:spacing w:after="0" w:line="64"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6,818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6,818 shares, as of April 5, 2012, shall be initially convertible into an aggregate of 20,573,998 shares of Vringo common stock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6"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 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7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Under NYSE Amex rules and regulations, a company listed on the NYSE Amex is required to obtain stockholder approval prior to the issuance of common stock or of securities convertible into or exercisable for common stock, in connection with the acquisition of another company, if the number of shares of common stock to be issued is, or will be upon issuance, equal to or in excess of 20% of the number of shares of the issuing company’s common stock outstanding before such issuance in connection with such proposed acquisition.</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aggregate number of shares of Vringo common stock to be issued in connection with the Merger will exceed 20% of the shares of Vringo common stock outstanding before such issuance. For this reason, Vringo must obtain the approval of the Vringo stockholders, in accordance with the NYSE Amex rules and regulations, for the issuance of shares of Vringo common stock to Innovate/Protect stockholders in connection with the Merger. Accordingly, Vringo is asking its stockholders to approve the issuance of Vringo common stock in connection with the Merger.</w:t>
      </w:r>
    </w:p>
    <w:p>
      <w:pPr>
        <w:spacing w:after="0" w:line="200" w:lineRule="exact"/>
        <w:rPr>
          <w:sz w:val="20"/>
          <w:szCs w:val="20"/>
          <w:color w:val="auto"/>
        </w:rPr>
      </w:pPr>
    </w:p>
    <w:p>
      <w:pPr>
        <w:spacing w:after="0" w:line="3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39" w:firstLine="267"/>
        <w:spacing w:after="0" w:line="288" w:lineRule="auto"/>
        <w:rPr>
          <w:sz w:val="20"/>
          <w:szCs w:val="20"/>
          <w:color w:val="auto"/>
        </w:rPr>
      </w:pPr>
      <w:r>
        <w:rPr>
          <w:rFonts w:ascii="Arial" w:cs="Arial" w:eastAsia="Arial" w:hAnsi="Arial"/>
          <w:sz w:val="16"/>
          <w:szCs w:val="16"/>
          <w:color w:val="auto"/>
        </w:rPr>
        <w:t>Approval of this Securities Issuance Proposal requires the affirmative vote of the holders of a majority of the shares of Vringo common stock present and entitled to vote on the matter either in person or by proxy at the Vringo annual meeting. A failure to submit a proxy or vote at the Vringo annual meeting will result in your shares not being counted as present for the purpose of determining the presence of a quorum, which is required to transact business at the Vringo annual meeting, and will have no effect on the outcome of this Securities Issuance Proposal. However, for purposes of the vote on this Securities Issuance Proposal, an abstention will be counted as present for the purpose of determining a quorum, but will have the same effect as voting “AGAINST” this Securities Issuance Proposal, and a “broker non-vote” will have no effect on the outcome of this Securities Issuance Proposal.</w:t>
      </w:r>
    </w:p>
    <w:p>
      <w:pPr>
        <w:spacing w:after="0" w:line="16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THE VRINGO BOARD OF DIRECTORS RECOMMENDS A VOTE “FOR”</w:t>
      </w:r>
    </w:p>
    <w:p>
      <w:pPr>
        <w:spacing w:after="0" w:line="2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THE SHARE ISSUANCE PROPOSAL.</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jc w:val="both"/>
        <w:ind w:left="40" w:right="639"/>
        <w:spacing w:after="0" w:line="275" w:lineRule="auto"/>
        <w:rPr>
          <w:sz w:val="20"/>
          <w:szCs w:val="20"/>
          <w:color w:val="auto"/>
        </w:rPr>
      </w:pPr>
      <w:r>
        <w:rPr>
          <w:rFonts w:ascii="Arial" w:cs="Arial" w:eastAsia="Arial" w:hAnsi="Arial"/>
          <w:sz w:val="18"/>
          <w:szCs w:val="18"/>
          <w:b w:val="1"/>
          <w:bCs w:val="1"/>
          <w:color w:val="auto"/>
        </w:rPr>
        <w:t>Vringo Proposal No. 2: Approval of an Amendment to Vringo’s Amended and Restated Certificate of Incorporation to Effect a Reverse Stock Split of Vringo Common Stock</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The Vringo board of directors has unanimously approved a proposal to amend the Vringo Certificate to effect a reverse stock split of the issued and outstanding shares of Vringo common stock at a reverse stock split ratio ranging from one-for-two to one-for-four, with the exact ratio to be determined by Innovate/Protect prior to the completion of the Merger. The Vringo board of directors has recommended that this proposal be presented to the Vringo stockholders for approval in the event that it is needed to comply with NYSE Amex’s continued listing requirements. The text of the form of proposed amendment to the Vringo Certificate to effect a reverse stock split of the issued and outstanding shares of Vringo common stock is attached to this proxy statement/prospectus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89"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proposed amendment to the Vringo Certificate will effect a reverse stock split of the issued and outstanding shares of Vringo common stock within the range of one-for-two to one-for-four, with the exact number within such range to be determined by Innovate/Protect prior to the completion of the Merger. The Vringo board of directors believes that stockholder approval of an amendment granting this discretion, rather than approval of a specified ratio, provides the appropriate flexibility to react to then-current market conditions and NYSE Amex’s requirements for continued listing, therefore, is in the best interests of Vringo and its stockholders.</w:t>
      </w:r>
    </w:p>
    <w:p>
      <w:pPr>
        <w:spacing w:after="0" w:line="86"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By approving this amendment, Vringo stockholders will (i) approve a series of amendments to the Vringo Certificate pursuant to which any whole number of outstanding shares of Vringo common stock between and including two and four will be combined into one share of Vringo common stock and (ii) authorize the Vringo board of directors to (a) file only one such amendment, as determined immediately prior to the completion of the Merger in the manner described herein and (b) abandon each amendment not selected. In addition, Vringo may elect not to undertake a reverse stock split.</w:t>
      </w:r>
    </w:p>
    <w:p>
      <w:pPr>
        <w:spacing w:after="0" w:line="68"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If, following approval by the Vringo stockholders, it is determined that an amendment to the Vringo Certificate to effect a reverse stock split is in the best interests of Vringo and its stockholders, the reverse stock split will become effective upon filing one such amendment with the Secretary of State of the State of Delaware. Such amendment will contain the number of shares within the range set forth in this Reverse Stock Split Proposal to be combined into one share of Vringo common stock.</w:t>
      </w:r>
    </w:p>
    <w:p>
      <w:pPr>
        <w:spacing w:after="0" w:line="52"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If, following approval by the Vringo stockholders, a reverse stock split is undertaken, the number of issued and outstanding shares of Vringo common stock will be reduced in accordance with a reverse stock split ratio determined immediately prior to the completion of the Merger within the range set forth in this Reverse Stock Split Proposal. Except for adjustments that may result from the treatment of fractional shares, as described below, each stockholder will hold the same percentage of Vringo common stock outstanding immediately following the reverse stock split as such stockholder held immediately prior to the reverse stock split and immediately prior to the completion of the Merger. The par value of Vringo common stock will remain unchanged at $0.01 per share.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Reasons for the Reverse Stock Split</w:t>
      </w:r>
    </w:p>
    <w:p>
      <w:pPr>
        <w:spacing w:after="0" w:line="114"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The Vringo board of directors approved the proposal authorizing the reverse stock split because it believes that a reverse stock split may allow the combined company to become listed on the NYSE Amex, which listing is a condition to the completion of the Merger (as discussed below under the section entitled “NYSE Amex Requirements for Listing”), and the Vringo board of directors also believes that the increased market price of Vringo common stock expected to result from the implementation of a reverse stock split will improve the marketability and liquidity of Vringo common stock.</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NYSE Amex Requirements for Listing</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 common stock is currently listed on the NYSE Amex. Innovate/Protect shares of its capital stock are not publicly traded. According to applicable NYSE Amex rules, in a transaction constituting a “reverse merger” in which an issuer combines with a non-listed entity, resulting in a change of control of the issuer and potentially allowing the non-listed entity to obtain a NYSE Amex, the issuer must apply for initial inclusion on the a NYSE Amex.</w:t>
      </w:r>
    </w:p>
    <w:p>
      <w:pPr>
        <w:spacing w:after="0" w:line="200" w:lineRule="exact"/>
        <w:rPr>
          <w:sz w:val="20"/>
          <w:szCs w:val="20"/>
          <w:color w:val="auto"/>
        </w:r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Merger Agreement requires that Vringo use its reasonable best efforts to cause the shares of Vringo common stock to be approved, at or prior to the completion of the Merger, for listing (subject only to notice of issuance) on the NYSE Amex at and following the completion of the Merger, and the listing of the shares of Vringo common stock issuable pursuant to the Merger Agreement is a condition to Innovate/Protect’s obligation to complete the Merger.</w:t>
      </w:r>
    </w:p>
    <w:p>
      <w:pPr>
        <w:spacing w:after="0" w:line="83"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listing standards of the NYSE Amex require, among other things, a $3.00 per share minimum bid upon completion of the Merger. As of the date of the mailing of this proxy statement/prospectus, Vringo has filed an initial listing application for the NYSE Amex in connection with the Merger.</w:t>
      </w:r>
    </w:p>
    <w:p>
      <w:pPr>
        <w:spacing w:after="0" w:line="7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The Vringo board of directors expects that a reverse stock split of Vringo common stock will increase the market price of Vringo common stock so that the combined company is able to achieve the initial listing requirements for the NYSE Amex upon completion of the Merger and thereafter maintain compliance with the NYSE Amex bid price listing standard of $1.00 per share. In determining the exact ratio for the reverse stock split, Vringo intends to use a ratio from within the range of one-for-two to one-for-four that would result in a per share price of greater than $3.00 per share following the reverse stock split. Notwithstanding the foregoing, there can be no assurance that the market price per share following the Merger and the reverse stock split will remain in excess of the minimum bid price for a sustained period of time. In addition, there can be no assurance that the Vringo common stock, or the common stock of the combined company following the completion of the Merger, will not be delisted due to a failure to meet other continued listing requirements even if the market price per share of Vringo common stock on a post-reverse-stock-split basis remains in excess of the minimum bid requirement.</w:t>
      </w:r>
    </w:p>
    <w:p>
      <w:pPr>
        <w:spacing w:after="0" w:line="79"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Additionally, the Vringo board of directors believes that a listing on the NYSE Amex for the shares of common stock of the combined company may provide a broader market for the common stock of the combined company and facilitate the use of the common stock of the combined company in financing and other transactions.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Potential Increased Investor Interest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___________, 2012, the latest practicable date before the printing of this proxy statement/prospectus, Vringo common stock</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closed at $____ per share. An investment in Vringo common stock may not appeal to brokerage firms that are reluctant to</w:t>
      </w:r>
    </w:p>
    <w:p>
      <w:pPr>
        <w:spacing w:after="0" w:line="18"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7"/>
          <w:szCs w:val="17"/>
          <w:color w:val="auto"/>
        </w:rPr>
        <w:t>recommend lower-priced stocks to their clients. Investors may also be dissuaded from purchasing lower-priced stocks because the brokerage commissions, as a percentage of the total transaction, tend to be higher for such stocks. Moreover, analysts at many brokerage firms do not monitor the trading activity or otherwise provide coverage of lower-priced stocks. Also, the Vringo board of directors believes that most investment funds are reluctant to invest in lower-priced stocks.</w:t>
      </w:r>
    </w:p>
    <w:p>
      <w:pPr>
        <w:spacing w:after="0" w:line="70"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There are risks associated with the reverse stock split, including that the reverse stock split may not result in an increase in the per share price of Vringo common stock. There is no assurance that (i) the market price per share of Vringo common stock following the reverse stock split will rise in proportion to the reduction in the number of shares of Vringo common stock outstanding before the reverse stock split, (ii) the reverse stock split will result in a market price per share of Vringo common stock that will attract brokers and investors who do not trade in lower-priced stocks, (iii) the reverse stock split will result in a market price per share of Vringo common stock that will increase the ability of Vringo to attract and retain employees, (iv) the market price per share following the Merger and the reverse stock split will remain in excess of the minimum bid price for a sustained period of time required by NYSE Amex, or (v) Vringo will otherwise meet the listing requirements for the NYSE Amex.</w:t>
      </w:r>
    </w:p>
    <w:p>
      <w:pPr>
        <w:spacing w:after="0" w:line="6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market price per share of Vringo common stock will also be based on the performance of Vringo and other factors, some of which are unrelated to the number of shares of Vringo common stock outstanding. If the reverse stock split is effected and the market price per share of Vringo common stock declines, the percentage decline as an absolute number and as a percentage of the overall market capitalization of Vringo may be greater than would occur in the absence of a reverse stock split. Furthermore, the liquidity of Vringo common stock could be adversely affected by the reduced number of shares of Vringo common stock that will be outstanding following the reverse stock split.</w:t>
      </w:r>
    </w:p>
    <w:p>
      <w:pPr>
        <w:spacing w:after="0" w:line="200" w:lineRule="exact"/>
        <w:rPr>
          <w:sz w:val="20"/>
          <w:szCs w:val="20"/>
          <w:color w:val="auto"/>
        </w:rPr>
      </w:pPr>
    </w:p>
    <w:p>
      <w:pPr>
        <w:spacing w:after="0" w:line="3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Effects of the Reverse Stock Split</w:t>
      </w:r>
    </w:p>
    <w:p>
      <w:pPr>
        <w:spacing w:after="0" w:line="11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Following the effective date of the reverse stock split, each Vringo stockholder will own a reduced number of shares of Vringo common stock. However, the reverse stock split will affect all of the Vringo stockholders uniformly and will not, in and of itself, affect any Vringo stockholder’s percentage ownership interests in Vringo, except to the extent that the reverse stock split results in any of the Vringo stockholders owning a fractional share, as described below. Proportionate voting rights and other rights and preferences of the Vringo stockholders will not be affected by the reverse stock split, in and of itself, except to the extent that the reverse stock split results in any of the Vringo stockholders owning a fractional share, as described below. For example, a holder of 2% of the voting power of the outstanding shares of Vringo common stock immediately prior to the reverse stock split will continue to hold 2% of the voting power of the outstanding shares of Vringo common stock immediately following the reverse stock split and immediately prior to the completion of the Merger. The number of Vringo stockholders of record will not be affected by the reverse stock split, except to the extent that any Vringo stockholder holds only a fractional share following the reverse stock split and receives cash for such fractional share following the reverse stock split, as described below.</w:t>
      </w:r>
    </w:p>
    <w:p>
      <w:pPr>
        <w:spacing w:after="0" w:line="6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The amendment to the Vringo Certificate to effect the reverse stock split, in and of itself, will not change the number of authorized shares of Vringo common stock. As a result, one of the effects of the reverse stock split will be to effectively increase the proportion of authorized shares of Vringo common stock which are unissued relative to those which are issued. This effective increase will occur even if the proposal to amend the Vringo Certificate to increase the authorized shares of Vringo common stock up to 150,000,000 shares, as described in Vringo Proposal No. 3 below, is not approved. This could result in Vringo or the combined company having the ability to issue more shares without further stockholder approval. Neither Vringo nor Innovate/Protect have any current plan, commitment, arrangement, understanding, or agreement, written or oral, to issue shares of Vringo common stock, other than in connection with the Merger, to satisfy obligations under outstanding options and warrants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 (as more fully described elsewhere in this proxy statement/prospectus).</w:t>
      </w:r>
    </w:p>
    <w:p>
      <w:pPr>
        <w:spacing w:after="0" w:line="6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The reverse stock split will reduce the number of shares of Vringo common stock available for issuance under Vringo’s equity incentive plans in proportion to the reverse stock split ratio selected within the range set forth in this proposal. Vringo also has certain outstanding options to purchase Vringo common stock. Under the terms of the outstanding Vringo stock options, the reverse stock split will effect a reduction in the number of shares of Vringo common stock issuable upon exercise of such outstanding stock options in proportion to the reverse stock split ratio and will effect a proportionate increase in the exercise price of such outstanding stock options. In connection with the reverse stock split, the number of shares of Vringo common stock issuable upon exercise of outstanding Vringo stock options will be rounded to the nearest whole share and no cash payment will be made in lieu of any fractional shares of Vringo common stock that would otherwise be issuable pursuant to such options. The reverse stock split will not in and of itself change the value of a Vringo stock option.</w:t>
      </w:r>
    </w:p>
    <w:p>
      <w:pPr>
        <w:spacing w:after="0" w:line="7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Vringo common stock is currently registered under Section 12(b) of the Exchange Act, and Vringo is subject to the periodic reporting and other requirements of the Exchange Act. The reverse stock split will not affect the registration of Vringo common stock under the Exchange Act. If the reverse stock split is implemented, and the combined company’s initial listing application with the NYSE Amex is approved, Vringo common stock will continue to be reported on the NYSE Amex under the symbol “VRNG” (although NYSE Amex will likely add the letter “D” to the end of the trading symbol for a period of 20 trading days to indicate that the reverse stock split has occurred).</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4" w:name="page115"/>
    <w:bookmarkEnd w:id="11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 w:right="639" w:firstLine="267"/>
        <w:spacing w:after="0" w:line="270" w:lineRule="auto"/>
        <w:rPr>
          <w:sz w:val="20"/>
          <w:szCs w:val="20"/>
          <w:color w:val="auto"/>
        </w:rPr>
      </w:pPr>
      <w:r>
        <w:rPr>
          <w:rFonts w:ascii="Arial" w:cs="Arial" w:eastAsia="Arial" w:hAnsi="Arial"/>
          <w:sz w:val="18"/>
          <w:szCs w:val="18"/>
          <w:color w:val="auto"/>
        </w:rPr>
        <w:t>The following table provides estimates of the number of shares of Vringo common stock authorized, issued and outstanding, reserved for issuance, and authorized but neither issued nor reserved for issuance at the following times:</w:t>
      </w:r>
    </w:p>
    <w:p>
      <w:pPr>
        <w:spacing w:after="0" w:line="69" w:lineRule="exact"/>
        <w:rPr>
          <w:sz w:val="20"/>
          <w:szCs w:val="20"/>
          <w:color w:val="auto"/>
        </w:rPr>
      </w:pPr>
    </w:p>
    <w:p>
      <w:pPr>
        <w:ind w:left="620" w:hanging="32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prior to the reverse stock split and the completion of the Merger;</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giving effect to a one-for-two reverse stock split but prior to the completion of the Merger; and</w:t>
      </w:r>
    </w:p>
    <w:p>
      <w:pPr>
        <w:spacing w:after="0" w:line="113" w:lineRule="exact"/>
        <w:rPr>
          <w:rFonts w:ascii="Arial" w:cs="Arial" w:eastAsia="Arial" w:hAnsi="Arial"/>
          <w:sz w:val="18"/>
          <w:szCs w:val="18"/>
          <w:color w:val="auto"/>
        </w:rPr>
      </w:pPr>
    </w:p>
    <w:p>
      <w:pPr>
        <w:ind w:left="620" w:hanging="32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giving effect to a one-for-four reverse stock split but prior to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584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Authorized</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Issued and</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Reserved for</w:t>
            </w:r>
          </w:p>
        </w:tc>
        <w:tc>
          <w:tcPr>
            <w:tcW w:w="16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Authorized but</w:t>
            </w: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Arial" w:cs="Arial" w:eastAsia="Arial" w:hAnsi="Arial"/>
                <w:sz w:val="13"/>
                <w:szCs w:val="13"/>
                <w:b w:val="1"/>
                <w:bCs w:val="1"/>
                <w:color w:val="auto"/>
                <w:w w:val="96"/>
              </w:rPr>
              <w:t>Outstanding</w:t>
            </w:r>
            <w:r>
              <w:rPr>
                <w:rFonts w:ascii="Arial" w:cs="Arial" w:eastAsia="Arial" w:hAnsi="Arial"/>
                <w:sz w:val="21"/>
                <w:szCs w:val="21"/>
                <w:b w:val="1"/>
                <w:bCs w:val="1"/>
                <w:color w:val="auto"/>
                <w:w w:val="96"/>
                <w:vertAlign w:val="superscript"/>
              </w:rPr>
              <w:t>(1)</w:t>
            </w:r>
          </w:p>
        </w:tc>
        <w:tc>
          <w:tcPr>
            <w:tcW w:w="160" w:type="dxa"/>
            <w:vAlign w:val="bottom"/>
          </w:tcPr>
          <w:p>
            <w:pPr>
              <w:spacing w:after="0"/>
              <w:rPr>
                <w:sz w:val="15"/>
                <w:szCs w:val="15"/>
                <w:color w:val="auto"/>
              </w:rPr>
            </w:pPr>
          </w:p>
        </w:tc>
        <w:tc>
          <w:tcPr>
            <w:tcW w:w="920" w:type="dxa"/>
            <w:vAlign w:val="bottom"/>
          </w:tcPr>
          <w:p>
            <w:pPr>
              <w:jc w:val="center"/>
              <w:spacing w:after="0" w:line="183" w:lineRule="exact"/>
              <w:rPr>
                <w:sz w:val="20"/>
                <w:szCs w:val="20"/>
                <w:color w:val="auto"/>
              </w:rPr>
            </w:pPr>
            <w:r>
              <w:rPr>
                <w:rFonts w:ascii="Arial" w:cs="Arial" w:eastAsia="Arial" w:hAnsi="Arial"/>
                <w:sz w:val="13"/>
                <w:szCs w:val="13"/>
                <w:b w:val="1"/>
                <w:bCs w:val="1"/>
                <w:color w:val="auto"/>
                <w:w w:val="90"/>
              </w:rPr>
              <w:t>Issuance</w:t>
            </w:r>
            <w:r>
              <w:rPr>
                <w:rFonts w:ascii="Arial" w:cs="Arial" w:eastAsia="Arial" w:hAnsi="Arial"/>
                <w:sz w:val="21"/>
                <w:szCs w:val="21"/>
                <w:b w:val="1"/>
                <w:bCs w:val="1"/>
                <w:color w:val="auto"/>
                <w:w w:val="90"/>
                <w:vertAlign w:val="superscript"/>
              </w:rPr>
              <w:t>(1)</w:t>
            </w: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Neither Issued nor</w:t>
            </w:r>
          </w:p>
        </w:tc>
      </w:tr>
      <w:tr>
        <w:trPr>
          <w:trHeight w:val="123"/>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1"/>
              </w:rPr>
              <w:t>Reserved for</w:t>
            </w:r>
          </w:p>
        </w:tc>
      </w:tr>
      <w:tr>
        <w:trPr>
          <w:trHeight w:val="198"/>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4"/>
              </w:rPr>
              <w:t>Issuance</w:t>
            </w:r>
            <w:r>
              <w:rPr>
                <w:rFonts w:ascii="Arial" w:cs="Arial" w:eastAsia="Arial" w:hAnsi="Arial"/>
                <w:sz w:val="22"/>
                <w:szCs w:val="22"/>
                <w:b w:val="1"/>
                <w:bCs w:val="1"/>
                <w:color w:val="auto"/>
                <w:w w:val="84"/>
                <w:vertAlign w:val="superscript"/>
              </w:rPr>
              <w:t>(1)</w:t>
            </w:r>
          </w:p>
        </w:tc>
      </w:tr>
      <w:tr>
        <w:trPr>
          <w:trHeight w:val="207"/>
        </w:trPr>
        <w:tc>
          <w:tcPr>
            <w:tcW w:w="37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Prior to the reverse stock split</w:t>
            </w:r>
          </w:p>
        </w:tc>
        <w:tc>
          <w:tcPr>
            <w:tcW w:w="9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28,000,000</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13,861,423</w:t>
            </w:r>
          </w:p>
        </w:tc>
        <w:tc>
          <w:tcPr>
            <w:tcW w:w="108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14,138,577</w:t>
            </w:r>
          </w:p>
        </w:tc>
      </w:tr>
      <w:tr>
        <w:trPr>
          <w:trHeight w:val="195"/>
        </w:trPr>
        <w:tc>
          <w:tcPr>
            <w:tcW w:w="370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auto"/>
              </w:rPr>
              <w:t>Giving effect to a one-for-two</w:t>
            </w: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8"/>
              </w:rPr>
              <w:t>28,000,000</w:t>
            </w:r>
          </w:p>
        </w:tc>
        <w:tc>
          <w:tcPr>
            <w:tcW w:w="10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6,930,712</w:t>
            </w:r>
          </w:p>
        </w:tc>
        <w:tc>
          <w:tcPr>
            <w:tcW w:w="1080" w:type="dxa"/>
            <w:vAlign w:val="bottom"/>
            <w:gridSpan w:val="2"/>
          </w:tcPr>
          <w:p>
            <w:pPr>
              <w:jc w:val="right"/>
              <w:ind w:right="250"/>
              <w:spacing w:after="0" w:line="195" w:lineRule="exact"/>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9"/>
              <w:spacing w:after="0" w:line="195" w:lineRule="exact"/>
              <w:rPr>
                <w:sz w:val="20"/>
                <w:szCs w:val="20"/>
                <w:color w:val="auto"/>
              </w:rPr>
            </w:pPr>
            <w:r>
              <w:rPr>
                <w:rFonts w:ascii="Arial" w:cs="Arial" w:eastAsia="Arial" w:hAnsi="Arial"/>
                <w:sz w:val="18"/>
                <w:szCs w:val="18"/>
                <w:color w:val="auto"/>
              </w:rPr>
              <w:t>21,069,288</w:t>
            </w:r>
          </w:p>
        </w:tc>
      </w:tr>
      <w:tr>
        <w:trPr>
          <w:trHeight w:val="231"/>
        </w:trPr>
        <w:tc>
          <w:tcPr>
            <w:tcW w:w="20" w:type="dxa"/>
            <w:vAlign w:val="bottom"/>
          </w:tcPr>
          <w:p>
            <w:pPr>
              <w:spacing w:after="0"/>
              <w:rPr>
                <w:sz w:val="20"/>
                <w:szCs w:val="20"/>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reverse stock split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96"/>
        </w:trPr>
        <w:tc>
          <w:tcPr>
            <w:tcW w:w="3700" w:type="dxa"/>
            <w:vAlign w:val="bottom"/>
            <w:gridSpan w:val="3"/>
            <w:shd w:val="clear" w:color="auto" w:fill="CCFFCC"/>
          </w:tcPr>
          <w:p>
            <w:pPr>
              <w:ind w:left="20"/>
              <w:spacing w:after="0" w:line="196" w:lineRule="exact"/>
              <w:rPr>
                <w:sz w:val="20"/>
                <w:szCs w:val="20"/>
                <w:color w:val="auto"/>
              </w:rPr>
            </w:pPr>
            <w:r>
              <w:rPr>
                <w:rFonts w:ascii="Arial" w:cs="Arial" w:eastAsia="Arial" w:hAnsi="Arial"/>
                <w:sz w:val="18"/>
                <w:szCs w:val="18"/>
                <w:b w:val="1"/>
                <w:bCs w:val="1"/>
                <w:color w:val="auto"/>
              </w:rPr>
              <w:t>Giving effect to a one-for-four</w:t>
            </w:r>
          </w:p>
        </w:tc>
        <w:tc>
          <w:tcPr>
            <w:tcW w:w="940" w:type="dxa"/>
            <w:vAlign w:val="bottom"/>
            <w:shd w:val="clear" w:color="auto" w:fill="CCFFCC"/>
          </w:tcPr>
          <w:p>
            <w:pPr>
              <w:jc w:val="center"/>
              <w:spacing w:after="0" w:line="196" w:lineRule="exact"/>
              <w:rPr>
                <w:sz w:val="20"/>
                <w:szCs w:val="20"/>
                <w:color w:val="auto"/>
              </w:rPr>
            </w:pPr>
            <w:r>
              <w:rPr>
                <w:rFonts w:ascii="Arial" w:cs="Arial" w:eastAsia="Arial" w:hAnsi="Arial"/>
                <w:sz w:val="18"/>
                <w:szCs w:val="18"/>
                <w:color w:val="auto"/>
                <w:w w:val="88"/>
              </w:rPr>
              <w:t>28,000,000</w:t>
            </w:r>
          </w:p>
        </w:tc>
        <w:tc>
          <w:tcPr>
            <w:tcW w:w="1080" w:type="dxa"/>
            <w:vAlign w:val="bottom"/>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rPr>
              <w:t>3,465,356</w:t>
            </w:r>
          </w:p>
        </w:tc>
        <w:tc>
          <w:tcPr>
            <w:tcW w:w="1080" w:type="dxa"/>
            <w:vAlign w:val="bottom"/>
            <w:gridSpan w:val="2"/>
            <w:shd w:val="clear" w:color="auto" w:fill="CCFFCC"/>
          </w:tcPr>
          <w:p>
            <w:pPr>
              <w:jc w:val="right"/>
              <w:ind w:right="250"/>
              <w:spacing w:after="0" w:line="196" w:lineRule="exact"/>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FFCC"/>
          </w:tcPr>
          <w:p>
            <w:pPr>
              <w:jc w:val="right"/>
              <w:ind w:right="9"/>
              <w:spacing w:after="0" w:line="196" w:lineRule="exact"/>
              <w:rPr>
                <w:sz w:val="20"/>
                <w:szCs w:val="20"/>
                <w:color w:val="auto"/>
              </w:rPr>
            </w:pPr>
            <w:r>
              <w:rPr>
                <w:rFonts w:ascii="Arial" w:cs="Arial" w:eastAsia="Arial" w:hAnsi="Arial"/>
                <w:sz w:val="18"/>
                <w:szCs w:val="18"/>
                <w:color w:val="auto"/>
              </w:rPr>
              <w:t>24,534,644</w:t>
            </w:r>
          </w:p>
        </w:tc>
      </w:tr>
      <w:tr>
        <w:trPr>
          <w:trHeight w:val="232"/>
        </w:trPr>
        <w:tc>
          <w:tcPr>
            <w:tcW w:w="20" w:type="dxa"/>
            <w:vAlign w:val="bottom"/>
            <w:shd w:val="clear" w:color="auto" w:fill="CCFFCC"/>
          </w:tcPr>
          <w:p>
            <w:pPr>
              <w:spacing w:after="0"/>
              <w:rPr>
                <w:sz w:val="20"/>
                <w:szCs w:val="20"/>
                <w:color w:val="auto"/>
              </w:rPr>
            </w:pPr>
          </w:p>
        </w:tc>
        <w:tc>
          <w:tcPr>
            <w:tcW w:w="368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reverse stock split</w:t>
            </w: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53" w:lineRule="exact"/>
        <w:rPr>
          <w:sz w:val="20"/>
          <w:szCs w:val="20"/>
          <w:color w:val="auto"/>
        </w:rPr>
      </w:pPr>
    </w:p>
    <w:p>
      <w:pPr>
        <w:jc w:val="both"/>
        <w:ind w:left="300" w:right="619" w:hanging="275"/>
        <w:spacing w:after="0" w:line="255" w:lineRule="auto"/>
        <w:tabs>
          <w:tab w:leader="none" w:pos="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These estimates assume 13,861,423 shares of Vringo common stock issued and outstanding as of immediately prior to the completion of the Merger, which was the number of shares of Vringo common stock issued and outstanding as of March 12, 2012, the date of the Merger Agreement, and such estimates do not include the shares of Vringo common stock issuable to Innovate/Protect stockholders in connection with the Merger.</w:t>
      </w:r>
    </w:p>
    <w:p>
      <w:pPr>
        <w:spacing w:after="0" w:line="83" w:lineRule="exact"/>
        <w:rPr>
          <w:sz w:val="20"/>
          <w:szCs w:val="20"/>
          <w:color w:val="auto"/>
        </w:rPr>
      </w:pPr>
    </w:p>
    <w:p>
      <w:pPr>
        <w:jc w:val="both"/>
        <w:ind w:left="60" w:right="619" w:firstLine="267"/>
        <w:spacing w:after="0" w:line="287" w:lineRule="auto"/>
        <w:rPr>
          <w:sz w:val="20"/>
          <w:szCs w:val="20"/>
          <w:color w:val="auto"/>
        </w:rPr>
      </w:pPr>
      <w:r>
        <w:rPr>
          <w:rFonts w:ascii="Arial" w:cs="Arial" w:eastAsia="Arial" w:hAnsi="Arial"/>
          <w:sz w:val="16"/>
          <w:szCs w:val="16"/>
          <w:color w:val="auto"/>
        </w:rPr>
        <w:t>Upon completion of the Merger, each share of Innovate/Protect capital stock will be converted into the right to receive a number of shares of Vringo common stock equal to the Exchange Ratio. As of _________, 2012 the last practicable date before the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printing of this proxy statement/prospectus, _________ shares of Vringo common stock were outstanding calculated on a fully</w:t>
      </w:r>
    </w:p>
    <w:p>
      <w:pPr>
        <w:spacing w:after="0" w:line="30" w:lineRule="exact"/>
        <w:rPr>
          <w:sz w:val="20"/>
          <w:szCs w:val="20"/>
          <w:color w:val="auto"/>
        </w:rPr>
      </w:pPr>
    </w:p>
    <w:p>
      <w:pPr>
        <w:jc w:val="both"/>
        <w:ind w:left="60" w:right="639"/>
        <w:spacing w:after="0" w:line="278" w:lineRule="auto"/>
        <w:rPr>
          <w:sz w:val="20"/>
          <w:szCs w:val="20"/>
          <w:color w:val="auto"/>
        </w:rPr>
      </w:pPr>
      <w:r>
        <w:rPr>
          <w:rFonts w:ascii="Arial" w:cs="Arial" w:eastAsia="Arial" w:hAnsi="Arial"/>
          <w:sz w:val="16"/>
          <w:szCs w:val="16"/>
          <w:color w:val="auto"/>
        </w:rPr>
        <w:t>diluted basis and 12,856,307 shares of Innovate/Protect capital stock were outstanding calculated on a fully diluted basis. Because the Exchange Ratio gives effect to the reverse stock split, if the Merger had been completed as of _________, 2012, assuming a</w:t>
      </w:r>
    </w:p>
    <w:p>
      <w:pPr>
        <w:spacing w:after="0" w:line="1" w:lineRule="exact"/>
        <w:rPr>
          <w:sz w:val="20"/>
          <w:szCs w:val="20"/>
          <w:color w:val="auto"/>
        </w:rPr>
      </w:pPr>
    </w:p>
    <w:p>
      <w:pPr>
        <w:jc w:val="both"/>
        <w:ind w:left="60" w:right="619"/>
        <w:spacing w:after="0" w:line="278" w:lineRule="auto"/>
        <w:rPr>
          <w:sz w:val="20"/>
          <w:szCs w:val="20"/>
          <w:color w:val="auto"/>
        </w:rPr>
      </w:pPr>
      <w:r>
        <w:rPr>
          <w:rFonts w:ascii="Arial" w:cs="Arial" w:eastAsia="Arial" w:hAnsi="Arial"/>
          <w:sz w:val="16"/>
          <w:szCs w:val="16"/>
          <w:color w:val="auto"/>
        </w:rPr>
        <w:t>reverse stock split ratio of one-for-two, each share of Innovate/Protect capital stock would have converted into and been exchanged for the right to receive _________ shares of Vringo common stock, which would have resulted in an aggregate issuance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 shares of Vringo common stock calculated on a fully diluted basis. If the Merger had been completed as of _________,</w:t>
      </w:r>
    </w:p>
    <w:p>
      <w:pPr>
        <w:spacing w:after="0" w:line="30" w:lineRule="exact"/>
        <w:rPr>
          <w:sz w:val="20"/>
          <w:szCs w:val="20"/>
          <w:color w:val="auto"/>
        </w:rPr>
      </w:pPr>
    </w:p>
    <w:p>
      <w:pPr>
        <w:jc w:val="both"/>
        <w:ind w:left="60" w:right="619"/>
        <w:spacing w:after="0" w:line="278" w:lineRule="auto"/>
        <w:rPr>
          <w:sz w:val="20"/>
          <w:szCs w:val="20"/>
          <w:color w:val="auto"/>
        </w:rPr>
      </w:pPr>
      <w:r>
        <w:rPr>
          <w:rFonts w:ascii="Arial" w:cs="Arial" w:eastAsia="Arial" w:hAnsi="Arial"/>
          <w:sz w:val="16"/>
          <w:szCs w:val="16"/>
          <w:color w:val="auto"/>
        </w:rPr>
        <w:t>2012, assuming a reverse stock split ratio of one-for-four, each share of Innovate/Protect capital stock would have converted into and been exchanged for the right to receive _________ shares of Vringo common stock, which would have resulted in an aggregate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issuance of _________ shares of Vringo common stock calculated on a fully diluted basis.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Effective Date</w:t>
      </w:r>
    </w:p>
    <w:p>
      <w:pPr>
        <w:spacing w:after="0" w:line="114"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The reverse stock split will become effective on the date of filing of the certificate of amendment to the Vringo Certificate with the office of the Secretary of State of the State of Delaware. Except as explained below with respect to fractional shares, on the effective date of the reverse stock split, shares of Vringo common stock issued and outstanding immediately prior to such effective date will be combined and converted, automatically and without any action on the part of the Vringo stockholders, into new shares of Vringo common stock in accordance with the reverse stock split ratio determined immediately prior to the completion of the Merger within the range set forth in this Reverse Stock Split Proposal.</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4"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Vringo will not issue fractional shares in connection with the Reverse Stock Split. Instead, any fractional share resulting from the Reverse Stock Split will be rounded up to the nearest whole share.</w:t>
      </w:r>
    </w:p>
    <w:p>
      <w:pPr>
        <w:spacing w:after="0" w:line="200" w:lineRule="exact"/>
        <w:rPr>
          <w:sz w:val="20"/>
          <w:szCs w:val="20"/>
          <w:color w:val="auto"/>
        </w:r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Exchange of Stock Certificates</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 xml:space="preserve">As soon as practicable following the effective date of the reverse stock split, Vringo stockholders will be notified that the reverse stock split has been effected. Vringo’s transfer agent will act as exchange agent for purposes of implementing the exchange of stock certificates. Holders of pre-reverse stock split shares will be asked to surrender to the exchange agent certificates representing pre-reverse stock split shares in exchange for certificates representing post-reverse stock split shares in accordance with the procedures to be set forth in a letter of transmittal to be sent by the exchange agent. No new certificates will be issued to a Vringo stockholder until such stockholder has surrendered such stockholder’s outstanding certificate(s), together with the properly completed and executed letter of transmittal to the exchange agent. </w:t>
      </w:r>
      <w:r>
        <w:rPr>
          <w:rFonts w:ascii="Arial" w:cs="Arial" w:eastAsia="Arial" w:hAnsi="Arial"/>
          <w:sz w:val="16"/>
          <w:szCs w:val="16"/>
          <w:b w:val="1"/>
          <w:bCs w:val="1"/>
          <w:color w:val="auto"/>
        </w:rPr>
        <w:t>Vringo stockholders should not destroy any Vringo stock</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certificates and should not submit any such certificates until requested to do so.</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Consequences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par value per share of Vringo common stock will remain unchanged at $0.01 per share following the reverse stock split. As a result, on the effective date of the reverse stock split, the stated capital on Vringo’s balance sheet attributable to Vringo common stock will be reduced proportionally, based on the reverse stock split ratio, from its present amount, and the additional paid-in capital account shall be credited with the amount by which the stated capital is reduced. The per share common stock net income or loss and net book value will be increased because there will be fewer shares of Vringo common stock outstanding. Vringo does not anticipate that any other accounting consequences will arise as a result of the reverse stock split.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following discussion summarizes the anticipated material U.S. federal income tax consequences of the reverse stock split. This summary is based upon current provisions of the Code, existing Treasury Regulations, and current administrative rulings and court decisions, all of which are subject to change and to differing interpretations, possibly with retroactive effect. Any such change could alter the tax consequences to Vringo or the Vringo stockholders, as described in this summary. This summary is not binding on the IRS, and there can be no assurance that the IRS (or a court, in the event of an IRS challenge) will agree with the conclusions stated herein. No ruling has been or will be requested from the IRS in connection with the reverse stock split.</w:t>
      </w:r>
    </w:p>
    <w:p>
      <w:pPr>
        <w:spacing w:after="0" w:line="56"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This discussion is not intended to be a complete analysis or description of all potential U.S. federal income tax consequences of the reverse stock split. Moreover, this discussion does not address U.S. federal income tax consequences of the reverse stock split that may vary with individual circumstances. In addition, the discussion set forth below does not address any U.S. federal non-income tax or any state, local or foreign tax consequences of the reverse stock split and does not address the tax consequences of any transaction other than the reverse stock split.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reverse stock split is expected to qualify as a “recapitalization” within the meaning of Section 368(a) of the Code.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Assuming the reverse stock split so qualifies, the following consequences will result:</w:t>
      </w:r>
    </w:p>
    <w:p>
      <w:pPr>
        <w:spacing w:after="0" w:line="101" w:lineRule="exact"/>
        <w:rPr>
          <w:sz w:val="20"/>
          <w:szCs w:val="20"/>
          <w:color w:val="auto"/>
        </w:rPr>
      </w:pPr>
    </w:p>
    <w:p>
      <w:pPr>
        <w:ind w:left="600" w:hanging="328"/>
        <w:spacing w:after="0"/>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gain or loss will be recognized by Vringo as a result of the reverse stock split;</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Vringo stockholder generally will recognize no gain or loss upon the receipt of Vringo common stock in the reverse stock split;</w:t>
      </w:r>
    </w:p>
    <w:p>
      <w:pPr>
        <w:spacing w:after="0" w:line="68"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Vringo stockholder’s aggregate tax basis in the post-reverse stock split shares of Vringo common stock received in the reverse stock split will be equal to the aggregate tax basis of the pre-reverse stock split shares of Vringo common stock exchanged therefor; and</w:t>
      </w:r>
    </w:p>
    <w:p>
      <w:pPr>
        <w:spacing w:after="0" w:line="78" w:lineRule="exact"/>
        <w:rPr>
          <w:rFonts w:ascii="Arial" w:cs="Arial" w:eastAsia="Arial" w:hAnsi="Arial"/>
          <w:sz w:val="18"/>
          <w:szCs w:val="18"/>
          <w:color w:val="auto"/>
        </w:rPr>
      </w:pPr>
    </w:p>
    <w:p>
      <w:pPr>
        <w:ind w:left="600" w:right="639" w:hanging="328"/>
        <w:spacing w:after="0" w:line="334" w:lineRule="auto"/>
        <w:tabs>
          <w:tab w:leader="none" w:pos="6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Vringo stockholder’s holding period of the post-reverse stock split shares of Vringo common stock received in the reverse stock split will include such stockholder’s holding period of the pre-reverse stock split shares exchanged therefor.</w:t>
      </w: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b w:val="1"/>
          <w:bCs w:val="1"/>
          <w:color w:val="auto"/>
        </w:rPr>
        <w:t>Vringo stockholders are advised and expected to consult their own tax advisors regarding the U.S. federal income tax consequences of the reverse stock split in light of their personal circumstances and the consequences of the reverse stock split under U.S. federal non-income tax laws and state, local, and foreign tax laws.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4"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Under the DGCL, Vringo stockholders are not entitled to appraisal rights with respect to the proposed amendment to the Vringo Certificate to effect the reverse stock split and Vringo will not independently provide the Vringo stockholders with any such rights.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The approval of this Reverse Stock Split Proposal will be necessary to enable the combined company to become listed on the NYSE Amex upon completion of the Merger, if Vringo’s stock price remains below $3.00 per share prior to the Merger.</w:t>
      </w:r>
    </w:p>
    <w:p>
      <w:pPr>
        <w:spacing w:after="0" w:line="46"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Approval of this Reverse Stock Split Proposal requires the affirmative vote of the holders of a majority of the shares of Vringo common stock outstanding and entitled to vote on the matter either in person or by proxy at the Vringo annual meeting. For purposes of the vote on this Reverse Stock Split Proposal, an abstention, a “broker non-vote,” or a failure to submit a proxy or vote at the Vringo annual meeting will have the same effect as voting “AGAINST” this Reverse Stock Split Proposal.</w:t>
      </w:r>
    </w:p>
    <w:p>
      <w:pPr>
        <w:spacing w:after="0" w:line="15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VRINGO BOARD OF DIRECTORS RECOMMENDS A VOTE “FOR” THE</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REVERSE STOCK SPLIT PROPOSAL.</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jc w:val="both"/>
        <w:ind w:left="40" w:right="639"/>
        <w:spacing w:after="0" w:line="261" w:lineRule="auto"/>
        <w:rPr>
          <w:sz w:val="20"/>
          <w:szCs w:val="20"/>
          <w:color w:val="auto"/>
        </w:rPr>
      </w:pPr>
      <w:r>
        <w:rPr>
          <w:rFonts w:ascii="Arial" w:cs="Arial" w:eastAsia="Arial" w:hAnsi="Arial"/>
          <w:sz w:val="18"/>
          <w:szCs w:val="18"/>
          <w:b w:val="1"/>
          <w:bCs w:val="1"/>
          <w:color w:val="auto"/>
        </w:rPr>
        <w:t>Vringo Proposal No. 3: Approval of an Amendment to Vringo’s Amended and Restated Certificate of Incorporation to Increase the Number of Shares of Common Stock Authorized for Issuance from 28,000,000 to up to a maximum of 150,000,000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 xml:space="preserve">The Vringo board of directors has unanimously approved a proposal to amend the Vringo Certificate to increase the authorized number of shares of Vringo common stock from 28,000,000 shares to up to a maximum of 150,000,000 shares, with the exact number to be determined by Innovate/Protect prior to the completion of the Merger. The Vringo board of directors believes that stockholder approval of an amendment granting the board this discretion, rather than approval of a specific number of shares, provides the appropriate flexibility to determine the appropriate number of authorized shares of Vringo common stock based on the needs of the company and, therefore, is in the best interests of Vringo and its stockholders. The Vringo board of directors has recommended that this proposal be presented to the Vringo stockholders for approval. The text of the form of proposed amendment to the Vringo Certificate to increase the authorized shares of Vringo common stock to up to a maximum of 150,000,000 shares is attached to this proxy statement/prospectus as </w:t>
      </w:r>
      <w:r>
        <w:rPr>
          <w:rFonts w:ascii="Arial" w:cs="Arial" w:eastAsia="Arial" w:hAnsi="Arial"/>
          <w:sz w:val="17"/>
          <w:szCs w:val="17"/>
          <w:u w:val="single" w:color="auto"/>
          <w:color w:val="auto"/>
        </w:rPr>
        <w:t>Annex C</w:t>
      </w:r>
      <w:r>
        <w:rPr>
          <w:rFonts w:ascii="Arial" w:cs="Arial" w:eastAsia="Arial" w:hAnsi="Arial"/>
          <w:sz w:val="17"/>
          <w:szCs w:val="17"/>
          <w:color w:val="auto"/>
        </w:rPr>
        <w: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Reasons for the Increase in Authorized Shares</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Although at present, apart from the shares to be issued pursuant to the Merger, the Vringo board of directors has no other plans to issue the additional shares of Vringo common stock, it desires to have such shares available to provide additional flexibility to use Vringo capital stock for business and financial purposes in the future. The additional shares may be used for various purposes without further stockholder approval. These purposes may include, among others:</w:t>
      </w:r>
    </w:p>
    <w:p>
      <w:pPr>
        <w:spacing w:after="0" w:line="66" w:lineRule="exact"/>
        <w:rPr>
          <w:sz w:val="20"/>
          <w:szCs w:val="20"/>
          <w:color w:val="auto"/>
        </w:rPr>
      </w:pPr>
    </w:p>
    <w:p>
      <w:pPr>
        <w:ind w:left="600" w:hanging="328"/>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raising capital;</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providing equity incentives to employees, officers, and directors;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establishing strategic relationships with other companies.</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 determining the exact increase in the number of authorized shares of Vringo common stock and in addition to consideration of the foregoing purposes for which such shares may be used, Innovate/Protect will also consider current market conditions, the number of shares authorized by similar development stage companies, and the number of shares available as a result of the reverse stock split discussed above under Proposal No. 2 above. The terms of the additional shares of Vringo common stock will be identical to those of the currently outstanding shares of Vringo common stock. Neither Vringo nor Innovate/Protect have any current plan, commitment, arrangement, understanding, or agreement, written or oral, to issue shares of Vringo common stock, other than in connection with the Merger, to satisfy obligations under outstanding options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w:t>
      </w:r>
    </w:p>
    <w:p>
      <w:pPr>
        <w:spacing w:after="0" w:line="79"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By approving this amendment, the Vringo stockholders will (i) approve a series of amendments to the Vringo Certificate pursuant to which any whole number of shares of Vringo common stock between 28,000,000 and up to 150,000,000 would be authorized for issuance and (ii) authorize the Vringo board of directors to (a) file only one such amendment and (b) abandon each amendment not selected. In addition, Vringo may elect not to undertake an increase in authorized shares of Vringo common stock.</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approval of this Authorized Shares Increase Proposal is necessary to enable Vringo to issue the required number of shares of Vringo common stock issuable to Innovate/Protect stockholders in connection with the Merger.</w:t>
      </w:r>
    </w:p>
    <w:p>
      <w:pPr>
        <w:spacing w:after="0" w:line="69"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Approval of this Authorized Shares Increase Proposal requires the affirmative vote of the holders of a majority of the shares of Vringo common stock outstanding and entitled to vote on the matter either in person or by proxy at the Vringo annual meeting. For purposes of the vote on this Authorized Shares Increase Proposal, an abstention, a “broker non-vote,” or a failure to submit a proxy or vote at the Vringo annual meeting will have the same effect as voting “AGAINST” this Authorized Shares Increase Proposal.</w:t>
      </w:r>
    </w:p>
    <w:p>
      <w:pPr>
        <w:spacing w:after="0" w:line="15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VRINGO BOARD OF DIRECTORS RECOMMENDS A VOTE “FOR” THE</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AUTHORIZED SHARES INCREASE PROPOSAL.</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Proposal No. 4: Election of Directors</w:t>
      </w:r>
    </w:p>
    <w:p>
      <w:pPr>
        <w:spacing w:after="0" w:line="118"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These seven (7) director nominees, if elected at the annual meeting, will hold office until the next annual meeting or until their successors are duly elected and qualify or until their earlier death, resignation or removal, which election shall be subject to the closing of the Merger. There are no family relationships among any of Vringo’s directors and executive officers.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director nominees are:</w:t>
      </w:r>
    </w:p>
    <w:p>
      <w:pPr>
        <w:spacing w:after="0" w:line="114"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Seth M. Siegel</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John Engelman</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Andrew Kennedy Lang</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Alexander R. Berger</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Donald E. Stout</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H. Van Sinclair</w:t>
      </w:r>
    </w:p>
    <w:p>
      <w:pPr>
        <w:spacing w:after="0" w:line="101"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For information about each of the director nominees and other relevant information with respect to the Election of Director Proposal, please refer to the section entitled “Management of the Combined Company Following the Merger.”</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If for any reason any nominee does not stand for election, any proxies we receive will be voted in favor of the remaining nominees and may be voted for substitute nominees in place of those who do not stand. Vringo has no reason to expect that any of the nominees will not stand for election.</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affirmative vote of a plurality of the voting power of the shares present or represented by proxy at the Vringo annual meeting and entitled to vote on the election of directors is required to elect each nominee as a director.</w:t>
      </w:r>
    </w:p>
    <w:p>
      <w:pPr>
        <w:spacing w:after="0" w:line="172" w:lineRule="exact"/>
        <w:rPr>
          <w:sz w:val="20"/>
          <w:szCs w:val="20"/>
          <w:color w:val="auto"/>
        </w:rPr>
      </w:pPr>
    </w:p>
    <w:p>
      <w:pPr>
        <w:jc w:val="center"/>
        <w:ind w:right="619"/>
        <w:spacing w:after="0" w:line="284" w:lineRule="auto"/>
        <w:rPr>
          <w:sz w:val="20"/>
          <w:szCs w:val="20"/>
          <w:color w:val="auto"/>
        </w:rPr>
      </w:pPr>
      <w:r>
        <w:rPr>
          <w:rFonts w:ascii="Arial" w:cs="Arial" w:eastAsia="Arial" w:hAnsi="Arial"/>
          <w:sz w:val="17"/>
          <w:szCs w:val="17"/>
          <w:b w:val="1"/>
          <w:bCs w:val="1"/>
          <w:color w:val="auto"/>
        </w:rPr>
        <w:t>THE VRINGO BOARD OF DIRECTORS RECOMMENDS A VOTE “FOR” THE ELECTION OF ANDREW D. PERLMAN, SETH M. SIEGEL, JOHN ENGELMAN, ANDREW KENNEDY LANG, ALEXANDER R. BERGER, DONALD E. STOUT AND H. VAN SINCLAIR AS DIRECTORS OF THE VRINGO BOARD OF DIRECTORS.</w:t>
      </w:r>
    </w:p>
    <w:p>
      <w:pPr>
        <w:spacing w:after="0" w:line="200" w:lineRule="exact"/>
        <w:rPr>
          <w:sz w:val="20"/>
          <w:szCs w:val="20"/>
          <w:color w:val="auto"/>
        </w:rPr>
      </w:pPr>
    </w:p>
    <w:p>
      <w:pPr>
        <w:spacing w:after="0" w:line="3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right="1279"/>
        <w:spacing w:after="0" w:line="397" w:lineRule="auto"/>
        <w:rPr>
          <w:sz w:val="20"/>
          <w:szCs w:val="20"/>
          <w:color w:val="auto"/>
        </w:rPr>
      </w:pPr>
      <w:r>
        <w:rPr>
          <w:rFonts w:ascii="Arial" w:cs="Arial" w:eastAsia="Arial" w:hAnsi="Arial"/>
          <w:sz w:val="18"/>
          <w:szCs w:val="18"/>
          <w:b w:val="1"/>
          <w:bCs w:val="1"/>
          <w:color w:val="auto"/>
        </w:rPr>
        <w:t>Vringo Proposal No. 5: Approval of the Vringo, Inc. 2012 Employee, Director and Consultant Equity Incentive Plan General</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2012 Equity Incentive Plan, or the Plan, was approved by the Vringo board of directors on ____________, 2012.</w:t>
      </w:r>
    </w:p>
    <w:p>
      <w:pPr>
        <w:spacing w:after="0" w:line="12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Plan is being submitted to you for approval at the annual meeting in order to ensure favorable federal income tax treatment for grants of incentive stock options under Section 422 of the Code. Approval by Vringo’s stockholders of the Plan is also required by the listing rules of the NYSE Amex.</w:t>
      </w:r>
    </w:p>
    <w:p>
      <w:pPr>
        <w:spacing w:after="0" w:line="7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Generally shares of common stock reserved for awards under the Plan that lapse or are canceled will be added back to the share reserve available for future awards. However, shares of common stock tendered in payment for an award or shares of common stock withheld for taxes will not be available again for grant. The Plan provides that no participant may receive awards for more than _________ shares of common stock in any fiscal year and that no more than ____________ shares shall be issued as stock grants or other stock based awards that are deemed “full value” awards.</w:t>
      </w:r>
    </w:p>
    <w:p>
      <w:pPr>
        <w:spacing w:after="0" w:line="6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Vringo board of directors, the Compensation Committee and management all believe that the effective use of stock-based long-term incentive compensation is vital to Vringo’s ability to achieve strong performance in the future. The Plan will maintain and enhance the key policies and practices adopted by Vringo’s management and its board of directors to align employee and stockholder interests. In addition, Vringo’s future success depends, in large part, upon Vringo’s ability to maintain a competitive position in attracting, retaining and motivating key personnel. Accordingly, the Vringo board of directors believes that approval of the Plan is in Vringo’s best interests and those of its stockholders and recommends a vote “FOR” the approval of the Plan.</w:t>
      </w:r>
    </w:p>
    <w:p>
      <w:pPr>
        <w:spacing w:after="0" w:line="5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The following is a brief summary of the Plan. This summary is qualified in its entirety by reference to the text of the Plan, a copy of which is attached as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proxy statement/prospectus.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Features of the 2012 Plan</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The 2012 Plan allows Vringo, under the direction of its Compensation Committee, to make grants of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and unrestricted stock awards and other stock-based awards to employees, consultants and directors who, in the opinion of the Compensation Committee, are in a position to make a significant contribution to Vringo’s long-term success. The purpose of these awards is to attract and retain key individuals, further align employee and stockholder interests, and to closely link compensation with Vringo’s performance. The 2012 Plan provides an essential component of the total compensation package, reflecting the importance that Vringo places on aligning the interests of key individuals with those of Vringo stockholders. All employees, directors and consultants of Vringo and its affiliates are eligible to participate in the 2012 Plan. As of __________,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were _____ individuals eligible to participate.</w:t>
      </w:r>
    </w:p>
    <w:p>
      <w:pPr>
        <w:spacing w:after="0" w:line="9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2012 Plan may either be incentive stock options, which are intended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Section 422 of the Code, or non-qualified stock options, which are not intended to meet those requirements. Incentive stock options may be granted to employees of Vringo and its affiliates. Non-qualified options may be granted to employees, directors and consultants of Vringo and its affiliates. The exercise price of a stock option may not be less than 100% of the fair market value of Vringo common stock on the date of grant. If an incentive stock option is granted to an individual who owns more than 10% of the combined voting power of all classes of the Vringo capital stock, the exercise price may not be less than 110% of the fair market value of Vringo common stock on the date of grant and the term of the option may not be longer than five years.</w:t>
      </w:r>
    </w:p>
    <w:p>
      <w:pPr>
        <w:spacing w:after="0" w:line="90"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w:t>
      </w:r>
    </w:p>
    <w:p>
      <w:pPr>
        <w:spacing w:after="0" w:line="200" w:lineRule="exact"/>
        <w:rPr>
          <w:sz w:val="20"/>
          <w:szCs w:val="20"/>
          <w:color w:val="auto"/>
        </w:rPr>
      </w:pPr>
    </w:p>
    <w:p>
      <w:pPr>
        <w:spacing w:after="0" w:line="2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309"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is common stock that is subject to restrictions, including a prohibition against transfer and a</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risk of forfeiture, until the end of a “restricted period” during which the grantee must satisfy certain vesting conditions. If the grantee does not satisfy the vesting conditions by the end of the restricted period, the restricted stock is forfeited.</w:t>
      </w:r>
    </w:p>
    <w:p>
      <w:pPr>
        <w:spacing w:after="0" w:line="42"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5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The 2012 Plan also authorizes the grant of other types of stock-based compensation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stock appreciation rights, phantom stock awards, and stock unit awards.</w:t>
      </w:r>
    </w:p>
    <w:p>
      <w:pPr>
        <w:spacing w:after="0" w:line="60" w:lineRule="exact"/>
        <w:rPr>
          <w:sz w:val="20"/>
          <w:szCs w:val="20"/>
          <w:color w:val="auto"/>
        </w:rPr>
      </w:pPr>
    </w:p>
    <w:p>
      <w:pPr>
        <w:jc w:val="both"/>
        <w:ind w:left="40" w:right="619" w:firstLine="267"/>
        <w:spacing w:after="0" w:line="273" w:lineRule="auto"/>
        <w:rPr>
          <w:sz w:val="20"/>
          <w:szCs w:val="20"/>
          <w:color w:val="auto"/>
        </w:rPr>
      </w:pPr>
      <w:r>
        <w:rPr>
          <w:rFonts w:ascii="Arial" w:cs="Arial" w:eastAsia="Arial" w:hAnsi="Arial"/>
          <w:sz w:val="17"/>
          <w:szCs w:val="17"/>
          <w:b w:val="1"/>
          <w:bCs w:val="1"/>
          <w:color w:val="auto"/>
        </w:rPr>
        <w:t xml:space="preserve">Plan Administration. </w:t>
      </w:r>
      <w:r>
        <w:rPr>
          <w:rFonts w:ascii="Arial" w:cs="Arial" w:eastAsia="Arial" w:hAnsi="Arial"/>
          <w:sz w:val="17"/>
          <w:szCs w:val="17"/>
          <w:color w:val="auto"/>
        </w:rPr>
        <w:t>In accordance with the terms of the 2012 Plan, the Vringo board of directors has authorized its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to administer the 2012 Plan. The Compensation Committee may delegate part of its authority and powers under the 2012 Plan to one or more of Vringo’s directors and/or officers, but only the Compensation Committee can make awards to participants who are directors or executive officers of Vringo. In accordance with the provisions of the 2012 Plan, the Compensation Committee determines the terms of awards, including:</w:t>
      </w:r>
    </w:p>
    <w:p>
      <w:pPr>
        <w:spacing w:after="0" w:line="68" w:lineRule="exact"/>
        <w:rPr>
          <w:sz w:val="20"/>
          <w:szCs w:val="20"/>
          <w:color w:val="auto"/>
        </w:rPr>
      </w:pPr>
    </w:p>
    <w:p>
      <w:pPr>
        <w:ind w:left="600" w:hanging="328"/>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which employees, directors and consultants will be granted awards;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number of shares subject to each award;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vesting provisions of each award;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awards;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2012 Plan.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the Compensation Committee may, in its discretion, amend any term or condition of an outstanding award provided</w:t>
      </w:r>
    </w:p>
    <w:p>
      <w:pPr>
        <w:spacing w:after="0" w:line="43" w:lineRule="exact"/>
        <w:rPr>
          <w:sz w:val="20"/>
          <w:szCs w:val="20"/>
          <w:color w:val="auto"/>
        </w:rPr>
      </w:pPr>
    </w:p>
    <w:p>
      <w:pPr>
        <w:jc w:val="both"/>
        <w:ind w:left="40" w:right="619" w:firstLine="5"/>
        <w:spacing w:after="0" w:line="250" w:lineRule="auto"/>
        <w:tabs>
          <w:tab w:leader="none" w:pos="2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term or condition as amended is permitted by the 2012 Plan, and (ii) any such amendment shall be made only with the consent of the participant to whom such award was made, if the amendment is adverse to the participant; and provided, further, that, without the prior approval of our stockholders, options and stock appreciation rights will not be repriced, replaced or regranted through cancellation or by lowering the exercise price of a previously granted award.</w:t>
      </w:r>
    </w:p>
    <w:p>
      <w:pPr>
        <w:spacing w:after="0" w:line="83" w:lineRule="exact"/>
        <w:rPr>
          <w:sz w:val="20"/>
          <w:szCs w:val="20"/>
          <w:color w:val="auto"/>
        </w:rPr>
      </w:pPr>
    </w:p>
    <w:p>
      <w:pPr>
        <w:jc w:val="both"/>
        <w:ind w:left="40" w:right="639" w:firstLine="267"/>
        <w:spacing w:after="0" w:line="299" w:lineRule="auto"/>
        <w:rPr>
          <w:sz w:val="20"/>
          <w:szCs w:val="20"/>
          <w:color w:val="auto"/>
        </w:rPr>
      </w:pPr>
      <w:r>
        <w:rPr>
          <w:rFonts w:ascii="Arial" w:cs="Arial" w:eastAsia="Arial" w:hAnsi="Arial"/>
          <w:sz w:val="16"/>
          <w:szCs w:val="16"/>
          <w:b w:val="1"/>
          <w:bCs w:val="1"/>
          <w:color w:val="auto"/>
        </w:rPr>
        <w:t xml:space="preserve">Stock Dividends and Stock Splits. </w:t>
      </w:r>
      <w:r>
        <w:rPr>
          <w:rFonts w:ascii="Arial" w:cs="Arial" w:eastAsia="Arial" w:hAnsi="Arial"/>
          <w:sz w:val="16"/>
          <w:szCs w:val="16"/>
          <w:color w:val="auto"/>
        </w:rPr>
        <w:t>If Vringo common stock shall be subdivided or combined into a greater or smaller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or if we issue any shares of common stock as a stock dividend, the number of shares of Vringo common stock deliverable upon exercise of an option issued or upon issuance of an award shall be appropriately increased or decreased proportionately, and appropriate adjustments shall be made in the purchase price per share to reflect such subdivision, combination or stock dividend.</w:t>
      </w:r>
    </w:p>
    <w:p>
      <w:pPr>
        <w:spacing w:after="0" w:line="45" w:lineRule="exact"/>
        <w:rPr>
          <w:sz w:val="20"/>
          <w:szCs w:val="20"/>
          <w:color w:val="auto"/>
        </w:rPr>
      </w:pPr>
    </w:p>
    <w:p>
      <w:pPr>
        <w:jc w:val="both"/>
        <w:ind w:left="40" w:right="639" w:firstLine="267"/>
        <w:spacing w:after="0" w:line="305" w:lineRule="auto"/>
        <w:rPr>
          <w:sz w:val="20"/>
          <w:szCs w:val="20"/>
          <w:color w:val="auto"/>
        </w:rPr>
      </w:pPr>
      <w:r>
        <w:rPr>
          <w:rFonts w:ascii="Arial" w:cs="Arial" w:eastAsia="Arial" w:hAnsi="Arial"/>
          <w:sz w:val="17"/>
          <w:szCs w:val="17"/>
          <w:b w:val="1"/>
          <w:bCs w:val="1"/>
          <w:color w:val="auto"/>
        </w:rPr>
        <w:t xml:space="preserve">Corporate Transactions. </w:t>
      </w:r>
      <w:r>
        <w:rPr>
          <w:rFonts w:ascii="Arial" w:cs="Arial" w:eastAsia="Arial" w:hAnsi="Arial"/>
          <w:sz w:val="17"/>
          <w:szCs w:val="17"/>
          <w:color w:val="auto"/>
        </w:rPr>
        <w:t>Upon a merger or other reorganization event, the Vringo board of directors, may,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take any one or more of the following actions pursuant to the 2012 Plan, as to some or all outstanding awards:</w:t>
      </w:r>
    </w:p>
    <w:p>
      <w:pPr>
        <w:spacing w:after="0" w:line="42" w:lineRule="exact"/>
        <w:rPr>
          <w:sz w:val="20"/>
          <w:szCs w:val="20"/>
          <w:color w:val="auto"/>
        </w:rPr>
      </w:pPr>
    </w:p>
    <w:p>
      <w:pPr>
        <w:ind w:left="600" w:hanging="328"/>
        <w:spacing w:after="0"/>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that all outstanding options shall be assumed or substituted by the successor corporation;</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will terminate immediately prior to the consummation of such transaction unless exercised by the participant;</w:t>
      </w:r>
    </w:p>
    <w:p>
      <w:pPr>
        <w:spacing w:after="0" w:line="68" w:lineRule="exact"/>
        <w:rPr>
          <w:rFonts w:ascii="Arial" w:cs="Arial" w:eastAsia="Arial" w:hAnsi="Arial"/>
          <w:sz w:val="18"/>
          <w:szCs w:val="18"/>
          <w:color w:val="auto"/>
        </w:rPr>
      </w:pPr>
    </w:p>
    <w:p>
      <w:pPr>
        <w:jc w:val="both"/>
        <w:ind w:left="600" w:right="619" w:hanging="328"/>
        <w:spacing w:after="0" w:line="275" w:lineRule="auto"/>
        <w:tabs>
          <w:tab w:leader="none" w:pos="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the event of a merger pursuant to which holders of Vringo common stock will receive a cash payment for each share surrendered in the merger, make or provide for a cash payment to the participants equal to the difference between the merger price times the number of shares of Vringo common stock subject to such outstanding options, and the aggregate exercise price of all such outstanding options, in exchange for the termination of such options;</w:t>
      </w:r>
    </w:p>
    <w:p>
      <w:pPr>
        <w:spacing w:after="0" w:line="66" w:lineRule="exact"/>
        <w:rPr>
          <w:rFonts w:ascii="Arial" w:cs="Arial" w:eastAsia="Arial" w:hAnsi="Arial"/>
          <w:sz w:val="17"/>
          <w:szCs w:val="17"/>
          <w:color w:val="auto"/>
        </w:rPr>
      </w:pPr>
    </w:p>
    <w:p>
      <w:pPr>
        <w:jc w:val="both"/>
        <w:ind w:left="600" w:right="619" w:hanging="328"/>
        <w:spacing w:after="0" w:line="259" w:lineRule="auto"/>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that outstanding awards shall be assumed or substituted by the successor corporation, become realizable or deliverable, or restrictions applicable to an award will lapse, in whole or in part, prior to or upon the merger or reorganization event.</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2012 Plan may be amended by Vringo stockholders. It may also be amended by the Vringo</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provided that any amendment approved by the Vringo board of directors which is of a scope that requires stockholder approval as required by the rules of the NYSE Amex, in order to ensure favorable federal income tax treatment for any incentive stock options under Code Section 422, or for any other reason is subject to obtaining such stockholder approval. In addition, if the NYSE Amex amends its corporate governance rules so that such rules no longer require stockholder approval of “material amendments” of equity compensation plans, then, from and after the effective date of such an amendment to the NYSE Amex rules, no amendment of the 2012 Plan which (i) materially increases the number of shares to be issued under the 2012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 (c) extend the duration of the 2012 Plan; (iii) materially expands the class of participants eligible to participate in the 2012 Plan; or (iv) expands the types of awards provided under the 2012 Plan shall become effective unless stockholder approval is obtained. The 2012 Plan expires on __________.</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18" w:lineRule="exact"/>
        <w:rPr>
          <w:sz w:val="20"/>
          <w:szCs w:val="20"/>
          <w:color w:val="auto"/>
        </w:rPr>
      </w:pPr>
    </w:p>
    <w:p>
      <w:pPr>
        <w:jc w:val="both"/>
        <w:ind w:left="40" w:right="639" w:firstLine="267"/>
        <w:spacing w:after="0" w:line="266" w:lineRule="auto"/>
        <w:rPr>
          <w:sz w:val="20"/>
          <w:szCs w:val="20"/>
          <w:color w:val="auto"/>
        </w:rPr>
      </w:pPr>
      <w:r>
        <w:rPr>
          <w:rFonts w:ascii="Arial" w:cs="Arial" w:eastAsia="Arial" w:hAnsi="Arial"/>
          <w:sz w:val="17"/>
          <w:szCs w:val="17"/>
          <w:color w:val="auto"/>
        </w:rPr>
        <w:t>The material federal income tax consequences of the issuance and exercise of stock options and other awards under the 2012 Plan, based on the current provisions of the Code and regulations, are as follows. Changes to these laws could alter the tax consequences described below. This summary assumes that all awards granted under the 2012 Plan are exempt from or comply with, the rules under Section 409A of the Code related to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-73660</wp:posOffset>
            </wp:positionV>
            <wp:extent cx="51263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2620" w:right="1959" w:hanging="2619"/>
        <w:spacing w:after="0" w:line="280" w:lineRule="auto"/>
        <w:tabs>
          <w:tab w:leader="none" w:pos="2600" w:val="left"/>
        </w:tabs>
        <w:rPr>
          <w:sz w:val="20"/>
          <w:szCs w:val="20"/>
          <w:color w:val="auto"/>
        </w:rPr>
      </w:pPr>
      <w:r>
        <w:rPr>
          <w:rFonts w:ascii="Arial" w:cs="Arial" w:eastAsia="Arial" w:hAnsi="Arial"/>
          <w:sz w:val="18"/>
          <w:szCs w:val="18"/>
          <w:b w:val="1"/>
          <w:bCs w:val="1"/>
          <w:color w:val="auto"/>
        </w:rPr>
        <w:t>Incentive Stock Options:</w:t>
      </w:r>
      <w:r>
        <w:rPr>
          <w:sz w:val="20"/>
          <w:szCs w:val="20"/>
          <w:color w:val="auto"/>
        </w:rPr>
        <w:tab/>
      </w:r>
      <w:r>
        <w:rPr>
          <w:rFonts w:ascii="Arial" w:cs="Arial" w:eastAsia="Arial" w:hAnsi="Arial"/>
          <w:sz w:val="16"/>
          <w:szCs w:val="16"/>
          <w:color w:val="auto"/>
        </w:rPr>
        <w:t>Incentive stock options are intended to qualify for treatment under Section 422 of the Code. An incentive stock option does not result in taxable income to the optionee or deduction to Vringo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w:t>
      </w:r>
      <w:r>
        <w:rPr>
          <w:rFonts w:ascii="Arial" w:cs="Arial" w:eastAsia="Arial" w:hAnsi="Arial"/>
          <w:sz w:val="16"/>
          <w:szCs w:val="16"/>
          <w:b w:val="1"/>
          <w:bCs w:val="1"/>
          <w:color w:val="auto"/>
        </w:rPr>
        <w:t>ISO holding period</w:t>
      </w:r>
      <w:r>
        <w:rPr>
          <w:rFonts w:ascii="Arial" w:cs="Arial" w:eastAsia="Arial" w:hAnsi="Arial"/>
          <w:sz w:val="16"/>
          <w:szCs w:val="16"/>
          <w:color w:val="auto"/>
        </w:rPr>
        <w:t>”).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Vringo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15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TABLE OF CONTENTS</w:t>
            </w:r>
          </w:p>
        </w:tc>
        <w:tc>
          <w:tcPr>
            <w:tcW w:w="68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Non-Qualified Options:</w:t>
            </w:r>
          </w:p>
        </w:tc>
        <w:tc>
          <w:tcPr>
            <w:tcW w:w="8120" w:type="dxa"/>
            <w:vAlign w:val="bottom"/>
          </w:tcPr>
          <w:p>
            <w:pPr>
              <w:ind w:left="420"/>
              <w:spacing w:after="0"/>
              <w:rPr>
                <w:sz w:val="20"/>
                <w:szCs w:val="20"/>
                <w:color w:val="auto"/>
              </w:rPr>
            </w:pPr>
            <w:r>
              <w:rPr>
                <w:rFonts w:ascii="Arial" w:cs="Arial" w:eastAsia="Arial" w:hAnsi="Arial"/>
                <w:sz w:val="18"/>
                <w:szCs w:val="18"/>
                <w:color w:val="auto"/>
              </w:rPr>
              <w:t>Options otherwise qualifying as incentive stock options, to the extent the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aggregate fair market value of shares with respect to which such options are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first exercisable by an individual in any calendar year exceeds $100,000, and</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options designated as non-qualified options will be treated as options that are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not incentive stock options.</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 non-qualified option ordinarily will not result in income to the optionee or</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deduction to Vringo at the time of grant. The optionee will recognize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compensation income at the time of exercise of such non-qualified option in</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an amount equal to the excess of the then value of the shares over the option</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price per share. Such compensation income of optionees may be subject to</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withholding taxes, and a deduction may then be allowable to Vringo in an</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amount equal to the optionee’s compensation income.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An optionee’s initial basis in shares so acquired will be the amount paid on</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exercise of the non-qualified option plus the amount of any corresponding</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compensation income. Any gain or loss as a result of a subsequent</w:t>
            </w:r>
          </w:p>
        </w:tc>
        <w:tc>
          <w:tcPr>
            <w:tcW w:w="0" w:type="dxa"/>
            <w:vAlign w:val="bottom"/>
          </w:tcPr>
          <w:p>
            <w:pPr>
              <w:spacing w:after="0"/>
              <w:rPr>
                <w:sz w:val="1"/>
                <w:szCs w:val="1"/>
                <w:color w:val="auto"/>
              </w:rPr>
            </w:pPr>
          </w:p>
        </w:tc>
      </w:tr>
      <w:tr>
        <w:trPr>
          <w:trHeight w:val="214"/>
        </w:trPr>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Grants:</w:t>
            </w:r>
          </w:p>
        </w:tc>
        <w:tc>
          <w:tcPr>
            <w:tcW w:w="8120" w:type="dxa"/>
            <w:vAlign w:val="bottom"/>
          </w:tcPr>
          <w:p>
            <w:pPr>
              <w:ind w:left="420"/>
              <w:spacing w:after="0"/>
              <w:rPr>
                <w:sz w:val="20"/>
                <w:szCs w:val="20"/>
                <w:color w:val="auto"/>
              </w:rPr>
            </w:pPr>
            <w:r>
              <w:rPr>
                <w:rFonts w:ascii="Arial" w:cs="Arial" w:eastAsia="Arial" w:hAnsi="Arial"/>
                <w:sz w:val="18"/>
                <w:szCs w:val="18"/>
                <w:color w:val="auto"/>
              </w:rPr>
              <w:t>disposition of the shares so acquired will be capital gain or loss.</w:t>
            </w:r>
          </w:p>
        </w:tc>
        <w:tc>
          <w:tcPr>
            <w:tcW w:w="0" w:type="dxa"/>
            <w:vAlign w:val="bottom"/>
          </w:tcPr>
          <w:p>
            <w:pPr>
              <w:spacing w:after="0"/>
              <w:rPr>
                <w:sz w:val="1"/>
                <w:szCs w:val="1"/>
                <w:color w:val="auto"/>
              </w:rPr>
            </w:pPr>
          </w:p>
        </w:tc>
      </w:tr>
      <w:tr>
        <w:trPr>
          <w:trHeight w:val="214"/>
        </w:trPr>
        <w:tc>
          <w:tcPr>
            <w:tcW w:w="2200" w:type="dxa"/>
            <w:vAlign w:val="bottom"/>
            <w:gridSpan w:val="3"/>
            <w:vMerge w:val="continue"/>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With respect to stock grants under the 2012 Plan that result in the issuance of</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shares that are either not restricted as to transferability or not subject to a</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substantial risk of forfeiture, the grantee must generally recognize ordinary</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income equal to the fair market value of shares received. Thus, deferral of</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the time of issuance will generally result in the deferral of the time the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grantee will be liable for income taxes with respect to such issuance. We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generally will be entitled to a deduction in an amount equal to the ordinary</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income recognized by the grantee.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With respect to stock grants involving the issuance of shares that are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restricted as to transferability and subject to a substantial risk of forfeiture,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the grantee must generally recognize ordinary income equal to the fair</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market value of the shares received at the first time the shares become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transferable or are not subject to a substantial risk of forfeiture, whichever</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occurs earlier. A grantee may elect to be taxed at the time of receipt of shares</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rather than upon lapse of restrictions on transferability or substantial risk of</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forfeiture, but if the grantee subsequently forfeits such shares, the grantee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would not be entitled to any tax deduction, including as a capital loss, for the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value of the shares on which he previously paid tax. The grantee must file</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such election with the Internal Revenue Service within 30 days of the receipt</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of the shares. Vringo generally will be entitled to a deduction in an amount</w:t>
            </w:r>
          </w:p>
        </w:tc>
        <w:tc>
          <w:tcPr>
            <w:tcW w:w="0" w:type="dxa"/>
            <w:vAlign w:val="bottom"/>
          </w:tcPr>
          <w:p>
            <w:pPr>
              <w:spacing w:after="0"/>
              <w:rPr>
                <w:sz w:val="1"/>
                <w:szCs w:val="1"/>
                <w:color w:val="auto"/>
              </w:rPr>
            </w:pPr>
          </w:p>
        </w:tc>
      </w:tr>
      <w:tr>
        <w:trPr>
          <w:trHeight w:val="214"/>
        </w:trPr>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Units:</w:t>
            </w:r>
          </w:p>
        </w:tc>
        <w:tc>
          <w:tcPr>
            <w:tcW w:w="8120" w:type="dxa"/>
            <w:vAlign w:val="bottom"/>
          </w:tcPr>
          <w:p>
            <w:pPr>
              <w:ind w:left="420"/>
              <w:spacing w:after="0"/>
              <w:rPr>
                <w:sz w:val="20"/>
                <w:szCs w:val="20"/>
                <w:color w:val="auto"/>
              </w:rPr>
            </w:pPr>
            <w:r>
              <w:rPr>
                <w:rFonts w:ascii="Arial" w:cs="Arial" w:eastAsia="Arial" w:hAnsi="Arial"/>
                <w:sz w:val="18"/>
                <w:szCs w:val="18"/>
                <w:color w:val="auto"/>
              </w:rPr>
              <w:t>equal to the ordinary income recognized by the grantee.</w:t>
            </w:r>
          </w:p>
        </w:tc>
        <w:tc>
          <w:tcPr>
            <w:tcW w:w="0" w:type="dxa"/>
            <w:vAlign w:val="bottom"/>
          </w:tcPr>
          <w:p>
            <w:pPr>
              <w:spacing w:after="0"/>
              <w:rPr>
                <w:sz w:val="1"/>
                <w:szCs w:val="1"/>
                <w:color w:val="auto"/>
              </w:rPr>
            </w:pPr>
          </w:p>
        </w:tc>
      </w:tr>
      <w:tr>
        <w:trPr>
          <w:trHeight w:val="214"/>
        </w:trPr>
        <w:tc>
          <w:tcPr>
            <w:tcW w:w="2200" w:type="dxa"/>
            <w:vAlign w:val="bottom"/>
            <w:gridSpan w:val="3"/>
            <w:vMerge w:val="continue"/>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The grantee recognizes no income until the issuance of the shares. At that</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time, the grantee must generally recognize ordinary income equal to the fair</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market value of the shares received. Vringo generally will be entitled to a</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deduction in an amount equal to the ordinary income recognized by the</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grantee.</w:t>
            </w:r>
          </w:p>
        </w:tc>
        <w:tc>
          <w:tcPr>
            <w:tcW w:w="0" w:type="dxa"/>
            <w:vAlign w:val="bottom"/>
          </w:tcPr>
          <w:p>
            <w:pPr>
              <w:spacing w:after="0"/>
              <w:rPr>
                <w:sz w:val="1"/>
                <w:szCs w:val="1"/>
                <w:color w:val="auto"/>
              </w:rPr>
            </w:pPr>
          </w:p>
        </w:tc>
      </w:tr>
      <w:tr>
        <w:trPr>
          <w:trHeight w:val="762"/>
        </w:trPr>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120" w:type="dxa"/>
            <w:vAlign w:val="bottom"/>
          </w:tcPr>
          <w:p>
            <w:pPr>
              <w:ind w:left="22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-45720</wp:posOffset>
            </wp:positionV>
            <wp:extent cx="33655" cy="590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-45720</wp:posOffset>
            </wp:positionV>
            <wp:extent cx="33655" cy="590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-6398895</wp:posOffset>
            </wp:positionV>
            <wp:extent cx="51263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ectPr>
          <w:pgSz w:w="11900" w:h="16838" w:orient="portrait"/>
          <w:cols w:equalWidth="0" w:num="1">
            <w:col w:w="10320"/>
          </w:cols>
          <w:pgMar w:left="380" w:top="780" w:right="119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Rules Particular to Specific Countries</w:t>
      </w:r>
    </w:p>
    <w:p>
      <w:pPr>
        <w:spacing w:after="0" w:line="11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The terms and conditions of the Plan may be amended with respect to particular types of Participant as determined by the board of directors (for example — Israeli employees) by an appendix to the Plan (the “</w:t>
      </w:r>
      <w:r>
        <w:rPr>
          <w:rFonts w:ascii="Arial" w:cs="Arial" w:eastAsia="Arial" w:hAnsi="Arial"/>
          <w:sz w:val="16"/>
          <w:szCs w:val="16"/>
          <w:b w:val="1"/>
          <w:bCs w:val="1"/>
          <w:color w:val="auto"/>
        </w:rPr>
        <w:t>Appendix</w:t>
      </w:r>
      <w:r>
        <w:rPr>
          <w:rFonts w:ascii="Arial" w:cs="Arial" w:eastAsia="Arial" w:hAnsi="Arial"/>
          <w:sz w:val="16"/>
          <w:szCs w:val="16"/>
          <w:color w:val="auto"/>
        </w:rPr>
        <w:t>”). Vringo may adopt one or more Appendices. Each Appendix shall be approved by the board of directors and as required or advisable under applicable law. The terms of an Appendix shall govern only with respect to the types of Participant specified in such Appendix. In the case that the terms and conditions set forth in an Appendix conflict with any provisions of the Plan, the provisions of the Appendix shall govern with respect to Participant that are subject to such Appendix, provided, however, that such Appendix shall not be construed to grant the Participant rights not consistent with the terms of the Plan, unless specifically provided in such Appendix.</w:t>
      </w:r>
    </w:p>
    <w:p>
      <w:pPr>
        <w:spacing w:after="0" w:line="58"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The amounts of future grants under the 2012 Plan are not determinable as awards under the 2012 Plan and will be granted at the sole discretion of the Compensation Committee, or other delegated persons and Vringo cannot determine at this time either the persons who will receive awards under the 2012 Plan or the amount or types of any such awards.</w:t>
      </w:r>
    </w:p>
    <w:p>
      <w:pPr>
        <w:spacing w:after="0" w:line="169" w:lineRule="exact"/>
        <w:rPr>
          <w:sz w:val="20"/>
          <w:szCs w:val="20"/>
          <w:color w:val="auto"/>
        </w:rPr>
      </w:pPr>
    </w:p>
    <w:p>
      <w:pPr>
        <w:ind w:left="320" w:right="1319"/>
        <w:spacing w:after="0" w:line="395" w:lineRule="auto"/>
        <w:rPr>
          <w:sz w:val="20"/>
          <w:szCs w:val="20"/>
          <w:color w:val="auto"/>
        </w:rPr>
      </w:pPr>
      <w:r>
        <w:rPr>
          <w:rFonts w:ascii="Arial" w:cs="Arial" w:eastAsia="Arial" w:hAnsi="Arial"/>
          <w:sz w:val="18"/>
          <w:szCs w:val="18"/>
          <w:color w:val="auto"/>
        </w:rPr>
        <w:t xml:space="preserve">On April 5, 2012, the closing market price per share of our common stock was $2.66, as reported by the NYSE Amex. </w:t>
      </w:r>
      <w:r>
        <w:rPr>
          <w:rFonts w:ascii="Arial" w:cs="Arial" w:eastAsia="Arial" w:hAnsi="Arial"/>
          <w:sz w:val="18"/>
          <w:szCs w:val="18"/>
          <w:b w:val="1"/>
          <w:bCs w:val="1"/>
          <w:i w:val="1"/>
          <w:iCs w:val="1"/>
          <w:color w:val="auto"/>
        </w:rPr>
        <w:t>Required Vote; Recommendation of the Vringo Board of Directors</w:t>
      </w:r>
    </w:p>
    <w:p>
      <w:pPr>
        <w:jc w:val="both"/>
        <w:ind w:left="40" w:right="619" w:firstLine="267"/>
        <w:spacing w:after="0" w:line="259" w:lineRule="auto"/>
        <w:rPr>
          <w:sz w:val="20"/>
          <w:szCs w:val="20"/>
          <w:color w:val="auto"/>
        </w:rPr>
      </w:pPr>
      <w:r>
        <w:rPr>
          <w:rFonts w:ascii="Arial" w:cs="Arial" w:eastAsia="Arial" w:hAnsi="Arial"/>
          <w:sz w:val="18"/>
          <w:szCs w:val="18"/>
          <w:color w:val="auto"/>
        </w:rPr>
        <w:t>The affirmative vote of the holders of a majority of the shares of Vringo common stock present and entitled to vote on the matter either in person or by proxy at the Vringo annual meeting is required to approve the 2012 Equity Incentive Plan. Abstentions will be counted AGAINST this proposal.</w:t>
      </w:r>
    </w:p>
    <w:p>
      <w:pPr>
        <w:spacing w:after="0" w:line="181" w:lineRule="exact"/>
        <w:rPr>
          <w:sz w:val="20"/>
          <w:szCs w:val="20"/>
          <w:color w:val="auto"/>
        </w:rPr>
      </w:pPr>
    </w:p>
    <w:p>
      <w:pPr>
        <w:jc w:val="center"/>
        <w:ind w:right="619"/>
        <w:spacing w:after="0" w:line="275" w:lineRule="auto"/>
        <w:rPr>
          <w:sz w:val="20"/>
          <w:szCs w:val="20"/>
          <w:color w:val="auto"/>
        </w:rPr>
      </w:pPr>
      <w:r>
        <w:rPr>
          <w:rFonts w:ascii="Arial" w:cs="Arial" w:eastAsia="Arial" w:hAnsi="Arial"/>
          <w:sz w:val="18"/>
          <w:szCs w:val="18"/>
          <w:b w:val="1"/>
          <w:bCs w:val="1"/>
          <w:color w:val="auto"/>
        </w:rPr>
        <w:t>THE VRINGO BOARD OF DIRECTORS RECOMMENDS A VOTE “FOR” THE APPROVAL OF THE 2012 EQUITY INCENTIVE PLAN PROPOSAL.</w:t>
      </w: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4" w:name="page125"/>
    <w:bookmarkEnd w:id="12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Proposal No. 6: Ratification of the Appointment of Vringo’s Independent Registered Public Accounting Firm</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audit committee of Vringo has appointed _______________, as Vringo’s independent registered public accounting firm for</w:t>
      </w:r>
    </w:p>
    <w:p>
      <w:pPr>
        <w:spacing w:after="0" w:line="43" w:lineRule="exact"/>
        <w:rPr>
          <w:sz w:val="20"/>
          <w:szCs w:val="20"/>
          <w:color w:val="auto"/>
        </w:rPr>
      </w:pPr>
    </w:p>
    <w:p>
      <w:pPr>
        <w:ind w:left="60" w:right="639"/>
        <w:spacing w:after="0" w:line="278" w:lineRule="auto"/>
        <w:rPr>
          <w:sz w:val="20"/>
          <w:szCs w:val="20"/>
          <w:color w:val="auto"/>
        </w:rPr>
      </w:pPr>
      <w:r>
        <w:rPr>
          <w:rFonts w:ascii="Arial" w:cs="Arial" w:eastAsia="Arial" w:hAnsi="Arial"/>
          <w:sz w:val="16"/>
          <w:szCs w:val="16"/>
          <w:color w:val="auto"/>
        </w:rPr>
        <w:t>the fiscal year ending December 31, 2012. Although this appointment does not require ratification, the Vringo board of directors has directed that the appointment of _______________ be submitted to Vringo’s stockholders for ratification due to the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significance of their appointment to Vringo. If Vringo stockholders do not ratify the appointment of _______________ the audit</w:t>
      </w:r>
    </w:p>
    <w:p>
      <w:pPr>
        <w:spacing w:after="0" w:line="30" w:lineRule="exact"/>
        <w:rPr>
          <w:sz w:val="20"/>
          <w:szCs w:val="20"/>
          <w:color w:val="auto"/>
        </w:rPr>
      </w:pPr>
    </w:p>
    <w:p>
      <w:pPr>
        <w:jc w:val="both"/>
        <w:ind w:left="60" w:right="619"/>
        <w:spacing w:after="0" w:line="251" w:lineRule="auto"/>
        <w:rPr>
          <w:sz w:val="20"/>
          <w:szCs w:val="20"/>
          <w:color w:val="auto"/>
        </w:rPr>
      </w:pPr>
      <w:r>
        <w:rPr>
          <w:rFonts w:ascii="Arial" w:cs="Arial" w:eastAsia="Arial" w:hAnsi="Arial"/>
          <w:sz w:val="18"/>
          <w:szCs w:val="18"/>
          <w:color w:val="auto"/>
        </w:rPr>
        <w:t>committee of Vringo will consider the appointment of another independent registered public accounting firm for the fiscal year ending December 31, 2013. A representative of _______________ is expected to participate via teleconference at the annual meeting of stockholders.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Fees Billed to Vringo’s Independent Registered Public Accounting Firm During Fiscal Years 2011 and 2010</w:t>
      </w:r>
    </w:p>
    <w:p>
      <w:pPr>
        <w:spacing w:after="0" w:line="114" w:lineRule="exact"/>
        <w:rPr>
          <w:sz w:val="20"/>
          <w:szCs w:val="20"/>
          <w:color w:val="auto"/>
        </w:rPr>
      </w:pPr>
    </w:p>
    <w:p>
      <w:pPr>
        <w:ind w:left="60" w:right="619" w:firstLine="267"/>
        <w:spacing w:after="0" w:line="270" w:lineRule="auto"/>
        <w:rPr>
          <w:sz w:val="20"/>
          <w:szCs w:val="20"/>
          <w:color w:val="auto"/>
        </w:rPr>
      </w:pPr>
      <w:r>
        <w:rPr>
          <w:rFonts w:ascii="Arial" w:cs="Arial" w:eastAsia="Arial" w:hAnsi="Arial"/>
          <w:sz w:val="18"/>
          <w:szCs w:val="18"/>
          <w:color w:val="auto"/>
        </w:rPr>
        <w:t>Somekh Chaikin, a member firm of KPMG International, served as Vringo’s independent registered public accounting firm for the fiscal year ended December 31, 2011.</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aggregate fees billed to Vringo for the fiscal years ended December 31, 2011 and 2010 by</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Somekh Chaikin, a member firm of KPMG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47015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5"/>
                <w:szCs w:val="15"/>
                <w:color w:val="auto"/>
              </w:rPr>
            </w:pPr>
          </w:p>
        </w:tc>
      </w:tr>
      <w:tr>
        <w:trPr>
          <w:trHeight w:val="247"/>
        </w:trPr>
        <w:tc>
          <w:tcPr>
            <w:tcW w:w="5440" w:type="dxa"/>
            <w:vAlign w:val="bottom"/>
            <w:gridSpan w:val="3"/>
            <w:shd w:val="clear" w:color="auto" w:fill="CCFFCC"/>
          </w:tcPr>
          <w:p>
            <w:pPr>
              <w:ind w:left="20"/>
              <w:spacing w:after="0" w:line="247"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172,000</w:t>
            </w:r>
          </w:p>
        </w:tc>
        <w:tc>
          <w:tcPr>
            <w:tcW w:w="60" w:type="dxa"/>
            <w:vAlign w:val="bottom"/>
            <w:shd w:val="clear" w:color="auto" w:fill="CCFFCC"/>
          </w:tcPr>
          <w:p>
            <w:pPr>
              <w:spacing w:after="0"/>
              <w:rPr>
                <w:sz w:val="21"/>
                <w:szCs w:val="21"/>
                <w:color w:val="auto"/>
              </w:rPr>
            </w:pPr>
          </w:p>
        </w:tc>
        <w:tc>
          <w:tcPr>
            <w:tcW w:w="360" w:type="dxa"/>
            <w:vAlign w:val="bottom"/>
            <w:gridSpan w:val="2"/>
            <w:shd w:val="clear" w:color="auto" w:fill="CCFFCC"/>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422,000</w:t>
            </w:r>
          </w:p>
        </w:tc>
      </w:tr>
      <w:tr>
        <w:trPr>
          <w:trHeight w:val="254"/>
        </w:trPr>
        <w:tc>
          <w:tcPr>
            <w:tcW w:w="5440" w:type="dxa"/>
            <w:vAlign w:val="bottom"/>
            <w:gridSpan w:val="3"/>
          </w:tcPr>
          <w:p>
            <w:pPr>
              <w:ind w:left="20"/>
              <w:spacing w:after="0" w:line="253" w:lineRule="exact"/>
              <w:rPr>
                <w:sz w:val="20"/>
                <w:szCs w:val="20"/>
                <w:color w:val="auto"/>
              </w:rPr>
            </w:pPr>
            <w:r>
              <w:rPr>
                <w:rFonts w:ascii="Arial" w:cs="Arial" w:eastAsia="Arial" w:hAnsi="Arial"/>
                <w:sz w:val="18"/>
                <w:szCs w:val="18"/>
                <w:color w:val="auto"/>
              </w:rPr>
              <w:t>Audit Related Fees</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44,000</w:t>
            </w: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4"/>
        </w:trPr>
        <w:tc>
          <w:tcPr>
            <w:tcW w:w="5440" w:type="dxa"/>
            <w:vAlign w:val="bottom"/>
            <w:tcBorders>
              <w:bottom w:val="single" w:sz="8" w:color="CCFFCC"/>
            </w:tcBorders>
            <w:gridSpan w:val="3"/>
            <w:shd w:val="clear" w:color="auto" w:fill="CCFFCC"/>
          </w:tcPr>
          <w:p>
            <w:pPr>
              <w:ind w:left="20"/>
              <w:spacing w:after="0" w:line="253"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6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CCFFCC"/>
            </w:tcBorders>
            <w:shd w:val="clear" w:color="auto" w:fill="CCFFCC"/>
          </w:tcPr>
          <w:p>
            <w:pPr>
              <w:spacing w:after="0"/>
              <w:rPr>
                <w:sz w:val="22"/>
                <w:szCs w:val="22"/>
                <w:color w:val="auto"/>
              </w:rPr>
            </w:pPr>
          </w:p>
        </w:tc>
      </w:tr>
      <w:tr>
        <w:trPr>
          <w:trHeight w:val="20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224,000</w:t>
            </w:r>
          </w:p>
        </w:tc>
        <w:tc>
          <w:tcPr>
            <w:tcW w:w="60" w:type="dxa"/>
            <w:vAlign w:val="bottom"/>
          </w:tcPr>
          <w:p>
            <w:pPr>
              <w:spacing w:after="0"/>
              <w:rPr>
                <w:sz w:val="18"/>
                <w:szCs w:val="18"/>
                <w:color w:val="auto"/>
              </w:rPr>
            </w:pP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424,500</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-364490</wp:posOffset>
            </wp:positionV>
            <wp:extent cx="4701540" cy="178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233" w:lineRule="exact"/>
        <w:rPr>
          <w:sz w:val="20"/>
          <w:szCs w:val="20"/>
          <w:color w:val="auto"/>
        </w:rPr>
      </w:pPr>
    </w:p>
    <w:p>
      <w:pPr>
        <w:jc w:val="both"/>
        <w:ind w:left="300" w:right="619" w:hanging="275"/>
        <w:spacing w:after="0" w:line="253" w:lineRule="auto"/>
        <w:tabs>
          <w:tab w:leader="none" w:pos="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of Vringo’s financial statements, quarterly reviews of Vringo’s financial statements, and services that are normally provided by the independent registered public accounting firm in connection with statutory and regulatory filings or engagements. In addition, fees paid in 2010, include amounts of $210,000 paid in connection with Vringo’s initial public offering and $71,000 paid as issuance cost in connection with Vringo’s initial public offering.</w:t>
      </w:r>
    </w:p>
    <w:p>
      <w:pPr>
        <w:spacing w:after="0" w:line="85" w:lineRule="exact"/>
        <w:rPr>
          <w:rFonts w:ascii="Arial" w:cs="Arial" w:eastAsia="Arial" w:hAnsi="Arial"/>
          <w:sz w:val="18"/>
          <w:szCs w:val="18"/>
          <w:color w:val="auto"/>
        </w:rPr>
      </w:pPr>
    </w:p>
    <w:p>
      <w:pPr>
        <w:ind w:left="300" w:right="619" w:hanging="275"/>
        <w:spacing w:after="0" w:line="270" w:lineRule="auto"/>
        <w:tabs>
          <w:tab w:leader="none" w:pos="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category includes audit related fees. In particular, 2011 fees include $44,000 paid in connection with merger and acquisition activities.</w:t>
      </w:r>
    </w:p>
    <w:p>
      <w:pPr>
        <w:spacing w:after="0" w:line="68" w:lineRule="exact"/>
        <w:rPr>
          <w:rFonts w:ascii="Arial" w:cs="Arial" w:eastAsia="Arial" w:hAnsi="Arial"/>
          <w:sz w:val="18"/>
          <w:szCs w:val="18"/>
          <w:color w:val="auto"/>
        </w:rPr>
      </w:pPr>
    </w:p>
    <w:p>
      <w:pPr>
        <w:ind w:left="300" w:hanging="275"/>
        <w:spacing w:after="0"/>
        <w:tabs>
          <w:tab w:leader="none" w:pos="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 fees represent the aggregate fees billed for tax compliance, tax advice, and tax planning.</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114"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Pursuant to Vringo’s charter, and consistent with SEC policies and guidelines regarding audit independence, the audit committee is responsible for the pre-approval of all audit and permissible non-audit services provided by Vringo’s principal independent accountants on a case-by-case basis. Vringo’s audit committee has established a policy regarding approval of all audit and permissible non-audit services provided by Vringo’s principal independent accountants. Vringo’s audit committee pre-approves these services by category and service. Vringo’s audit committee has preapproved all of the services provided by Vringo’s principal independent registered public accounting firms in 2011.</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60" w:right="619" w:firstLine="267"/>
        <w:spacing w:after="0" w:line="287" w:lineRule="auto"/>
        <w:rPr>
          <w:sz w:val="20"/>
          <w:szCs w:val="20"/>
          <w:color w:val="auto"/>
        </w:rPr>
      </w:pPr>
      <w:r>
        <w:rPr>
          <w:rFonts w:ascii="Arial" w:cs="Arial" w:eastAsia="Arial" w:hAnsi="Arial"/>
          <w:sz w:val="16"/>
          <w:szCs w:val="16"/>
          <w:color w:val="auto"/>
        </w:rPr>
        <w:t>The affirmative vote of the holders of a majority of the shares of Vringo common stock present and entitled to vote on the matter either in person or by proxy at the Vringo annual meeting is required to ratify the appointment of ____________________</w:t>
      </w:r>
    </w:p>
    <w:p>
      <w:pPr>
        <w:spacing w:after="0" w:line="1" w:lineRule="exact"/>
        <w:rPr>
          <w:sz w:val="20"/>
          <w:szCs w:val="20"/>
          <w:color w:val="auto"/>
        </w:rPr>
      </w:pPr>
    </w:p>
    <w:p>
      <w:pPr>
        <w:jc w:val="both"/>
        <w:ind w:left="60" w:right="639"/>
        <w:spacing w:after="0" w:line="255" w:lineRule="auto"/>
        <w:rPr>
          <w:sz w:val="20"/>
          <w:szCs w:val="20"/>
          <w:color w:val="auto"/>
        </w:rPr>
      </w:pPr>
      <w:r>
        <w:rPr>
          <w:rFonts w:ascii="Arial" w:cs="Arial" w:eastAsia="Arial" w:hAnsi="Arial"/>
          <w:sz w:val="18"/>
          <w:szCs w:val="18"/>
          <w:color w:val="auto"/>
        </w:rPr>
        <w:t>as Vringo’s independent registered public accounting firm for the fiscal year ending December 31, 2012. Abstentions will be counted AGAINST this proposal.</w:t>
      </w:r>
    </w:p>
    <w:p>
      <w:pPr>
        <w:spacing w:after="0" w:line="18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BOARD OF DIRECTORS RECOMMENDS A VOTE “FOR” THE RATIFICATION OF</w:t>
      </w:r>
    </w:p>
    <w:p>
      <w:pPr>
        <w:spacing w:after="0" w:line="24"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THE APPOINTMENT OF ____________________ AS VRINGO’S INDEPENDENT</w:t>
      </w:r>
    </w:p>
    <w:p>
      <w:pPr>
        <w:spacing w:after="0" w:line="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REGISTERED PUBLIC ACCOUNTING FIRM FOR THE</w:t>
      </w:r>
    </w:p>
    <w:p>
      <w:pPr>
        <w:spacing w:after="0" w:line="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FISCAL YEAR ENDING DECEMBER 31, 2012.</w:t>
      </w:r>
    </w:p>
    <w:p>
      <w:pPr>
        <w:spacing w:after="0" w:line="200" w:lineRule="exact"/>
        <w:rPr>
          <w:sz w:val="20"/>
          <w:szCs w:val="20"/>
          <w:color w:val="auto"/>
        </w:rPr>
      </w:pPr>
    </w:p>
    <w:p>
      <w:pPr>
        <w:spacing w:after="0" w:line="34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jc w:val="both"/>
        <w:ind w:left="40" w:right="639"/>
        <w:spacing w:after="0" w:line="275" w:lineRule="auto"/>
        <w:rPr>
          <w:sz w:val="20"/>
          <w:szCs w:val="20"/>
          <w:color w:val="auto"/>
        </w:rPr>
      </w:pPr>
      <w:r>
        <w:rPr>
          <w:rFonts w:ascii="Arial" w:cs="Arial" w:eastAsia="Arial" w:hAnsi="Arial"/>
          <w:sz w:val="18"/>
          <w:szCs w:val="18"/>
          <w:b w:val="1"/>
          <w:bCs w:val="1"/>
          <w:color w:val="auto"/>
        </w:rPr>
        <w:t>Vringo Proposal No. 7: Approval of the Adjournment of the Vringo Annual Meeting, if Necessary, to Solicit Additional Proxies if There Are Not Sufficient Votes in Favor of the Vringo Merger Proposals</w:t>
      </w:r>
    </w:p>
    <w:p>
      <w:pPr>
        <w:spacing w:after="0" w:line="6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is asking its stockholders to vote on a proposal to approve the adjournment of the Vringo annual meeting, if necessary, to solicit additional proxies if there are not sufficient votes in favor of the Vringo Merger Proposals.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either in person or by proxy at the Vringo annual meeting. A “broker non-vote” or a failure to submit a proxy or vote at the Vringo annual meeting will have no effect on the outcome of the vote for this Vringo Proposal No. 7. For purposes of the vote on this Vringo Proposal No. 6, an abstention will have the same effect as a vote “AGAINST” such proposal.</w:t>
      </w:r>
    </w:p>
    <w:p>
      <w:pPr>
        <w:spacing w:after="0" w:line="189" w:lineRule="exact"/>
        <w:rPr>
          <w:sz w:val="20"/>
          <w:szCs w:val="20"/>
          <w:color w:val="auto"/>
        </w:rPr>
      </w:pPr>
    </w:p>
    <w:p>
      <w:pPr>
        <w:jc w:val="center"/>
        <w:ind w:right="639"/>
        <w:spacing w:after="0" w:line="261" w:lineRule="auto"/>
        <w:rPr>
          <w:sz w:val="20"/>
          <w:szCs w:val="20"/>
          <w:color w:val="auto"/>
        </w:rPr>
      </w:pPr>
      <w:r>
        <w:rPr>
          <w:rFonts w:ascii="Arial" w:cs="Arial" w:eastAsia="Arial" w:hAnsi="Arial"/>
          <w:sz w:val="18"/>
          <w:szCs w:val="18"/>
          <w:b w:val="1"/>
          <w:bCs w:val="1"/>
          <w:color w:val="auto"/>
        </w:rPr>
        <w:t>THE VRINGO BOARD OF DIRECTORS RECOMMENDS A VOTE “FOR” THE ADJOURNMENT OF THE VRINGO ANNUAL MEETING, IF NECESSARY, TO SOLICIT ADDITIONAL PROXIES IF THERE ARE NOT SUFFICIENT VOTES IN FAVOR OF THE VRINGO MERGER PROPOSALS.</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VRINGO’S BUSINESS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Vringo believes that its services represent the next stage in the evolution of the mobile content and mobile social applications market. Vringo anticipates that the mobile content and service market will begin to migrate from standard audio ringtones and content to high-quality video services, with social networking capability and integration with web systems. Vringo also believes that social network information and updates will be shared regularly when friends regularly communicate by voice and by text messages.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date, Vringo has developed four different mobile video, personalization and mobile social application platforms:</w:t>
      </w:r>
    </w:p>
    <w:p>
      <w:pPr>
        <w:spacing w:after="0" w:line="110" w:lineRule="exact"/>
        <w:rPr>
          <w:sz w:val="20"/>
          <w:szCs w:val="20"/>
          <w:color w:val="auto"/>
        </w:rPr>
      </w:pPr>
    </w:p>
    <w:p>
      <w:pPr>
        <w:ind w:left="600" w:right="619" w:hanging="328"/>
        <w:spacing w:after="0" w:line="275"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Vringo’s original product platform that allows users to create, download and share mobile</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content in the form of video ringtones for mobile phones;</w:t>
      </w:r>
    </w:p>
    <w:p>
      <w:pPr>
        <w:spacing w:after="0" w:line="53" w:lineRule="exact"/>
        <w:rPr>
          <w:rFonts w:ascii="Arial" w:cs="Arial" w:eastAsia="Arial" w:hAnsi="Arial"/>
          <w:sz w:val="18"/>
          <w:szCs w:val="18"/>
          <w:color w:val="auto"/>
        </w:rPr>
      </w:pPr>
    </w:p>
    <w:p>
      <w:pPr>
        <w:ind w:left="600" w:hanging="328"/>
        <w:spacing w:after="0"/>
        <w:tabs>
          <w:tab w:leader="none" w:pos="600" w:val="left"/>
        </w:tabs>
        <w:numPr>
          <w:ilvl w:val="0"/>
          <w:numId w:val="114"/>
        </w:numPr>
        <w:rPr>
          <w:rFonts w:ascii="Arial" w:cs="Arial" w:eastAsia="Arial" w:hAnsi="Arial"/>
          <w:sz w:val="36"/>
          <w:szCs w:val="36"/>
          <w:color w:val="auto"/>
          <w:vertAlign w:val="superscript"/>
        </w:rPr>
      </w:pPr>
      <w:r>
        <w:rPr>
          <w:rFonts w:ascii="Arial" w:cs="Arial" w:eastAsia="Arial" w:hAnsi="Arial"/>
          <w:sz w:val="18"/>
          <w:szCs w:val="18"/>
          <w:b w:val="1"/>
          <w:bCs w:val="1"/>
          <w:color w:val="auto"/>
        </w:rPr>
        <w:t>Facetones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 </w:t>
      </w:r>
      <w:r>
        <w:rPr>
          <w:rFonts w:ascii="Arial" w:cs="Arial" w:eastAsia="Arial" w:hAnsi="Arial"/>
          <w:sz w:val="18"/>
          <w:szCs w:val="18"/>
          <w:color w:val="auto"/>
        </w:rPr>
        <w:t>a visual ringtone experience based on social network pictures from a user’s friends;</w:t>
      </w:r>
    </w:p>
    <w:p>
      <w:pPr>
        <w:ind w:left="600" w:right="619" w:hanging="328"/>
        <w:spacing w:after="0" w:line="252"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tablet, in partnership with music artists and brands; and</w:t>
      </w:r>
    </w:p>
    <w:p>
      <w:pPr>
        <w:spacing w:after="0" w:line="79" w:lineRule="exact"/>
        <w:rPr>
          <w:rFonts w:ascii="Arial" w:cs="Arial" w:eastAsia="Arial" w:hAnsi="Arial"/>
          <w:sz w:val="18"/>
          <w:szCs w:val="18"/>
          <w:color w:val="auto"/>
        </w:rPr>
      </w:pPr>
    </w:p>
    <w:p>
      <w:pPr>
        <w:ind w:left="600" w:right="619" w:hanging="328"/>
        <w:spacing w:after="0" w:line="275"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series and stars and vote for contestants.</w:t>
      </w:r>
    </w:p>
    <w:p>
      <w:pPr>
        <w:spacing w:after="0" w:line="6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To develop these platforms, Vringo has leveraged its existing technology, intellectual property and its extensive experience with mobile video, personalization and social applications. Vringo believes that these platforms will represent a significant component of its business going forward.</w:t>
      </w:r>
    </w:p>
    <w:p>
      <w:pPr>
        <w:spacing w:after="0" w:line="7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119" w:lineRule="exact"/>
        <w:rPr>
          <w:sz w:val="20"/>
          <w:szCs w:val="20"/>
          <w:color w:val="auto"/>
        </w:rPr>
      </w:pPr>
    </w:p>
    <w:p>
      <w:pPr>
        <w:jc w:val="center"/>
        <w:ind w:right="8339"/>
        <w:spacing w:after="0"/>
        <w:rPr>
          <w:sz w:val="20"/>
          <w:szCs w:val="20"/>
          <w:color w:val="auto"/>
        </w:rPr>
      </w:pPr>
      <w:r>
        <w:rPr>
          <w:rFonts w:ascii="Arial" w:cs="Arial" w:eastAsia="Arial" w:hAnsi="Arial"/>
          <w:sz w:val="16"/>
          <w:szCs w:val="16"/>
          <w:b w:val="1"/>
          <w:bCs w:val="1"/>
          <w:color w:val="auto"/>
        </w:rPr>
        <w:t>Recent Developments</w:t>
      </w:r>
    </w:p>
    <w:p>
      <w:pPr>
        <w:spacing w:after="0" w:line="181" w:lineRule="exact"/>
        <w:rPr>
          <w:sz w:val="20"/>
          <w:szCs w:val="20"/>
          <w:color w:val="auto"/>
        </w:rPr>
      </w:pPr>
    </w:p>
    <w:p>
      <w:pPr>
        <w:jc w:val="center"/>
        <w:ind w:right="8339"/>
        <w:spacing w:after="0"/>
        <w:rPr>
          <w:sz w:val="20"/>
          <w:szCs w:val="20"/>
          <w:color w:val="auto"/>
        </w:rPr>
      </w:pPr>
      <w:r>
        <w:rPr>
          <w:rFonts w:ascii="Arial" w:cs="Arial" w:eastAsia="Arial" w:hAnsi="Arial"/>
          <w:sz w:val="18"/>
          <w:szCs w:val="18"/>
          <w:b w:val="1"/>
          <w:bCs w:val="1"/>
          <w:i w:val="1"/>
          <w:iCs w:val="1"/>
          <w:color w:val="auto"/>
        </w:rPr>
        <w:t>Facebook, Inc.</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On February 9, 2012, Vringo entered into an agreement with Facebook, Inc. relating to the use of Vringo’s Facetones mark and domain name (the “</w:t>
      </w:r>
      <w:r>
        <w:rPr>
          <w:rFonts w:ascii="Arial" w:cs="Arial" w:eastAsia="Arial" w:hAnsi="Arial"/>
          <w:sz w:val="16"/>
          <w:szCs w:val="16"/>
          <w:b w:val="1"/>
          <w:bCs w:val="1"/>
          <w:color w:val="auto"/>
        </w:rPr>
        <w:t>Facetones Mark</w:t>
      </w:r>
      <w:r>
        <w:rPr>
          <w:rFonts w:ascii="Arial" w:cs="Arial" w:eastAsia="Arial" w:hAnsi="Arial"/>
          <w:sz w:val="16"/>
          <w:szCs w:val="16"/>
          <w:color w:val="auto"/>
        </w:rPr>
        <w:t>”). Prior to the agreement, the parties had a potential dispute regarding the Facetones Mark. By entering into the agreement, the potential dispute has been favorably resolved to the satisfaction of both parties. The agreement clarifies Vringo’s permitted use of the Facetones Mark including making certain changes to its U.S. trademark application to clarify the description of the Facetones service and agreeing to certain limitations on its use of the Facetones Mark.</w:t>
      </w: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w:t>
      </w:r>
    </w:p>
    <w:p>
      <w:pPr>
        <w:spacing w:after="0" w:line="11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Vringo’s video ringtone platform was its initial product focus since inception.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Vringo’s solution, furthermore, provides its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7" w:lineRule="exact"/>
        <w:rPr>
          <w:sz w:val="20"/>
          <w:szCs w:val="20"/>
          <w:color w:val="auto"/>
        </w:rPr>
      </w:pPr>
    </w:p>
    <w:p>
      <w:pPr>
        <w:jc w:val="both"/>
        <w:ind w:left="40" w:right="619"/>
        <w:spacing w:after="0" w:line="221" w:lineRule="auto"/>
        <w:rPr>
          <w:sz w:val="20"/>
          <w:szCs w:val="20"/>
          <w:color w:val="auto"/>
        </w:rPr>
      </w:pPr>
      <w:r>
        <w:rPr>
          <w:rFonts w:ascii="Arial" w:cs="Arial" w:eastAsia="Arial" w:hAnsi="Arial"/>
          <w:sz w:val="18"/>
          <w:szCs w:val="18"/>
          <w:color w:val="auto"/>
        </w:rPr>
        <w:t>carriers and other partners to include their own content and deliver it exclusively to their customers. Vringo’s VringForward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video ringtone technology allows users to enjoy a rich social experience by sharing video ringtones from its library or which they created.</w:t>
      </w:r>
    </w:p>
    <w:p>
      <w:pPr>
        <w:spacing w:after="0" w:line="97" w:lineRule="exact"/>
        <w:rPr>
          <w:sz w:val="20"/>
          <w:szCs w:val="20"/>
          <w:color w:val="auto"/>
        </w:rPr>
      </w:pPr>
    </w:p>
    <w:p>
      <w:pPr>
        <w:jc w:val="both"/>
        <w:ind w:left="40" w:right="639" w:firstLine="267"/>
        <w:spacing w:after="0" w:line="268" w:lineRule="auto"/>
        <w:rPr>
          <w:sz w:val="20"/>
          <w:szCs w:val="20"/>
          <w:color w:val="auto"/>
        </w:rPr>
      </w:pPr>
      <w:r>
        <w:rPr>
          <w:rFonts w:ascii="Arial" w:cs="Arial" w:eastAsia="Arial" w:hAnsi="Arial"/>
          <w:sz w:val="17"/>
          <w:szCs w:val="17"/>
          <w:color w:val="auto"/>
        </w:rPr>
        <w:t>Until the end of 2009, Vringo’s video ringtone service was offered to consumers for free. At that point, Vringo moved to a paid service model together with mobile carriers and other partners around the world. The revenue model for its video ringtone service offered through the carriers is generally a subscription-based model where users pay a monthly fee for access to Vringo’s service and additional fees for premium content. Vringo’s free version is still available in markets where Vringo has not entered into commercial arrangements with carriers or other partners. Vringo has built its video ringtone platform with a flexible back-end and front-end that is easy to integrate with the back-end systems of mobile carriers and easy to co-brand with mobile carriers. To date, Vringo has filed 24 patent applications for its platform, three of which have been issued to date, and Vringo continues to create new intellectual property.</w:t>
      </w:r>
    </w:p>
    <w:p>
      <w:pPr>
        <w:spacing w:after="0" w:line="71"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As of March 27, 2012, Vringo has commercial video ringtone services with the following eight partners (for additional information, please refer to Note 12 to the consolidated financial statements of Vringo):</w:t>
      </w:r>
    </w:p>
    <w:p>
      <w:pPr>
        <w:spacing w:after="0" w:line="69" w:lineRule="exact"/>
        <w:rPr>
          <w:sz w:val="20"/>
          <w:szCs w:val="20"/>
          <w:color w:val="auto"/>
        </w:rPr>
      </w:pPr>
    </w:p>
    <w:p>
      <w:pPr>
        <w:jc w:val="both"/>
        <w:ind w:left="600" w:right="619" w:hanging="328"/>
        <w:spacing w:after="0" w:line="253" w:lineRule="auto"/>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Celcom AxiataBerhad, or Celcom, a mobile carrier in Malaysia, with 11.0 million subscribers. Celcom is one of the largest mobile telecommunications operators in Malaysia with the widest national 2G and 3G coverage in the country, with 23,000 subscribers to Vringo’s paid service. Celcom is a Vodafone partner and is part of the Axiata Group of Companies, one of the world’s largest telecommunications companies with more than 160 million customers across 10 Asian markets (launched in October 2011);</w:t>
      </w:r>
    </w:p>
    <w:p>
      <w:pPr>
        <w:spacing w:after="0" w:line="85"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133,000 subscribers to Vringo’s paid service and an additional 7,000 subscribers on a free trial basis (launched in September 2009);</w:t>
      </w:r>
    </w:p>
    <w:p>
      <w:pPr>
        <w:spacing w:after="0" w:line="78" w:lineRule="exact"/>
        <w:rPr>
          <w:rFonts w:ascii="Arial" w:cs="Arial" w:eastAsia="Arial" w:hAnsi="Arial"/>
          <w:sz w:val="18"/>
          <w:szCs w:val="18"/>
          <w:color w:val="auto"/>
        </w:rPr>
      </w:pPr>
    </w:p>
    <w:p>
      <w:pPr>
        <w:jc w:val="both"/>
        <w:ind w:left="600" w:right="639" w:hanging="328"/>
        <w:spacing w:after="0" w:line="259" w:lineRule="auto"/>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and which has more than 94.0 million subscribers worldwide, where Vringo has launched its products and services and has 23,000 subscribers to Vringo’s paid service, (launched in January 2010);</w:t>
      </w:r>
    </w:p>
    <w:p>
      <w:pPr>
        <w:spacing w:after="0" w:line="78" w:lineRule="exact"/>
        <w:rPr>
          <w:rFonts w:ascii="Arial" w:cs="Arial" w:eastAsia="Arial" w:hAnsi="Arial"/>
          <w:sz w:val="18"/>
          <w:szCs w:val="18"/>
          <w:color w:val="auto"/>
        </w:rPr>
      </w:pPr>
    </w:p>
    <w:p>
      <w:pPr>
        <w:jc w:val="both"/>
        <w:ind w:left="600" w:right="619" w:hanging="328"/>
        <w:spacing w:after="0" w:line="306" w:lineRule="auto"/>
        <w:tabs>
          <w:tab w:leader="none" w:pos="6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Everything Everywhere Limited (EEL), a mobile carrier with almost 30.0 million subscribers in the United Kingdom. Vringo’s video ringtone platform launched was with Orange UK, a large mobile communications company and subsidiary of EEL, with 16.0 million subscribers and Vringo has 30,000 subscribers to its paid service (launched in February 2011);</w:t>
      </w:r>
    </w:p>
    <w:p>
      <w:pPr>
        <w:spacing w:after="0" w:line="44" w:lineRule="exact"/>
        <w:rPr>
          <w:rFonts w:ascii="Arial" w:cs="Arial" w:eastAsia="Arial" w:hAnsi="Arial"/>
          <w:sz w:val="16"/>
          <w:szCs w:val="16"/>
          <w:color w:val="auto"/>
        </w:rPr>
      </w:pPr>
    </w:p>
    <w:p>
      <w:pPr>
        <w:ind w:left="600" w:right="639" w:hanging="328"/>
        <w:spacing w:after="0" w:line="270" w:lineRule="auto"/>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Starhub, a mobile carrier with 2.0 million subscribers in Singapore (initially launched in February 2011 and re-launched in the first quarter 2012);</w:t>
      </w:r>
    </w:p>
    <w:p>
      <w:pPr>
        <w:spacing w:after="0" w:line="68" w:lineRule="exact"/>
        <w:rPr>
          <w:rFonts w:ascii="Arial" w:cs="Arial" w:eastAsia="Arial" w:hAnsi="Arial"/>
          <w:sz w:val="18"/>
          <w:szCs w:val="18"/>
          <w:color w:val="auto"/>
        </w:rPr>
      </w:pPr>
    </w:p>
    <w:p>
      <w:pPr>
        <w:jc w:val="both"/>
        <w:ind w:left="600" w:right="639" w:hanging="328"/>
        <w:spacing w:after="0" w:line="281" w:lineRule="auto"/>
        <w:tabs>
          <w:tab w:leader="none" w:pos="6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RTL in Belgium, part of the Bertelsman RTL Television network, has offered together with Vringo, a subscription service on all three Belgian mobile operators (with a combined subscriber base of 1 million) that includes RTL content (launched in June 2010 with limited subscribers due to regulatory limitations introduced on mobile services);</w:t>
      </w: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39" w:hanging="328"/>
        <w:spacing w:after="0" w:line="306" w:lineRule="auto"/>
        <w:tabs>
          <w:tab w:leader="none" w:pos="6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Hungama, a content and mobile services aggregator in India. The service with Hungama is being offered to customers of 15 different mobile carriers in India. Vringo’s paid service was on temporary hold as a result of regional legalities in India, however, Vringo on March 22, 2012 re-launched the service in partnership with Hungama and Tata DOCOMO; and</w:t>
      </w:r>
    </w:p>
    <w:p>
      <w:pPr>
        <w:spacing w:after="0" w:line="44" w:lineRule="exact"/>
        <w:rPr>
          <w:rFonts w:ascii="Arial" w:cs="Arial" w:eastAsia="Arial" w:hAnsi="Arial"/>
          <w:sz w:val="16"/>
          <w:szCs w:val="16"/>
          <w:color w:val="auto"/>
        </w:rPr>
      </w:pPr>
    </w:p>
    <w:p>
      <w:pPr>
        <w:ind w:left="600" w:right="639" w:hanging="328"/>
        <w:spacing w:after="0" w:line="270" w:lineRule="auto"/>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Emirates Integrated Telecommunications Company (du Networks), a mobile carrier with 5.0 million subscribers in the United Arab Emirates, where Vringo has launched its products and services in February 2012.</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is currently in discussions with several other mobile carriers and it will be pursuing additional agreements with mobile carriers over the next 12 to 24 months.</w:t>
      </w:r>
    </w:p>
    <w:p>
      <w:pPr>
        <w:spacing w:after="0" w:line="69"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According to a recent study by the United Nations, there were five billion global mobile subscribers in 2010. As of March 27, 2012, Vringo’s partners have an aggregate of approximately 700 million subscribers, of which 260,000 are paid subscribers to Vringo’s service, and another 16,000 subscribers have enrolled on a free-trial basis. This compares to 150,000 paid subscribers across all of Vringo’s launches as of December 31, 2010, an increase of over 41%.</w:t>
      </w:r>
    </w:p>
    <w:p>
      <w:pPr>
        <w:spacing w:after="0" w:line="9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6"/>
          <w:szCs w:val="16"/>
          <w:color w:val="auto"/>
        </w:rPr>
        <w:t>Vringo’s new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visually displayed.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 is available for devices running Android, iOS, and Nokia’s Symbian S3. Vringo is</w:t>
      </w:r>
    </w:p>
    <w:p>
      <w:pPr>
        <w:jc w:val="both"/>
        <w:ind w:left="40" w:right="639"/>
        <w:spacing w:after="0" w:line="206" w:lineRule="auto"/>
        <w:rPr>
          <w:sz w:val="20"/>
          <w:szCs w:val="20"/>
          <w:color w:val="auto"/>
        </w:rPr>
      </w:pPr>
      <w:r>
        <w:rPr>
          <w:rFonts w:ascii="Arial" w:cs="Arial" w:eastAsia="Arial" w:hAnsi="Arial"/>
          <w:sz w:val="18"/>
          <w:szCs w:val="18"/>
          <w:color w:val="auto"/>
        </w:rPr>
        <w:t>planning to release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for other operating systems such as Windows Phone and feature phones such as the S40 Nokia platform.</w:t>
      </w:r>
    </w:p>
    <w:p>
      <w:pPr>
        <w:spacing w:after="0" w:line="126" w:lineRule="exact"/>
        <w:rPr>
          <w:sz w:val="20"/>
          <w:szCs w:val="20"/>
          <w:color w:val="auto"/>
        </w:rPr>
      </w:pPr>
    </w:p>
    <w:p>
      <w:pPr>
        <w:jc w:val="both"/>
        <w:ind w:left="40" w:right="619" w:firstLine="267"/>
        <w:spacing w:after="0" w:line="221" w:lineRule="auto"/>
        <w:rPr>
          <w:sz w:val="20"/>
          <w:szCs w:val="20"/>
          <w:color w:val="auto"/>
        </w:rPr>
      </w:pPr>
      <w:r>
        <w:rPr>
          <w:rFonts w:ascii="Arial" w:cs="Arial" w:eastAsia="Arial" w:hAnsi="Arial"/>
          <w:sz w:val="17"/>
          <w:szCs w:val="17"/>
          <w:color w:val="auto"/>
        </w:rPr>
        <w:t>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is experiencing fast growth both in consumer downloads and in the number of commercial deals with major partners already announced. The product is being made available to consumers in several different configurations and with a</w:t>
      </w:r>
    </w:p>
    <w:p>
      <w:pPr>
        <w:spacing w:after="0" w:line="18" w:lineRule="exact"/>
        <w:rPr>
          <w:sz w:val="20"/>
          <w:szCs w:val="20"/>
          <w:color w:val="auto"/>
        </w:rPr>
      </w:pPr>
    </w:p>
    <w:p>
      <w:pPr>
        <w:jc w:val="both"/>
        <w:ind w:left="40" w:right="639"/>
        <w:spacing w:after="0" w:line="221" w:lineRule="auto"/>
        <w:rPr>
          <w:sz w:val="20"/>
          <w:szCs w:val="20"/>
          <w:color w:val="auto"/>
        </w:rPr>
      </w:pPr>
      <w:r>
        <w:rPr>
          <w:rFonts w:ascii="Arial" w:cs="Arial" w:eastAsia="Arial" w:hAnsi="Arial"/>
          <w:sz w:val="17"/>
          <w:szCs w:val="17"/>
          <w:color w:val="auto"/>
        </w:rPr>
        <w:t>variety of distribution and monetization methods. As of March 27, 2012, the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free ad-supported version had more than a million downloads and is generating more than 3.7 million requests in mobile ad inventory on a weekly basis.</w:t>
      </w:r>
    </w:p>
    <w:p>
      <w:pPr>
        <w:spacing w:after="0" w:line="12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offered directly to consumers via leading mobile application stores and download sites where both for purchase versions (at prices ranging from $1 to $5), as well as ad-supported free versions are available. Facetones is available in application stores integrated into popular handsets such as the Google Android Market and Apple App Store. Vringo has announced placement deals for the app with GetJar, the world’s largest independent app store, Mobango and AppBrain. In July 2011, Vringo launched</w:t>
      </w:r>
    </w:p>
    <w:p>
      <w:pPr>
        <w:spacing w:after="0" w:line="4" w:lineRule="exact"/>
        <w:rPr>
          <w:sz w:val="20"/>
          <w:szCs w:val="20"/>
          <w:color w:val="auto"/>
        </w:rPr>
      </w:pPr>
    </w:p>
    <w:p>
      <w:pPr>
        <w:jc w:val="both"/>
        <w:ind w:left="40" w:right="619"/>
        <w:spacing w:after="0" w:line="230" w:lineRule="auto"/>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with BlueVia, the new global software developer platform of Telefonica, the largest mobile operator in the Spanish speaking world and fourth largest globally.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has been initially launched on Telefonica’s application store (Mstore) in</w:t>
      </w:r>
    </w:p>
    <w:p>
      <w:pPr>
        <w:jc w:val="both"/>
        <w:ind w:left="40" w:right="639"/>
        <w:spacing w:after="0" w:line="245" w:lineRule="auto"/>
        <w:rPr>
          <w:sz w:val="20"/>
          <w:szCs w:val="20"/>
          <w:color w:val="auto"/>
        </w:rPr>
      </w:pPr>
      <w:r>
        <w:rPr>
          <w:rFonts w:ascii="Arial" w:cs="Arial" w:eastAsia="Arial" w:hAnsi="Arial"/>
          <w:sz w:val="16"/>
          <w:szCs w:val="16"/>
          <w:color w:val="auto"/>
        </w:rPr>
        <w:t>several global markets and is planned to be launched on additional markets. In August 2011, Vringo launched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 Japan for Android users through the DOCOMO market, a mobile internet portal operated by NTT DOCOMO, INC., the largest mobile phone operator in Japan, with more than 50 million users. In October 2011, Verizon, the largest mobile operator in the U.S.,</w:t>
      </w:r>
    </w:p>
    <w:p>
      <w:pPr>
        <w:spacing w:after="0" w:line="16" w:lineRule="exact"/>
        <w:rPr>
          <w:sz w:val="20"/>
          <w:szCs w:val="20"/>
          <w:color w:val="auto"/>
        </w:rPr>
      </w:pPr>
    </w:p>
    <w:p>
      <w:pPr>
        <w:jc w:val="both"/>
        <w:ind w:left="40" w:right="619"/>
        <w:spacing w:after="0" w:line="230" w:lineRule="auto"/>
        <w:rPr>
          <w:sz w:val="20"/>
          <w:szCs w:val="20"/>
          <w:color w:val="auto"/>
        </w:rPr>
      </w:pPr>
      <w:r>
        <w:rPr>
          <w:rFonts w:ascii="Arial" w:cs="Arial" w:eastAsia="Arial" w:hAnsi="Arial"/>
          <w:sz w:val="16"/>
          <w:szCs w:val="16"/>
          <w:color w:val="auto"/>
        </w:rPr>
        <w:t>announced the launch of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 subscription service for Verizon subscribers for $0.99 a month. Vringo continues to pursue business for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together with handset manufacturers. In December 2011, Vringo launched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for</w:t>
      </w:r>
    </w:p>
    <w:p>
      <w:pPr>
        <w:jc w:val="both"/>
        <w:ind w:left="40" w:right="619"/>
        <w:spacing w:after="0" w:line="217" w:lineRule="auto"/>
        <w:rPr>
          <w:sz w:val="20"/>
          <w:szCs w:val="20"/>
          <w:color w:val="auto"/>
        </w:rPr>
      </w:pPr>
      <w:r>
        <w:rPr>
          <w:rFonts w:ascii="Arial" w:cs="Arial" w:eastAsia="Arial" w:hAnsi="Arial"/>
          <w:sz w:val="18"/>
          <w:szCs w:val="18"/>
          <w:color w:val="auto"/>
        </w:rPr>
        <w:t>Symbian in cooperation with Nokia. In January 2012, Vringo launched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for iPhone which generates, as of the end of February 2012, close to a thousand daily downloads without any promotion. In March 2012, Vringo shifted from providing an ad-based free-of-charge for iPhone to a one-time fee ads-free app.</w:t>
      </w: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6"/>
          <w:szCs w:val="16"/>
          <w:color w:val="auto"/>
        </w:rPr>
        <w:t>In addition to Vringo’s direct to consumer and carrier marketed versions of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Vringo believes that licensing its software to handset makers will provide a growing and significant revenue stream during 2012 and beyond. In November 2011, Vringo announced an agreement with ZTE Corporation, the largest handset maker in China and fourth-largest</w:t>
      </w:r>
    </w:p>
    <w:p>
      <w:pPr>
        <w:spacing w:after="0" w:line="11" w:lineRule="exact"/>
        <w:rPr>
          <w:sz w:val="20"/>
          <w:szCs w:val="20"/>
          <w:color w:val="auto"/>
        </w:rPr>
      </w:pPr>
    </w:p>
    <w:p>
      <w:pPr>
        <w:jc w:val="both"/>
        <w:ind w:left="40" w:right="639"/>
        <w:spacing w:after="0" w:line="231" w:lineRule="auto"/>
        <w:rPr>
          <w:sz w:val="20"/>
          <w:szCs w:val="20"/>
          <w:color w:val="auto"/>
        </w:rPr>
      </w:pPr>
      <w:r>
        <w:rPr>
          <w:rFonts w:ascii="Arial" w:cs="Arial" w:eastAsia="Arial" w:hAnsi="Arial"/>
          <w:sz w:val="18"/>
          <w:szCs w:val="18"/>
          <w:color w:val="auto"/>
        </w:rPr>
        <w:t>globally, to preload the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application on Android handsets manufactured by ZTE. ZTE will give Vringo a royalty for each device that Vringo’s software is pre-loaded on. These ZTE handsets will be sold via mobile phone operators and through various OEM contracts to brand name handset manufacturers. In addition, Vringo has entered into a development contract with Nokia, the world’s largest handset maker, to supply Facetones for Nokia’s S3 devices, subsequent to delivering this version of Vringo’s application it was recently launched on the Nokia Ovi Store.</w:t>
      </w:r>
    </w:p>
    <w:p>
      <w:pPr>
        <w:spacing w:after="0" w:line="9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Early in 2011, Vringo launched its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8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7"/>
          <w:szCs w:val="17"/>
          <w:color w:val="auto"/>
        </w:rPr>
        <w:t>The initial Video ReMix application “Booty Symphony” was developed with Nappy Boy Enterprises, the music production company of the artist T-Pain. Booty Symphony was released in an ad-supported free Android version as well as paid versions for iOS and Android. Vringo’s newest application on Vringo’s Video ReMix platform was delivered in the second quarter of 2011 to partner Corso Communications and its client Heineken. This sponsored version highlighted music and video of the group Dirty Vegas, and was used by Heineken “brand ambassadors” at the Coachella Music festival. Vringo continues to seek new business for this platform with other recording artists and sponsored by additional major brands.</w:t>
      </w:r>
    </w:p>
    <w:p>
      <w:pPr>
        <w:spacing w:after="0" w:line="71"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Vringo’s Fan Loyalty platform was launched in mid-2011 by co-branding its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featured exclusive content and fully integrated live voting capabilities for the blockbuster “Star Academy” reality music show, which reached over 300 million viewers and was available in over 10 countries in the region.</w:t>
      </w:r>
    </w:p>
    <w:p>
      <w:pPr>
        <w:spacing w:after="0" w:line="76"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Fan Loyalty application for Star Academy was made available exclusively for download on the Ovi Store, and had more than 200,000 downloads during the season. Vringo is in discussions with several other entertainment groups regarding potential deals for this Fan Loyalty platform.</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Strategy</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Vringo’s goal is to become a leading global provider and licensor of mobile video and mobile social applications, services and software, including mobile personalization, and interactive services via Vringo’s different software platforms. To achieve this goal, Vringo plans to:</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i w:val="1"/>
          <w:iCs w:val="1"/>
          <w:color w:val="auto"/>
        </w:rPr>
        <w:t>Grow Vringo’s business</w:t>
      </w:r>
      <w:r>
        <w:rPr>
          <w:rFonts w:ascii="Arial" w:cs="Arial" w:eastAsia="Arial" w:hAnsi="Arial"/>
          <w:sz w:val="17"/>
          <w:szCs w:val="17"/>
          <w:color w:val="auto"/>
        </w:rPr>
        <w:t>. The objectives of the Merger are to maximize the economic benefits of Vringo’s 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add significant talent in technological innovation, and be positioned to enhance Vringo’s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Vringo believes that the Merger will potentially enhance Vringo’s technology leadership, Vringo’s portfolio of intellectual property, and as a result open new business opportunities.</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i w:val="1"/>
          <w:iCs w:val="1"/>
          <w:color w:val="auto"/>
        </w:rPr>
        <w:t>Grow Vringo’s user base through mobile carrier partnerships</w:t>
      </w:r>
      <w:r>
        <w:rPr>
          <w:rFonts w:ascii="Arial" w:cs="Arial" w:eastAsia="Arial" w:hAnsi="Arial"/>
          <w:sz w:val="16"/>
          <w:szCs w:val="16"/>
          <w:color w:val="auto"/>
        </w:rPr>
        <w:t>. Vringo has built its products so as to be easily integrated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mobile carriers. Vringo believes the mobile carrier channel is one of the most efficient and cost effective channels to grow Vringo’s user base and to monetize its products. Vringo has launched its video ringtone service with seven mobile carriers in UK, Singapore, Belgium, Malaysia, Turkey, United Arab Emirates and Armenia. Vringo is in discussions with additional mobile carriers regarding its software platforms and Vringo plans to aggressively pursue additional mobile carriers globally.</w:t>
      </w:r>
    </w:p>
    <w:p>
      <w:pPr>
        <w:spacing w:after="0" w:line="57"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i w:val="1"/>
          <w:iCs w:val="1"/>
          <w:color w:val="auto"/>
        </w:rPr>
        <w:t xml:space="preserve">Generate revenue via software licensing partnerships. </w:t>
      </w:r>
      <w:r>
        <w:rPr>
          <w:rFonts w:ascii="Arial" w:cs="Arial" w:eastAsia="Arial" w:hAnsi="Arial"/>
          <w:sz w:val="18"/>
          <w:szCs w:val="18"/>
          <w:color w:val="auto"/>
        </w:rPr>
        <w:t>Vringo has licensed its software to two of the four largest handset</w:t>
      </w:r>
      <w:r>
        <w:rPr>
          <w:rFonts w:ascii="Arial" w:cs="Arial" w:eastAsia="Arial" w:hAnsi="Arial"/>
          <w:sz w:val="18"/>
          <w:szCs w:val="18"/>
          <w:i w:val="1"/>
          <w:iCs w:val="1"/>
          <w:color w:val="auto"/>
        </w:rPr>
        <w:t xml:space="preserve"> </w:t>
      </w:r>
      <w:r>
        <w:rPr>
          <w:rFonts w:ascii="Arial" w:cs="Arial" w:eastAsia="Arial" w:hAnsi="Arial"/>
          <w:sz w:val="18"/>
          <w:szCs w:val="18"/>
          <w:color w:val="auto"/>
        </w:rPr>
        <w:t>makers in the world, ZTE and Nokia. Vringo believes that the market for pre-loaded software for mobile devices is a fast growing market that provides broad reach and sustainable recurring revenue.</w:t>
      </w:r>
    </w:p>
    <w:p>
      <w:pPr>
        <w:spacing w:after="0" w:line="7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i w:val="1"/>
          <w:iCs w:val="1"/>
          <w:color w:val="auto"/>
        </w:rPr>
        <w:t xml:space="preserve">Continue to build a base of strategically important intellectual property. </w:t>
      </w:r>
      <w:r>
        <w:rPr>
          <w:rFonts w:ascii="Arial" w:cs="Arial" w:eastAsia="Arial" w:hAnsi="Arial"/>
          <w:sz w:val="16"/>
          <w:szCs w:val="16"/>
          <w:color w:val="auto"/>
        </w:rPr>
        <w:t>To date, Vringo has filed 24 patents and had three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in the United States and one notice of allowance in Europe. Vringo believes that these patents and related filings create a high barrier to entry into Vringo’s existing businesses. In addition, Vringo believes that its patent will be of interest to other application developers and hardware manufacturers. In addition, Vringo believes that the Merger will substantially increase its intellectual property portfolio, add significant talent in technological innovation, and position the combined company for potential enhanced opportunities for revenue generation through the monetization of the combined company’s assets.</w:t>
      </w:r>
    </w:p>
    <w:p>
      <w:pPr>
        <w:spacing w:after="0" w:line="56"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i w:val="1"/>
          <w:iCs w:val="1"/>
          <w:color w:val="auto"/>
        </w:rPr>
        <w:t xml:space="preserve">Continue to ensure Vringo has broad handset reach. </w:t>
      </w:r>
      <w:r>
        <w:rPr>
          <w:rFonts w:ascii="Arial" w:cs="Arial" w:eastAsia="Arial" w:hAnsi="Arial"/>
          <w:sz w:val="16"/>
          <w:szCs w:val="16"/>
          <w:color w:val="auto"/>
        </w:rPr>
        <w:t>The breadth of Vringo’s mobile handset coverage will be critical for</w:t>
      </w:r>
      <w:r>
        <w:rPr>
          <w:rFonts w:ascii="Arial" w:cs="Arial" w:eastAsia="Arial" w:hAnsi="Arial"/>
          <w:sz w:val="16"/>
          <w:szCs w:val="16"/>
          <w:i w:val="1"/>
          <w:iCs w:val="1"/>
          <w:color w:val="auto"/>
        </w:rPr>
        <w:t xml:space="preserve"> </w:t>
      </w:r>
      <w:r>
        <w:rPr>
          <w:rFonts w:ascii="Arial" w:cs="Arial" w:eastAsia="Arial" w:hAnsi="Arial"/>
          <w:sz w:val="16"/>
          <w:szCs w:val="16"/>
          <w:color w:val="auto"/>
        </w:rPr>
        <w:t>Vringo to grow its business. Vringo’s video ringtone application already supports over 400 handsets and Vringo diligently certifies new mobile handset devices as quickly as possible. Additionally, the WAP version of Vringo’s service is compatible with almost any device that supports video. Vringo will continue to expand the features available as part of its video ringtone WAP service.</w:t>
      </w:r>
    </w:p>
    <w:p>
      <w:pPr>
        <w:spacing w:after="0" w:line="3" w:lineRule="exact"/>
        <w:rPr>
          <w:sz w:val="20"/>
          <w:szCs w:val="20"/>
          <w:color w:val="auto"/>
        </w:rPr>
      </w:pPr>
    </w:p>
    <w:p>
      <w:pPr>
        <w:jc w:val="both"/>
        <w:ind w:left="40" w:right="639"/>
        <w:spacing w:after="0" w:line="211" w:lineRule="auto"/>
        <w:rPr>
          <w:sz w:val="20"/>
          <w:szCs w:val="20"/>
          <w:color w:val="auto"/>
        </w:rPr>
      </w:pPr>
      <w:r>
        <w:rPr>
          <w:rFonts w:ascii="Arial" w:cs="Arial" w:eastAsia="Arial" w:hAnsi="Arial"/>
          <w:sz w:val="18"/>
          <w:szCs w:val="18"/>
          <w:color w:val="auto"/>
        </w:rPr>
        <w:t>Vringo’s Video ReMix application runs on iOS (iPhone, iPod, and iPad) and Android devices. Vringo’s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application platform runs on Android and iPhone devices.</w:t>
      </w:r>
    </w:p>
    <w:p>
      <w:pPr>
        <w:spacing w:after="0" w:line="96"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i w:val="1"/>
          <w:iCs w:val="1"/>
          <w:color w:val="auto"/>
        </w:rPr>
        <w:t xml:space="preserve">Enhance Vringo’s viral and social tools. </w:t>
      </w:r>
      <w:r>
        <w:rPr>
          <w:rFonts w:ascii="Arial" w:cs="Arial" w:eastAsia="Arial" w:hAnsi="Arial"/>
          <w:sz w:val="16"/>
          <w:szCs w:val="16"/>
          <w:color w:val="auto"/>
        </w:rPr>
        <w:t>Vringo believes that there is substantial opportunity to increase the social and viral</w:t>
      </w:r>
      <w:r>
        <w:rPr>
          <w:rFonts w:ascii="Arial" w:cs="Arial" w:eastAsia="Arial" w:hAnsi="Arial"/>
          <w:sz w:val="16"/>
          <w:szCs w:val="16"/>
          <w:i w:val="1"/>
          <w:iCs w:val="1"/>
          <w:color w:val="auto"/>
        </w:rPr>
        <w:t xml:space="preserve"> </w:t>
      </w:r>
      <w:r>
        <w:rPr>
          <w:rFonts w:ascii="Arial" w:cs="Arial" w:eastAsia="Arial" w:hAnsi="Arial"/>
          <w:sz w:val="16"/>
          <w:szCs w:val="16"/>
          <w:color w:val="auto"/>
        </w:rPr>
        <w:t>nature of its products, which will be critical for Vringo’s growth. Vringo will continue to add features to the product platforms to enhance their viral and social aspects and which enable users to connect with their existing social networks on platforms such as</w:t>
      </w:r>
    </w:p>
    <w:p>
      <w:pPr>
        <w:ind w:left="40"/>
        <w:spacing w:after="0"/>
        <w:rPr>
          <w:sz w:val="20"/>
          <w:szCs w:val="20"/>
          <w:color w:val="auto"/>
        </w:rPr>
      </w:pPr>
      <w:r>
        <w:rPr>
          <w:rFonts w:ascii="Arial" w:cs="Arial" w:eastAsia="Arial" w:hAnsi="Arial"/>
          <w:sz w:val="18"/>
          <w:szCs w:val="18"/>
          <w:color w:val="auto"/>
        </w:rPr>
        <w:t>Facebook</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Twitter</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40" w:lineRule="exact"/>
        <w:rPr>
          <w:sz w:val="20"/>
          <w:szCs w:val="20"/>
          <w:color w:val="auto"/>
        </w:rPr>
      </w:pPr>
    </w:p>
    <w:p>
      <w:pPr>
        <w:jc w:val="both"/>
        <w:ind w:left="40" w:right="619" w:firstLine="267"/>
        <w:spacing w:after="0" w:line="248" w:lineRule="auto"/>
        <w:rPr>
          <w:sz w:val="20"/>
          <w:szCs w:val="20"/>
          <w:color w:val="auto"/>
        </w:rPr>
      </w:pPr>
      <w:r>
        <w:rPr>
          <w:rFonts w:ascii="Arial" w:cs="Arial" w:eastAsia="Arial" w:hAnsi="Arial"/>
          <w:sz w:val="18"/>
          <w:szCs w:val="18"/>
          <w:i w:val="1"/>
          <w:iCs w:val="1"/>
          <w:color w:val="auto"/>
        </w:rPr>
        <w:t>Maintain and grow Vringo’s product and technology leadership</w:t>
      </w:r>
      <w:r>
        <w:rPr>
          <w:rFonts w:ascii="Arial" w:cs="Arial" w:eastAsia="Arial" w:hAnsi="Arial"/>
          <w:sz w:val="18"/>
          <w:szCs w:val="18"/>
          <w:color w:val="auto"/>
        </w:rPr>
        <w:t>. Vringo’s technical team is made up of highly regarded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professionals that continually ensure that Vringo’s product is on the cutting-edge in terms of ease of use, functionality and look and feel. Vringo has filed 24 patent applications for its platform (three of which have been issued to date) and Vringo continues to create new intellectual property. Vringo also has enabled its video ringtone application to work on the Blackberry, Android and Windows Mobile operating systems, even though, those platforms do not natively support video ringtones. Nevertheless, there is no assurance that Vringo’s application will continue to work on these operating systems in the future. Vringo plans to continue to allocate technical resources to remain ahead of its competition and provide users with a product that is easy-to-use and cutting-edge.</w:t>
      </w:r>
    </w:p>
    <w:p>
      <w:pPr>
        <w:spacing w:after="0" w:line="91"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is subscription-based. Vringo believes this model is appropriate for its products and is initially launching the commercial versions of its product as a monthly subscription service with mobile carriers. Vringo is focused on ensuring that its product drives value and limits churn. As the mobile video services market matures, Vringo’s business model may evolve to capitalize on changes in the market.</w:t>
      </w:r>
    </w:p>
    <w:p>
      <w:pPr>
        <w:spacing w:after="0" w:line="8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Vringo is currently focused on the mobile carrier distribution channel, Vringo believes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other avenues that could be successful distribution channels for Vringo. Specifically, Vringo believes broadcasters and content owners could greatly benefit by promoting Vringo’s service to their customers by monetizing either their content or leveraging their relationship with advertisers via ads.</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i w:val="1"/>
          <w:iCs w:val="1"/>
          <w:color w:val="auto"/>
        </w:rPr>
        <w:t xml:space="preserve">Explore monetization through advertising and brand sponsorship. </w:t>
      </w:r>
      <w:r>
        <w:rPr>
          <w:rFonts w:ascii="Arial" w:cs="Arial" w:eastAsia="Arial" w:hAnsi="Arial"/>
          <w:sz w:val="17"/>
          <w:szCs w:val="17"/>
          <w:color w:val="auto"/>
        </w:rPr>
        <w:t>The visual nature of Vringo’s service opens up the</w:t>
      </w:r>
      <w:r>
        <w:rPr>
          <w:rFonts w:ascii="Arial" w:cs="Arial" w:eastAsia="Arial" w:hAnsi="Arial"/>
          <w:sz w:val="17"/>
          <w:szCs w:val="17"/>
          <w:i w:val="1"/>
          <w:iCs w:val="1"/>
          <w:color w:val="auto"/>
        </w:rPr>
        <w:t xml:space="preserve"> </w:t>
      </w:r>
      <w:r>
        <w:rPr>
          <w:rFonts w:ascii="Arial" w:cs="Arial" w:eastAsia="Arial" w:hAnsi="Arial"/>
          <w:sz w:val="17"/>
          <w:szCs w:val="17"/>
          <w:color w:val="auto"/>
        </w:rPr>
        <w:t>possibility of incorporating ads and sponsorships in Vringo’s software application platforms. Vringo has initially launched advertising supported versions of its Video ReMix platform, and Vringo has also entered into 2 sponsor relationships in 2011 to further monetize this platform. Vringo believes that this will make up a growing portion of its business.</w:t>
      </w:r>
    </w:p>
    <w:p>
      <w:pPr>
        <w:spacing w:after="0" w:line="66"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i w:val="1"/>
          <w:iCs w:val="1"/>
          <w:color w:val="auto"/>
        </w:rPr>
        <w:t xml:space="preserve">Content licensing leadership. </w:t>
      </w:r>
      <w:r>
        <w:rPr>
          <w:rFonts w:ascii="Arial" w:cs="Arial" w:eastAsia="Arial" w:hAnsi="Arial"/>
          <w:sz w:val="18"/>
          <w:szCs w:val="18"/>
          <w:color w:val="auto"/>
        </w:rPr>
        <w:t>Vringo has signed over 35 different content licensing agreements for primarily content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to be used for video ringtones as well as artist content for its Video ReMix platform. Vringo has conducted substantive research of other commercial video ringtone sites and Vringo has not discovered a commercial library with more than 100 video ringtones available for download. Accordingly, Vringo believes its library of more than 12,000 video ringtones, certain portions of which are geographically restricted, is one of the largest commercial video ringtone libraries in the world. Vringo intends to continue to grow its library to enhance its future revenues although in many markets Vringo will rely on its partners to supplement Vringo’s library with additional locally licensed content.</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Vringo is not currently engaged in any material legal proceedings.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As of March 30, 2012, Vringo had 23 full-time employees and two part-time employees. None of Vringo’s employees are covered by collective bargaining arrangements and management considers relations with Vringo’s employees to be good.</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Facilities</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Vringo’s corporate office is located at 44 West 28th Street, Suite 1414, New York, New York 10001. In addition, the research and development facility of Vringo’s subsidiary, Vringo (Israel), Ltd., and Vringo’s finance department is located on the 2nd floor of the BIG Center Building, in 1 Yigal Allon St., Beit Shemesh, Israel. Vringo believes that its existing facilities are adequate to accommodate its business needs.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Vringo was incorporated in January 2006 and is still a development stage company. Vringo’s principal executive offices are located in New York, NY, and in addition, Vringo has a wholly-owned subsidiary, Vringo (Israel) Ltd., located in Bet-Shemesh, Israel.</w:t>
      </w:r>
    </w:p>
    <w:p>
      <w:pPr>
        <w:spacing w:after="0" w:line="78"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 xml:space="preserve">Vringo maintains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xml:space="preserve">. Vringo makes available, free of charge, on its website its Annual Report on Form 10-K, Quarterly Reports on Form 10-Q, Current Reports on Form 8-K and amendments to those reports filed or furnished pursuant to Section 13(a) or 15(d) of the Exchange Act, as soon as reasonably practicable after such reports are electronically filed with, or furnished to, the SEC. Vringo’s reports filed with, or furnished to, the SEC are also available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VRINGO’S MANAGEMENT’S DISCUSSION AND ANALYSIS OF</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1"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i w:val="1"/>
          <w:iCs w:val="1"/>
          <w:color w:val="auto"/>
        </w:rPr>
        <w:t>This discussion of Vringo’s financial condition and results of operations should be read together with the financial statements and notes contained elsewhere in this proxy statement/prospectus. Certain statements in this section and other sections are forward-looking. While Vringo believes these statements are accurate, its business is dependent on many factors, some of which are discussed the section entitled “Risk Factors” and Vringo’s Business. Many of these factors are beyond Vringo’s control and any of these and other factors could cause actual results to differ materially from the forward-looking statements made in this proxy statement/prospectus. See the section entitled “Risk Factors” for further information regarding these factors. Vringo undertakes no obligation to release publicly the results of any revisions to the statements contained in this section to reflect events or circumstances that occur subsequent to the date of this proxy statement/prospectus.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 believes that its services represent the next stage in the evolution of the mobile content and mobile social applications market. Vringo anticipates that the mobile content and service market will begin to migrate from standard audio ringtones and content to high-quality video services, with social networking capability and integration with web systems. Vringo also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w:t>
      </w:r>
    </w:p>
    <w:p>
      <w:pPr>
        <w:spacing w:after="0" w:line="61"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 is a development stage company. From inception through December 31, 2011, Vringo has raised approximately $31.8 million. These amounts have been used to finance Vringo’s operations, as until now, Vringo has not yet generated any significant revenues. From inception through December 31, 2011, Vringo recorded losses of $37.5 million and net cash outflow from operations of $29.3 million. Vringo’s average monthly cash burn rate from operations for the year ended December 31, 2011, was approximately $0.45 million.</w:t>
      </w:r>
    </w:p>
    <w:p>
      <w:pPr>
        <w:spacing w:after="0" w:line="8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July 2011, Vringo raised an aggregate amount of $2.5 million through the issuance of convertible notes in a private placement. On December 1, 2011, Vringo raised additional $0.85 million through the issuance of additional 817,303 shares of common stock (“</w:t>
      </w:r>
      <w:r>
        <w:rPr>
          <w:rFonts w:ascii="Arial" w:cs="Arial" w:eastAsia="Arial" w:hAnsi="Arial"/>
          <w:sz w:val="17"/>
          <w:szCs w:val="17"/>
          <w:b w:val="1"/>
          <w:bCs w:val="1"/>
          <w:color w:val="auto"/>
        </w:rPr>
        <w:t>December 2011 financing</w:t>
      </w:r>
      <w:r>
        <w:rPr>
          <w:rFonts w:ascii="Arial" w:cs="Arial" w:eastAsia="Arial" w:hAnsi="Arial"/>
          <w:sz w:val="17"/>
          <w:szCs w:val="17"/>
          <w:color w:val="auto"/>
        </w:rPr>
        <w:t>”). Pursuant to the December 2011 financing, all convertible notes (and accrued interest) were converted into 2,671,026 shares of common stock. In February 2012, Vringo entered into agreements with holders (the “</w:t>
      </w:r>
      <w:r>
        <w:rPr>
          <w:rFonts w:ascii="Arial" w:cs="Arial" w:eastAsia="Arial" w:hAnsi="Arial"/>
          <w:sz w:val="17"/>
          <w:szCs w:val="17"/>
          <w:b w:val="1"/>
          <w:bCs w:val="1"/>
          <w:color w:val="auto"/>
        </w:rPr>
        <w:t>Holders</w:t>
      </w:r>
      <w:r>
        <w:rPr>
          <w:rFonts w:ascii="Arial" w:cs="Arial" w:eastAsia="Arial" w:hAnsi="Arial"/>
          <w:sz w:val="17"/>
          <w:szCs w:val="17"/>
          <w:color w:val="auto"/>
        </w:rPr>
        <w:t>”) of certain of its outstanding special bridge and conversion warrants, pursuant to which the Holders exercised warrants to purchase 3,828,993 shares of Vringo common stock for aggregate proceeds of $3.6 million. For further information, please refer to Note 17 to the consolidated financial statements of Vringo.</w:t>
      </w:r>
    </w:p>
    <w:p>
      <w:pPr>
        <w:spacing w:after="0" w:line="76"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Subsequent to year end, on March 12, 2012, Vringo entered into an Agreement and Plan of Merger with VIP Merger Sub, Inc., a Delaware corporation and its wholly-owned subsidiary, and Innovate/Protect, Inc., a Delaware corporation and an intellectual property firm founded in 2011 whose wholly-owned subsidiary, I/P Engine, holds eight patents that were acquired from Lycos Inc., pursuant to which Innovate/Protect will merge with and into Merger Sub, with Merger Sub being the surviving corporation through an exchange of capital stock of Innovate/Protect for capital stock of Vringo.</w:t>
      </w:r>
    </w:p>
    <w:p>
      <w:pPr>
        <w:spacing w:after="0" w:line="6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Under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2" w:lineRule="auto"/>
        <w:rPr>
          <w:sz w:val="20"/>
          <w:szCs w:val="20"/>
          <w:color w:val="auto"/>
        </w:rPr>
      </w:pPr>
      <w:r>
        <w:rPr>
          <w:rFonts w:ascii="Arial" w:cs="Arial" w:eastAsia="Arial" w:hAnsi="Arial"/>
          <w:sz w:val="16"/>
          <w:szCs w:val="16"/>
          <w:color w:val="auto"/>
        </w:rPr>
        <w:t xml:space="preserve">stock (total 6,818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6,818 shares, as of April 5, 2012, shall be initially convertible into an aggregate of 20,573,998 shares of Vringo common stock (or at a current conversion rate of 3,017.6). 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to be filed by Vringo prior to closing.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3"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In addition, 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56"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56.05% of the outstanding common stock of the combined company, and Vringo current stockholders are expected to own approximately 43.95% of the outstanding common stock of the combined company. On a fully diluted basis, the former stockholders of Innovate/Protect are expected to own approximately 67.55% of the outstanding common stock of the combined company, and Vringo current stockholders are expected to own approximately 32.45% of the outstanding common stock of the combined company.</w:t>
      </w:r>
    </w:p>
    <w:p>
      <w:pPr>
        <w:spacing w:after="0" w:line="86"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Vringo has expended significant effort and management attention on the proposed transaction. There is no assurance that the transaction contemplated by the Merger Agreement will be consummated. If the transaction is not consummated for any reason, Vringo business and operations, as well as the market price of its stock and warrants may be adversely affected. Vringo is currently evaluating the effect of the Merger on its financial statements. Vringo believes such effect will be material.</w:t>
      </w:r>
    </w:p>
    <w:p>
      <w:pPr>
        <w:spacing w:after="0" w:line="66"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As of December 31, 2011, Vringo had approximately $1.2 million in cash and cash equivalents. Vringo believes that current cash levels will be sufficient to support Vringo’s activity into the fourth quarter of 2012. The continuation of Vringo’s business, as a going concern is dependent upon the successful consummation of the Merger with Innovate/Protect, or similar merger or acquisition, financing, and upon the further development of Vringo’s products. There can be no assurance, however, that any such opportunities will materialize. All of Vringo’s audited consolidated financial statements since inception have contained a “going concern” reference by Vringo’s auditors, expressing substantial doubt about Vringo’s ability to continue as a going concern.</w:t>
      </w:r>
    </w:p>
    <w:p>
      <w:pPr>
        <w:spacing w:after="0" w:line="5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Vringo’s financial statements were prepared using principles applicable to a going concern, which contemplate the realizations of assets and liquidation of liabilities in the normal course of business for the</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spacing w:after="0" w:line="300" w:lineRule="auto"/>
        <w:rPr>
          <w:sz w:val="20"/>
          <w:szCs w:val="20"/>
          <w:color w:val="auto"/>
        </w:rPr>
      </w:pPr>
      <w:r>
        <w:rPr>
          <w:rFonts w:ascii="Arial" w:cs="Arial" w:eastAsia="Arial" w:hAnsi="Arial"/>
          <w:sz w:val="17"/>
          <w:szCs w:val="17"/>
          <w:color w:val="auto"/>
        </w:rPr>
        <w:t>foreseeable future, and do not include any adjustments to reflect the possible effects on the recoverability and classification of assets, or the amounts and classification of liabilities that may result if Vringo is not able to continue as a going concern.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color w:val="auto"/>
        </w:rPr>
        <w:t>Vringo recognizes revenue from monthly subscription from carriers, development projects and content sales when all the conditions for revenue recognition are met: (i) persuasive evidence of an arrangement exists, (ii) collection of the fee is probable,</w:t>
      </w:r>
    </w:p>
    <w:p>
      <w:pPr>
        <w:spacing w:after="0" w:line="1" w:lineRule="exact"/>
        <w:rPr>
          <w:sz w:val="20"/>
          <w:szCs w:val="20"/>
          <w:color w:val="auto"/>
        </w:rPr>
      </w:pPr>
    </w:p>
    <w:p>
      <w:pPr>
        <w:jc w:val="both"/>
        <w:ind w:left="40" w:right="639" w:firstLine="5"/>
        <w:spacing w:after="0" w:line="284" w:lineRule="auto"/>
        <w:tabs>
          <w:tab w:leader="none" w:pos="36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sales price is fixed and determinable and (iv) delivery has occurred or services have been rendered. Vringo’s subscription service arrangements are evidenced by a written document signed by both parties. Vringo’s revenues from monthly subscription fees, content purchases and advertisement revenues are recognized when Vringo has received confirmation that the amount is due to it, which provides proof that the services have been rendered, and making collection probable. Vringo recognizes revenue from non-refundable up-front fees relating to set-up and billing integration across the period of the contract for the subscription service as these fees are part of hosting solution that Vringo provides to the carrier. The hosting is provided on Vringo’s servers for the entire period of the arrangement with this carrier, and the revenues relating to the monthly subscription, set-up fees and billing integration have been recognized over the period in the agreement.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Cost of revenue consists primarily of third party expenses directly related to providing Vringo’s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 and marketing expenses.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Research and development expenses consist primarily of salary expenses of Vringo’s development and quality assurance engineers in Vringo’s research and development facility in Israel, outsourcing of certain development activities, preparation of patent filings, labor cost incurred in connection with customer integration, server and support functions for Vringo’s development environment.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114"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Marketing expenses include the salary of all business development and marketing personnel, travel expenses relating to business development activity and trade shows, as well as public relations, advertising, ongoing customer relations and customer acquisition expenses. As Vringo increases its sales, certain commissions to agents will affect marketing expenses.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4"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General and administrative expenses primarily include the salary of Vringo’s finance and administrative personnel, rental costs, legal and accounting fees, insurance, telephone and other office expenses including depreciation and amortization.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Non-operating income (expenses) includes transaction gains (losses) from foreign exchange rate differences, interest on deposits, bank charges, interest and discount amortization expenses on Vringo’s venture loan and convertible notes. In addition, non-operating income (expenses) includes a gain on restructuring of venture loan in light of the settlement agreement signed June 8, 2011. As well as fair value adjustments of derivative liabilities on account of the special bridge warrants and the conversion warrants, which are highly influenced by Vringo’s stock price at the period end (revaluation date).</w:t>
      </w: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35" w:name="page136"/>
    <w:bookmarkEnd w:id="13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jc w:val="both"/>
        <w:ind w:left="60" w:right="619" w:firstLine="267"/>
        <w:spacing w:after="0" w:line="285" w:lineRule="auto"/>
        <w:rPr>
          <w:sz w:val="20"/>
          <w:szCs w:val="20"/>
          <w:color w:val="auto"/>
        </w:rPr>
      </w:pPr>
      <w:r>
        <w:rPr>
          <w:rFonts w:ascii="Arial" w:cs="Arial" w:eastAsia="Arial" w:hAnsi="Arial"/>
          <w:sz w:val="16"/>
          <w:szCs w:val="16"/>
          <w:color w:val="auto"/>
        </w:rPr>
        <w:t>Vringo’s effective tax rate differs from the statutory federal rate primarily due to differences between income and expense recognition prescribed by income tax regulations and generally accepted accounting principles. Vringo’s utilizes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Vringo’s income tax expense has been adjusted for the effect of foreign income from its wholly-owned Israeli subsidiary. At December 31, 2011, Vringo’s deferred tax assets generated from its U.S. activities were entirely offset by a valuation allowance because realization depends on generating future taxable income, which, in Vringo’s estimation, is not more likely than not to be generated. The deferred tax assets and liabilities generated from Vringo’s subsidiary’s operations are not offset by an allowance, as in Vringo’s estimation, they are more likely than not to be realized.</w:t>
      </w:r>
    </w:p>
    <w:p>
      <w:pPr>
        <w:spacing w:after="0" w:line="65" w:lineRule="exact"/>
        <w:rPr>
          <w:sz w:val="20"/>
          <w:szCs w:val="20"/>
          <w:color w:val="auto"/>
        </w:rPr>
      </w:pPr>
    </w:p>
    <w:p>
      <w:pPr>
        <w:jc w:val="both"/>
        <w:ind w:left="60" w:right="619" w:firstLine="267"/>
        <w:spacing w:after="0" w:line="284" w:lineRule="auto"/>
        <w:rPr>
          <w:sz w:val="20"/>
          <w:szCs w:val="20"/>
          <w:color w:val="auto"/>
        </w:rPr>
      </w:pPr>
      <w:r>
        <w:rPr>
          <w:rFonts w:ascii="Arial" w:cs="Arial" w:eastAsia="Arial" w:hAnsi="Arial"/>
          <w:sz w:val="16"/>
          <w:szCs w:val="16"/>
          <w:color w:val="auto"/>
        </w:rPr>
        <w:t>Vringo’s subsidiary generates net taxable income from services it provides to Vringo. The subsidiary charges Vringo for research, development, certain management and other services provided to Vringo, plus a profit margin on such costs, which is currently 8%. On December 5, 2011, the Knesset (Israel’s Parliament) approved the Law to Change the Tax Burden (Legislative Amendments) — 2011. According to the new law, the corporate tax rate will be 25% starting in 2012.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 2008. In January 2011, new legislation amending the Investment Law was enacted. According to the amendment, the uniform tax rate applicable to the zone where the production facilities of the subsidiary are located would be 15% in 2011 and 2012, 12.5% in 2013 and 2014, and 12% in 2015 and thereafter. Under the transitory provisions of the newly legislated amendment, the subsidiary irrevocably implemented the new law while waiving benefits provided under the current law.</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Year ended December 31, 2011, 2010 and the development stage period (cumulative from inception through December 31, 2011)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290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718</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211</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507</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During the year ended December 31, 2011, Vringo recorded revenues of $718,000, which represents an increase of $507,000 (or 240%) from revenues recorded for the year ended December 31, 2010. The increase was mainly due to increased video ringtone subscription revenue in Malaysia ($312,000 in 2011, compared to the $94,000 in 2010), and the United Arab Emirates ($90,000 in</w:t>
      </w:r>
    </w:p>
    <w:p>
      <w:pPr>
        <w:jc w:val="both"/>
        <w:ind w:left="60" w:right="619"/>
        <w:spacing w:after="0" w:line="227" w:lineRule="auto"/>
        <w:rPr>
          <w:sz w:val="20"/>
          <w:szCs w:val="20"/>
          <w:color w:val="auto"/>
        </w:rPr>
      </w:pPr>
      <w:r>
        <w:rPr>
          <w:rFonts w:ascii="Arial" w:cs="Arial" w:eastAsia="Arial" w:hAnsi="Arial"/>
          <w:sz w:val="18"/>
          <w:szCs w:val="18"/>
          <w:color w:val="auto"/>
        </w:rPr>
        <w:t>2011, compared to the $54,000 in 2010), development of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($75,000 recognized in 2011), development of Fan Loyalty application ($80,000 recognized in 2011), Video ReMix platform ($30,000 recognized in 2011). In the first quarter of 2012, the number of subscribers in Malaysia was reduced due to system updates of recycled numbers from the regulated carrier database. Vringo does not expect this change to have a material effect on its revenue.</w:t>
      </w:r>
    </w:p>
    <w:p>
      <w:pPr>
        <w:spacing w:after="0" w:line="96" w:lineRule="exact"/>
        <w:rPr>
          <w:sz w:val="20"/>
          <w:szCs w:val="20"/>
          <w:color w:val="auto"/>
        </w:rPr>
      </w:pPr>
    </w:p>
    <w:p>
      <w:pPr>
        <w:jc w:val="both"/>
        <w:ind w:left="60" w:right="639" w:firstLine="267"/>
        <w:spacing w:after="0" w:line="253" w:lineRule="auto"/>
        <w:rPr>
          <w:sz w:val="20"/>
          <w:szCs w:val="20"/>
          <w:color w:val="auto"/>
        </w:rPr>
      </w:pPr>
      <w:r>
        <w:rPr>
          <w:rFonts w:ascii="Arial" w:cs="Arial" w:eastAsia="Arial" w:hAnsi="Arial"/>
          <w:sz w:val="18"/>
          <w:szCs w:val="18"/>
          <w:color w:val="auto"/>
        </w:rPr>
        <w:t>At the end of 2009, Vringo commenced monetization of its subscription service by launching with carriers primarily in Malaysia and Armenia. As a result, the increase in revenue in 2010, in the total amount of $191,000, was mainly related to revenues from those revenue-sharing agreements. In Malaysia, Vringo recognized $94,000 (compared to $2,000 in 2009). In Armenia, Vringo recognized $35,000 (compared to $17,000 in 2009). In addition, Vringo recorded $54,000 from subscription service launched in 2010 in the United Arab Emirates.</w:t>
      </w:r>
    </w:p>
    <w:p>
      <w:pPr>
        <w:spacing w:after="0" w:line="200" w:lineRule="exact"/>
        <w:rPr>
          <w:sz w:val="20"/>
          <w:szCs w:val="20"/>
          <w:color w:val="auto"/>
        </w:rPr>
      </w:pP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36" w:name="page137"/>
    <w:bookmarkEnd w:id="13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inception through December 31, 2011, Vringo recorded revenues of $949,000, which includes $623,000 from revenue</w:t>
      </w:r>
    </w:p>
    <w:p>
      <w:pPr>
        <w:spacing w:after="0" w:line="60" w:lineRule="exact"/>
        <w:rPr>
          <w:sz w:val="20"/>
          <w:szCs w:val="20"/>
          <w:color w:val="auto"/>
        </w:rPr>
      </w:pPr>
    </w:p>
    <w:p>
      <w:pPr>
        <w:jc w:val="both"/>
        <w:ind w:left="60" w:right="639"/>
        <w:spacing w:after="0" w:line="211" w:lineRule="auto"/>
        <w:rPr>
          <w:sz w:val="20"/>
          <w:szCs w:val="20"/>
          <w:color w:val="auto"/>
        </w:rPr>
      </w:pPr>
      <w:r>
        <w:rPr>
          <w:rFonts w:ascii="Arial" w:cs="Arial" w:eastAsia="Arial" w:hAnsi="Arial"/>
          <w:sz w:val="18"/>
          <w:szCs w:val="18"/>
          <w:color w:val="auto"/>
        </w:rPr>
        <w:t>share subscription services, $118,000 from one-time setup fees, $89,000 from Facetones</w:t>
      </w:r>
      <w:r>
        <w:rPr>
          <w:rFonts w:ascii="Arial" w:cs="Arial" w:eastAsia="Arial" w:hAnsi="Arial"/>
          <w:sz w:val="29"/>
          <w:szCs w:val="29"/>
          <w:color w:val="auto"/>
          <w:vertAlign w:val="superscript"/>
        </w:rPr>
        <w:t>TM</w:t>
      </w:r>
      <w:r>
        <w:rPr>
          <w:rFonts w:ascii="Arial" w:cs="Arial" w:eastAsia="Arial" w:hAnsi="Arial"/>
          <w:sz w:val="18"/>
          <w:szCs w:val="18"/>
          <w:color w:val="auto"/>
        </w:rPr>
        <w:t>, $80,000 from Fan Loyalty application formats, $30,000 from Video ReMix platform and $9,000 from applications sold.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Vringo expects to continue to generate a substantial portion of its future revenues from: (i)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preloads through the</w:t>
      </w:r>
    </w:p>
    <w:p>
      <w:pPr>
        <w:jc w:val="both"/>
        <w:ind w:left="60" w:right="619"/>
        <w:spacing w:after="0" w:line="206" w:lineRule="auto"/>
        <w:rPr>
          <w:sz w:val="20"/>
          <w:szCs w:val="20"/>
          <w:color w:val="auto"/>
        </w:rPr>
      </w:pPr>
      <w:r>
        <w:rPr>
          <w:rFonts w:ascii="Arial" w:cs="Arial" w:eastAsia="Arial" w:hAnsi="Arial"/>
          <w:sz w:val="18"/>
          <w:szCs w:val="18"/>
          <w:color w:val="auto"/>
        </w:rPr>
        <w:t>agreement with ZTE, (ii) Facetones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app, Video ReMix, and Fan Loyalty application platforms, (iii) revenue-sharing agreements in Malaysia, Singapore, United Arab Emirates and UK.</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290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(25)</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During the year ended December 31, 2011, Vringo’s cost of revenue was $155,000, which represents an increase of $180,000 (-14%) from Vringo’s cost of revenue for the year ended December 31, 2010. Vringo’s cost of revenue is mainly comprised of cost of services related to the provision of content to end-users and cost of hosted servers needed to support Vringo’s service in markets where Vringo has launched its product. The decrease in cost of revenue recorded year ended December 31, 2011, compared with year ended December 31, 2010, is mainly related to a decrease in content purchases and content related amortization expenses.</w:t>
      </w:r>
    </w:p>
    <w:p>
      <w:pPr>
        <w:spacing w:after="0" w:line="57"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Vringo commenced monetization of its subscription service model at the end of 2009. As a result, cost of revenue recorded in 2010 increased by 481%, or $149,000, compared to 2009.</w:t>
      </w:r>
    </w:p>
    <w:p>
      <w:pPr>
        <w:spacing w:after="0" w:line="69" w:lineRule="exact"/>
        <w:rPr>
          <w:sz w:val="20"/>
          <w:szCs w:val="20"/>
          <w:color w:val="auto"/>
        </w:rPr>
      </w:pPr>
    </w:p>
    <w:p>
      <w:pPr>
        <w:jc w:val="both"/>
        <w:ind w:left="60" w:right="639" w:firstLine="267"/>
        <w:spacing w:after="0" w:line="300" w:lineRule="auto"/>
        <w:rPr>
          <w:sz w:val="20"/>
          <w:szCs w:val="20"/>
          <w:color w:val="auto"/>
        </w:rPr>
      </w:pPr>
      <w:r>
        <w:rPr>
          <w:rFonts w:ascii="Arial" w:cs="Arial" w:eastAsia="Arial" w:hAnsi="Arial"/>
          <w:sz w:val="17"/>
          <w:szCs w:val="17"/>
          <w:color w:val="auto"/>
        </w:rPr>
        <w:t>Vringo expects that cost of revenue will increase over time, as Vringo diversifies the portfolio of its products. As some of these costs are fixed irrespective of Vringo’s revenues, Vringo expects its gross margin to increase, as its revenues increase.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290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2,503</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(486)</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13,371</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Research and development expenses decreased from $2,503,000 to $2,017,000 (-19%) during the year ended December 31, 2011, compared to the year ended December 31, 2010. The decrease is primarily due to lower salary and compensation expenses, a result of salary reductions (a decrease of $351,000 compared to 2010), offset by the effect of a separation agreement signed with one of the officers, and lower consulting costs (a decrease of $170,000 compared to 2010), all as part of the cost saving plan implemented by Vringo in early 2011.</w:t>
      </w:r>
    </w:p>
    <w:p>
      <w:pPr>
        <w:spacing w:after="0" w:line="85" w:lineRule="exact"/>
        <w:rPr>
          <w:sz w:val="20"/>
          <w:szCs w:val="20"/>
          <w:color w:val="auto"/>
        </w:rPr>
      </w:pPr>
    </w:p>
    <w:p>
      <w:pPr>
        <w:jc w:val="both"/>
        <w:ind w:left="60" w:right="639" w:firstLine="267"/>
        <w:spacing w:after="0" w:line="306" w:lineRule="auto"/>
        <w:rPr>
          <w:sz w:val="20"/>
          <w:szCs w:val="20"/>
          <w:color w:val="auto"/>
        </w:rPr>
      </w:pPr>
      <w:r>
        <w:rPr>
          <w:rFonts w:ascii="Arial" w:cs="Arial" w:eastAsia="Arial" w:hAnsi="Arial"/>
          <w:sz w:val="16"/>
          <w:szCs w:val="16"/>
          <w:color w:val="auto"/>
        </w:rPr>
        <w:t>Research and development expenses increased from $1,975,000 to $2,503,000 (27%) in the year ended December 31, 2010, compared to the year ended December 31, 2009. The increase in 2010 was mainly due to enhanced research and development efforts and increased share based compensation expenses, related to options granted in connection with the IPO in 2010.</w:t>
      </w:r>
    </w:p>
    <w:p>
      <w:pPr>
        <w:spacing w:after="0" w:line="45" w:lineRule="exact"/>
        <w:rPr>
          <w:sz w:val="20"/>
          <w:szCs w:val="20"/>
          <w:color w:val="auto"/>
        </w:rPr>
      </w:pPr>
    </w:p>
    <w:p>
      <w:pPr>
        <w:jc w:val="both"/>
        <w:ind w:left="60" w:right="619" w:firstLine="267"/>
        <w:spacing w:after="0" w:line="275" w:lineRule="auto"/>
        <w:rPr>
          <w:sz w:val="20"/>
          <w:szCs w:val="20"/>
          <w:color w:val="auto"/>
        </w:rPr>
      </w:pPr>
      <w:r>
        <w:rPr>
          <w:rFonts w:ascii="Arial" w:cs="Arial" w:eastAsia="Arial" w:hAnsi="Arial"/>
          <w:sz w:val="17"/>
          <w:szCs w:val="17"/>
          <w:color w:val="auto"/>
        </w:rPr>
        <w:t>From inception through December 31, 2011, research and development expenses amounted to approximately $13.4 million. Of this amount, approximately $8.7 million was attributed to salaries and related expenses, $0.5 million to share based payments, $2.1 million was attributed to sub-contracting and consulting services, $0.9 million was attributed to operating expenses, $0.3 million was attributed to overhead and $0.9 million was attributed to patent expenses.</w:t>
      </w:r>
    </w:p>
    <w:p>
      <w:pPr>
        <w:spacing w:after="0" w:line="200" w:lineRule="exact"/>
        <w:rPr>
          <w:sz w:val="20"/>
          <w:szCs w:val="20"/>
          <w:color w:val="auto"/>
        </w:rPr>
      </w:pPr>
    </w:p>
    <w:p>
      <w:pPr>
        <w:spacing w:after="0" w:line="30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37" w:name="page138"/>
    <w:bookmarkEnd w:id="13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firstLine="267"/>
        <w:spacing w:after="0" w:line="306" w:lineRule="auto"/>
        <w:rPr>
          <w:sz w:val="20"/>
          <w:szCs w:val="20"/>
          <w:color w:val="auto"/>
        </w:rPr>
      </w:pPr>
      <w:r>
        <w:rPr>
          <w:rFonts w:ascii="Arial" w:cs="Arial" w:eastAsia="Arial" w:hAnsi="Arial"/>
          <w:sz w:val="16"/>
          <w:szCs w:val="16"/>
          <w:color w:val="auto"/>
        </w:rPr>
        <w:t>As Vringo’s business matures and its revenues increase, Vringo expect that its research and development expenses will grow at a slower rate than Vringo’s corresponding revenues and marketing expenses. Vringo also expects that its compensation costs will increase due to the recording of the expense related to the options granted to management and employees.</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290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2,193</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2,183</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39" w:firstLine="267"/>
        <w:spacing w:after="0" w:line="281" w:lineRule="auto"/>
        <w:rPr>
          <w:sz w:val="20"/>
          <w:szCs w:val="20"/>
          <w:color w:val="auto"/>
        </w:rPr>
      </w:pPr>
      <w:r>
        <w:rPr>
          <w:rFonts w:ascii="Arial" w:cs="Arial" w:eastAsia="Arial" w:hAnsi="Arial"/>
          <w:sz w:val="17"/>
          <w:szCs w:val="17"/>
          <w:color w:val="auto"/>
        </w:rPr>
        <w:t>Marketing expenses increased slightly from $2,183,000 to $2,193,000 (0%) during the year ended December 31, 2011, compared to the year ended December 31, 2010. The main changes were higher advertising costs, mainly in connection with</w:t>
      </w:r>
    </w:p>
    <w:p>
      <w:pPr>
        <w:jc w:val="both"/>
        <w:ind w:left="60" w:right="619"/>
        <w:spacing w:after="0" w:line="221" w:lineRule="auto"/>
        <w:rPr>
          <w:sz w:val="20"/>
          <w:szCs w:val="20"/>
          <w:color w:val="auto"/>
        </w:rPr>
      </w:pPr>
      <w:r>
        <w:rPr>
          <w:rFonts w:ascii="Arial" w:cs="Arial" w:eastAsia="Arial" w:hAnsi="Arial"/>
          <w:sz w:val="17"/>
          <w:szCs w:val="17"/>
          <w:color w:val="auto"/>
        </w:rPr>
        <w:t>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launch ($498,000 in 2011 compared to $279,000 in 2010), offset by a decrease in consulting costs mainly related to the cost saving plan implemented by Vringo in early 2011 ($195,000 in 2011 compared to $36,000 in 2010).</w:t>
      </w:r>
    </w:p>
    <w:p>
      <w:pPr>
        <w:spacing w:after="0" w:line="95"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During the year ended December 31, 2010, marketing expenses increased by $431,000 (25%), to $2,183,000, from $1,752,000 in the year ended December 31, 2009. The growth in Vringo’s marketing expenses for the year ended December 31, 2010, was in part due to the hiring, in April 2010, of Mr. Perlman, Vringo’s current Chief Executive Officer, whose efforts are focused on marketing and business development. In addition, the growth relates to the vesting of 2010 options grants for employees, thereby increasing the respective compensation expense. Furthermore, Vringo had an increase in public relations and advertising costs in connection with new commercial launches in 2010.</w:t>
      </w:r>
    </w:p>
    <w:p>
      <w:pPr>
        <w:spacing w:after="0" w:line="71"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From inception through December 31, 2011, marketing expenses amounted to approximately $11.2 million. Of this amount, approximately $5.0 million was attributed to salaries, $1.0 million was attributed to share based payments and related expenses, $2.2 million was attributed to travel and trade shows, $1.6 million was attributed to sub-contracting and consulting services, $1.3 million was attributed to public relations services and customer acquisition expenses and $0.1 million was attributed to overhead expenses.</w:t>
      </w:r>
    </w:p>
    <w:p>
      <w:pPr>
        <w:spacing w:after="0" w:line="85"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A significant portion of Vringo’s marketing activity relates to the launching of services with its global partners and building a pipeline for further agreements. In addition, Vringo conducts direct-to-consumer marketing activities in countries where Vringo has launched its services to build on the efforts of its partners. While Vringo does not expect to invest heavily in direct-to-consumer marketing activities in the future, Vringo expects an increase in marketing expenses as it continues launching its service in different global markets. In certain markets, Vringo’s marketing efforts may include hiring local personnel to introduce Vringo to the market and purchasing rights to certain local content. As Vringo’s market reach grows, Vringo expects its marketing expenses to continue to increase Vringo’s visibility to potential partners.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241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2412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Cumulative</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1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4"/>
                <w:szCs w:val="14"/>
                <w:color w:val="auto"/>
              </w:rPr>
            </w:pPr>
          </w:p>
        </w:tc>
        <w:tc>
          <w:tcPr>
            <w:tcW w:w="2900" w:type="dxa"/>
            <w:vAlign w:val="bottom"/>
            <w:tcBorders>
              <w:bottom w:val="single" w:sz="8" w:color="auto"/>
            </w:tcBorders>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jc w:val="right"/>
              <w:ind w:right="3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2,777</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1,840</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937</w:t>
            </w:r>
          </w:p>
        </w:tc>
        <w:tc>
          <w:tcPr>
            <w:tcW w:w="13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General and administrative expenses increased from $1,840,000 to $2,777,000 (51%) during the year ended December 31, 2011, compared to the year ended December 31, 2010. The increase was mainly due to higher professional fees connected to aborted merger and acquisition activities, venture loan settlement and December 2011 financing (an increase of $643,000 compared to 2010), due to increased share-based compensation (an increase of $290,000 compared to 2010), and increased cost of labor and expenses incurred in connection with being a public company (an increase of $45,000 compared to 2010).</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38" w:name="page139"/>
    <w:bookmarkEnd w:id="13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During the year ended December 31, 2010, general and administrative expenses increased $272,000 (17.3%), to $1,840,000, from $1,568,000 in the year ended December 31, 2009. The increase is mostly due to the increase in various professional fees in connection with becoming a public company. In addition, there was an increase of in additional insurance costs for Vringo’s directors’ and officers’ liability insurance and an increase in compensation expenses due to new option grants in 2010.</w:t>
      </w:r>
    </w:p>
    <w:p>
      <w:pPr>
        <w:spacing w:after="0" w:line="52"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From inception through December 31, 2011, general and administrative expenses totaled approximately $8.3 million. Of this amount, approximately $2.2 million was attributed to salaries and related expenses, $1.6 million was attributed to share based payments, $1.8 million was attributed to various office expenses, $2.1 million was attributed to professional fees and $0.5 million was attributed to depreciation and amortization.</w:t>
      </w:r>
    </w:p>
    <w:p>
      <w:pPr>
        <w:spacing w:after="0" w:line="83"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Vringo expects that its general and administrative expenses will increase, as Vringo expects to incur significant costs in connection with future merger, acquisition and financing activities. These costs will be reflected in increased accounting, legal and insurance costs, as well as, increased costs related to meeting Vringo’s obligations under the Sarbanes-Oxley Act. Vringo also expects that its compensation costs will increase significantly due to the recording of expense related to management share based compensation.</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666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6666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288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288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3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gridSpan w:val="2"/>
            <w:vMerge w:val="restart"/>
          </w:tcPr>
          <w:p>
            <w:pPr>
              <w:jc w:val="center"/>
              <w:ind w:left="300"/>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7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980" w:type="dxa"/>
            <w:vAlign w:val="bottom"/>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5"/>
          </w:tcPr>
          <w:p>
            <w:pPr>
              <w:jc w:val="right"/>
              <w:ind w:right="34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Non-operating income (expense), net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(965)</w:t>
            </w:r>
          </w:p>
        </w:tc>
        <w:tc>
          <w:tcPr>
            <w:tcW w:w="10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(3,412)</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(2,447)</w:t>
            </w:r>
          </w:p>
        </w:tc>
        <w:tc>
          <w:tcPr>
            <w:tcW w:w="12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0"/>
        </w:trPr>
        <w:tc>
          <w:tcPr>
            <w:tcW w:w="39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300" w:lineRule="auto"/>
        <w:rPr>
          <w:sz w:val="20"/>
          <w:szCs w:val="20"/>
          <w:color w:val="auto"/>
        </w:rPr>
      </w:pPr>
      <w:r>
        <w:rPr>
          <w:rFonts w:ascii="Arial" w:cs="Arial" w:eastAsia="Arial" w:hAnsi="Arial"/>
          <w:sz w:val="17"/>
          <w:szCs w:val="17"/>
          <w:color w:val="auto"/>
        </w:rPr>
        <w:t>During the year ended December 31, 2011, Vringo recorded net non-operating expense in the amount of $1.0 million, compared to a net non-operating expense in the amount of $3.4 million, in the year ended December 31, 2010.</w:t>
      </w:r>
    </w:p>
    <w:p>
      <w:pPr>
        <w:spacing w:after="0" w:line="46"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During the year ended December 31, 2011, Vringo recorded $1.0 million income in connection with the settlement of the venture loan. This income was offset by non-operating expense of approximately $0.4 million recorded in connection with the revaluation of the special bridge warrants and the conversion warrants and $1.5 million recorded in connection with interest and amortization of a discount on the venture loan and the convertible notes (including the recording of an additional beneficial conversion feature on the convertible notes).</w:t>
      </w:r>
    </w:p>
    <w:p>
      <w:pPr>
        <w:spacing w:after="0" w:line="85"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7"/>
          <w:szCs w:val="17"/>
          <w:color w:val="auto"/>
        </w:rPr>
        <w:t>During 2010, Vringo recorded non-operating expense, net in the amount of $3.4 million, primarily due to the recording of the bridge notes, issued on December 29, 2009, at their residual value at the closing of bridge financing, pursuant to which Vringo recorded additional interest costs for the bridge notes of $1.1 million. In addition, as a result of the conversion of the bridge notes Vringo recorded an additional interest expense of approximately $1.1 million on account of the beneficial conversion feature from the loan and an additional $0.1 million on account of the additional special bridge warrants issued to investors in the bridge financing, in addition to the original 795,200 such warrants issued upon the closing of bridge financing. Additional interest expense on account of the loan amortization of $0.3 million in addition to the interest expense recorded for the venture loan was also recorded in this period. In connection with the granting of the lead investor warrants Vringo recorded additional interest expense of $1.3 million. Vringo also recorded approximately $0.1 million of interest expense for bridge notes and approximately $0.4 million of interest expense for the venture loan. In addition, Vringo recorded $1.0 million income in connection with the adjustment of the fair value of the special bridge warrants and conversion warrants.</w:t>
      </w:r>
    </w:p>
    <w:p>
      <w:pPr>
        <w:spacing w:after="0" w:line="76" w:lineRule="exact"/>
        <w:rPr>
          <w:sz w:val="20"/>
          <w:szCs w:val="20"/>
          <w:color w:val="auto"/>
        </w:rPr>
      </w:pPr>
    </w:p>
    <w:p>
      <w:pPr>
        <w:jc w:val="both"/>
        <w:ind w:left="60" w:right="639" w:firstLine="267"/>
        <w:spacing w:after="0" w:line="334" w:lineRule="auto"/>
        <w:rPr>
          <w:sz w:val="20"/>
          <w:szCs w:val="20"/>
          <w:color w:val="auto"/>
        </w:rPr>
      </w:pPr>
      <w:r>
        <w:rPr>
          <w:rFonts w:ascii="Arial" w:cs="Arial" w:eastAsia="Arial" w:hAnsi="Arial"/>
          <w:sz w:val="16"/>
          <w:szCs w:val="16"/>
          <w:color w:val="auto"/>
        </w:rPr>
        <w:t>During 2009, Vringo recorded non-operating expenses primarily in connection with interest on venture loan. In addition, Vringo recorded a loss of $0.18 million on extinguished debt from the modification of the terms of the venture loan in December 2009.</w:t>
      </w:r>
    </w:p>
    <w:p>
      <w:pPr>
        <w:spacing w:after="0" w:line="200" w:lineRule="exact"/>
        <w:rPr>
          <w:sz w:val="20"/>
          <w:szCs w:val="20"/>
          <w:color w:val="auto"/>
        </w:rPr>
      </w:pPr>
    </w:p>
    <w:p>
      <w:pPr>
        <w:spacing w:after="0" w:line="27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39" w:name="page140"/>
    <w:bookmarkEnd w:id="13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firstLine="267"/>
        <w:spacing w:after="0" w:line="267" w:lineRule="auto"/>
        <w:rPr>
          <w:sz w:val="20"/>
          <w:szCs w:val="20"/>
          <w:color w:val="auto"/>
        </w:rPr>
      </w:pPr>
      <w:r>
        <w:rPr>
          <w:rFonts w:ascii="Arial" w:cs="Arial" w:eastAsia="Arial" w:hAnsi="Arial"/>
          <w:sz w:val="17"/>
          <w:szCs w:val="17"/>
          <w:color w:val="auto"/>
        </w:rPr>
        <w:t>From inception through December 31, 2011, non-operating expense totaled approximately $5.2 million. This amount included: income from interest on deposits of $0.2 million, interest expense on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non-operating income of $0.6 million for the adjustment of the fair value of the special bridge warrants and the conversion warrants, and $1.3 million expense recorded in connection with amortization of discount on convertible notes.</w:t>
      </w:r>
    </w:p>
    <w:p>
      <w:pPr>
        <w:spacing w:after="0" w:line="74"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Vringo expects that its non-operating expenses will remain high and volatile, as Vringo continues to fund its operations through additional financing. In particular, non-operating expenses will be affected by the adjustments to fair value of Vringo’s derivative instruments. Fair value of these derivative instruments depends on variety of assumptions, such as estimations regarding triggering of down-round protection and estimated future share price. An estimated increase in the price of Vringo’s common stock increases the value of the warrants and thus results in a loss on Vringo’s statement of operations. In addition, high estimated probability of a down round protection increases the value of the warrants and again results in a loss on Vringo’s statement of operations. Please refer to Note 11 to the consolidated financial statements of Vringo.</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1600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9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90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gridSpan w:val="2"/>
            <w:vMerge w:val="restart"/>
          </w:tcPr>
          <w:p>
            <w:pPr>
              <w:jc w:val="center"/>
              <w:ind w:left="240"/>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2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96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120" w:type="dxa"/>
            <w:vAlign w:val="bottom"/>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ind w:left="52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Taxes on income</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w:t>
            </w:r>
          </w:p>
        </w:tc>
        <w:tc>
          <w:tcPr>
            <w:tcW w:w="1020" w:type="dxa"/>
            <w:vAlign w:val="bottom"/>
            <w:gridSpan w:val="3"/>
            <w:shd w:val="clear" w:color="auto" w:fill="CCFFCC"/>
          </w:tcPr>
          <w:p>
            <w:pPr>
              <w:ind w:left="700"/>
              <w:spacing w:after="0"/>
              <w:rPr>
                <w:sz w:val="20"/>
                <w:szCs w:val="20"/>
                <w:color w:val="auto"/>
              </w:rPr>
            </w:pPr>
            <w:r>
              <w:rPr>
                <w:rFonts w:ascii="Arial" w:cs="Arial" w:eastAsia="Arial" w:hAnsi="Arial"/>
                <w:sz w:val="18"/>
                <w:szCs w:val="18"/>
                <w:color w:val="auto"/>
              </w:rPr>
              <w:t>35</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86" w:lineRule="auto"/>
        <w:rPr>
          <w:sz w:val="20"/>
          <w:szCs w:val="20"/>
          <w:color w:val="auto"/>
        </w:rPr>
      </w:pPr>
      <w:r>
        <w:rPr>
          <w:rFonts w:ascii="Arial" w:cs="Arial" w:eastAsia="Arial" w:hAnsi="Arial"/>
          <w:sz w:val="16"/>
          <w:szCs w:val="16"/>
          <w:color w:val="auto"/>
        </w:rPr>
        <w:t>During the year ended December 31, 2011, Vringo recorded income tax expense in the total amount of $90,000, which reflects an increase of $55,000 compared to tax expense of $35,000 recorded in the year ended December 31, 2010. In addition, income tax expense recorded during the year ended December 31, 2010, which reflects a decrease of $38,000 compared to tax expense of $73,000 recorded in the year ended December 31, 2009. Taxes on income are mainly due to taxable profits generated by Vringo’s Israeli subsidiary, as a result of the intercompany cost plus agreement between Vringo and the subsidiary, whereby the subsidiary performs development and other services for Vringo and is reimbursed for its expenses plus 8%. In addition, during the year ended December 31, 2011 and 2010, Vringo recorded income tax expense of $35,000 and $5,000, respectively, in connection with tax withheld at source by Vringo’s partner in Malaysia, which Vringo does not expect to be reclaimed.</w:t>
      </w:r>
    </w:p>
    <w:p>
      <w:pPr>
        <w:spacing w:after="0" w:line="64"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From inception through December 31, 2011, income tax expense totaled $119,000. Vringo expects tax expense to increase as its business grows and as its subsidiary continues to profit from the cost plus agreement.</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ind w:left="60" w:right="639" w:firstLine="267"/>
        <w:spacing w:after="0" w:line="290" w:lineRule="auto"/>
        <w:rPr>
          <w:sz w:val="20"/>
          <w:szCs w:val="20"/>
          <w:color w:val="auto"/>
        </w:rPr>
      </w:pPr>
      <w:r>
        <w:rPr>
          <w:rFonts w:ascii="Arial" w:cs="Arial" w:eastAsia="Arial" w:hAnsi="Arial"/>
          <w:sz w:val="16"/>
          <w:szCs w:val="16"/>
          <w:color w:val="auto"/>
        </w:rPr>
        <w:t>As of December 31, 2011, Vringo had a cash balance of $1.2 million and $1million in net working capital. The decrease of $4.2 million in Vringo’s cash balance from December 31, 2010, was mainly due to cash used by Vringo in its business operations ($5.4 million) and venture loan repayment ($2.1 million), offset by the receipt of the funds from the convertible notes ($2.5 million) and the December 2011 financing ($0.85 million). As of December 31, 2011, Vringo’s total deficit in stockholders’ equity was $1.2 million, mainly due to continued operating deficits from inception to date, and partially due to the classification of the special bridge warrants and the conversion warrants as derivative liabilities rather than equity securities.</w:t>
      </w:r>
    </w:p>
    <w:p>
      <w:pPr>
        <w:spacing w:after="0" w:line="200" w:lineRule="exact"/>
        <w:rPr>
          <w:sz w:val="20"/>
          <w:szCs w:val="20"/>
          <w:color w:val="auto"/>
        </w:rPr>
      </w:pPr>
    </w:p>
    <w:p>
      <w:pPr>
        <w:spacing w:after="0" w:line="29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40" w:name="page141"/>
    <w:bookmarkEnd w:id="14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During February 2012, approximately 90% of the then outstanding special bridge and conversion warrants, previously classified as a long-term liability, were exercised for an aggregate amount of $3.6 million. In addition, as part of the transaction, certain holders of the exercised warrants were granted with additional warrants to purchase approximately 2.66 million of Vringo’s shares. According to a preliminary estimation, the total effect, including the offsetting impact of classification of some of above-mentioned warrants as a long-term liability (please refer to Note 17 to the consolidated financial statements of Vringo), is an increase of approximately $4.1 million in Vringo’s total stockholder’s equity.</w:t>
      </w:r>
    </w:p>
    <w:p>
      <w:pPr>
        <w:spacing w:after="0" w:line="71"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The continuation of Vringo’s business, as a going concern is dependent upon the successful consummation of the Merger with Innovate/Protect, or similar merger or acquisition, financing, and upon the further development of Vringo’s products. There can be no assurance, however, that any such opportunities will materialize.</w:t>
      </w:r>
    </w:p>
    <w:p>
      <w:pPr>
        <w:spacing w:after="0" w:line="78" w:lineRule="exact"/>
        <w:rPr>
          <w:sz w:val="20"/>
          <w:szCs w:val="20"/>
          <w:color w:val="auto"/>
        </w:rPr>
      </w:pPr>
    </w:p>
    <w:p>
      <w:pPr>
        <w:jc w:val="both"/>
        <w:ind w:left="60" w:right="639" w:firstLine="267"/>
        <w:spacing w:after="0" w:line="253" w:lineRule="auto"/>
        <w:rPr>
          <w:sz w:val="20"/>
          <w:szCs w:val="20"/>
          <w:color w:val="auto"/>
        </w:rPr>
      </w:pPr>
      <w:r>
        <w:rPr>
          <w:rFonts w:ascii="Arial" w:cs="Arial" w:eastAsia="Arial" w:hAnsi="Arial"/>
          <w:sz w:val="18"/>
          <w:szCs w:val="18"/>
          <w:color w:val="auto"/>
        </w:rPr>
        <w:t>Vringo anticipates that it will continue to issue equity and/or debt securities as a source of liquidity, when needed, until Vringo generates positive cash flow to support its operations. Vringo cannot give any assurance that the necessary capital will be raised or that, if funds are raised, it will be on favorable terms. Any future sales of securities to finance Vringo’s operations may require stockholder approval and will dilute existing stockholders’ ownership. Vringo cannot guarantee when or if Vringo will ever generate positive cash flow.</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0584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7"/>
        </w:trPr>
        <w:tc>
          <w:tcPr>
            <w:tcW w:w="3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3960" w:type="dxa"/>
            <w:vAlign w:val="bottom"/>
          </w:tcPr>
          <w:p>
            <w:pPr>
              <w:spacing w:after="0"/>
              <w:rPr>
                <w:sz w:val="12"/>
                <w:szCs w:val="12"/>
                <w:color w:val="auto"/>
              </w:rPr>
            </w:pPr>
          </w:p>
        </w:tc>
        <w:tc>
          <w:tcPr>
            <w:tcW w:w="2240" w:type="dxa"/>
            <w:vAlign w:val="bottom"/>
            <w:gridSpan w:val="7"/>
            <w:vMerge w:val="restart"/>
          </w:tcPr>
          <w:p>
            <w:pPr>
              <w:jc w:val="center"/>
              <w:ind w:left="578"/>
              <w:spacing w:after="0"/>
              <w:rPr>
                <w:sz w:val="20"/>
                <w:szCs w:val="20"/>
                <w:color w:val="auto"/>
              </w:rPr>
            </w:pPr>
            <w:r>
              <w:rPr>
                <w:rFonts w:ascii="Arial" w:cs="Arial" w:eastAsia="Arial" w:hAnsi="Arial"/>
                <w:sz w:val="14"/>
                <w:szCs w:val="14"/>
                <w:b w:val="1"/>
                <w:bCs w:val="1"/>
                <w:color w:val="auto"/>
                <w:w w:val="90"/>
              </w:rPr>
              <w:t>Year ended December 31,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3960" w:type="dxa"/>
            <w:vAlign w:val="bottom"/>
          </w:tcPr>
          <w:p>
            <w:pPr>
              <w:spacing w:after="0"/>
              <w:rPr>
                <w:sz w:val="12"/>
                <w:szCs w:val="12"/>
                <w:color w:val="auto"/>
              </w:rPr>
            </w:pPr>
          </w:p>
        </w:tc>
        <w:tc>
          <w:tcPr>
            <w:tcW w:w="2240" w:type="dxa"/>
            <w:vAlign w:val="bottom"/>
            <w:gridSpan w:val="7"/>
            <w:vMerge w:val="continue"/>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gridSpan w:val="2"/>
            <w:vMerge w:val="restart"/>
          </w:tcPr>
          <w:p>
            <w:pPr>
              <w:jc w:val="center"/>
              <w:ind w:left="275"/>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72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70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0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960" w:type="dxa"/>
            <w:vAlign w:val="bottom"/>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6"/>
          </w:tcPr>
          <w:p>
            <w:pPr>
              <w:jc w:val="right"/>
              <w:ind w:right="34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(5,380)</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(6,361)</w:t>
            </w:r>
          </w:p>
        </w:tc>
        <w:tc>
          <w:tcPr>
            <w:tcW w:w="1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(981)</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(29,303)</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8"/>
                <w:szCs w:val="18"/>
                <w:color w:val="auto"/>
                <w:w w:val="99"/>
              </w:rPr>
              <w:t>Net cash provided by (used in) investing activities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2,499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(2,505)</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4"/>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8,520</w:t>
            </w:r>
          </w:p>
        </w:tc>
        <w:tc>
          <w:tcPr>
            <w:tcW w:w="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7,322</w:t>
            </w:r>
          </w:p>
        </w:tc>
        <w:tc>
          <w:tcPr>
            <w:tcW w:w="12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31,160</w:t>
            </w:r>
          </w:p>
        </w:tc>
        <w:tc>
          <w:tcPr>
            <w:tcW w:w="0" w:type="dxa"/>
            <w:vAlign w:val="bottom"/>
          </w:tcPr>
          <w:p>
            <w:pPr>
              <w:spacing w:after="0"/>
              <w:rPr>
                <w:sz w:val="1"/>
                <w:szCs w:val="1"/>
                <w:color w:val="auto"/>
              </w:rPr>
            </w:pPr>
          </w:p>
        </w:tc>
      </w:tr>
      <w:tr>
        <w:trPr>
          <w:trHeight w:val="20"/>
        </w:trPr>
        <w:tc>
          <w:tcPr>
            <w:tcW w:w="39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4"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During the year ended December 31, 2011, net cash used in operating activities totaled $5.4 million. During the year ended December 31, 2010, net cash used in operating activities totaled $6.4 million. The $1.1 million decrease in net cash used in operating activities was primarily due to increase in revenue and a reduction in workforce related costs, in connection with the cost reduction plan implemented in the early part of 2011.</w:t>
      </w:r>
    </w:p>
    <w:p>
      <w:pPr>
        <w:spacing w:after="0" w:line="83"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During the year ended December 31, 2009, net cash used in operating activities totaled $4.8 million. The increase of $1.6 million used in operating activities, compared to 2009, was mainly due to payments to service providers in connection with the IPO, and other payments made in connection with becoming a public company. These costs included: auditors fees, increased directors insurance and legal counsel.</w:t>
      </w:r>
    </w:p>
    <w:p>
      <w:pPr>
        <w:spacing w:after="0" w:line="83"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Vringo expects its net cash used in operating activities to decrease in the future, as Vringo moves towards greater revenue generation.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During the year ended December 31, 2011, net cash used in investing activities totaled $6,000. These included a decrease in restricted deposit in the total amount of $21,000 and asset purchases in 2011, in the total amount of $27,000. Fixed asset purchases in the year ended December 31, 2010 amounted to $86,000 compared to $34,000 for the year ended December 31, 2009. The increase in fixed asset purchases in 2010 was due to the need to replace certain fixed assets that had fully depreciated and to improve the servers in the research and development facility of the Israeli subsidiary.</w:t>
      </w:r>
    </w:p>
    <w:p>
      <w:pPr>
        <w:spacing w:after="0" w:line="6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During the year ended December 31, 2010, net cash provided by investing activities totaled $2.5 million. During the year ended December 31, 2009, net cash used in investing activities totaled $2.6 million. This increase of $5.1 million provided by investing activities is primarily due to the release of proceeds from the bridge financing from escrow, which was slightly offset by the purchase of fixed assets.</w:t>
      </w: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Vringo expects that net cash used in investing activities will mildly increase as Vringo intends to continue to upgrade its computers and software in 2012. Moreover, as Vringo’s service continues to grow, Vringo will need to increase its server capacity to meet the needs of its customers.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During the year ended December 31, 2011, net cash provided by financing activities totaled $1.2 million, which relates to the repayment and settlement of the venture loan in the total amount of $2.1 million on the one hand, and receipt of proceeds from issuance of convertible notes, in the total amount of $2.5 million, plus, receipt of proceeds from December 2011 financing in the total amount of $0.85 million, on the other. Please refer to Notes 8, 9 and 11, to the consolidated financial statements of Vringo.</w:t>
      </w:r>
    </w:p>
    <w:p>
      <w:pPr>
        <w:spacing w:after="0" w:line="52"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During the year ended December 31, 2010, net cash provided by financing activities totaled $8.5 million, which relates to the net proceeds received as a result of the IPO, partially offset by repayment of principal on the venture loan, in the total amount of $0.8 million.</w:t>
      </w:r>
    </w:p>
    <w:p>
      <w:pPr>
        <w:spacing w:after="0" w:line="7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During the year ended December 31, 2009, net cash provided by financing activities totaled $2.2 million, which relates to issuance of Bridge Notes, in the total amount of $2.98 million, partially offset by repayment of principal on the venture loan, in the total amount of $0.8 million.</w:t>
      </w:r>
    </w:p>
    <w:p>
      <w:pPr>
        <w:spacing w:after="0" w:line="7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Until it reaches profitability, Vringo expects to continue to explore financing opportunities, through private and public investments and merger and acquisition activity. Other than the Merger with Innovate/Protect, Vringo has no specific financing plans at this time.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March 2012, Vringo entered into the Merger Agreement with Innovate/Protect. Vringo believes that the Merger, if consummated, will maximize the economic benefits of Vringo’s intellectual property portfolio, add significant talent in technological innovation, and potentially enhance Vringo’s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The completion of the Merger is subject to a number of conditions and there can be no assurance that the conditions to the completion of the Merger will be satisfied and the Merger will be consummated.</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the fourth quarter of 2011, Vringo announced an agreement with ZTE Corporation, the largest handset maker in China and</w:t>
      </w:r>
    </w:p>
    <w:p>
      <w:pPr>
        <w:spacing w:after="0" w:line="60" w:lineRule="exact"/>
        <w:rPr>
          <w:sz w:val="20"/>
          <w:szCs w:val="20"/>
          <w:color w:val="auto"/>
        </w:rPr>
      </w:pPr>
    </w:p>
    <w:p>
      <w:pPr>
        <w:jc w:val="both"/>
        <w:ind w:left="40" w:right="619"/>
        <w:spacing w:after="0" w:line="239" w:lineRule="auto"/>
        <w:rPr>
          <w:sz w:val="20"/>
          <w:szCs w:val="20"/>
          <w:color w:val="auto"/>
        </w:rPr>
      </w:pPr>
      <w:r>
        <w:rPr>
          <w:rFonts w:ascii="Arial" w:cs="Arial" w:eastAsia="Arial" w:hAnsi="Arial"/>
          <w:sz w:val="17"/>
          <w:szCs w:val="17"/>
          <w:color w:val="auto"/>
        </w:rPr>
        <w:t>fourth-largest globally, to preload the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on Android handsets, which is scheduled to commence in the second quarter of 2012. As part of the commercial terms of the agreement, these handsets will be sold via mobile phone operators and through various OEM contracts to brand name handset manufacturers. Similar arrangement are being pursued with other handset manufacturers, although there can be no assurance that any such opportunities may arise.</w:t>
      </w:r>
    </w:p>
    <w:p>
      <w:pPr>
        <w:spacing w:after="0" w:line="9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Vringo is currently in discussions with several potential strategic partners and mobile carriers and Vringo will be pursuing additional agreements over the next 12 to 24 months. In addition, Vringo is continuing to explore further opportunities for strategic business alliances, however, there can be no assurance that any such opportunities may arise, or that any such opportunities will be consummated.</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Vringo has no obligations, assets or liabilities which would be considered off-balance sheet arrangements. Vringo does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118"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While Vringo’s significant accounting policies are more fully described in the notes to Vringo’s consolidated financial statements for the year ended December 31, 2011, Vringo believes the following accounting policies to be the most critical in understanding the judgments and estimates Vringo use in preparing its consolidated financial statements, for the year ended December 31, 2011.</w:t>
      </w: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Vringo accounts for stock-based awards under FASB ASC718, “</w:t>
      </w:r>
      <w:r>
        <w:rPr>
          <w:rFonts w:ascii="Arial" w:cs="Arial" w:eastAsia="Arial" w:hAnsi="Arial"/>
          <w:sz w:val="16"/>
          <w:szCs w:val="16"/>
          <w:i w:val="1"/>
          <w:iCs w:val="1"/>
          <w:color w:val="auto"/>
        </w:rPr>
        <w:t>Compensation — Stock Compensatio</w:t>
      </w:r>
      <w:r>
        <w:rPr>
          <w:rFonts w:ascii="Arial" w:cs="Arial" w:eastAsia="Arial" w:hAnsi="Arial"/>
          <w:sz w:val="16"/>
          <w:szCs w:val="16"/>
          <w:color w:val="auto"/>
        </w:rPr>
        <w:t>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Vringo’s estimates, such amounts will be recorded as a cumulative adjustment in the period estimates are revised. Vringo considers various factors when estimating expected forfeitures, including historical experience. Actual results may differ substantially from these estimates.</w:t>
      </w:r>
    </w:p>
    <w:p>
      <w:pPr>
        <w:spacing w:after="0" w:line="65"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Vringo determines the fair value of stock options granted to employees, directors and consultants using the Black-Scholes-Merton and the Lattice (for out-of-money option grants to employees and directors)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Vringo estimates its expected stock volatility relying significantly on historical stock volatility from comparable companies.</w:t>
      </w:r>
    </w:p>
    <w:p>
      <w:pPr>
        <w:spacing w:after="0" w:line="6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These option pricing models utilize various inputs and assumptions, which are highly subjective. Had Vringo used different assumptions, its results may have been significantly different. For further information on judgments and assessments used, please refer to Note 11 to the consolidated financial statements of Vringo.</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December 29, 2009, Vringo consummated a bridge financing pursuant to which Vringo issued 5% subordinated convertible promissory notes, (“</w:t>
      </w:r>
      <w:r>
        <w:rPr>
          <w:rFonts w:ascii="Arial" w:cs="Arial" w:eastAsia="Arial" w:hAnsi="Arial"/>
          <w:sz w:val="18"/>
          <w:szCs w:val="18"/>
          <w:b w:val="1"/>
          <w:bCs w:val="1"/>
          <w:color w:val="auto"/>
        </w:rPr>
        <w:t>Bridge Notes</w:t>
      </w:r>
      <w:r>
        <w:rPr>
          <w:rFonts w:ascii="Arial" w:cs="Arial" w:eastAsia="Arial" w:hAnsi="Arial"/>
          <w:sz w:val="18"/>
          <w:szCs w:val="18"/>
          <w:color w:val="auto"/>
        </w:rPr>
        <w:t>”), in the aggregate amount of $2.98 million in a private placement, as well as warrants to purchase 795,200 shares of common stock (the “</w:t>
      </w:r>
      <w:r>
        <w:rPr>
          <w:rFonts w:ascii="Arial" w:cs="Arial" w:eastAsia="Arial" w:hAnsi="Arial"/>
          <w:sz w:val="18"/>
          <w:szCs w:val="18"/>
          <w:b w:val="1"/>
          <w:bCs w:val="1"/>
          <w:color w:val="auto"/>
        </w:rPr>
        <w:t>Special Bridge Warrants</w:t>
      </w:r>
      <w:r>
        <w:rPr>
          <w:rFonts w:ascii="Arial" w:cs="Arial" w:eastAsia="Arial" w:hAnsi="Arial"/>
          <w:sz w:val="18"/>
          <w:szCs w:val="18"/>
          <w:color w:val="auto"/>
        </w:rPr>
        <w:t>”) (together the “</w:t>
      </w:r>
      <w:r>
        <w:rPr>
          <w:rFonts w:ascii="Arial" w:cs="Arial" w:eastAsia="Arial" w:hAnsi="Arial"/>
          <w:sz w:val="18"/>
          <w:szCs w:val="18"/>
          <w:b w:val="1"/>
          <w:bCs w:val="1"/>
          <w:color w:val="auto"/>
        </w:rPr>
        <w:t>Bridge Financing</w:t>
      </w:r>
      <w:r>
        <w:rPr>
          <w:rFonts w:ascii="Arial" w:cs="Arial" w:eastAsia="Arial" w:hAnsi="Arial"/>
          <w:sz w:val="18"/>
          <w:szCs w:val="18"/>
          <w:color w:val="auto"/>
        </w:rPr>
        <w:t>”). Proceeds from the Bridge Financing were first allocated to the Special Bridge Warrants, which were classified as a derivative liability and recorded at fair value, with the residual amount allocated to the Bridge Notes.</w:t>
      </w:r>
    </w:p>
    <w:p>
      <w:pPr>
        <w:spacing w:after="0" w:line="8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On December 1, 2011, Vringo entered into financing agreements which triggered anti-dilution provisions in certain of its outstanding warrants. As a result, the number of shares issuable under certain Special Bridge Warrants increased and the number of Special Bridge Warrants outstanding was adjusted to 2,528,615.</w:t>
      </w:r>
    </w:p>
    <w:p>
      <w:pPr>
        <w:spacing w:after="0" w:line="7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As of December 31,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(to 2,528,615). As of December 31, 2010, Special Bridge Warrants were valued using 52.76% expected volatility, a risk-free interest rate of 1.52%, estimated life of 4 years and no dividend yield. The fair value of the common stock was $2.38. As of December 31, 2011, Vringo estimated 50% probability of such protection being activated in April, 2012. Vringo has estimated the value of the down-round protection using a Monte-Carlo simulation. The following assumptions were used: 70.20% expected volatility, a risk-free interest rate of 0.38%, estimated life of 3 years and no dividend yield. The fair value of the common stock was $0.94. Please refer to Notes 10, 11 and 17 to the consolidated financial statements of Vringo.</w:t>
      </w:r>
    </w:p>
    <w:p>
      <w:pPr>
        <w:spacing w:after="0" w:line="200" w:lineRule="exact"/>
        <w:rPr>
          <w:sz w:val="20"/>
          <w:szCs w:val="20"/>
          <w:color w:val="auto"/>
        </w:rPr>
      </w:pPr>
    </w:p>
    <w:p>
      <w:pPr>
        <w:spacing w:after="0" w:line="3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Upon the consummation of the IPO, the Bridge Notes automatically converted into 864,332 shares of common stock and 1,728,664 warrants (the “</w:t>
      </w:r>
      <w:r>
        <w:rPr>
          <w:rFonts w:ascii="Arial" w:cs="Arial" w:eastAsia="Arial" w:hAnsi="Arial"/>
          <w:sz w:val="16"/>
          <w:szCs w:val="16"/>
          <w:b w:val="1"/>
          <w:bCs w:val="1"/>
          <w:color w:val="auto"/>
        </w:rPr>
        <w:t>Conversion Warrants</w:t>
      </w:r>
      <w:r>
        <w:rPr>
          <w:rFonts w:ascii="Arial" w:cs="Arial" w:eastAsia="Arial" w:hAnsi="Arial"/>
          <w:sz w:val="16"/>
          <w:szCs w:val="16"/>
          <w:color w:val="auto"/>
        </w:rPr>
        <w:t>”). The Conversion Warrants have down-round protection clauses, i.e. in a new issuance of common shares at a lower price than the current exercise price, the current exercise price will be adjusted to the new issuance price. The Conversion Warrants were revalued using the Black-Scholes-Merton and the Monte-Carlo models and classified as a derivative long-term liability. The assumptions used in this calculation for the date of the IPO were 54% expected volatility, a risk-free interest rate of 2.1%, estimated life of 5 years and no dividend yield. The fair value of the common stock was estimated at $2.79. These warrants were valued again on December 31, 2010, with the decrease in fair value being recorded as non-operating income. The assumptions used in this calculation were 52.85% expected volatility, a risk-free interest rate of 1.77%, estimated life of 4.47 years and no dividend yield. The fair value of the common stock was estimated at $2.38. At December 31, 2011, Vringo estimated a 50% probability of down-round protection being activated in April, 2012. Vringo has estimated the value of the down-round protection using a Monte-Carlo simulation. The following assumptions were used: 70.98% expected volatility, a risk-free interest rate of 0.52%, estimated life of 3.47 years and no dividend yield. The fair value of the common stock was $0.94. Please refer to Notes 10, 11 and 17 to the consolidated financial statements of Vringo.</w:t>
      </w:r>
    </w:p>
    <w:p>
      <w:pPr>
        <w:spacing w:after="0" w:line="67"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Subsequent to the balance sheet date, between February 6, 2012 and February 14, 2012, Vringo entered into agreements with holders, pursuant to which the holders exercised 2,274,235 Special Bridge and 1,554,758 Conversion Warrants to purchase an aggregate of 3,828,993 shares of Vringo common stock for aggregate proceeds of $3.6 million. In addition, Vringo issued new warrants to purchase an aggregate of 2,672,756 shares of common stock at an exercise price of $1.76 per share in consideration for the immediate exercise of the warrants (“</w:t>
      </w:r>
      <w:r>
        <w:rPr>
          <w:rFonts w:ascii="Arial" w:cs="Arial" w:eastAsia="Arial" w:hAnsi="Arial"/>
          <w:sz w:val="17"/>
          <w:szCs w:val="17"/>
          <w:b w:val="1"/>
          <w:bCs w:val="1"/>
          <w:color w:val="auto"/>
        </w:rPr>
        <w:t>Reload Warrants</w:t>
      </w:r>
      <w:r>
        <w:rPr>
          <w:rFonts w:ascii="Arial" w:cs="Arial" w:eastAsia="Arial" w:hAnsi="Arial"/>
          <w:sz w:val="17"/>
          <w:szCs w:val="17"/>
          <w:color w:val="auto"/>
        </w:rPr>
        <w:t>”). 1,392,972 of the Reload Warrants bear down-round protection clauses; as a result, they will be classified as a long term derivative liability and recorded at fair value. Fair value, in the total amount of $1.5 million was calculated using the Black-Scholes-Merton and the Monte-Carlo models, using the following assumptions: 72.89% expected volatility, a risk-free interest rate of 0.79%, estimated life of 5 years and no dividend yield. The fair value of the common stock was $1.76. Vringo estimates there is a 30% probability that down-round protection will be activated in September 2012.</w:t>
      </w:r>
    </w:p>
    <w:p>
      <w:pPr>
        <w:spacing w:after="0" w:line="7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Had Vringo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Vringo’s net loss and net loss per share amounts could have been significantly different.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As part of the process of preparing Vringo’s consolidated financial statements, Vringo is required to estimate its income taxes in each of the jurisdictions in which Vringo operates. This process involves management estimating Vringo’s actual current tax exposure together with assessing temporary differences resulting from differing treatment of items for tax and accounting purposes. These differences result in deferred tax assets and liabilities, which are included within Vringo’s consolidated balance sheet. Vringo must then assess the likelihood that its deferred tax assets will be recovered from future taxable income and, to the extent Vringo believes that recovery is not more likely than not, Vringo must establish a valuation allowance. Significant management judgment is required in determining Vringo’s provision for income taxes, Vringo’s deferred tax assets and liabilities and any valuation allowance recorded against Vringo’s net deferred tax assets. At December 31, 2011, Vringo has fully offset its U.S. net deferred tax asset with a valuation allowance. Vringo’s lack of earnings history and the uncertainty surrounding its ability to generate U.S. taxable income prior to the expiration of such deferred tax assets were the primary factors considered by management in establishing the valuation allowance.</w:t>
      </w:r>
    </w:p>
    <w:p>
      <w:pPr>
        <w:spacing w:after="0" w:line="76"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ASC 740, “</w:t>
      </w:r>
      <w:r>
        <w:rPr>
          <w:rFonts w:ascii="Arial" w:cs="Arial" w:eastAsia="Arial" w:hAnsi="Arial"/>
          <w:sz w:val="16"/>
          <w:szCs w:val="16"/>
          <w:i w:val="1"/>
          <w:iCs w:val="1"/>
          <w:color w:val="auto"/>
        </w:rPr>
        <w:t>Income Taxes</w:t>
      </w:r>
      <w:r>
        <w:rPr>
          <w:rFonts w:ascii="Arial" w:cs="Arial" w:eastAsia="Arial" w:hAnsi="Arial"/>
          <w:sz w:val="16"/>
          <w:szCs w:val="16"/>
          <w:color w:val="auto"/>
        </w:rPr>
        <w:t>” (formerly FASB Interpretation No. 48, “</w:t>
      </w:r>
      <w:r>
        <w:rPr>
          <w:rFonts w:ascii="Arial" w:cs="Arial" w:eastAsia="Arial" w:hAnsi="Arial"/>
          <w:sz w:val="16"/>
          <w:szCs w:val="16"/>
          <w:i w:val="1"/>
          <w:iCs w:val="1"/>
          <w:color w:val="auto"/>
        </w:rPr>
        <w:t>Accounting for Uncertainty in Income Taxes — 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FASB Statement 109</w:t>
      </w:r>
      <w:r>
        <w:rPr>
          <w:rFonts w:ascii="Arial" w:cs="Arial" w:eastAsia="Arial" w:hAnsi="Arial"/>
          <w:sz w:val="16"/>
          <w:szCs w:val="16"/>
          <w:color w:val="auto"/>
        </w:rPr>
        <w:t>”), prescribes how a company should recognize, measure, present and disclose in its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0"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In December 2011,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Vringo will implement the provisions of ASU 2011-11 as of January 1, 2013. Vringo does not expect this pronouncement to have a material impact on its financial statements.</w:t>
      </w: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INNOVATE/PROTECT’S BUSINESS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Innovate/Protect was formed in June 2011 to maximize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8" w:lineRule="exact"/>
        <w:rPr>
          <w:sz w:val="20"/>
          <w:szCs w:val="20"/>
          <w:color w:val="auto"/>
        </w:rPr>
      </w:pPr>
    </w:p>
    <w:p>
      <w:pPr>
        <w:ind w:left="600" w:hanging="328"/>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Innovate/Protect’s management team and board of directors are comprised of accomplished inventors, experienced investors and persons it believes are leaders in the intellectual property enforcement industry. Innovate/Protect’s management team has access to leading patent attorneys, patent brokers, company liquidators and others who will assist Innovate/Protect in exploring, acquiring, developing and monetizing intellectual property assets. Innovate/Protect believes that the depth and experience of its management provides Innovate/Protect with important competitive strengths as it seeks to execute and expand its business model.</w:t>
      </w:r>
    </w:p>
    <w:p>
      <w:pPr>
        <w:spacing w:after="0" w:line="57"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While Innovate/Protect’s present operations are limited to prosecuting its initial claims relating to the Lycos’s patents, its plan of operation over the next 12 months, in addition to continuing the prosecution of such claims, will be to expand its business through acquisitions of additional patent and other intellectual property assets that it will seek to monetize.</w:t>
      </w:r>
    </w:p>
    <w:p>
      <w:pPr>
        <w:spacing w:after="0" w:line="62"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Innovate/Protect was incorporated under the laws of the State of Delaware on June 8, 2011. On September 6, 2011, it changed its name from Labrador Search Corporation to Innovate/Protect, Inc. Innovate/Protect has two wholly-owned subsidiaries, I/P Engine and I/P Labs. I/P Engine was incorporated in Virginia on June 14, 2011 under the name Smart Search Labs, Inc. and its name was changed from Smart Search Labs, Inc. to I/P Engine, Inc. in September 2011. I/P Labs was incorporated in Delaware on June 8, 2011 under the name Scottish Terrier Capital, Inc. and its name was changed from Scottish Terrier Capital, Inc. to I/P Labs, Inc. in September 2011.</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Background of the Lycos Patents</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Upon formation in June 2011, Innovate/Protect acquired its initial patent assets from Lycos through its wholly-owned subsidiary, I/P Engine. Such assets were comprised of eight patents (the “</w:t>
      </w:r>
      <w:r>
        <w:rPr>
          <w:rFonts w:ascii="Arial" w:cs="Arial" w:eastAsia="Arial" w:hAnsi="Arial"/>
          <w:sz w:val="17"/>
          <w:szCs w:val="17"/>
          <w:b w:val="1"/>
          <w:bCs w:val="1"/>
          <w:color w:val="auto"/>
        </w:rPr>
        <w:t>Lycos Patents</w:t>
      </w:r>
      <w:r>
        <w:rPr>
          <w:rFonts w:ascii="Arial" w:cs="Arial" w:eastAsia="Arial" w:hAnsi="Arial"/>
          <w:sz w:val="17"/>
          <w:szCs w:val="17"/>
          <w:color w:val="auto"/>
        </w:rPr>
        <w:t>”) relating to information filtering and search technologies. Andrew Kennedy Lang, Innovate/Protect’s Chief Executive Officer, Chief Technology Officer, President and director, and Donald Kosak, a consultant to I/P Engine, are the inventors of the Lycos Patents. As described further below, Innovate/Protect is initially seeking to monetize the Lycos Patents through litigation.</w:t>
      </w:r>
    </w:p>
    <w:p>
      <w:pPr>
        <w:spacing w:after="0" w:line="68"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In the mid-to-late 1990s, the amount of content (e.g., web pages) available on the Internet was relatively small compared to today. Users frequently accessed Internet web pages by visiting portal sites, which presented content categorized into directories through which the users could select links to available web pages. Lycos was one of the leading portal sites of this time, which initially launched its website in 1994. Lycos’ website included a directory-based portal and a query-based search engine, pursuant to which both systems provided access to its content catalog. By 1996, Lycos’ content catalog had grown substantially and it was one of the largest websites of its kind. Other large portal search sites at the time also maintained large content catalogs. As the volume of available Internet content continued to grow, manual categorization processes presented efficiency and resource challenges in terms of the amount of material to be categorized and the accuracy of such categorization.</w:t>
      </w:r>
    </w:p>
    <w:p>
      <w:pPr>
        <w:spacing w:after="0" w:line="6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Lycos engaged WiseWire Corporation, which was formed by Mr. Lang in 1995 and also employed Mr. Kosak, to develop filtering techniques to more efficiently, and automatically, categorize content for Lycos’ directories. Messrs. Lang and Kosak adapted their filtering techniques to apply to search systems and invented</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6" w:name="page147"/>
    <w:bookmarkEnd w:id="14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290" w:lineRule="auto"/>
        <w:rPr>
          <w:sz w:val="20"/>
          <w:szCs w:val="20"/>
          <w:color w:val="auto"/>
        </w:rPr>
      </w:pPr>
      <w:r>
        <w:rPr>
          <w:rFonts w:ascii="Arial" w:cs="Arial" w:eastAsia="Arial" w:hAnsi="Arial"/>
          <w:sz w:val="16"/>
          <w:szCs w:val="16"/>
          <w:color w:val="auto"/>
        </w:rPr>
        <w:t>filtering systems and methods that filter items such as web pages and advertisements for content relevancy to a search query (known as a wire). Messrs. Lang and Kosak’s inventions incorporate feedback information from prior users, and in filtering the items, combine the provided feedback information with the content relevancy information to determine whether (or where) an item should be included, or ranked, in a search results response to the query or the wire. After working together on several projects for Lycos’ website, Lycos acquired WiseWire for $39.75 million. Messrs. Lang and Kosak then joined Lycos, with Mr. Lang as Chief Technology Officer and Mr. Kosak as Senior Director of Engineering. Mr. Kosak later became Lycos’ Chief Technology Officer.</w:t>
      </w:r>
    </w:p>
    <w:p>
      <w:pPr>
        <w:spacing w:after="0" w:line="56"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The Lycos Patents are comprised of eight patents relating to information filtering and search technologies. Below is a summary of the Lycos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51600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96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Application</w:t>
            </w:r>
          </w:p>
        </w:tc>
        <w:tc>
          <w:tcPr>
            <w:tcW w:w="80" w:type="dxa"/>
            <w:vAlign w:val="bottom"/>
          </w:tcPr>
          <w:p>
            <w:pPr>
              <w:spacing w:after="0"/>
              <w:rPr>
                <w:sz w:val="12"/>
                <w:szCs w:val="12"/>
                <w:color w:val="auto"/>
              </w:rPr>
            </w:pPr>
          </w:p>
        </w:tc>
        <w:tc>
          <w:tcPr>
            <w:tcW w:w="9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6"/>
              </w:rPr>
              <w:t>Country</w:t>
            </w:r>
          </w:p>
        </w:tc>
        <w:tc>
          <w:tcPr>
            <w:tcW w:w="10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Filing</w:t>
            </w:r>
          </w:p>
        </w:tc>
        <w:tc>
          <w:tcPr>
            <w:tcW w:w="8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3"/>
              </w:rPr>
              <w:t>Patent</w:t>
            </w:r>
          </w:p>
        </w:tc>
        <w:tc>
          <w:tcPr>
            <w:tcW w:w="100" w:type="dxa"/>
            <w:vAlign w:val="bottom"/>
          </w:tcPr>
          <w:p>
            <w:pPr>
              <w:spacing w:after="0"/>
              <w:rPr>
                <w:sz w:val="12"/>
                <w:szCs w:val="12"/>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780" w:type="dxa"/>
            <w:vAlign w:val="bottom"/>
          </w:tcPr>
          <w:p>
            <w:pPr>
              <w:ind w:left="60"/>
              <w:spacing w:after="0" w:line="140" w:lineRule="exact"/>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2"/>
                <w:szCs w:val="12"/>
                <w:color w:val="auto"/>
              </w:rPr>
            </w:pPr>
          </w:p>
        </w:tc>
        <w:tc>
          <w:tcPr>
            <w:tcW w:w="2520" w:type="dxa"/>
            <w:vAlign w:val="bottom"/>
          </w:tcPr>
          <w:p>
            <w:pPr>
              <w:ind w:left="1120"/>
              <w:spacing w:after="0" w:line="140" w:lineRule="exact"/>
              <w:rPr>
                <w:sz w:val="20"/>
                <w:szCs w:val="20"/>
                <w:color w:val="auto"/>
              </w:rPr>
            </w:pPr>
            <w:r>
              <w:rPr>
                <w:rFonts w:ascii="Arial" w:cs="Arial" w:eastAsia="Arial" w:hAnsi="Arial"/>
                <w:sz w:val="14"/>
                <w:szCs w:val="14"/>
                <w:b w:val="1"/>
                <w:bCs w:val="1"/>
                <w:color w:val="auto"/>
              </w:rPr>
              <w:t>Title</w:t>
            </w:r>
          </w:p>
        </w:tc>
      </w:tr>
      <w:tr>
        <w:trPr>
          <w:trHeight w:val="170"/>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r>
      <w:tr>
        <w:trPr>
          <w:trHeight w:val="184"/>
        </w:trPr>
        <w:tc>
          <w:tcPr>
            <w:tcW w:w="960" w:type="dxa"/>
            <w:vAlign w:val="bottom"/>
          </w:tcPr>
          <w:p>
            <w:pPr>
              <w:ind w:left="20"/>
              <w:spacing w:after="0"/>
              <w:rPr>
                <w:sz w:val="20"/>
                <w:szCs w:val="20"/>
                <w:color w:val="auto"/>
              </w:rPr>
            </w:pPr>
            <w:r>
              <w:rPr>
                <w:rFonts w:ascii="Arial" w:cs="Arial" w:eastAsia="Arial" w:hAnsi="Arial"/>
                <w:sz w:val="16"/>
                <w:szCs w:val="16"/>
                <w:color w:val="auto"/>
              </w:rPr>
              <w:t>09204149</w:t>
            </w: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12/03/1998</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6314420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11/06/2001</w:t>
            </w:r>
          </w:p>
        </w:tc>
        <w:tc>
          <w:tcPr>
            <w:tcW w:w="10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w w:val="92"/>
              </w:rPr>
              <w:t>12/03/2018</w:t>
            </w:r>
          </w:p>
        </w:tc>
        <w:tc>
          <w:tcPr>
            <w:tcW w:w="100" w:type="dxa"/>
            <w:vAlign w:val="bottom"/>
          </w:tcPr>
          <w:p>
            <w:pPr>
              <w:spacing w:after="0"/>
              <w:rPr>
                <w:sz w:val="15"/>
                <w:szCs w:val="15"/>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2"/>
              </w:rPr>
              <w:t>Collaborative/Adaptive Search Engine</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10045198</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10/22/2001</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6775664</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08/10/2004</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w w:val="94"/>
              </w:rPr>
              <w:t>10/22/2021  Information Filter System and Method</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for Integrated Content-Based and</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Collaborative/Adaptive Feedback</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Queries</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08627436</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04/04/1996</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5867799</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02/02/1999</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w w:val="98"/>
              </w:rPr>
              <w:t>04/04/2016  An Information System and Method</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for Filtering a Massive Flow of</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Information Entities to Meet User</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Information Classification Needs</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09186407</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11/05/1998</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5983214</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11/09/1999</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rPr>
              <w:t>11/05/2018  System and Method Employing</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7"/>
              </w:rPr>
              <w:t>Individual User Content-Based Data</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0"/>
              </w:rPr>
              <w:t>and User Collaborative Feedback Data</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to Evaluate the Content of an</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Information Entity in a Large</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6"/>
              </w:rPr>
              <w:t>Information Communication Network</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09195709</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11/19/1998</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6029161</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02/22/2000</w:t>
            </w:r>
          </w:p>
        </w:tc>
        <w:tc>
          <w:tcPr>
            <w:tcW w:w="880" w:type="dxa"/>
            <w:vAlign w:val="bottom"/>
            <w:gridSpan w:val="2"/>
          </w:tcPr>
          <w:p>
            <w:pPr>
              <w:ind w:left="120"/>
              <w:spacing w:after="0"/>
              <w:rPr>
                <w:sz w:val="20"/>
                <w:szCs w:val="20"/>
                <w:color w:val="auto"/>
              </w:rPr>
            </w:pPr>
            <w:r>
              <w:rPr>
                <w:rFonts w:ascii="Arial" w:cs="Arial" w:eastAsia="Arial" w:hAnsi="Arial"/>
                <w:sz w:val="16"/>
                <w:szCs w:val="16"/>
                <w:color w:val="auto"/>
                <w:w w:val="92"/>
              </w:rPr>
              <w:t>11/19/2018</w:t>
            </w: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Multi-level Mindpool System</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Especially Adapted to Provide</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8"/>
              </w:rPr>
              <w:t>Collaborative Filter Data for a Large</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Scale Information Filtering System</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09195708</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11/19/1998</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6308175</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10/23/2001</w:t>
            </w:r>
          </w:p>
        </w:tc>
        <w:tc>
          <w:tcPr>
            <w:tcW w:w="880" w:type="dxa"/>
            <w:vAlign w:val="bottom"/>
            <w:gridSpan w:val="2"/>
          </w:tcPr>
          <w:p>
            <w:pPr>
              <w:ind w:left="120"/>
              <w:spacing w:after="0"/>
              <w:rPr>
                <w:sz w:val="20"/>
                <w:szCs w:val="20"/>
                <w:color w:val="auto"/>
              </w:rPr>
            </w:pPr>
            <w:r>
              <w:rPr>
                <w:rFonts w:ascii="Arial" w:cs="Arial" w:eastAsia="Arial" w:hAnsi="Arial"/>
                <w:sz w:val="16"/>
                <w:szCs w:val="16"/>
                <w:color w:val="auto"/>
                <w:w w:val="92"/>
              </w:rPr>
              <w:t>11/19/2018</w:t>
            </w: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Integrated Collaborative/Content-</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Based Filter Structure Employing</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Selectively Shared, Content-Based</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w w:val="98"/>
              </w:rPr>
              <w:t>Profile Data to Evaluate Information</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Entities in a Massive Information</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Network</w:t>
            </w:r>
          </w:p>
        </w:tc>
      </w:tr>
      <w:tr>
        <w:trPr>
          <w:trHeight w:val="200"/>
        </w:trPr>
        <w:tc>
          <w:tcPr>
            <w:tcW w:w="960" w:type="dxa"/>
            <w:vAlign w:val="bottom"/>
          </w:tcPr>
          <w:p>
            <w:pPr>
              <w:ind w:left="20"/>
              <w:spacing w:after="0"/>
              <w:rPr>
                <w:sz w:val="20"/>
                <w:szCs w:val="20"/>
                <w:color w:val="auto"/>
              </w:rPr>
            </w:pPr>
            <w:r>
              <w:rPr>
                <w:rFonts w:ascii="Arial" w:cs="Arial" w:eastAsia="Arial" w:hAnsi="Arial"/>
                <w:sz w:val="16"/>
                <w:szCs w:val="16"/>
                <w:color w:val="auto"/>
              </w:rPr>
              <w:t>09587144</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06/02/2000</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6640218</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10/28/2003</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w w:val="96"/>
              </w:rPr>
              <w:t>06/02/2020  Estimating the Usefulness of an Item</w:t>
            </w:r>
          </w:p>
        </w:tc>
      </w:tr>
      <w:tr>
        <w:trPr>
          <w:trHeight w:val="200"/>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in a Collection of Information</w:t>
            </w:r>
          </w:p>
        </w:tc>
      </w:tr>
      <w:tr>
        <w:trPr>
          <w:trHeight w:val="205"/>
        </w:trPr>
        <w:tc>
          <w:tcPr>
            <w:tcW w:w="960" w:type="dxa"/>
            <w:vAlign w:val="bottom"/>
          </w:tcPr>
          <w:p>
            <w:pPr>
              <w:ind w:left="20"/>
              <w:spacing w:after="0"/>
              <w:rPr>
                <w:sz w:val="20"/>
                <w:szCs w:val="20"/>
                <w:color w:val="auto"/>
              </w:rPr>
            </w:pPr>
            <w:r>
              <w:rPr>
                <w:rFonts w:ascii="Arial" w:cs="Arial" w:eastAsia="Arial" w:hAnsi="Arial"/>
                <w:sz w:val="16"/>
                <w:szCs w:val="16"/>
                <w:color w:val="auto"/>
              </w:rPr>
              <w:t>09803540</w:t>
            </w: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United States</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03/09/2001</w:t>
            </w:r>
          </w:p>
        </w:tc>
        <w:tc>
          <w:tcPr>
            <w:tcW w:w="86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7228493</w:t>
            </w:r>
          </w:p>
        </w:tc>
        <w:tc>
          <w:tcPr>
            <w:tcW w:w="88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06/05/2007</w:t>
            </w:r>
          </w:p>
        </w:tc>
        <w:tc>
          <w:tcPr>
            <w:tcW w:w="100" w:type="dxa"/>
            <w:vAlign w:val="bottom"/>
          </w:tcPr>
          <w:p>
            <w:pPr>
              <w:spacing w:after="0"/>
              <w:rPr>
                <w:sz w:val="17"/>
                <w:szCs w:val="17"/>
                <w:color w:val="auto"/>
              </w:rPr>
            </w:pPr>
          </w:p>
        </w:tc>
        <w:tc>
          <w:tcPr>
            <w:tcW w:w="3400" w:type="dxa"/>
            <w:vAlign w:val="bottom"/>
            <w:gridSpan w:val="3"/>
          </w:tcPr>
          <w:p>
            <w:pPr>
              <w:ind w:left="20"/>
              <w:spacing w:after="0"/>
              <w:rPr>
                <w:sz w:val="20"/>
                <w:szCs w:val="20"/>
                <w:color w:val="auto"/>
              </w:rPr>
            </w:pPr>
            <w:r>
              <w:rPr>
                <w:rFonts w:ascii="Arial" w:cs="Arial" w:eastAsia="Arial" w:hAnsi="Arial"/>
                <w:sz w:val="16"/>
                <w:szCs w:val="16"/>
                <w:color w:val="auto"/>
              </w:rPr>
              <w:t>03/09/2021  Serving Content to a Client</w:t>
            </w:r>
          </w:p>
        </w:tc>
      </w:tr>
    </w:tbl>
    <w:p>
      <w:pPr>
        <w:spacing w:after="0" w:line="98" w:lineRule="exact"/>
        <w:rPr>
          <w:sz w:val="20"/>
          <w:szCs w:val="20"/>
          <w:color w:val="auto"/>
        </w:rPr>
      </w:pPr>
    </w:p>
    <w:p>
      <w:pPr>
        <w:jc w:val="both"/>
        <w:ind w:left="60" w:right="619" w:firstLine="267"/>
        <w:spacing w:after="0" w:line="281" w:lineRule="auto"/>
        <w:rPr>
          <w:sz w:val="20"/>
          <w:szCs w:val="20"/>
          <w:color w:val="auto"/>
        </w:rPr>
      </w:pPr>
      <w:r>
        <w:rPr>
          <w:rFonts w:ascii="Arial" w:cs="Arial" w:eastAsia="Arial" w:hAnsi="Arial"/>
          <w:sz w:val="17"/>
          <w:szCs w:val="17"/>
          <w:color w:val="auto"/>
        </w:rPr>
        <w:t>The Senior Secured Notes issued to Hudson Bay and discussed further below are secured by a first priority perfected security interest in all of Innovate/Protect’s and Innovate/Protect’s subsidiaries’ assets, including but not limited to the patents described above, as evidenced by a pledge and security agreement and guaranties of the subsidiaries of Innovate/Protect.</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Background on Intellectual Property Asset Enforcement Market</w:t>
      </w:r>
    </w:p>
    <w:p>
      <w:pPr>
        <w:spacing w:after="0" w:line="118"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The United States patent system grants the holder of a patent the exclusive right to exclude others from practicing the patented technology for the term of the patent, and leaves the holder to his, her or its own devices to enforce these rights when such patented technology is infringed upon by others. The term of a patent is the maximum period during which it can be maintained into force. Under current United States law, the term of a patent is 20 years from the earliest claimed filing date (which can be extended via Patent Term Adjustment and Patent Term Extension). For applications filed before June 8, 1995, the term is 17 years from the issue date or 20 years from the earliest claimed domestic priority date, the longer term applying.</w:t>
      </w:r>
    </w:p>
    <w:p>
      <w:pPr>
        <w:spacing w:after="0" w:line="200" w:lineRule="exact"/>
        <w:rPr>
          <w:sz w:val="20"/>
          <w:szCs w:val="20"/>
          <w:color w:val="auto"/>
        </w:rPr>
      </w:pPr>
    </w:p>
    <w:p>
      <w:pPr>
        <w:spacing w:after="0" w:line="3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Aggrieved patent holders may seek to bring enforcement actions against the infringing parties. They may engage attorneys on a full-fee basis, or enter into a contingency agreement. In a contingency arrangement, attorneys seek a portion of the revenue derived from licensing the patented technology.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Innovate/Protect’s Initial Litigation</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52"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57"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8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83"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85"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52"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On February 15, 2012, the Court entered a scheduling order in the case setting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for June 4, 2012 and trial for October 16, 2012.</w:t>
      </w:r>
    </w:p>
    <w:p>
      <w:pPr>
        <w:spacing w:after="0" w:line="6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On March 15, 2012, Google submitted a request to the USPTO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U.S. Patent No. 6,314,420, one of the two patents-in-suit. Innovate/Protect expected Google to seek reexamination and believes this request is a standard and typical tactic used by defendants in patent litigation cases. As of March 30, 2012, the USPTO has not agreed to reexamine the patents, the first step in a process that ordinarily takes several years. This filing has not resulted in any delay of the dates set out in the Court’s scheduling order dated February 15, 2012.</w:t>
      </w:r>
    </w:p>
    <w:p>
      <w:pPr>
        <w:spacing w:after="0" w:line="85"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Within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process, the court will interpret the patent claims to establish the boundary markings of the claimed technology. Each claim comprises a set of limitations: specific terms or phrases that define the technology covered by the claim. The parties will apply that claim construction when presenting the case to the jury.</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Although Innovate/Protect’s intention is to expand its business through the acquisition of additional patent and intellectual property assets, the viability of Innovate/Protect currently depends on the outcome of this lawsuit.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Growth Strategy</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Through Innovate/Protect’s wholly owned subsidiary, I/P Engine, Innovate/Protect intends to continue to seek to generate license revenue and related cash flows from parties who infringe on or use the Lycos Patents.</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addition to prosecuting and seeking to monetize Innovate/Protect’s rights in the Lycos Patents, Innovate/Protect intends to acquire additional intellectual property assets and monetize the value therefrom, although it is not a party to any agreement or understanding to acquire any such assets as of the date of this prospectus.</w:t>
      </w:r>
    </w:p>
    <w:p>
      <w:pPr>
        <w:spacing w:after="0" w:line="78"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color w:val="auto"/>
        </w:rPr>
        <w:t>A key element of Innovate/Protect’s business plan will be its ability to provide liquidity to inventors and other intellectual property holders by allowing them to sell all of, or interests in, such intellectual property to Innovate/Protect in exchange for cash or other interests. Such other interests could include interests in existing intellectual property litigation claims. Leveraging the extensive experience of Innovate/Protect’s management, through engaging in a robust due diligence and risk underwriting process aimed at evaluating the merits and potential value of these assets, Innovate/Protect seeks to structure its investments in these assets in a manner that will create the potential for Innovate/Protect to achieve superior risk-adjusted returns. Innovate/Protect believes that its capital resources and potential access to capital, together with the strength of its management team in the intellectual property arena, will allow Innovate/Protect to assemble a portfolio of quality assets with short- and long-term revenue opportunities.</w:t>
      </w:r>
    </w:p>
    <w:p>
      <w:pPr>
        <w:spacing w:after="0" w:line="91"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Innovate/Protect also intends to seek the continued involvement of the inventors of the respective intellectual property assets, and intend to partner with such inventors in its efforts to maximize the revenue that can be realized from the intellectual property assets. Innovate/Protect believes that involving the respective inventors in the monetization of their inventions will make it an attractive partner for the inventor community, and Innovate/Protect believes that securing access to the inventors’ knowledge will help it in its efforts to monetize these assets.</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Beyond potential licensing or other revenue Innovate/Protect may receive from companies that make use of its intellectual property, Innovate/Protect believes there are further opportunities to generate revenue from companies that could improve their products and revenue through the addition of Innovate/Protect’s technology to their products. In addition to being a potential revenue source for Innovate/Protect, this aspect of Innovate/Protect’s business may lead to further innovations and new intellectual property being developed, which it will seek to retain and monetize.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Innovate/Protect expects to encounter significant competition from others seeking to acquire interests in intellectual property assets and monetize such assets. Most of Innovate/Protect’s competitors have much longer operating histories, and significantly greater financial and human resources, than it has. Entities such as VirnetX (NYSE:VHC), Acacia Research Corporation (NASDAQ:ACTG), Allied Security Trust, Altitude Capital Partners, Augme Technologies Inc. (OTCBB:AUGT) Intellectual Ventures, Coller IP, Ocean Tomo, RPX Corporation (NASDAQ:RPXC), Rembrandt IP Management and others presently market themselves as being in the business of creating, acquiring, licensing or leveraging the value of intellectual property assets. Innovate/Protect expects others to enter the market as the true value of intellectual property is increasingly recognized and validated. In addition, competitors may seek to acquire the same or similar patents and technologies that it may seek to acquire, making it more difficult for Innovate/Protect to realize the value of its assets.</w:t>
      </w: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Relationship with Hudson Bay Master Fund Ltd.</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Hudson Bay is the principal stockholder of Innovate/Protect and holds significant control rights with respect to the management of its business and assets. On June 22, 2011, Innovate/Protect consummated a private placement transaction with Hudson Bay whereby Hudson Bay purchased 6,968 shares of Innovate/Protect’s Series A Preferred for $1,800,000 and Senior Secured Note of Innovate/Protect in the aggregate principal amount of $3,200,000.</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shares of Series A Preferred may be converted by Hudson Bay into shares of Innovate/Protect’s common stock. The conversion formula is subject to adjustments and anti-dilution protections, including but not limited to, adjusting the conversion price to account for the issuance of additional securities by Innovate/Protect below the existing conversion price and for stock splits, stock dividends and recapitalizations of Innovate/Protect’s capital stock.</w:t>
      </w:r>
    </w:p>
    <w:p>
      <w:pPr>
        <w:spacing w:after="0" w:line="83"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Hudson Bay is entitled to vote the shares of Series A Preferred on an as converted basis, giving Hudson Bay effective control over Innovate/Protect, and as the Series A Preferred holder, Hudson Bay is entitled to vote together with the holders of the common stock as a single class on all matters. As the holder of Series A Preferred, Hudson Bay also has the right to vote separately as a class to elect a majority of Innovate/Protect’s board of directors and the terms of the Series A Preferred restricts Innovate/Protect from performing certain actions without the prior consent of Hudson Bay.</w:t>
      </w:r>
    </w:p>
    <w:p>
      <w:pPr>
        <w:spacing w:after="0" w:line="6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At Hudson Bay’s option, the shares of the Series A Preferred are also subject to redemption upon certain triggering events such as (i) Innovate/Protect’s failure or refusal to convert the Series A Preferred into shares of common stock, (ii) Innovate/Protect’s failure to have a sufficient number of authorized shares of common stock reserved for conversion of the Series A Preferred, (iii) any default, redemption or acceleration of any indebtedness of Innovate/Protect or its subsidiaries, (iv) Innovate/Protect voluntarily commences a bankruptcy proceeding on Innovate/Protect’s behalf, Innovate/Protect consents to involuntary bankruptcy, appointment of a receiver, trustee, assignee, liquidator or similar official for bankruptcy purposes, a general assignment for the benefit of creditors or admit in writing that Innovate/Protect is generally unable to pay its debts as they become due, or (v) a judgment against Innovate/Protect in an amount in excess of $250,000. In addition, pursuant to the terms of the Series A Preferred, Innovate/Protect’s board of directors must obtain written approval from Hudson Bay to issue any capital stock superior, pari-passu or junior in rank to the Series A Preferred.</w:t>
      </w:r>
    </w:p>
    <w:p>
      <w:pPr>
        <w:spacing w:after="0" w:line="79"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Pursuant to its terms, the Senior Secured Note matures on June 22, 2014 and accrues interest at a rate of 0.46%, with interest being payable on the first calendar day of each quarter after the issuance date. In the event of default, the interest rate will increase to 18%. The Senior Secured Note is also subject to redemption rights, whereby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Innovate/Protect to redeem up to $2,000,000 of the aggregate principal amount of the Senior Secured Note.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In addition, Hudson Bay agreed that until the earlier of (i) any termination of the Merger Agreement pursuant to the terms of the Merger Agreement and (ii) the effective time of the Merger, it shall not sell, transfer, dispose of or encumber (x) the Senior Secured Note or any portion thereof or interest thereon unless the recipient of such Senior Secured Note agrees in writing with Innovate/Protect to adhere to Hudson Bay’s obligations pursuant to the letter agreement or (y) any shares of Innovate/Protect Series A Stock, unless the recipient of such Innovate/Protect Series A Stock grants Hudson Bay a proxy with respect to the voting of such Innovate/Protect Series A Stock with respect to the Merger Agreement, the Merger and any related matter or agrees in writing with Hudson Bay to vote in accordance with any and all instructions that Hudson Bay may deliver to such recipient with respect to the Merger Agreement, the Merger or any related</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334" w:lineRule="auto"/>
        <w:rPr>
          <w:sz w:val="20"/>
          <w:szCs w:val="20"/>
          <w:color w:val="auto"/>
        </w:rPr>
      </w:pPr>
      <w:r>
        <w:rPr>
          <w:rFonts w:ascii="Arial" w:cs="Arial" w:eastAsia="Arial" w:hAnsi="Arial"/>
          <w:sz w:val="16"/>
          <w:szCs w:val="16"/>
          <w:color w:val="auto"/>
        </w:rPr>
        <w:t>matter. The Senior Secured Note ranks senior to all outstanding and future indebtedness of Innovate/Protect and is secured by a first priority perfected security interest in all of Innovate/Protect and its subsidiaries’ assets (including the Lycos Patents).</w:t>
      </w:r>
    </w:p>
    <w:p>
      <w:pPr>
        <w:spacing w:after="0" w:line="23"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September 1, 2011, Innovate/Protect issued to Hudson Bay a warrant to purchase 250,000 shares of common stock in exchange for Hudson Bay agreeing to waive its anti-dilution rights with respect to certain transactions and for waiving its right to future directors’ fees for its principals. The warrant is exercisable for five years to purchase one share of Innovate/Protect’s common stock at an exercise price of $1.00 per share. Such warrant is immediately exercisable and subject to cashless exercise provisions.</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Yoav Roth, the former chairman of Innovate/Protect’s board of directors, is a founding partner of Hudson Bay Capital Management LP, the investment manager of Hudson Bay. Mr. Roth tendered his resignation from Innovate/Protect’s board of directors, effective March 15, 2012. Alexander R. Berger, Innovate/Protect’s Secretary, Treasurer, Chief Operating Officer, Chief Financial Officer and Director, was an employee of Hudson Bay Capital from February 2008 to August 2011, most recently as Vice President.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Previous Financings</w:t>
      </w:r>
    </w:p>
    <w:p>
      <w:pPr>
        <w:spacing w:after="0" w:line="118"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Innovate/Protect raised an aggregate of $5,145,229 through the sale of its common stock to investors other than Hudson Bay pursuant to private placement transactions. Such private placements are described below.</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On August 31, 2011, Innovate/Protect closed a private placement of 1,250,000 shares of its common stock to an aggregate of five accredited investors for an aggregate purchase price of $1,250,000.</w:t>
      </w:r>
    </w:p>
    <w:p>
      <w:pPr>
        <w:spacing w:after="0" w:line="69"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As of March 30, 2012, Innovate/Protect had three full-time employees and one part-time employee. None of Innovate/Protect’s employees are subject to a collective bargaining agreement, and Innovate/Protect believes its employee relations to be good.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Facilities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Innovate/Protect leases its principal executive offices at 380 Madison Avenue, 22nd Floor, New York, New York.</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Innovate/Protect’s lease term ends in January 25, 2014. Innovate/Protect pays $3,602 per month for its headquarters space.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Other than Innovate/Protect’s subsidiary I/P Engine’s litigation against AOL, Inc., Google, Inc., IAC Search &amp; Media, Inc., Gannett Company, Inc. and Target Corporation as described herein, Innovate/Protect is not currently a party to any legal proceedings.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49" w:lineRule="exact"/>
        <w:rPr>
          <w:sz w:val="20"/>
          <w:szCs w:val="20"/>
          <w:color w:val="auto"/>
        </w:rPr>
      </w:pPr>
    </w:p>
    <w:p>
      <w:pPr>
        <w:jc w:val="both"/>
        <w:ind w:left="40" w:right="639"/>
        <w:spacing w:after="0" w:line="221" w:lineRule="auto"/>
        <w:rPr>
          <w:sz w:val="20"/>
          <w:szCs w:val="20"/>
          <w:color w:val="auto"/>
        </w:rPr>
      </w:pPr>
      <w:r>
        <w:rPr>
          <w:rFonts w:ascii="Arial" w:cs="Arial" w:eastAsia="Arial" w:hAnsi="Arial"/>
          <w:sz w:val="18"/>
          <w:szCs w:val="18"/>
          <w:color w:val="auto"/>
        </w:rPr>
        <w:t>principal offices are located at 380 Madison Avenue,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York, New York 10017 and its telephone number is (212) 309-7549. Innovate/Protect’s principal website is </w:t>
      </w:r>
      <w:r>
        <w:rPr>
          <w:rFonts w:ascii="Arial" w:cs="Arial" w:eastAsia="Arial" w:hAnsi="Arial"/>
          <w:sz w:val="18"/>
          <w:szCs w:val="18"/>
          <w:i w:val="1"/>
          <w:iCs w:val="1"/>
          <w:color w:val="auto"/>
        </w:rPr>
        <w:t>www.InnovateProtect.com</w:t>
      </w:r>
      <w:r>
        <w:rPr>
          <w:rFonts w:ascii="Arial" w:cs="Arial" w:eastAsia="Arial" w:hAnsi="Arial"/>
          <w:sz w:val="18"/>
          <w:szCs w:val="18"/>
          <w:color w:val="auto"/>
        </w:rPr>
        <w:t>. The information on or that can be accessed through Innovate/Protect’s website is not part of this proxy statement/prospectus.</w:t>
      </w: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line="275" w:lineRule="auto"/>
        <w:rPr>
          <w:sz w:val="20"/>
          <w:szCs w:val="20"/>
          <w:color w:val="auto"/>
        </w:rPr>
      </w:pPr>
      <w:r>
        <w:rPr>
          <w:rFonts w:ascii="Arial" w:cs="Arial" w:eastAsia="Arial" w:hAnsi="Arial"/>
          <w:sz w:val="18"/>
          <w:szCs w:val="18"/>
          <w:b w:val="1"/>
          <w:bCs w:val="1"/>
          <w:color w:val="auto"/>
        </w:rPr>
        <w:t>INNOVATE/PROTECT’S MANAGEMENT’S DISCUSSION AND ANALYSIS OF FINANCIAL CONDITION AND RESULTS OF OPERATIONS</w:t>
      </w:r>
    </w:p>
    <w:p>
      <w:pPr>
        <w:spacing w:after="0" w:line="64"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i w:val="1"/>
          <w:iCs w:val="1"/>
          <w:color w:val="auto"/>
        </w:rPr>
        <w:t>This discussion of Innovate/Protect’s financial condition and results of operations should be read together with the consolidated financial statements and notes contained elsewhere in this proxy statement/prospectus. Certain statements in this section and other sections are forward-looking. While Innovate/Protect believes these statements are accurate, its business is dependent on many factors, some of which are discussed in the sections entitled “Risk Factors” and “Innovate/Protect’s Business.” Many of these factors are beyond Innovate/Protect’s control and any of these and other factors could cause actual results to differ materially from the forward-looking statements made in this proxy statement/prospectus. See the section entitled “Risk Factors” for further information regarding these factors. Innovate/Protect undertakes no obligation to release publicly the results of any revisions to the statements contained in this report to reflect events or circumstances that occur subsequent to the date of this proxy statement/prospectus.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 and Plan of Operations</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Innovate/Protect is a recently formed development stage company and has generated no revenues to date. Innovate/Protect’s strategic objective is to maximize, for inventors and investors, the economic benefits of intellectual property assets. Innovate/Protect’s business model is to leverage the extensive background and expertise of its management and advisors to acquire or internally develop patents and other intellectual property assets (or interests therein), and to then monetize these assets through a variety of value-enhancing initiatives, including, but not limited to, licensing, customized technology solutions, strategic partnerships and litigation.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its inception in June 2011, Innovate/Protect has been engaged in the following activities:</w:t>
      </w:r>
    </w:p>
    <w:p>
      <w:pPr>
        <w:spacing w:after="0" w:line="114" w:lineRule="exact"/>
        <w:rPr>
          <w:sz w:val="20"/>
          <w:szCs w:val="20"/>
          <w:color w:val="auto"/>
        </w:rPr>
      </w:pPr>
    </w:p>
    <w:p>
      <w:pPr>
        <w:ind w:left="600" w:hanging="328"/>
        <w:spacing w:after="0"/>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securing initial debt and equity capital from Hudson Bay;</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performing due diligence on, negotiating and completing the purchase of the Lycos Patents;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recruiting management team, board of directors and advisors;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establishing a physical location from which to operate;</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establishing systems of internal control over financial reporting and implementation of financial operation systems;</w:t>
      </w:r>
    </w:p>
    <w:p>
      <w:pPr>
        <w:spacing w:after="0" w:line="125" w:lineRule="exact"/>
        <w:rPr>
          <w:rFonts w:ascii="Arial" w:cs="Arial" w:eastAsia="Arial" w:hAnsi="Arial"/>
          <w:sz w:val="17"/>
          <w:szCs w:val="17"/>
          <w:color w:val="auto"/>
        </w:rPr>
      </w:pPr>
    </w:p>
    <w:p>
      <w:pPr>
        <w:ind w:left="600" w:hanging="328"/>
        <w:spacing w:after="0"/>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securing subsequent equity capital from private investors;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initiating and prosecuting lawsuit against those Innovate/Protect believes infringe on the Lycos Patents;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developing Innovate/Protect’s business plan as described herein and planning for future business activities; and</w:t>
      </w:r>
    </w:p>
    <w:p>
      <w:pPr>
        <w:spacing w:after="0" w:line="125" w:lineRule="exact"/>
        <w:rPr>
          <w:rFonts w:ascii="Arial" w:cs="Arial" w:eastAsia="Arial" w:hAnsi="Arial"/>
          <w:sz w:val="17"/>
          <w:szCs w:val="17"/>
          <w:color w:val="auto"/>
        </w:rPr>
      </w:pPr>
    </w:p>
    <w:p>
      <w:pPr>
        <w:ind w:left="600" w:right="639" w:hanging="328"/>
        <w:spacing w:after="0" w:line="270" w:lineRule="auto"/>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selecting registered independent auditing firm and undertaking an audit of financial statements from inception through December 31, 2011; and</w:t>
      </w:r>
    </w:p>
    <w:p>
      <w:pPr>
        <w:spacing w:after="0" w:line="68"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Identifying and pursuing general and specific strategic opportunities and engaging in discussions intended to further develop the opportunities.</w:t>
      </w:r>
    </w:p>
    <w:p>
      <w:pPr>
        <w:spacing w:after="0" w:line="65" w:lineRule="exact"/>
        <w:rPr>
          <w:sz w:val="20"/>
          <w:szCs w:val="20"/>
          <w:color w:val="auto"/>
        </w:rPr>
      </w:pPr>
    </w:p>
    <w:p>
      <w:pPr>
        <w:ind w:left="40" w:right="639" w:firstLine="267"/>
        <w:spacing w:after="0" w:line="275" w:lineRule="auto"/>
        <w:rPr>
          <w:sz w:val="20"/>
          <w:szCs w:val="20"/>
          <w:color w:val="auto"/>
        </w:rPr>
      </w:pPr>
      <w:r>
        <w:rPr>
          <w:rFonts w:ascii="Arial" w:cs="Arial" w:eastAsia="Arial" w:hAnsi="Arial"/>
          <w:sz w:val="18"/>
          <w:szCs w:val="18"/>
          <w:color w:val="auto"/>
        </w:rPr>
        <w:t>On March 12, 2012, Innovate/Protect entered into an Agreement and Plan of Merger with Vringo, Inc. (“</w:t>
      </w:r>
      <w:r>
        <w:rPr>
          <w:rFonts w:ascii="Arial" w:cs="Arial" w:eastAsia="Arial" w:hAnsi="Arial"/>
          <w:sz w:val="18"/>
          <w:szCs w:val="18"/>
          <w:b w:val="1"/>
          <w:bCs w:val="1"/>
          <w:color w:val="auto"/>
        </w:rPr>
        <w:t>Vringo</w:t>
      </w:r>
      <w:r>
        <w:rPr>
          <w:rFonts w:ascii="Arial" w:cs="Arial" w:eastAsia="Arial" w:hAnsi="Arial"/>
          <w:sz w:val="18"/>
          <w:szCs w:val="18"/>
          <w:color w:val="auto"/>
        </w:rPr>
        <w:t>”) and VIP Merger Sub, Inc. (the “</w:t>
      </w:r>
      <w:r>
        <w:rPr>
          <w:rFonts w:ascii="Arial" w:cs="Arial" w:eastAsia="Arial" w:hAnsi="Arial"/>
          <w:sz w:val="18"/>
          <w:szCs w:val="18"/>
          <w:b w:val="1"/>
          <w:bCs w:val="1"/>
          <w:color w:val="auto"/>
        </w:rPr>
        <w:t>Merger Agreement</w:t>
      </w:r>
      <w:r>
        <w:rPr>
          <w:rFonts w:ascii="Arial" w:cs="Arial" w:eastAsia="Arial" w:hAnsi="Arial"/>
          <w:sz w:val="18"/>
          <w:szCs w:val="18"/>
          <w:color w:val="auto"/>
        </w:rPr>
        <w:t>”).</w:t>
      </w:r>
    </w:p>
    <w:p>
      <w:pPr>
        <w:spacing w:after="0" w:line="64" w:lineRule="exact"/>
        <w:rPr>
          <w:sz w:val="20"/>
          <w:szCs w:val="20"/>
          <w:color w:val="auto"/>
        </w:rPr>
      </w:pPr>
    </w:p>
    <w:p>
      <w:pPr>
        <w:ind w:left="40" w:right="619" w:firstLine="267"/>
        <w:spacing w:after="0" w:line="334" w:lineRule="auto"/>
        <w:rPr>
          <w:sz w:val="20"/>
          <w:szCs w:val="20"/>
          <w:color w:val="auto"/>
        </w:rPr>
      </w:pPr>
      <w:r>
        <w:rPr>
          <w:rFonts w:ascii="Arial" w:cs="Arial" w:eastAsia="Arial" w:hAnsi="Arial"/>
          <w:sz w:val="16"/>
          <w:szCs w:val="16"/>
          <w:color w:val="auto"/>
        </w:rPr>
        <w:t>Innovate/Protect’s financial operating results for the period from inception through December 31, 2011 reflect these activities, which activities are discussed in further detail in the section of this prospectus captioned “Innovate/Protect’s Business.”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Innovate/Protect’s plan of operation for the foreseeable future will be to:</w:t>
      </w:r>
    </w:p>
    <w:p>
      <w:pPr>
        <w:spacing w:after="0" w:line="114" w:lineRule="exact"/>
        <w:rPr>
          <w:sz w:val="20"/>
          <w:szCs w:val="20"/>
          <w:color w:val="auto"/>
        </w:rPr>
      </w:pPr>
    </w:p>
    <w:p>
      <w:pPr>
        <w:jc w:val="both"/>
        <w:ind w:left="600" w:right="639" w:hanging="328"/>
        <w:spacing w:after="0" w:line="281" w:lineRule="auto"/>
        <w:tabs>
          <w:tab w:leader="none" w:pos="6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continue prosecution of the litigation against AOL, Inc., Google, Inc., IAC Search &amp; Media, Inc., Gannett Company, Inc., and Target Corporation for infringement of the Lycos Patents, with a goal of achieving a positive verdict or settlement (including, potentially, a licensing arrangement on terms beneficial to Innovate/Protect); and</w:t>
      </w: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00" w:right="619" w:hanging="328"/>
        <w:spacing w:after="0" w:line="270" w:lineRule="auto"/>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the extent that time and resources allow, seek strategic opportunities and seek to acquire or internally develop additional intellectual property assets that Innovate/Protect will then seek to monetize.</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Formation and Issuance and Valuation of Securities at Inception</w:t>
      </w:r>
    </w:p>
    <w:p>
      <w:pPr>
        <w:spacing w:after="0" w:line="118"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Innovate/Protect was incorporated under the laws of the state of Delaware on June 8, 2011 under the name Labrador Search Corporation. On September 6, 2011, Innovate/Protect changed its name to Innovate/Protect, Inc. Innovate/Protect is a holding company, which, at December 31, 2011, owned 100% of the issued and outstanding common stock of I/P Engine and I/P Labs.</w:t>
      </w:r>
    </w:p>
    <w:p>
      <w:pPr>
        <w:spacing w:after="0" w:line="45"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I/P Engine was incorporated in Virginia on June 14, 2011 as Smart Search Labs, Inc. and changed its name to I/P Engine, Inc. on September 9, 2011. I/P Engine is the current holder of the Lycos Patents (which Innovate/Protect contributed to I/P Engine at its formation), through which Innovate/Protect is prosecuting its initial litigation relating to the Lycos Patents and through which Innovate/Protect will also seek to acquire and monetize other intellectual property assets in the future.</w:t>
      </w:r>
    </w:p>
    <w:p>
      <w:pPr>
        <w:spacing w:after="0" w:line="6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I/P Labs was incorporated in Delaware on June 8, 2011 as Scottish Terrier Capital, Inc. and changed its name to I/P Labs, Inc. on September 9, 2011. Through I/P Labs, Innovate/Protect will seek to internally develop its own intellectual property assets and provide consulting services to other intellectual property owners.</w:t>
      </w:r>
    </w:p>
    <w:p>
      <w:pPr>
        <w:spacing w:after="0" w:line="7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At inception, Innovate/Protect was funded with a loan of $3,200,000 and a $1,800,000 investment of Series A Preferred from a single investor, Hudson Bay. Hudson Bay funded $3,200,000 as a loan in the form of a Senior Secured Note, which bears interest at a rate of 0.46% per annum. Given the development stage and speculative nature of Innovate/Protect, it is not likely that Innovate/Protect could have acquired external debt funding at any reasonable interest rate, thus the interest rate being paid to Hudson Bay is significantly more favorable than rates Innovate/Protect could have negotiated externally. The $3,200,000 amount of the Senior Secured Note was intended to approximate the purchase price of the Lycos Patents. The loan evidenced by the Senior Secured Note is for a term of 36 months.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to redeem up to $2,000,000 of the aggregate principal amount of the Senior Secured Note.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w:t>
      </w:r>
    </w:p>
    <w:p>
      <w:pPr>
        <w:spacing w:after="0" w:line="72"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The Senior Secured Note ranks senior to all outstanding and future indebtedness of Innovate/Protect and is secured by a first priority perfected security interest in all of Innovate/Protect’s and its subsidiaries’ assets (including the Lycos Patents).</w:t>
      </w:r>
    </w:p>
    <w:p>
      <w:pPr>
        <w:spacing w:after="0" w:line="46"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Hudson Bay’s $1,800,000 investment in the shares of Series A Preferred was initially convertible on demand into 6,968,000 shares of Innovate/Protect common stock. The initial valuation of the Series A Preferred was developed by dividing the $1,800,000 investment by 6,968,000 common shares, presuming Hudson Bay’s ultimate conversion of their Series A Preferred into common stock. This calculation resulted in an initial valuation of $0.25832 per share of common stock, which was used to calculate certain subsequent common stock grants or sales. Because Hudson Bay’s investment in the Series A Preferred occurred at the earliest stage of Innovate/Protect’s formation, prior to the conduct of any business activity, it does not lend itself to a comparison of any known comparable market transactions.</w:t>
      </w:r>
    </w:p>
    <w:p>
      <w:pPr>
        <w:spacing w:after="0" w:line="89"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$1,800,000 funding level was determined by reference to Innovate/Protect’s near term funding requirements at the time, reflecting expected cash needs in excess of the Lycos Patents purchase price, to fund operating expenses which include significant legal expenses required to seek monetization of the Lycos Patents, and to retain a modest contingency for unforeseen expenses until additional private equity funding</w:t>
      </w: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3" w:name="page154"/>
    <w:bookmarkEnd w:id="15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39"/>
        <w:spacing w:after="0" w:line="297" w:lineRule="auto"/>
        <w:rPr>
          <w:sz w:val="20"/>
          <w:szCs w:val="20"/>
          <w:color w:val="auto"/>
        </w:rPr>
      </w:pPr>
      <w:r>
        <w:rPr>
          <w:rFonts w:ascii="Arial" w:cs="Arial" w:eastAsia="Arial" w:hAnsi="Arial"/>
          <w:sz w:val="16"/>
          <w:szCs w:val="16"/>
          <w:color w:val="auto"/>
        </w:rPr>
        <w:t>could be achieved. Such additional equity funding occurred during the period from July to December 2011 in the form of multiple separate private placement transactions priced at $1.00, $3.00 and $3.30 per share. The increasing price at which shares were sold to private investors, including members of Innovate/Protect’s board of directors, reflected Innovate/Protect’s achievement of certain milestones such as the filing of the initial lawsuit relating to the Lycos Patents and the recruitment of additional board members.</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The following table reflects Innovate/Protect’s consolidated operating results from June 8, 2011 (Inception)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47015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62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4"/>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4"/>
        </w:trPr>
        <w:tc>
          <w:tcPr>
            <w:tcW w:w="6240" w:type="dxa"/>
            <w:vAlign w:val="bottom"/>
          </w:tcPr>
          <w:p>
            <w:pPr>
              <w:ind w:left="180"/>
              <w:spacing w:after="0"/>
              <w:rPr>
                <w:sz w:val="20"/>
                <w:szCs w:val="20"/>
                <w:color w:val="auto"/>
              </w:rPr>
            </w:pPr>
            <w:r>
              <w:rPr>
                <w:rFonts w:ascii="Arial" w:cs="Arial" w:eastAsia="Arial" w:hAnsi="Arial"/>
                <w:sz w:val="18"/>
                <w:szCs w:val="18"/>
                <w:color w:val="auto"/>
              </w:rPr>
              <w:t>Legal</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1,012,100</w:t>
            </w:r>
          </w:p>
        </w:tc>
      </w:tr>
      <w:tr>
        <w:trPr>
          <w:trHeight w:val="214"/>
        </w:trPr>
        <w:tc>
          <w:tcPr>
            <w:tcW w:w="6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996,913</w:t>
            </w:r>
          </w:p>
        </w:tc>
      </w:tr>
      <w:tr>
        <w:trPr>
          <w:trHeight w:val="214"/>
        </w:trPr>
        <w:tc>
          <w:tcPr>
            <w:tcW w:w="6240" w:type="dxa"/>
            <w:vAlign w:val="bottom"/>
          </w:tcPr>
          <w:p>
            <w:pPr>
              <w:ind w:left="180"/>
              <w:spacing w:after="0"/>
              <w:rPr>
                <w:sz w:val="20"/>
                <w:szCs w:val="20"/>
                <w:color w:val="auto"/>
              </w:rPr>
            </w:pPr>
            <w:r>
              <w:rPr>
                <w:rFonts w:ascii="Arial" w:cs="Arial" w:eastAsia="Arial" w:hAnsi="Arial"/>
                <w:sz w:val="18"/>
                <w:szCs w:val="18"/>
                <w:color w:val="auto"/>
              </w:rPr>
              <w:t>Startup and organizational costs</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105,971</w:t>
            </w:r>
          </w:p>
        </w:tc>
      </w:tr>
      <w:tr>
        <w:trPr>
          <w:trHeight w:val="214"/>
        </w:trPr>
        <w:tc>
          <w:tcPr>
            <w:tcW w:w="6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213,192</w:t>
            </w:r>
          </w:p>
        </w:tc>
      </w:tr>
      <w:tr>
        <w:trPr>
          <w:trHeight w:val="214"/>
        </w:trPr>
        <w:tc>
          <w:tcPr>
            <w:tcW w:w="6240" w:type="dxa"/>
            <w:vAlign w:val="bottom"/>
          </w:tcPr>
          <w:p>
            <w:pPr>
              <w:ind w:left="180"/>
              <w:spacing w:after="0"/>
              <w:rPr>
                <w:sz w:val="20"/>
                <w:szCs w:val="20"/>
                <w:color w:val="auto"/>
              </w:rPr>
            </w:pPr>
            <w:r>
              <w:rPr>
                <w:rFonts w:ascii="Arial" w:cs="Arial" w:eastAsia="Arial" w:hAnsi="Arial"/>
                <w:sz w:val="18"/>
                <w:szCs w:val="18"/>
                <w:color w:val="auto"/>
              </w:rPr>
              <w:t>Amortization and depreciation</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328,278</w:t>
            </w:r>
          </w:p>
        </w:tc>
      </w:tr>
      <w:tr>
        <w:trPr>
          <w:trHeight w:val="20"/>
        </w:trPr>
        <w:tc>
          <w:tcPr>
            <w:tcW w:w="6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2,746,454</w:t>
            </w:r>
          </w:p>
        </w:tc>
      </w:tr>
      <w:tr>
        <w:trPr>
          <w:trHeight w:val="214"/>
        </w:trPr>
        <w:tc>
          <w:tcPr>
            <w:tcW w:w="62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7,728</w:t>
            </w:r>
          </w:p>
        </w:tc>
      </w:tr>
      <w:tr>
        <w:trPr>
          <w:trHeight w:val="234"/>
        </w:trPr>
        <w:tc>
          <w:tcPr>
            <w:tcW w:w="6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loss applicable to common shareholders</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(2,754,182)</w:t>
            </w:r>
          </w:p>
        </w:tc>
      </w:tr>
      <w:tr>
        <w:trPr>
          <w:trHeight w:val="20"/>
        </w:trPr>
        <w:tc>
          <w:tcPr>
            <w:tcW w:w="62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118" w:lineRule="exact"/>
        <w:rPr>
          <w:sz w:val="20"/>
          <w:szCs w:val="20"/>
          <w:color w:val="auto"/>
        </w:rPr>
      </w:pPr>
    </w:p>
    <w:p>
      <w:pPr>
        <w:jc w:val="both"/>
        <w:ind w:left="60" w:right="619" w:firstLine="267"/>
        <w:spacing w:after="0" w:line="284" w:lineRule="auto"/>
        <w:rPr>
          <w:sz w:val="20"/>
          <w:szCs w:val="20"/>
          <w:color w:val="auto"/>
        </w:rPr>
      </w:pPr>
      <w:r>
        <w:rPr>
          <w:rFonts w:ascii="Arial" w:cs="Arial" w:eastAsia="Arial" w:hAnsi="Arial"/>
          <w:sz w:val="16"/>
          <w:szCs w:val="16"/>
          <w:color w:val="auto"/>
        </w:rPr>
        <w:t>Operating and administrative expenses for the period from inception through December 31, 2011 reflect expenses incurred in connection with Innovate/Protect’s formation and commencement of operations. The net loss for the period of $2,754,182 is not comparable to a previous period. The loss for the period includes legal expenses totaling $1,208,071, of which $105,971 were to organize Innovate/Protect, and $1,102,100 to prepare and file a lawsuit against those Innovate/Protect believes have infringed on the Lycos Patents. Compensation expense includes $141,996 of salary and expenses directly related to the salaries of two executive officers, and $474,108 of stock-based compensation to the two executive officers, two members of the board and a consultant. Amortization and depreciation includes $327,596 of patent amortization expenses and $682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$195,188, have been capitalized in the cost of the patents and are being amortized along with the purchase price.</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Interest expense was $7,728 for the period. This reflects an interest rate of 0.46% on the principal amount of $3,200,000 under the Senior Secured Note held by Hudson Bay for ten days in June and for the remainder of the year ended December 31, 2011. Of the $7,728, all was paid in cash and none was accrued at December 31, 2011.</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18" w:lineRule="exact"/>
        <w:rPr>
          <w:sz w:val="20"/>
          <w:szCs w:val="20"/>
          <w:color w:val="auto"/>
        </w:rPr>
      </w:pPr>
    </w:p>
    <w:p>
      <w:pPr>
        <w:jc w:val="both"/>
        <w:ind w:left="60" w:right="619"/>
        <w:spacing w:after="0" w:line="292" w:lineRule="auto"/>
        <w:rPr>
          <w:sz w:val="20"/>
          <w:szCs w:val="20"/>
          <w:color w:val="auto"/>
        </w:rPr>
      </w:pPr>
      <w:r>
        <w:rPr>
          <w:rFonts w:ascii="Arial" w:cs="Arial" w:eastAsia="Arial" w:hAnsi="Arial"/>
          <w:sz w:val="16"/>
          <w:szCs w:val="16"/>
          <w:b w:val="1"/>
          <w:bCs w:val="1"/>
          <w:i w:val="1"/>
          <w:iCs w:val="1"/>
          <w:color w:val="auto"/>
        </w:rPr>
        <w:t xml:space="preserve">Related party debt: </w:t>
      </w:r>
      <w:r>
        <w:rPr>
          <w:rFonts w:ascii="Arial" w:cs="Arial" w:eastAsia="Arial" w:hAnsi="Arial"/>
          <w:sz w:val="16"/>
          <w:szCs w:val="16"/>
          <w:color w:val="auto"/>
        </w:rPr>
        <w:t>The Company is obligated under a note payable to Hudson Bay with an outstanding balance of $3,200,000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2011 (the “</w:t>
      </w:r>
      <w:r>
        <w:rPr>
          <w:rFonts w:ascii="Arial" w:cs="Arial" w:eastAsia="Arial" w:hAnsi="Arial"/>
          <w:sz w:val="16"/>
          <w:szCs w:val="16"/>
          <w:b w:val="1"/>
          <w:bCs w:val="1"/>
          <w:color w:val="auto"/>
        </w:rPr>
        <w:t>Hudson Bay Note</w:t>
      </w:r>
      <w:r>
        <w:rPr>
          <w:rFonts w:ascii="Arial" w:cs="Arial" w:eastAsia="Arial" w:hAnsi="Arial"/>
          <w:sz w:val="16"/>
          <w:szCs w:val="16"/>
          <w:color w:val="auto"/>
        </w:rPr>
        <w:t>”).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57"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Hudson Bay has the option of requiring the Company to redeem up to $2,000,000 aggregate principal of the Hudson Bay Note beginning March 22, 2012. In connection with Innovate/Protect entering into the Merger Agreement, on March 12, 2012, Hudson Bay (for itself and any assignee or other holder of the Note) agreed</w:t>
      </w:r>
    </w:p>
    <w:p>
      <w:pPr>
        <w:spacing w:after="0" w:line="200" w:lineRule="exact"/>
        <w:rPr>
          <w:sz w:val="20"/>
          <w:szCs w:val="20"/>
          <w:color w:val="auto"/>
        </w:rPr>
      </w:pP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7"/>
          <w:szCs w:val="17"/>
          <w:color w:val="auto"/>
        </w:rPr>
        <w:t>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2011, there were no known conditions of default.</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6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 Company will evaluate the fair value of the derivative each reporting period and report changes in the fair value as other income (expense), net.</w:t>
      </w:r>
    </w:p>
    <w:p>
      <w:pPr>
        <w:spacing w:after="0" w:line="69"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has made the following types of stock-based awards, valued and reflected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as follows:</w:t>
      </w:r>
    </w:p>
    <w:p>
      <w:pPr>
        <w:spacing w:after="0" w:line="6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b w:val="1"/>
          <w:bCs w:val="1"/>
          <w:i w:val="1"/>
          <w:iCs w:val="1"/>
          <w:color w:val="auto"/>
        </w:rPr>
        <w:t xml:space="preserve">Common Stock Grants: </w:t>
      </w:r>
      <w:r>
        <w:rPr>
          <w:rFonts w:ascii="Arial" w:cs="Arial" w:eastAsia="Arial" w:hAnsi="Arial"/>
          <w:sz w:val="18"/>
          <w:szCs w:val="18"/>
          <w:color w:val="auto"/>
        </w:rPr>
        <w:t>Common stock grants are valued at their fair market value at the date of the grant, multiplied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granted. These grants are reflected as compensation expense in the period during which the respective awards vest, ranging from immediate to 36 months from the grant dates.</w:t>
      </w:r>
    </w:p>
    <w:p>
      <w:pPr>
        <w:spacing w:after="0" w:line="7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b w:val="1"/>
          <w:bCs w:val="1"/>
          <w:i w:val="1"/>
          <w:iCs w:val="1"/>
          <w:color w:val="auto"/>
        </w:rPr>
        <w:t xml:space="preserve">Sales of Common Stock at Less than Fair Market Value: </w:t>
      </w:r>
      <w:r>
        <w:rPr>
          <w:rFonts w:ascii="Arial" w:cs="Arial" w:eastAsia="Arial" w:hAnsi="Arial"/>
          <w:sz w:val="16"/>
          <w:szCs w:val="16"/>
          <w:color w:val="auto"/>
        </w:rPr>
        <w:t>Common stock sales at less than fair market value to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5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b w:val="1"/>
          <w:bCs w:val="1"/>
          <w:i w:val="1"/>
          <w:iCs w:val="1"/>
          <w:color w:val="auto"/>
        </w:rPr>
        <w:t xml:space="preserve">Common Stock Options: </w:t>
      </w:r>
      <w:r>
        <w:rPr>
          <w:rFonts w:ascii="Arial" w:cs="Arial" w:eastAsia="Arial" w:hAnsi="Arial"/>
          <w:sz w:val="18"/>
          <w:szCs w:val="18"/>
          <w:color w:val="auto"/>
        </w:rPr>
        <w:t>Common stock options are valued at their fair market value at the time the options are granted,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Black-Scholes option pricing model for valuing stock-based compensation awards. Common stock options are reflected as compensation expense in the period during which they vest.</w:t>
      </w:r>
    </w:p>
    <w:p>
      <w:pPr>
        <w:spacing w:after="0" w:line="78" w:lineRule="exact"/>
        <w:rPr>
          <w:sz w:val="20"/>
          <w:szCs w:val="20"/>
          <w:color w:val="auto"/>
        </w:rPr>
      </w:pPr>
    </w:p>
    <w:p>
      <w:pPr>
        <w:jc w:val="both"/>
        <w:ind w:left="40" w:right="619"/>
        <w:spacing w:after="0" w:line="252" w:lineRule="auto"/>
        <w:rPr>
          <w:sz w:val="20"/>
          <w:szCs w:val="20"/>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At inception, the Company determined the fair value of each common share to be $.25832.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determined the amount of capital it estimated would be 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86"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30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Deferred income tax assets and liabilities are determined using the asset and liability method. Under this method,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45"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A valuation allowance is recorded when it is more likely than not that some portion or all of the deferred tax assets will not be realized.</w:t>
      </w:r>
    </w:p>
    <w:p>
      <w:pPr>
        <w:spacing w:after="0" w:line="69"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83"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7"/>
          <w:szCs w:val="17"/>
          <w:b w:val="1"/>
          <w:bCs w:val="1"/>
          <w:i w:val="1"/>
          <w:iCs w:val="1"/>
          <w:color w:val="auto"/>
        </w:rPr>
        <w:t xml:space="preserve">Intangible assets: </w:t>
      </w:r>
      <w:r>
        <w:rPr>
          <w:rFonts w:ascii="Arial" w:cs="Arial" w:eastAsia="Arial" w:hAnsi="Arial"/>
          <w:sz w:val="17"/>
          <w:szCs w:val="17"/>
          <w:color w:val="auto"/>
        </w:rPr>
        <w:t>Intangible assets consist of patents that were purchased and the costs to acquire them. They are amortized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As a development stage company, Innovate/Protect requires, and expects for the foreseeable future that Innovate/Protect will continue to require, significant amounts of capital to support its operations prior to the commencement of a revenue stream or other liquidity events. Because of the nature of Innovate/Protect’s business, capital is required to support Innovate/Protect’s substantial legal costs, as well as, its normal operating costs. Innovate/Protect has developed a budget outlining its expected legal and operating costs, including contingencies for unforeseen costs and delays over the next twelve (12) months. Innovate/Protect does not have adequate funds to operate for the next twelve (12) months. Through the merger with Vringo, Innovate/Protect will have access to the joint companies’ cash resources. Alternatively, Innovate/Protect would need to raise capital from investors in a private placement of its securities.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Hudson Bay Senior Secured Note</w:t>
      </w:r>
    </w:p>
    <w:p>
      <w:pPr>
        <w:spacing w:after="0" w:line="114"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Innovate/Protect is obligated under a Senior Secured Note payable to Hudson Bay with an outstanding balance of $3,200,000 at December 31, 2011. The Senior Secured Note accrues interest at 0.46% per annum and matures on June 22, 2014.</w:t>
      </w:r>
    </w:p>
    <w:p>
      <w:pPr>
        <w:spacing w:after="0" w:line="23"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Hudson Bay has the option of requiring Innovate/Protect to redeem up to $2,000,000 aggregate principal of the Senior Secured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Innovate/Protect has granted Hudson Bay a security interest in all of its tangible and intangible personal property (including the Lycos Patents) to secure its obligations under the Senior Secured Note.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Working Capital and Capital Expenditure Needs</w:t>
      </w:r>
    </w:p>
    <w:p>
      <w:pPr>
        <w:spacing w:after="0" w:line="118"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As of December 31, 2011, Innovate/Protect had cash of $5,212,142 and working capital of $2,789,563. However, changes in operating plans (including, without limitation, changes made necessary by developments in Innovate/Protect’s pending litigation), increased expenses, additional intellectual property acquisitions, other events or other strategic alternatives Innovate/Protect may pursue make it very likely that Innovate/Protect will require additional equity or debt financing in the future. There is no assurance that additional financing will be available upon future terms acceptable to Innovate/Protect, or at all.</w:t>
      </w: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For the period from inception through December 31, 2011, Innovate/Protect used $4,933,083 of net cash to fund operating activities and to invest in tangible personal and intangible intellectual property. Despite Innovate/Protect’s capital raising activities to date, given the factors noted above, there is no assurance that Innovate/Protect will continue to be able to raise the capital or generate revenue necessary to fund ongoing operations at the current level. As such, absent future capital raises or revenue generation, there remains substantial doubt about Innovate/Protect’s ability to continue as a going concern.</w:t>
      </w:r>
    </w:p>
    <w:p>
      <w:pPr>
        <w:spacing w:after="0" w:line="5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Although Innovate/Protect is currently not a party to any agreement or letter of intent with respect to potential investments in, or acquisitions of, intellectual property assets, it is Innovate/Protect’s stated plan to pursue these types of arrangements in the future, which could also require Innovate/Protect to seek additional equity or debt financing. Innovate/Protect currently has no plans, proposals or arrangements with respect to any specific acquisition.</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may  raise  additional  capital  in  the  form  of  equity  or  debt.  The  issuance  of  additional  shares  of</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Innovate/Protect’s capital stock:</w:t>
      </w:r>
    </w:p>
    <w:p>
      <w:pPr>
        <w:spacing w:after="0" w:line="101" w:lineRule="exact"/>
        <w:rPr>
          <w:sz w:val="20"/>
          <w:szCs w:val="20"/>
          <w:color w:val="auto"/>
        </w:rPr>
      </w:pPr>
    </w:p>
    <w:p>
      <w:pPr>
        <w:ind w:left="600" w:hanging="328"/>
        <w:spacing w:after="0"/>
        <w:tabs>
          <w:tab w:leader="none" w:pos="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Innovate/Protect stockholders;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may cause economic dilution to Innovate/Protect stockholders;</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to the holders of Innovate/Protect common stock; and</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Innovate/Protect common stock.</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Similarly, if Innovate/Protect incurs substantial debt, it could result in:</w:t>
      </w:r>
    </w:p>
    <w:p>
      <w:pPr>
        <w:spacing w:after="0" w:line="114" w:lineRule="exact"/>
        <w:rPr>
          <w:sz w:val="20"/>
          <w:szCs w:val="20"/>
          <w:color w:val="auto"/>
        </w:rPr>
      </w:pPr>
    </w:p>
    <w:p>
      <w:pPr>
        <w:ind w:left="600" w:right="619" w:hanging="328"/>
        <w:spacing w:after="0" w:line="270" w:lineRule="auto"/>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default and foreclosure on Innovate/Protect’s assets if its operating cash flow is insufficient to pay Innovate/Protect’s debt obligations;</w:t>
      </w:r>
    </w:p>
    <w:p>
      <w:pPr>
        <w:spacing w:after="0" w:line="68" w:lineRule="exact"/>
        <w:rPr>
          <w:rFonts w:ascii="Arial" w:cs="Arial" w:eastAsia="Arial" w:hAnsi="Arial"/>
          <w:sz w:val="18"/>
          <w:szCs w:val="18"/>
          <w:color w:val="auto"/>
        </w:rPr>
      </w:pPr>
    </w:p>
    <w:p>
      <w:pPr>
        <w:jc w:val="both"/>
        <w:ind w:left="600" w:right="639" w:hanging="328"/>
        <w:spacing w:after="0" w:line="255" w:lineRule="auto"/>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acceleration of Innovate/Protect’s obligations to repay the indebtedness (including the Senior Secured Note held by Hudson Bay) even if Innovate/Protect has made all principal and interest payments when due if the debt security contains covenants that require the maintenance of certain financial ratios or reserves and any such covenant is breached without a waiver or renegotiation of that covenant;</w:t>
      </w:r>
    </w:p>
    <w:p>
      <w:pPr>
        <w:spacing w:after="0" w:line="82"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Innovate/Protect’s immediate payment of all principal and accrued interest, if any, if the debt security is payable on demand;</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covenants that limit the ability to acquire capital assets or make additional acquisitions;</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Innovate/Protect’s inability to obtain additional financing, if necessary, if the debt security contains covenants restricting its ability to obtain additional financing while such security is outstanding;</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Innovate/Protect’s inability to pay dividends on its common stock;</w:t>
      </w:r>
    </w:p>
    <w:p>
      <w:pPr>
        <w:spacing w:after="0" w:line="113" w:lineRule="exact"/>
        <w:rPr>
          <w:rFonts w:ascii="Arial" w:cs="Arial" w:eastAsia="Arial" w:hAnsi="Arial"/>
          <w:sz w:val="18"/>
          <w:szCs w:val="18"/>
          <w:color w:val="auto"/>
        </w:rPr>
      </w:pPr>
    </w:p>
    <w:p>
      <w:pPr>
        <w:jc w:val="both"/>
        <w:ind w:left="600" w:right="619" w:hanging="328"/>
        <w:spacing w:after="0" w:line="259" w:lineRule="auto"/>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using a substantial portion of Innovate/Protect’s cash flow to pay principal and interest on its debt, which will reduce the funds available for dividends on Innovate/Protect’s common stock, working capital, capital expenditures, acquisitions and other general corporate purposes;</w:t>
      </w:r>
    </w:p>
    <w:p>
      <w:pPr>
        <w:spacing w:after="0" w:line="78" w:lineRule="exact"/>
        <w:rPr>
          <w:rFonts w:ascii="Arial" w:cs="Arial" w:eastAsia="Arial" w:hAnsi="Arial"/>
          <w:sz w:val="18"/>
          <w:szCs w:val="18"/>
          <w:color w:val="auto"/>
        </w:rPr>
      </w:pPr>
    </w:p>
    <w:p>
      <w:pPr>
        <w:ind w:left="600" w:hanging="328"/>
        <w:spacing w:after="0"/>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limitations on Innovate/Protect’s flexibility in planning for and reacting to changes in its business and industry;</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68" w:lineRule="exact"/>
        <w:rPr>
          <w:rFonts w:ascii="Arial" w:cs="Arial" w:eastAsia="Arial" w:hAnsi="Arial"/>
          <w:sz w:val="18"/>
          <w:szCs w:val="18"/>
          <w:color w:val="auto"/>
        </w:rPr>
      </w:pPr>
    </w:p>
    <w:p>
      <w:pPr>
        <w:jc w:val="both"/>
        <w:ind w:left="600" w:right="639" w:hanging="328"/>
        <w:spacing w:after="0" w:line="259" w:lineRule="auto"/>
        <w:tabs>
          <w:tab w:leader="none" w:pos="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limitations on Innovate/Protect’s ability to borrow additional amounts for working capital, capital expenditures, acquisitions, debt service requirements, execution of its strategy and other purposes; and other disadvantages compared to Innovate/Protect’s competitors who have less debt.</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57" w:name="page158"/>
    <w:bookmarkEnd w:id="15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On June 22, 2011, I/P Engine entered into an engagement letter with legal counsel for services concerning the Lycos Patents. I/P Engine has agreed to pay counsel a combination of fixed fees at a discount to prevailing market rates, plus up to twenty percent (20%) of all recoveries, license fees or other value received from certain parties.</w:t>
      </w:r>
    </w:p>
    <w:p>
      <w:pPr>
        <w:spacing w:after="0" w:line="78" w:lineRule="exact"/>
        <w:rPr>
          <w:sz w:val="20"/>
          <w:szCs w:val="20"/>
          <w:color w:val="auto"/>
        </w:rPr>
      </w:pPr>
    </w:p>
    <w:p>
      <w:pPr>
        <w:jc w:val="both"/>
        <w:ind w:left="60" w:right="619" w:firstLine="267"/>
        <w:spacing w:after="0" w:line="300" w:lineRule="auto"/>
        <w:rPr>
          <w:sz w:val="20"/>
          <w:szCs w:val="20"/>
          <w:color w:val="auto"/>
        </w:rPr>
      </w:pPr>
      <w:r>
        <w:rPr>
          <w:rFonts w:ascii="Arial" w:cs="Arial" w:eastAsia="Arial" w:hAnsi="Arial"/>
          <w:sz w:val="17"/>
          <w:szCs w:val="17"/>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Innovate/Protect’s contractual commitments and obligations as of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80"/>
              <w:spacing w:after="0" w:line="158"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18"/>
              <w:spacing w:after="0" w:line="158" w:lineRule="exact"/>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8"/>
              <w:spacing w:after="0" w:line="158"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0"/>
        </w:trPr>
        <w:tc>
          <w:tcPr>
            <w:tcW w:w="3280" w:type="dxa"/>
            <w:vAlign w:val="bottom"/>
            <w:vMerge w:val="restart"/>
          </w:tcPr>
          <w:p>
            <w:pPr>
              <w:ind w:left="20"/>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3 years</w:t>
            </w:r>
          </w:p>
        </w:tc>
        <w:tc>
          <w:tcPr>
            <w:tcW w:w="0" w:type="dxa"/>
            <w:vAlign w:val="bottom"/>
          </w:tcPr>
          <w:p>
            <w:pPr>
              <w:spacing w:after="0"/>
              <w:rPr>
                <w:sz w:val="1"/>
                <w:szCs w:val="1"/>
                <w:color w:val="auto"/>
              </w:rPr>
            </w:pPr>
          </w:p>
        </w:tc>
      </w:tr>
      <w:tr>
        <w:trPr>
          <w:trHeight w:val="207"/>
        </w:trPr>
        <w:tc>
          <w:tcPr>
            <w:tcW w:w="32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3,240,112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2,014,720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1,225,392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3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3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51,648</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25,824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25,824</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23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3280" w:type="dxa"/>
            <w:vAlign w:val="bottom"/>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3,291,760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2,040,544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1,251,216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Transactions</w:t>
      </w:r>
    </w:p>
    <w:p>
      <w:pPr>
        <w:spacing w:after="0" w:line="118"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Innovate/Protect is not party to any off balance sheet transactions. Innovate/Protect has no guarantees or obligations other than those which arise out of normal business operations.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8"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7"/>
          <w:szCs w:val="17"/>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Innovate/Protect prospectively beginning January 1, 2012. Innovate/Protect expects the adoption of this new guidance will result in an increase of certain of its financial statement disclosures, but the adoption will not have any impact on Innovate/Protect’s financial position or results of operations.</w:t>
      </w:r>
    </w:p>
    <w:p>
      <w:pPr>
        <w:spacing w:after="0" w:line="79"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Innovate/Protect currently does not have any components of other comprehensive income within its consolidated financial statements thus adoption of this new guidance does not impact Innovate/Protect.</w:t>
      </w:r>
    </w:p>
    <w:p>
      <w:pPr>
        <w:spacing w:after="0" w:line="200" w:lineRule="exact"/>
        <w:rPr>
          <w:sz w:val="20"/>
          <w:szCs w:val="20"/>
          <w:color w:val="auto"/>
        </w:rPr>
      </w:pPr>
    </w:p>
    <w:p>
      <w:pPr>
        <w:spacing w:after="0" w:line="29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8" w:name="page159"/>
    <w:bookmarkEnd w:id="15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MANAGEMENT OF THE COMBINED COMPANY FOLLOWING THE MERGER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 and Directors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Merger</w:t>
      </w:r>
    </w:p>
    <w:p>
      <w:pPr>
        <w:spacing w:after="0" w:line="114"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The Vringo board of directors is currently composed of six directors. Pursuant to the Merger Agreement, following the completion of the Merger, the board of directors of the combined company will be composed of seven directors, three of whom are current directors of Vringo and four of whom are current directors of Innovate/Protect.</w:t>
      </w:r>
    </w:p>
    <w:p>
      <w:pPr>
        <w:spacing w:after="0" w:line="78"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lists the names, ages as of March 30, 2012, and positions of the individuals who are expected to serve as executive officers and directors of the combined company upon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507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6507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5"/>
                <w:szCs w:val="15"/>
                <w:color w:val="auto"/>
              </w:rPr>
            </w:pPr>
          </w:p>
        </w:tc>
        <w:tc>
          <w:tcPr>
            <w:tcW w:w="46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Position</w:t>
            </w:r>
          </w:p>
        </w:tc>
      </w:tr>
      <w:tr>
        <w:trPr>
          <w:trHeight w:val="233"/>
        </w:trPr>
        <w:tc>
          <w:tcPr>
            <w:tcW w:w="2060" w:type="dxa"/>
            <w:vAlign w:val="bottom"/>
          </w:tcPr>
          <w:p>
            <w:pPr>
              <w:ind w:left="20"/>
              <w:spacing w:after="0"/>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60" w:type="dxa"/>
            <w:vAlign w:val="bottom"/>
          </w:tcPr>
          <w:p>
            <w:pPr>
              <w:spacing w:after="0"/>
              <w:rPr>
                <w:sz w:val="20"/>
                <w:szCs w:val="20"/>
                <w:color w:val="auto"/>
              </w:rPr>
            </w:pPr>
          </w:p>
        </w:tc>
        <w:tc>
          <w:tcPr>
            <w:tcW w:w="4600" w:type="dxa"/>
            <w:vAlign w:val="bottom"/>
          </w:tcPr>
          <w:p>
            <w:pPr>
              <w:spacing w:after="0" w:line="233" w:lineRule="exact"/>
              <w:rPr>
                <w:sz w:val="20"/>
                <w:szCs w:val="20"/>
                <w:color w:val="auto"/>
              </w:rPr>
            </w:pPr>
            <w:r>
              <w:rPr>
                <w:rFonts w:ascii="Arial" w:cs="Arial" w:eastAsia="Arial" w:hAnsi="Arial"/>
                <w:sz w:val="17"/>
                <w:szCs w:val="17"/>
                <w:color w:val="auto"/>
              </w:rPr>
              <w:t>Chief Executive Officer</w:t>
            </w:r>
            <w:r>
              <w:rPr>
                <w:rFonts w:ascii="Arial" w:cs="Arial" w:eastAsia="Arial" w:hAnsi="Arial"/>
                <w:sz w:val="27"/>
                <w:szCs w:val="27"/>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Andrew Kennedy Lang</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45</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Chief Technology Officer and President</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58</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Chairman of the Board of Directors</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28</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Chief Operating Officer and Secretary</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John Engelman</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54"/>
        </w:trPr>
        <w:tc>
          <w:tcPr>
            <w:tcW w:w="2060" w:type="dxa"/>
            <w:vAlign w:val="bottom"/>
          </w:tcPr>
          <w:p>
            <w:pPr>
              <w:ind w:left="20"/>
              <w:spacing w:after="0"/>
              <w:rPr>
                <w:sz w:val="20"/>
                <w:szCs w:val="20"/>
                <w:color w:val="auto"/>
              </w:rPr>
            </w:pPr>
            <w:r>
              <w:rPr>
                <w:rFonts w:ascii="Arial" w:cs="Arial" w:eastAsia="Arial" w:hAnsi="Arial"/>
                <w:sz w:val="18"/>
                <w:szCs w:val="18"/>
                <w:color w:val="auto"/>
              </w:rPr>
              <w:t>H. Van Sinclair</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22"/>
                <w:szCs w:val="22"/>
                <w:color w:val="auto"/>
              </w:rPr>
            </w:pPr>
          </w:p>
        </w:tc>
        <w:tc>
          <w:tcPr>
            <w:tcW w:w="4600" w:type="dxa"/>
            <w:vAlign w:val="bottom"/>
          </w:tcPr>
          <w:p>
            <w:pPr>
              <w:spacing w:after="0" w:line="253"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27"/>
        </w:trPr>
        <w:tc>
          <w:tcPr>
            <w:tcW w:w="206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600" w:type="dxa"/>
            <w:vAlign w:val="bottom"/>
            <w:gridSpan w:val="2"/>
          </w:tcPr>
          <w:p>
            <w:pPr>
              <w:jc w:val="center"/>
              <w:ind w:left="91"/>
              <w:spacing w:after="0"/>
              <w:rPr>
                <w:sz w:val="20"/>
                <w:szCs w:val="20"/>
                <w:color w:val="auto"/>
              </w:rPr>
            </w:pPr>
            <w:r>
              <w:rPr>
                <w:rFonts w:ascii="Arial" w:cs="Arial" w:eastAsia="Arial" w:hAnsi="Arial"/>
                <w:sz w:val="18"/>
                <w:szCs w:val="18"/>
                <w:color w:val="auto"/>
                <w:w w:val="89"/>
              </w:rPr>
              <w:t>45</w:t>
            </w:r>
          </w:p>
        </w:tc>
        <w:tc>
          <w:tcPr>
            <w:tcW w:w="1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170815</wp:posOffset>
            </wp:positionV>
            <wp:extent cx="6108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Director nominee.</w:t>
      </w:r>
    </w:p>
    <w:p>
      <w:pPr>
        <w:spacing w:after="0" w:line="114" w:lineRule="exact"/>
        <w:rPr>
          <w:sz w:val="20"/>
          <w:szCs w:val="20"/>
          <w:color w:val="auto"/>
        </w:rPr>
      </w:pPr>
    </w:p>
    <w:p>
      <w:pPr>
        <w:jc w:val="both"/>
        <w:ind w:left="60" w:right="619" w:firstLine="267"/>
        <w:spacing w:after="0" w:line="265" w:lineRule="auto"/>
        <w:rPr>
          <w:sz w:val="20"/>
          <w:szCs w:val="20"/>
          <w:color w:val="auto"/>
        </w:rPr>
      </w:pPr>
      <w:r>
        <w:rPr>
          <w:rFonts w:ascii="Arial" w:cs="Arial" w:eastAsia="Arial" w:hAnsi="Arial"/>
          <w:sz w:val="17"/>
          <w:szCs w:val="17"/>
          <w:b w:val="1"/>
          <w:bCs w:val="1"/>
          <w:i w:val="1"/>
          <w:iCs w:val="1"/>
          <w:color w:val="auto"/>
        </w:rPr>
        <w:t xml:space="preserve">Andrew D. Perlman </w:t>
      </w:r>
      <w:r>
        <w:rPr>
          <w:rFonts w:ascii="Arial" w:cs="Arial" w:eastAsia="Arial" w:hAnsi="Arial"/>
          <w:sz w:val="17"/>
          <w:szCs w:val="17"/>
          <w:color w:val="auto"/>
        </w:rPr>
        <w:t>has served as a director of Vringo since September 2009, as Vringo’s President since April 2010 and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Vringo’s Chief Executive Officer since March 2012.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Vringo’s U.S. operations as well as its Senior Vice President Content &amp; Community. In this position, Mr. Perlman managed Vringo’s United States operations and led Vringo’s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75"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Vringo believes Mr. Perlman’s extensive experience in the music and digital media qualifies him to serve on Vringo’s board of directors. His extensive experience and insights gained both as an executive at start-up companies and as a senior executive at EMI are a significant contribution to Vringo and the board of directors.</w:t>
      </w:r>
    </w:p>
    <w:p>
      <w:pPr>
        <w:spacing w:after="0" w:line="74" w:lineRule="exact"/>
        <w:rPr>
          <w:sz w:val="20"/>
          <w:szCs w:val="20"/>
          <w:color w:val="auto"/>
        </w:rPr>
      </w:pPr>
    </w:p>
    <w:p>
      <w:pPr>
        <w:jc w:val="both"/>
        <w:ind w:left="60" w:right="619" w:firstLine="267"/>
        <w:spacing w:after="0" w:line="294" w:lineRule="auto"/>
        <w:rPr>
          <w:sz w:val="20"/>
          <w:szCs w:val="20"/>
          <w:color w:val="auto"/>
        </w:rPr>
      </w:pPr>
      <w:r>
        <w:rPr>
          <w:rFonts w:ascii="Arial" w:cs="Arial" w:eastAsia="Arial" w:hAnsi="Arial"/>
          <w:sz w:val="16"/>
          <w:szCs w:val="16"/>
          <w:b w:val="1"/>
          <w:bCs w:val="1"/>
          <w:color w:val="auto"/>
        </w:rPr>
        <w:t xml:space="preserve">Andrew Kennedy Lang </w:t>
      </w:r>
      <w:r>
        <w:rPr>
          <w:rFonts w:ascii="Arial" w:cs="Arial" w:eastAsia="Arial" w:hAnsi="Arial"/>
          <w:sz w:val="16"/>
          <w:szCs w:val="16"/>
          <w:color w:val="auto"/>
        </w:rPr>
        <w:t>has served as President, Chief Executive Officer, Chief Technology Officer and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Innovate/Protect since June 22, 2011.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Chief Executive Officer of Lightspace Corporation, an active gaming technology company. Mr. Lang is a graduate of Duke University</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where he finished second in his class and holds Bachelor’s degrees in Electrical Engineering, Computer Science, Mathematics, and Physics. Mr. Lang holds a Master’s degree in Computer Science from Carnegie Melon University.</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believes Mr. Lang’s experience with innovation and technology, including his experience as the Chief Technology Officer of Lycos, qualifies him to serve on Vringo’s board of directors following the Merger.</w:t>
      </w:r>
    </w:p>
    <w:p>
      <w:pPr>
        <w:spacing w:after="0" w:line="65"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b w:val="1"/>
          <w:bCs w:val="1"/>
          <w:color w:val="auto"/>
        </w:rPr>
        <w:t xml:space="preserve">Seth M. Siegel </w:t>
      </w:r>
      <w:r>
        <w:rPr>
          <w:rFonts w:ascii="Arial" w:cs="Arial" w:eastAsia="Arial" w:hAnsi="Arial"/>
          <w:sz w:val="16"/>
          <w:szCs w:val="16"/>
          <w:color w:val="auto"/>
        </w:rPr>
        <w:t>has served as a director since May 2006 of Vringo and as Chairman of board of directors of Vringo since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2010. Mr. Siegel has been working in the corporate and entertainment licensing industry since 1982. Mr. Siegel is a co-founder of The Beanstalk Group, a leading brand licensing agency and consultancy and a part of Omnicom Group Inc. (NYSE:OMC). He continues his relationship with both The Beanstalk Group (as a Vice Chairman) and Omnicom (as a consultant on special projects). He is also, since 2007, co-founder and co-Chief Executive Officer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64"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Vringo believes Mr. Siegel’s extensive knowledge of consumer brands and marketing, as well as his leadership experience at The Beanstalk Group qualifies him to serve on Vringo’s board of directors. His extensive experience with leading brands as co-founder and chief executive officer of The Beanstalk Group provide a significant contribution to Vringo and the board of directors.</w:t>
      </w:r>
    </w:p>
    <w:p>
      <w:pPr>
        <w:spacing w:after="0" w:line="41" w:lineRule="exact"/>
        <w:rPr>
          <w:sz w:val="20"/>
          <w:szCs w:val="20"/>
          <w:color w:val="auto"/>
        </w:rPr>
      </w:pPr>
    </w:p>
    <w:p>
      <w:pPr>
        <w:jc w:val="both"/>
        <w:ind w:left="40" w:right="619" w:firstLine="267"/>
        <w:spacing w:after="0" w:line="271" w:lineRule="auto"/>
        <w:rPr>
          <w:sz w:val="20"/>
          <w:szCs w:val="20"/>
          <w:color w:val="auto"/>
        </w:rPr>
      </w:pPr>
      <w:r>
        <w:rPr>
          <w:rFonts w:ascii="Arial" w:cs="Arial" w:eastAsia="Arial" w:hAnsi="Arial"/>
          <w:sz w:val="17"/>
          <w:szCs w:val="17"/>
          <w:b w:val="1"/>
          <w:bCs w:val="1"/>
          <w:color w:val="auto"/>
        </w:rPr>
        <w:t xml:space="preserve">Alexander R. Berger </w:t>
      </w:r>
      <w:r>
        <w:rPr>
          <w:rFonts w:ascii="Arial" w:cs="Arial" w:eastAsia="Arial" w:hAnsi="Arial"/>
          <w:sz w:val="17"/>
          <w:szCs w:val="17"/>
          <w:color w:val="auto"/>
        </w:rPr>
        <w:t>has served as Innovate/Protect’s Chief Operating Officer, Chief Financial Officer, Secretary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Treasurer and a director since inception. Prior to joining Innovate/Protect, from February 2008 to August 2011, Mr. Berger was employed at Hudson Bay Capital Management LP, most recently as a Vice President. From 2005 to 2007, Mr. Berger was an aide to the President’s energy and environmental policy adviser at the White House. As a college student, Mr. Berger developed the Maestro vetting system, which was implemented by the White House staff in 2003 to systematically research individuals and organizations. Mr. Berger holds a Bachelor’s degree in Accounting from The George Washington University.</w:t>
      </w:r>
    </w:p>
    <w:p>
      <w:pPr>
        <w:spacing w:after="0" w:line="70"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believes Mr. Berger’s experience and leadership as an executive officer and director of Innovate/Protect qualify him to serve on Vringo’s board of directors following the Merger.</w:t>
      </w:r>
    </w:p>
    <w:p>
      <w:pPr>
        <w:spacing w:after="0" w:line="6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b w:val="1"/>
          <w:bCs w:val="1"/>
          <w:color w:val="auto"/>
        </w:rPr>
        <w:t xml:space="preserve">John Engelman </w:t>
      </w:r>
      <w:r>
        <w:rPr>
          <w:rFonts w:ascii="Arial" w:cs="Arial" w:eastAsia="Arial" w:hAnsi="Arial"/>
          <w:sz w:val="17"/>
          <w:szCs w:val="17"/>
          <w:color w:val="auto"/>
        </w:rPr>
        <w:t>has served as a director of Vringo since December 2010. Mr. Engelman is a co-founder of Boomerang Media</w:t>
      </w:r>
      <w:r>
        <w:rPr>
          <w:rFonts w:ascii="Arial" w:cs="Arial" w:eastAsia="Arial" w:hAnsi="Arial"/>
          <w:sz w:val="17"/>
          <w:szCs w:val="17"/>
          <w:b w:val="1"/>
          <w:bCs w:val="1"/>
          <w:color w:val="auto"/>
        </w:rPr>
        <w:t xml:space="preserve"> </w:t>
      </w:r>
      <w:r>
        <w:rPr>
          <w:rFonts w:ascii="Arial" w:cs="Arial" w:eastAsia="Arial" w:hAnsi="Arial"/>
          <w:sz w:val="17"/>
          <w:szCs w:val="17"/>
          <w:color w:val="auto"/>
        </w:rPr>
        <w:t>LLC (“Boomerang”), which specializes in the acquisition and global licensing of entertainment brands comprised of evergreen television and motion picture libraries and underlying character-based intellectual property. He currently serves as Co-Chief Executive Officer of Classic Media LLC which was acquired by Boomerang in 2009. Classic Media owns one of the world's most extensive libraries of branded TV, film and publishing properties such as Lassie, the Lone Ranger, Where's Waldo, Rocky &amp; Bullwinkle, George of the Jungle, Casper the Friendly Ghost, VeggieTales and Frosty the Snowman. From 2007 to 2009, Mr. Engelman was Chief Executive Officer of Boomerang. He also is a director of Azteca Acquisition Corporation, a NASDAQ traded special purpose acquisition company focused on the acquisition</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5" w:lineRule="auto"/>
        <w:rPr>
          <w:sz w:val="20"/>
          <w:szCs w:val="20"/>
          <w:color w:val="auto"/>
        </w:rPr>
      </w:pPr>
      <w:r>
        <w:rPr>
          <w:rFonts w:ascii="Arial" w:cs="Arial" w:eastAsia="Arial" w:hAnsi="Arial"/>
          <w:sz w:val="18"/>
          <w:szCs w:val="18"/>
          <w:color w:val="auto"/>
        </w:rPr>
        <w:t>of trans-border and Hispanic businesses. From 1991 to 1997, he was president of Broadway Video, Inc., production company for “Saturday Night Live,” “Late Night with Conan O’Brien,” “Wayne’s World” and many other television series and movies. He began his career as a partner at the Los Angeles law firm of Irell &amp; Manella where he specialized in tax and entertainment. Mr. Engelman is a graduate of Harvard College and Harvard Law School.</w:t>
      </w:r>
    </w:p>
    <w:p>
      <w:pPr>
        <w:spacing w:after="0" w:line="83"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Vringo believes Mr. Engelman's experience in the media intellectual property and entertainment industries qualifies him to serve on Vringo’s board of directors. His extensive experience and insights gained both as an executive at Boomerang Media and Classic Media are a significant contribution to Vringo and its board of directors.</w:t>
      </w:r>
    </w:p>
    <w:p>
      <w:pPr>
        <w:spacing w:after="0" w:line="7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b w:val="1"/>
          <w:bCs w:val="1"/>
          <w:color w:val="auto"/>
        </w:rPr>
        <w:t xml:space="preserve">Donald E. Stout </w:t>
      </w:r>
      <w:r>
        <w:rPr>
          <w:rFonts w:ascii="Arial" w:cs="Arial" w:eastAsia="Arial" w:hAnsi="Arial"/>
          <w:sz w:val="16"/>
          <w:szCs w:val="16"/>
          <w:color w:val="auto"/>
        </w:rPr>
        <w:t>has been a director of Innovate/Protect since August 15, 2011. In a career spanning over forty years, Mr. Stout</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involved in virtually all facets of intellectual property law. From 1968 to 1972, Mr. Stout was an assistant examiner at the United States Patent and Trademark Office (USPTO), where he focused on patent applications covering radio and television technologies. Thereafter, from 1971 to 1972 Mr. Stout worked as a law clerk for two members of the USPTO Board of Appeals. Mr. Stout has been a senior partner at the law firm of Antonelli, Terry, Stout and Kraus, LLP since 1982. As an attorney in private practice, Mr. Stout has focused on litigation, licensing and representation of clients before the USPTO in diverse technological areas. Mr. Stout has written and prosecuted hundreds of patent applications in diverse technologies, rendered opinions on patent infringement and validity, and has testified as an expert witness regarding obtaining and prosecuting patents. Mr. Stout is the co-founder of NTP Inc., which licensed Research in Motion (RIM), the maker of the Blackberry handheld devices, for $612.5 million to settle a patent infringement action.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Juris Doctor degree, with honors, from The George Washington University.</w:t>
      </w:r>
    </w:p>
    <w:p>
      <w:pPr>
        <w:spacing w:after="0" w:line="61"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believes Mr. Stout’s extensive experience in intellectual property law and handling of significant papten infringement actions qualifies him to serve on Vringo’s board of directors following the Merger.</w:t>
      </w:r>
    </w:p>
    <w:p>
      <w:pPr>
        <w:spacing w:after="0" w:line="65"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b w:val="1"/>
          <w:bCs w:val="1"/>
          <w:color w:val="auto"/>
        </w:rPr>
        <w:t xml:space="preserve">H. Van Sinclair </w:t>
      </w:r>
      <w:r>
        <w:rPr>
          <w:rFonts w:ascii="Arial" w:cs="Arial" w:eastAsia="Arial" w:hAnsi="Arial"/>
          <w:sz w:val="16"/>
          <w:szCs w:val="16"/>
          <w:color w:val="auto"/>
        </w:rPr>
        <w:t>has been a director of Innovate/Protect since November 7, 2011. Since 2003, Mr. Sinclair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of The RLJ 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President and a Director of RLJ Acquisition, Inc., a publicly traded Special Purpose Acquisition Company, and sits on additional boards of RLJ portfolio investment companies, including RLJ Acquisition, Inc. (OTC BB: RLJAU), a special purpose acquisition company.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spent 28 years, from October 1978 to February 2003, with the Washington, DC based law firm Arent Fox, PLLC, where he specialized in complex commercial disputes and litigation. In the late 1990s, Mr. Sinclair became the partner in charge of litigation at Arent Fox, and today remains of counsel to the firm. Mr. Sinclair holds a Bachelor’s degree and a Master’s degree in business administration from the University of Rochester, and a Juris Doctor degree from The George Washington University.</w:t>
      </w:r>
    </w:p>
    <w:p>
      <w:pPr>
        <w:spacing w:after="0" w:line="6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believes that Mr. Sinclair’s experience and leadership with The RLJ Companies qualify him to serve on Vringo’s board of directors following the Merger.</w:t>
      </w:r>
    </w:p>
    <w:p>
      <w:pPr>
        <w:spacing w:after="0" w:line="65"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Ellen Cohl </w:t>
      </w:r>
      <w:r>
        <w:rPr>
          <w:rFonts w:ascii="Arial" w:cs="Arial" w:eastAsia="Arial" w:hAnsi="Arial"/>
          <w:sz w:val="18"/>
          <w:szCs w:val="18"/>
          <w:color w:val="auto"/>
        </w:rPr>
        <w:t>has served as Chief Financial Officer, and previously as Vice President, Finance &amp; Governance of Vringo since</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2009, including the role of Compliance Officer as of Vringo’s IPO. Ms. Cohl operates from Vringo’s research and development facilities located in Beit-Shemesh, Israel. From</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1" w:name="page162"/>
    <w:bookmarkEnd w:id="16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spacing w:after="0" w:line="286" w:lineRule="auto"/>
        <w:rPr>
          <w:sz w:val="20"/>
          <w:szCs w:val="20"/>
          <w:color w:val="auto"/>
        </w:rPr>
      </w:pPr>
      <w:r>
        <w:rPr>
          <w:rFonts w:ascii="Arial" w:cs="Arial" w:eastAsia="Arial" w:hAnsi="Arial"/>
          <w:sz w:val="16"/>
          <w:szCs w:val="16"/>
          <w:color w:val="auto"/>
        </w:rPr>
        <w:t>September 2005 to September 2008, Ms. Cohl served as Chief Financial Officer and Director of Information Technology for Mandel Foundation R.A. and Mandel Institute, R.A., philanthropic leadership training organizations. From January 2001 to August 2005, Ms.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 for the development and management of Web-based communities, which was formerly listed on the NASDAQ Stock Market, Inc. From July 1992 to September 1994, Cohl served as an internal auditor for Bank Leumi Trust Company. From August 1995 to July 1997 and from July 1988 to September 1991, Ms. Cohl served as a senior auditor for Arthur Andersen &amp; Co. in the Tel Aviv and New York offices.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Employees of the Combined Company Following the Merger</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761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761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52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93"/>
        </w:trPr>
        <w:tc>
          <w:tcPr>
            <w:tcW w:w="2060" w:type="dxa"/>
            <w:vAlign w:val="bottom"/>
          </w:tcPr>
          <w:p>
            <w:pPr>
              <w:ind w:left="20"/>
              <w:spacing w:after="0" w:line="193" w:lineRule="exact"/>
              <w:rPr>
                <w:sz w:val="20"/>
                <w:szCs w:val="20"/>
                <w:color w:val="auto"/>
              </w:rPr>
            </w:pPr>
            <w:r>
              <w:rPr>
                <w:rFonts w:ascii="Arial" w:cs="Arial" w:eastAsia="Arial" w:hAnsi="Arial"/>
                <w:sz w:val="18"/>
                <w:szCs w:val="18"/>
                <w:color w:val="auto"/>
              </w:rPr>
              <w:t>David L. Cohen</w:t>
            </w:r>
          </w:p>
        </w:tc>
        <w:tc>
          <w:tcPr>
            <w:tcW w:w="160" w:type="dxa"/>
            <w:vAlign w:val="bottom"/>
          </w:tcPr>
          <w:p>
            <w:pPr>
              <w:spacing w:after="0"/>
              <w:rPr>
                <w:sz w:val="16"/>
                <w:szCs w:val="16"/>
                <w:color w:val="auto"/>
              </w:rPr>
            </w:pPr>
          </w:p>
        </w:tc>
        <w:tc>
          <w:tcPr>
            <w:tcW w:w="5200" w:type="dxa"/>
            <w:vAlign w:val="bottom"/>
          </w:tcPr>
          <w:p>
            <w:pPr>
              <w:spacing w:after="0" w:line="193" w:lineRule="exact"/>
              <w:rPr>
                <w:sz w:val="20"/>
                <w:szCs w:val="20"/>
                <w:color w:val="auto"/>
              </w:rPr>
            </w:pPr>
            <w:r>
              <w:rPr>
                <w:rFonts w:ascii="Arial" w:cs="Arial" w:eastAsia="Arial" w:hAnsi="Arial"/>
                <w:sz w:val="18"/>
                <w:szCs w:val="18"/>
                <w:color w:val="auto"/>
              </w:rPr>
              <w:t>Special Counsel</w:t>
            </w:r>
          </w:p>
        </w:tc>
      </w:tr>
      <w:tr>
        <w:trPr>
          <w:trHeight w:val="214"/>
        </w:trPr>
        <w:tc>
          <w:tcPr>
            <w:tcW w:w="2060" w:type="dxa"/>
            <w:vAlign w:val="bottom"/>
          </w:tcPr>
          <w:p>
            <w:pPr>
              <w:ind w:left="20"/>
              <w:spacing w:after="0"/>
              <w:rPr>
                <w:sz w:val="20"/>
                <w:szCs w:val="20"/>
                <w:color w:val="auto"/>
              </w:rPr>
            </w:pPr>
            <w:r>
              <w:rPr>
                <w:rFonts w:ascii="Arial" w:cs="Arial" w:eastAsia="Arial" w:hAnsi="Arial"/>
                <w:sz w:val="18"/>
                <w:szCs w:val="18"/>
                <w:color w:val="auto"/>
              </w:rPr>
              <w:t>Clifford Weinstein</w:t>
            </w:r>
          </w:p>
        </w:tc>
        <w:tc>
          <w:tcPr>
            <w:tcW w:w="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7"/>
        </w:trPr>
        <w:tc>
          <w:tcPr>
            <w:tcW w:w="2060" w:type="dxa"/>
            <w:vAlign w:val="bottom"/>
          </w:tcPr>
          <w:p>
            <w:pPr>
              <w:ind w:left="20"/>
              <w:spacing w:after="0"/>
              <w:rPr>
                <w:sz w:val="20"/>
                <w:szCs w:val="20"/>
                <w:color w:val="auto"/>
              </w:rPr>
            </w:pPr>
            <w:r>
              <w:rPr>
                <w:rFonts w:ascii="Arial" w:cs="Arial" w:eastAsia="Arial" w:hAnsi="Arial"/>
                <w:sz w:val="18"/>
                <w:szCs w:val="18"/>
                <w:color w:val="auto"/>
              </w:rPr>
              <w:t>Josh Wolff</w:t>
            </w:r>
          </w:p>
        </w:tc>
        <w:tc>
          <w:tcPr>
            <w:tcW w:w="1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Senior Vice President for Partner Solutions</w:t>
            </w:r>
          </w:p>
        </w:tc>
      </w:tr>
    </w:tbl>
    <w:p>
      <w:pPr>
        <w:spacing w:after="0" w:line="90" w:lineRule="exact"/>
        <w:rPr>
          <w:sz w:val="20"/>
          <w:szCs w:val="20"/>
          <w:color w:val="auto"/>
        </w:rPr>
      </w:pPr>
    </w:p>
    <w:p>
      <w:pPr>
        <w:jc w:val="both"/>
        <w:ind w:left="60" w:right="619" w:firstLine="267"/>
        <w:spacing w:after="0" w:line="285" w:lineRule="auto"/>
        <w:rPr>
          <w:sz w:val="20"/>
          <w:szCs w:val="20"/>
          <w:color w:val="auto"/>
        </w:rPr>
      </w:pPr>
      <w:r>
        <w:rPr>
          <w:rFonts w:ascii="Arial" w:cs="Arial" w:eastAsia="Arial" w:hAnsi="Arial"/>
          <w:sz w:val="16"/>
          <w:szCs w:val="16"/>
          <w:b w:val="1"/>
          <w:bCs w:val="1"/>
          <w:color w:val="auto"/>
        </w:rPr>
        <w:t>David L. Cohen</w:t>
      </w:r>
      <w:r>
        <w:rPr>
          <w:rFonts w:ascii="Arial" w:cs="Arial" w:eastAsia="Arial" w:hAnsi="Arial"/>
          <w:sz w:val="16"/>
          <w:szCs w:val="16"/>
          <w:color w:val="auto"/>
        </w:rPr>
        <w:t>, 41, has been Special Counsel to Innovate/Protect since February 2012. Prior to joining Innovate/Protect, Mr.</w:t>
      </w:r>
      <w:r>
        <w:rPr>
          <w:rFonts w:ascii="Arial" w:cs="Arial" w:eastAsia="Arial" w:hAnsi="Arial"/>
          <w:sz w:val="16"/>
          <w:szCs w:val="16"/>
          <w:b w:val="1"/>
          <w:bCs w:val="1"/>
          <w:color w:val="auto"/>
        </w:rPr>
        <w:t xml:space="preserve"> </w:t>
      </w:r>
      <w:r>
        <w:rPr>
          <w:rFonts w:ascii="Arial" w:cs="Arial" w:eastAsia="Arial" w:hAnsi="Arial"/>
          <w:sz w:val="16"/>
          <w:szCs w:val="16"/>
          <w:color w:val="auto"/>
        </w:rPr>
        <w:t>Cohen was Senior Litigation Counsel for Nokia, where he was the global manager responsible for developing and running Nokia’s multi-jurisdictional litigation with Apple. Additionally, Mr. Cohen was responsible for managing the U.S. side of Nokia’s litigations with Qualcomm. Prior to Nokia, Mr. Cohen was an attorney in private practice at Lerner David Littenberg Krumholz &amp; Mentlik LLP, where his practice focused on intellectual property litigation, and at Skadden Arps Slate Meagher &amp; Flom LLP. Earlier in his career, Mr. Cohen clerked for Chief Judge Carman on the US Court of International Trade. Mr. Cohen holds Bachelor’s and Master’s degrees from the Johns Hopkins University in the History of Science and History, a Master’s degree from Cambridge University in the History and Philosophy of Science, a Master’s degree in Legal and Political Theory from University College London, and a Juris Doctor degree from the Northwestern University School of Law. Mr. Cohen is admitted to practice before the New York, New Jersey and District of Columbia bars as well as before the USPTO.</w:t>
      </w:r>
    </w:p>
    <w:p>
      <w:pPr>
        <w:spacing w:after="0" w:line="61" w:lineRule="exact"/>
        <w:rPr>
          <w:sz w:val="20"/>
          <w:szCs w:val="20"/>
          <w:color w:val="auto"/>
        </w:rPr>
      </w:pPr>
    </w:p>
    <w:p>
      <w:pPr>
        <w:jc w:val="both"/>
        <w:ind w:left="60" w:right="619" w:firstLine="267"/>
        <w:spacing w:after="0" w:line="291" w:lineRule="auto"/>
        <w:rPr>
          <w:sz w:val="20"/>
          <w:szCs w:val="20"/>
          <w:color w:val="auto"/>
        </w:rPr>
      </w:pPr>
      <w:r>
        <w:rPr>
          <w:rFonts w:ascii="Arial" w:cs="Arial" w:eastAsia="Arial" w:hAnsi="Arial"/>
          <w:sz w:val="16"/>
          <w:szCs w:val="16"/>
          <w:b w:val="1"/>
          <w:bCs w:val="1"/>
          <w:color w:val="auto"/>
        </w:rPr>
        <w:t>Clifford Weinstein</w:t>
      </w:r>
      <w:r>
        <w:rPr>
          <w:rFonts w:ascii="Arial" w:cs="Arial" w:eastAsia="Arial" w:hAnsi="Arial"/>
          <w:sz w:val="16"/>
          <w:szCs w:val="16"/>
          <w:color w:val="auto"/>
        </w:rPr>
        <w:t>, 30, has served as Executive Vice President of Vringo since April 2012. Previously, he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Corporate Development since November 2011. Prior to joining Vringo, Mr. Weinstein was employed at Maxim Group, LLC, from 2003 to February 2008, and October 2008 to October 2011, where he served in a variety of roles beginning in private wealth management and ultimately as Senior Vice President of Institutional Sales. Maxim Group is an investment banking, securities and investment management firm. From February to October 2008, Mr. Weinstein was employed at New Castle Financial Services LLC. Mr. Weinstein holds a Bachelor’s Degree in Business Administration from Fordham University.</w:t>
      </w:r>
    </w:p>
    <w:p>
      <w:pPr>
        <w:spacing w:after="0" w:line="52"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b w:val="1"/>
          <w:bCs w:val="1"/>
          <w:color w:val="auto"/>
        </w:rPr>
        <w:t>Josh Wolff</w:t>
      </w:r>
      <w:r>
        <w:rPr>
          <w:rFonts w:ascii="Arial" w:cs="Arial" w:eastAsia="Arial" w:hAnsi="Arial"/>
          <w:sz w:val="17"/>
          <w:szCs w:val="17"/>
          <w:color w:val="auto"/>
        </w:rPr>
        <w:t>, 41, has served as Senior Vice President for Partner Solutions at Vringo since March 2012. He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for Service and Solutions since joining the company in October 2007. Mr. Wolff oversees the implementation of Vringo’s technology in the carrier and partner environments and the distribution of its applications and services via consumer storefronts. Prior to joining Vringo, Mr. Wolff was Manager of New Product Integration at NMS Communications (formerly Natural Microsystems) in Framingham, Massachusetts. Earlier in his career, Mr. Wolff was Director of Technology at Mobilee in Boston, Massachusetts, a voice portal service, and Director of Information Technology at ABC Industries in Long Island, New York. Mr. Wolff holds a Bachelor of Arts degree from Yeshiva University and a Bachelor of Science in Industrial Engineering from Columbia University, where he was recognized by the Alpha Pi Mu National Honors Society.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Composition of the Board and Director Independence</w:t>
      </w:r>
    </w:p>
    <w:p>
      <w:pPr>
        <w:spacing w:after="0" w:line="118"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The board of directors of Vringo is currently comprised of six directors. Following the completion of the Merger, the combined company is initially expected to have a seven member board of directors, comprised of Seth M. Siegel, as Chairman, Andrew D. Perlman, John Engelman, all of whom are currently members of the</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70" w:lineRule="auto"/>
        <w:rPr>
          <w:sz w:val="20"/>
          <w:szCs w:val="20"/>
          <w:color w:val="auto"/>
        </w:rPr>
      </w:pPr>
      <w:r>
        <w:rPr>
          <w:rFonts w:ascii="Arial" w:cs="Arial" w:eastAsia="Arial" w:hAnsi="Arial"/>
          <w:sz w:val="18"/>
          <w:szCs w:val="18"/>
          <w:color w:val="auto"/>
        </w:rPr>
        <w:t>Vringo board of directors, and Andrew Kennedy Lang, Alexander R. Berger, Donald E. Stout and H. Van Sinclair, all of whom are currently members of the Innovate/Protect board of directors.</w:t>
      </w:r>
    </w:p>
    <w:p>
      <w:pPr>
        <w:spacing w:after="0" w:line="99" w:lineRule="exact"/>
        <w:rPr>
          <w:sz w:val="20"/>
          <w:szCs w:val="20"/>
          <w:color w:val="auto"/>
        </w:rPr>
      </w:pPr>
    </w:p>
    <w:p>
      <w:pPr>
        <w:jc w:val="both"/>
        <w:ind w:left="40" w:right="639" w:firstLine="267"/>
        <w:spacing w:after="0" w:line="231" w:lineRule="auto"/>
        <w:rPr>
          <w:sz w:val="20"/>
          <w:szCs w:val="20"/>
          <w:color w:val="auto"/>
        </w:rPr>
      </w:pPr>
      <w:r>
        <w:rPr>
          <w:rFonts w:ascii="Arial" w:cs="Arial" w:eastAsia="Arial" w:hAnsi="Arial"/>
          <w:sz w:val="18"/>
          <w:szCs w:val="18"/>
          <w:color w:val="auto"/>
        </w:rPr>
        <w:t>Each of Seth M. Siegel, John Engelman, Donald E. Stout and H. Van Sinclair</w:t>
      </w:r>
      <w:r>
        <w:rPr>
          <w:rFonts w:ascii="Arial" w:cs="Arial" w:eastAsia="Arial" w:hAnsi="Arial"/>
          <w:sz w:val="29"/>
          <w:szCs w:val="29"/>
          <w:color w:val="auto"/>
          <w:vertAlign w:val="superscript"/>
        </w:rPr>
        <w:t>/</w:t>
      </w:r>
      <w:r>
        <w:rPr>
          <w:rFonts w:ascii="Arial" w:cs="Arial" w:eastAsia="Arial" w:hAnsi="Arial"/>
          <w:sz w:val="18"/>
          <w:szCs w:val="18"/>
          <w:color w:val="auto"/>
        </w:rPr>
        <w:t>, the directors of the combined company following the completion of the Merger, will be deemed “independent” in accordance with the standards set by the NYSE Amex as well as Rule 10A-3 promulgated under the Securities Exchange Act of 1934, as amended, or the Exchange Act. Accordingly, the board of directors of the combined company will be comprised of a majority of independent directors as required by the NYSE Amex.</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Vringo has established three standing committees: (1) the Audit Committee, (2) the Compensation Committee and (3) the Nominating and Corporate Governance Committee. Each committee operates under a charter that has been approved by the Vringo board of directors, and which is available on Vringo’s website at </w:t>
      </w:r>
      <w:r>
        <w:rPr>
          <w:rFonts w:ascii="Arial" w:cs="Arial" w:eastAsia="Arial" w:hAnsi="Arial"/>
          <w:sz w:val="18"/>
          <w:szCs w:val="18"/>
          <w:i w:val="1"/>
          <w:iCs w:val="1"/>
          <w:color w:val="auto"/>
        </w:rPr>
        <w:t>http://ir.vringo.com</w:t>
      </w:r>
      <w:r>
        <w:rPr>
          <w:rFonts w:ascii="Arial" w:cs="Arial" w:eastAsia="Arial" w:hAnsi="Arial"/>
          <w:sz w:val="18"/>
          <w:szCs w:val="18"/>
          <w:color w:val="auto"/>
        </w:rPr>
        <w:t>. It is expected that the following appointment will be made: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Compensation Committee: Messrs. Siegel and Engelman.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Audit Committee: Messrs. Sinclair and Stout.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Nominating and Corporate Governance Committee: Messrs. Siegel and Sinclair.</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Vringo’s board of directors has established a Compensation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Compensation Committee is authorized to:</w:t>
      </w:r>
    </w:p>
    <w:p>
      <w:pPr>
        <w:spacing w:after="0" w:line="114" w:lineRule="exact"/>
        <w:rPr>
          <w:sz w:val="20"/>
          <w:szCs w:val="20"/>
          <w:color w:val="auto"/>
        </w:rPr>
      </w:pPr>
    </w:p>
    <w:p>
      <w:pPr>
        <w:ind w:left="600" w:right="619" w:hanging="328"/>
        <w:spacing w:after="0" w:line="270" w:lineRule="auto"/>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and recommend the compensation arrangements for management, including the compensation for the chief executive officer;</w:t>
      </w:r>
    </w:p>
    <w:p>
      <w:pPr>
        <w:spacing w:after="0" w:line="68"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financial goals;</w:t>
      </w:r>
    </w:p>
    <w:p>
      <w:pPr>
        <w:spacing w:after="0" w:line="68" w:lineRule="exact"/>
        <w:rPr>
          <w:rFonts w:ascii="Arial" w:cs="Arial" w:eastAsia="Arial" w:hAnsi="Arial"/>
          <w:sz w:val="18"/>
          <w:szCs w:val="18"/>
          <w:color w:val="auto"/>
        </w:rPr>
      </w:pPr>
    </w:p>
    <w:p>
      <w:pPr>
        <w:ind w:left="600" w:hanging="328"/>
        <w:spacing w:after="0"/>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113" w:lineRule="exact"/>
        <w:rPr>
          <w:rFonts w:ascii="Arial" w:cs="Arial" w:eastAsia="Arial" w:hAnsi="Arial"/>
          <w:sz w:val="18"/>
          <w:szCs w:val="18"/>
          <w:color w:val="auto"/>
        </w:rPr>
      </w:pPr>
    </w:p>
    <w:p>
      <w:pPr>
        <w:ind w:left="600" w:right="619" w:hanging="328"/>
        <w:spacing w:after="0" w:line="270" w:lineRule="auto"/>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the annual meeting proxy statement.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Vringo board of directors has established an Audit Committee. The Vringo board of directors has determined that Mr.</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Sinclair is an “audit committee financial expert” as defined in Item 407(d)(5)(ii) of Regulation S-K.</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Audit Committee is authorized to:</w:t>
      </w:r>
    </w:p>
    <w:p>
      <w:pPr>
        <w:spacing w:after="0" w:line="114" w:lineRule="exact"/>
        <w:rPr>
          <w:sz w:val="20"/>
          <w:szCs w:val="20"/>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the books and records;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financial and accounting staff;</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and approve transactions between Vringo and its directors, officers and affiliates;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establish procedures for complaints received by Vringo regarding accounting matters;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oversee internal audit functions;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prepare the report of the Audit Committee that SEC rules require to be included in the annual meeting proxy statement.</w:t>
      </w: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Vringo board of directors has established a Nominating and Corporate Governance Committee.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114" w:lineRule="exact"/>
        <w:rPr>
          <w:sz w:val="20"/>
          <w:szCs w:val="20"/>
          <w:color w:val="auto"/>
        </w:rPr>
      </w:pPr>
    </w:p>
    <w:p>
      <w:pPr>
        <w:ind w:left="600" w:hanging="328"/>
        <w:spacing w:after="0"/>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w:t>
      </w:r>
    </w:p>
    <w:p>
      <w:pPr>
        <w:spacing w:after="0" w:line="113" w:lineRule="exact"/>
        <w:rPr>
          <w:rFonts w:ascii="Arial" w:cs="Arial" w:eastAsia="Arial" w:hAnsi="Arial"/>
          <w:sz w:val="18"/>
          <w:szCs w:val="18"/>
          <w:color w:val="auto"/>
        </w:rPr>
      </w:pPr>
    </w:p>
    <w:p>
      <w:pPr>
        <w:ind w:left="600" w:right="639" w:hanging="328"/>
        <w:spacing w:after="0" w:line="270" w:lineRule="auto"/>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69"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Vringo has no formal policy regarding board diversity. Vringo’s Nominating and Corporate Governance Committee and board of directors may therefore consider a broad range of factors relating to the qualifications and background of nominees, which may include diversity, which is not only limited to race, gender or national origin. Vringo’s Nominating and Corporate Governance Committee’s and board of directors’ priority in selecting board members is identification of persons who will further the interests of Vringo’s stockholders through his or her established record of professional accomplishment, the ability to contribute positively to the collaborative culture among board members and professional and personal experiences and expertise relevant to Vringo’s growth strategy.</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11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Mr. Perlman serves as Vringo’s Chief Executive Officer and Mr. Siegel, a non-management director, serves as chairman of Vringo’s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 It is expected that the board leadership structure will continue following the consummation of the Merger.</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Oversight</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The board of directors oversees Vringo’s business and considers the risks associated with Vringo’s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1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Vringo has adopted a code of ethics that applies to its officers, directors and employees. Vringo has filed with the SEC copies of its code of ethics and its board committee charters as exhibits to its registration statement for its initial public offering. A copy of the code of ethics is accessible on Vringo’s website at </w:t>
      </w:r>
      <w:r>
        <w:rPr>
          <w:rFonts w:ascii="Arial" w:cs="Arial" w:eastAsia="Arial" w:hAnsi="Arial"/>
          <w:sz w:val="18"/>
          <w:szCs w:val="18"/>
          <w:i w:val="1"/>
          <w:iCs w:val="1"/>
          <w:color w:val="auto"/>
        </w:rPr>
        <w:t>http://ir.vringo.com</w:t>
      </w:r>
      <w:r>
        <w:rPr>
          <w:rFonts w:ascii="Arial" w:cs="Arial" w:eastAsia="Arial" w:hAnsi="Arial"/>
          <w:sz w:val="18"/>
          <w:szCs w:val="18"/>
          <w:color w:val="auto"/>
        </w:rPr>
        <w: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holders of more than 10% of our common stock to file with the SEC initial reports of ownership and reports of changes in the ownership of our common stock and other equity securities. Such persons are required to furnish Vringo copies of all Section 16(a) filings.</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Based solely upon a review of the copies of the forms furnished to Vringo, Vringo believes that its officers, directors and holders of more than 10% of our common stock complied with all applicable filing requirements during the fiscal year ended December 31, 2011 except as set forth below:</w:t>
      </w:r>
    </w:p>
    <w:p>
      <w:pPr>
        <w:spacing w:after="0" w:line="7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On February 3, 2011 Form 4/As were filed by Jonathan Medved, Andrew D. Perlman, Seth M. Siegel and John Engelman to amend filings of their respective June 21, 2010 initial public offering units purchases, in order to reflect the warrant portions of those units. The Form 4/A relating to the same for Edo Segal was filed subsequently on February 15, 2012. On August 23, 2011 a Form 4 was filed by Jonathan Medved for an option exercise on July 12, 2011. On September 26, 2011 a Form 3 was filed by Geoffrey Skolnik relating to his joining as a director on June 22, 2011.</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Person Transactions</w:t>
      </w:r>
    </w:p>
    <w:p>
      <w:pPr>
        <w:spacing w:after="0" w:line="11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following is a description of transactions that Vringo entered into with its executive officers, directors or 5% stockholders during the past two years. Vringo believes that all of the transactions described below were made on terms no less favorable to Vringo than could have been obtained from unaffiliated third parties. All future related party transactions will be approved by Vringo’s audit committee or a majority of Vringo’s independent directors who do not have an interest in the transaction and who will have access, at Vringo’s expense, to Vringo’s independent legal counsel.</w:t>
      </w:r>
    </w:p>
    <w:p>
      <w:pPr>
        <w:spacing w:after="0" w:line="6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As of December 31, 2010, Mr. Goldfarb, Vringo’s co-founder and former officer of Vringo’s subsidiary, held approximately 6.0% of Vringo’s outstanding shares of common stock, respectively. In the year ended December 31, 2010, Vringo paid Mr. Goldfarb for consulting services provided to Vringo, through Degel Software Limited (“</w:t>
      </w:r>
      <w:r>
        <w:rPr>
          <w:rFonts w:ascii="Arial" w:cs="Arial" w:eastAsia="Arial" w:hAnsi="Arial"/>
          <w:sz w:val="18"/>
          <w:szCs w:val="18"/>
          <w:b w:val="1"/>
          <w:bCs w:val="1"/>
          <w:color w:val="auto"/>
        </w:rPr>
        <w:t>Degel</w:t>
      </w:r>
      <w:r>
        <w:rPr>
          <w:rFonts w:ascii="Arial" w:cs="Arial" w:eastAsia="Arial" w:hAnsi="Arial"/>
          <w:sz w:val="18"/>
          <w:szCs w:val="18"/>
          <w:color w:val="auto"/>
        </w:rPr>
        <w:t>”) a total amount of $221,000. In January 2011, Mr. Goldfarb entered into a separation agreement with Vringo, as part of which, the vesting of 60,000 options with an exercise price of $0.01 was accelerated. In addition, pursuant to the separation agreement, Vringo paid Mr. Goldfarb, through Degel, a total amount of $125,000.</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Vringo’s intellectual property counsel is Heidi Brun, the wife of Vringo’s co-founder, and former officer of Vringo’s subsidiary, Mr. David Goldfarb. For the years ended December 31, 2011 and 2010, Vringo paid Heidi Brun, through a law firm which she represents, approximately $66,000 and $95,000, respectively. In addition, until March 31, 2011, Vringo’s Israeli subsidiary sub-leased part of its office space from Heidi Brun Associates. Total rent paid to Heidi Brun Associates in the year ended December 31, 2011 and 2010 was approximately $4,000 and $16,000, respectively.</w:t>
      </w:r>
    </w:p>
    <w:p>
      <w:pPr>
        <w:spacing w:after="0" w:line="85"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Edo Segal, who serves on the board of directors of Vringo, is the chief executive officer of two consulting firms which Vringo paid approximately $53,000 and $112,000 during the years ended December 31, 2011 and 2010, respectively.</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It is currently expected that the non-employee director compensation will be reviewed by the compensation committee of the board of directors of the combined company following the completion of the Merger and may be subject to change.</w:t>
      </w:r>
    </w:p>
    <w:p>
      <w:pPr>
        <w:spacing w:after="0" w:line="4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In addition to compensation, currently Vringo reimburses each member of its board of directors for reasonable travel and other expenses in connection with attending meetings of the board of directors.</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5" w:name="page166"/>
    <w:bookmarkEnd w:id="16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 Compensation Table: Combined Company Directors from Vringo</w:t>
      </w:r>
    </w:p>
    <w:p>
      <w:pPr>
        <w:spacing w:after="0" w:line="114" w:lineRule="exact"/>
        <w:rPr>
          <w:sz w:val="20"/>
          <w:szCs w:val="20"/>
          <w:color w:val="auto"/>
        </w:rPr>
      </w:pPr>
    </w:p>
    <w:p>
      <w:pPr>
        <w:ind w:left="60" w:right="619" w:firstLine="267"/>
        <w:spacing w:after="0" w:line="266" w:lineRule="auto"/>
        <w:rPr>
          <w:sz w:val="20"/>
          <w:szCs w:val="20"/>
          <w:color w:val="auto"/>
        </w:rPr>
      </w:pPr>
      <w:r>
        <w:rPr>
          <w:rFonts w:ascii="Arial" w:cs="Arial" w:eastAsia="Arial" w:hAnsi="Arial"/>
          <w:sz w:val="18"/>
          <w:szCs w:val="18"/>
          <w:color w:val="auto"/>
        </w:rPr>
        <w:t>The following table sets forth cash compensation and the value of stock options awards granted to Vringo’s non-employee directors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48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62"/>
              <w:spacing w:after="0" w:line="148"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95"/>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80"/>
              <w:spacing w:after="0" w:line="148" w:lineRule="exact"/>
              <w:rPr>
                <w:sz w:val="20"/>
                <w:szCs w:val="20"/>
                <w:color w:val="auto"/>
              </w:rPr>
            </w:pPr>
            <w:r>
              <w:rPr>
                <w:rFonts w:ascii="Arial" w:cs="Arial" w:eastAsia="Arial" w:hAnsi="Arial"/>
                <w:sz w:val="14"/>
                <w:szCs w:val="14"/>
                <w:b w:val="1"/>
                <w:bCs w:val="1"/>
                <w:color w:val="auto"/>
              </w:rPr>
              <w:t>Total</w:t>
            </w:r>
          </w:p>
        </w:tc>
      </w:tr>
      <w:tr>
        <w:trPr>
          <w:trHeight w:val="147"/>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40"/>
              <w:spacing w:after="0" w:line="147" w:lineRule="exact"/>
              <w:rPr>
                <w:sz w:val="20"/>
                <w:szCs w:val="20"/>
                <w:color w:val="auto"/>
              </w:rPr>
            </w:pPr>
            <w:r>
              <w:rPr>
                <w:rFonts w:ascii="Arial" w:cs="Arial" w:eastAsia="Arial" w:hAnsi="Arial"/>
                <w:sz w:val="14"/>
                <w:szCs w:val="14"/>
                <w:b w:val="1"/>
                <w:bCs w:val="1"/>
                <w:color w:val="auto"/>
              </w:rPr>
              <w:t>($)</w:t>
            </w:r>
          </w:p>
        </w:tc>
      </w:tr>
      <w:tr>
        <w:trPr>
          <w:trHeight w:val="210"/>
        </w:trPr>
        <w:tc>
          <w:tcPr>
            <w:tcW w:w="4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62"/>
              <w:spacing w:after="0" w:line="210"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47"/>
        </w:trPr>
        <w:tc>
          <w:tcPr>
            <w:tcW w:w="4800" w:type="dxa"/>
            <w:vAlign w:val="bottom"/>
            <w:shd w:val="clear" w:color="auto" w:fill="CCFFCC"/>
          </w:tcPr>
          <w:p>
            <w:pPr>
              <w:ind w:left="20"/>
              <w:spacing w:after="0" w:line="247" w:lineRule="exact"/>
              <w:rPr>
                <w:sz w:val="20"/>
                <w:szCs w:val="20"/>
                <w:color w:val="auto"/>
              </w:rPr>
            </w:pPr>
            <w:r>
              <w:rPr>
                <w:rFonts w:ascii="Arial" w:cs="Arial" w:eastAsia="Arial" w:hAnsi="Arial"/>
                <w:sz w:val="17"/>
                <w:szCs w:val="17"/>
                <w:color w:val="auto"/>
              </w:rPr>
              <w:t>Seth M. Siegel</w:t>
            </w:r>
            <w:r>
              <w:rPr>
                <w:rFonts w:ascii="Arial" w:cs="Arial" w:eastAsia="Arial" w:hAnsi="Arial"/>
                <w:sz w:val="28"/>
                <w:szCs w:val="28"/>
                <w:color w:val="auto"/>
                <w:vertAlign w:val="superscript"/>
              </w:rPr>
              <w:t>(2)</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105,431</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105,431</w:t>
            </w:r>
          </w:p>
        </w:tc>
      </w:tr>
      <w:tr>
        <w:trPr>
          <w:trHeight w:val="387"/>
        </w:trPr>
        <w:tc>
          <w:tcPr>
            <w:tcW w:w="4800" w:type="dxa"/>
            <w:vAlign w:val="bottom"/>
          </w:tcPr>
          <w:p>
            <w:pPr>
              <w:ind w:left="20"/>
              <w:spacing w:after="0"/>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29,871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10,000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61087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394" w:lineRule="exact"/>
        <w:rPr>
          <w:sz w:val="20"/>
          <w:szCs w:val="20"/>
          <w:color w:val="auto"/>
        </w:rPr>
      </w:pPr>
    </w:p>
    <w:p>
      <w:pPr>
        <w:jc w:val="both"/>
        <w:ind w:left="300" w:right="619" w:hanging="275"/>
        <w:spacing w:after="0" w:line="259" w:lineRule="auto"/>
        <w:tabs>
          <w:tab w:leader="none" w:pos="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11 of Vringo’s consolidated financial statements for the year ended December 31, 2011, for the assumptions made in the valuation of the equity awards.</w:t>
      </w:r>
    </w:p>
    <w:p>
      <w:pPr>
        <w:spacing w:after="0" w:line="78" w:lineRule="exact"/>
        <w:rPr>
          <w:rFonts w:ascii="Arial" w:cs="Arial" w:eastAsia="Arial" w:hAnsi="Arial"/>
          <w:sz w:val="18"/>
          <w:szCs w:val="18"/>
          <w:color w:val="auto"/>
        </w:rPr>
      </w:pPr>
    </w:p>
    <w:p>
      <w:pPr>
        <w:jc w:val="both"/>
        <w:ind w:left="300" w:right="619" w:hanging="275"/>
        <w:spacing w:after="0" w:line="259" w:lineRule="auto"/>
        <w:tabs>
          <w:tab w:leader="none" w:pos="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Mr. Siegel performs his duties as Chairman of the board of directors and as member of the Compensation Committee and Nominating and Corporate Governance Committee, on a volunteer basis. As of December 31, 2011, 313,333 options were outstanding, of which 117,500 were exercisable.</w:t>
      </w:r>
    </w:p>
    <w:p>
      <w:pPr>
        <w:spacing w:after="0" w:line="7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Represents fee earned by Mr. Engelman for Board services through December 31, 2011. As of December 31, 2011, 42,500 options were outstanding, of which 10,625 were exercisable.</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 Compensation Table: Combined Company Directors from Innovate/Protect</w:t>
      </w:r>
    </w:p>
    <w:p>
      <w:pPr>
        <w:spacing w:after="0" w:line="114"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The following table sets forth a stock grant to Innovate/Protect’s non-employee director and a stock option award granted to another Innovate/Protect’s non-employee director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51600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4800" w:type="dxa"/>
            <w:vAlign w:val="bottom"/>
          </w:tcPr>
          <w:p>
            <w:pPr>
              <w:ind w:left="20"/>
              <w:spacing w:after="0" w:line="150"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
              <w:spacing w:after="0" w:line="150"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40"/>
              <w:spacing w:after="0" w:line="150" w:lineRule="exact"/>
              <w:rPr>
                <w:sz w:val="20"/>
                <w:szCs w:val="20"/>
                <w:color w:val="auto"/>
              </w:rPr>
            </w:pPr>
            <w:r>
              <w:rPr>
                <w:rFonts w:ascii="Arial" w:cs="Arial" w:eastAsia="Arial" w:hAnsi="Arial"/>
                <w:sz w:val="14"/>
                <w:szCs w:val="14"/>
                <w:b w:val="1"/>
                <w:bCs w:val="1"/>
                <w:color w:val="auto"/>
                <w:w w:val="95"/>
              </w:rPr>
              <w:t>All other</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80"/>
              <w:spacing w:after="0" w:line="150" w:lineRule="exact"/>
              <w:rPr>
                <w:sz w:val="20"/>
                <w:szCs w:val="20"/>
                <w:color w:val="auto"/>
              </w:rPr>
            </w:pPr>
            <w:r>
              <w:rPr>
                <w:rFonts w:ascii="Arial" w:cs="Arial" w:eastAsia="Arial" w:hAnsi="Arial"/>
                <w:sz w:val="14"/>
                <w:szCs w:val="14"/>
                <w:b w:val="1"/>
                <w:bCs w:val="1"/>
                <w:color w:val="auto"/>
              </w:rPr>
              <w:t>Total</w:t>
            </w:r>
          </w:p>
        </w:tc>
      </w:tr>
      <w:tr>
        <w:trPr>
          <w:trHeight w:val="147"/>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
              <w:spacing w:after="0" w:line="147"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40"/>
              <w:spacing w:after="0" w:line="147" w:lineRule="exact"/>
              <w:rPr>
                <w:sz w:val="20"/>
                <w:szCs w:val="20"/>
                <w:color w:val="auto"/>
              </w:rPr>
            </w:pPr>
            <w:r>
              <w:rPr>
                <w:rFonts w:ascii="Arial" w:cs="Arial" w:eastAsia="Arial" w:hAnsi="Arial"/>
                <w:sz w:val="14"/>
                <w:szCs w:val="14"/>
                <w:b w:val="1"/>
                <w:bCs w:val="1"/>
                <w:color w:val="auto"/>
              </w:rPr>
              <w:t>($)</w:t>
            </w:r>
          </w:p>
        </w:tc>
      </w:tr>
      <w:tr>
        <w:trPr>
          <w:trHeight w:val="210"/>
        </w:trPr>
        <w:tc>
          <w:tcPr>
            <w:tcW w:w="4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
              <w:spacing w:after="0" w:line="210"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47"/>
        </w:trPr>
        <w:tc>
          <w:tcPr>
            <w:tcW w:w="4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line="247" w:lineRule="exact"/>
              <w:rPr>
                <w:sz w:val="20"/>
                <w:szCs w:val="20"/>
                <w:color w:val="auto"/>
              </w:rPr>
            </w:pPr>
            <w:r>
              <w:rPr>
                <w:rFonts w:ascii="Arial" w:cs="Arial" w:eastAsia="Arial" w:hAnsi="Arial"/>
                <w:sz w:val="17"/>
                <w:szCs w:val="17"/>
                <w:color w:val="auto"/>
                <w:w w:val="90"/>
              </w:rPr>
              <w:t>120,000</w:t>
            </w:r>
            <w:r>
              <w:rPr>
                <w:rFonts w:ascii="Arial" w:cs="Arial" w:eastAsia="Arial" w:hAnsi="Arial"/>
                <w:sz w:val="28"/>
                <w:szCs w:val="28"/>
                <w:color w:val="auto"/>
                <w:w w:val="90"/>
                <w:vertAlign w:val="superscript"/>
              </w:rPr>
              <w:t>(2)</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120,000</w:t>
            </w:r>
          </w:p>
        </w:tc>
      </w:tr>
      <w:tr>
        <w:trPr>
          <w:trHeight w:val="387"/>
        </w:trPr>
        <w:tc>
          <w:tcPr>
            <w:tcW w:w="480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6"/>
              </w:rPr>
              <w:t>25,028</w:t>
            </w:r>
            <w:r>
              <w:rPr>
                <w:rFonts w:ascii="Arial" w:cs="Arial" w:eastAsia="Arial" w:hAnsi="Arial"/>
                <w:sz w:val="29"/>
                <w:szCs w:val="29"/>
                <w:color w:val="auto"/>
                <w:w w:val="96"/>
                <w:vertAlign w:val="superscript"/>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61087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394" w:lineRule="exact"/>
        <w:rPr>
          <w:sz w:val="20"/>
          <w:szCs w:val="20"/>
          <w:color w:val="auto"/>
        </w:rPr>
      </w:pPr>
    </w:p>
    <w:p>
      <w:pPr>
        <w:jc w:val="both"/>
        <w:ind w:left="300" w:right="639" w:hanging="275"/>
        <w:spacing w:after="0" w:line="259" w:lineRule="auto"/>
        <w:tabs>
          <w:tab w:leader="none" w:pos="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12 of the consolidated financial statements for the year ended December 31, 2011, for the assumptions made in the valuation of the equity awards.</w:t>
      </w:r>
    </w:p>
    <w:p>
      <w:pPr>
        <w:spacing w:after="0" w:line="7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Stock grant of 40,000 shares. The fair value of these shares when granted has been treated as compensation and will be recognized at such times as the shares vest over an eighteen (18) month period.</w:t>
      </w:r>
    </w:p>
    <w:p>
      <w:pPr>
        <w:spacing w:after="0" w:line="68" w:lineRule="exact"/>
        <w:rPr>
          <w:rFonts w:ascii="Arial" w:cs="Arial" w:eastAsia="Arial" w:hAnsi="Arial"/>
          <w:sz w:val="18"/>
          <w:szCs w:val="18"/>
          <w:color w:val="auto"/>
        </w:rPr>
      </w:pPr>
    </w:p>
    <w:p>
      <w:pPr>
        <w:jc w:val="both"/>
        <w:ind w:left="300" w:right="619" w:hanging="275"/>
        <w:spacing w:after="0" w:line="259" w:lineRule="auto"/>
        <w:tabs>
          <w:tab w:leader="none" w:pos="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Stock option to purchase up to 13,646 shares of common stock at $3.00 per share prior to the expiration of the options on November 6, 2016. The option was fully vested and exercisable at the grant date. The fair market value of the option at grant date, $1.8341 per share, was recognized as expense at the grant date.</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66" w:name="page167"/>
    <w:bookmarkEnd w:id="16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4" w:lineRule="exact"/>
        <w:rPr>
          <w:sz w:val="20"/>
          <w:szCs w:val="20"/>
          <w:color w:val="auto"/>
        </w:rPr>
      </w:pPr>
    </w:p>
    <w:p>
      <w:pPr>
        <w:ind w:left="60" w:right="639" w:firstLine="267"/>
        <w:spacing w:after="0" w:line="266" w:lineRule="auto"/>
        <w:rPr>
          <w:sz w:val="20"/>
          <w:szCs w:val="20"/>
          <w:color w:val="auto"/>
        </w:rPr>
      </w:pPr>
      <w:r>
        <w:rPr>
          <w:rFonts w:ascii="Arial" w:cs="Arial" w:eastAsia="Arial" w:hAnsi="Arial"/>
          <w:sz w:val="18"/>
          <w:szCs w:val="18"/>
          <w:color w:val="auto"/>
        </w:rPr>
        <w:t>The following table summarizes the compensation awarded to, earned or paid by Vringo to its Chief Executive Officer and other named executive officers for the fiscal years ended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346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98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500" w:type="dxa"/>
            <w:vAlign w:val="bottom"/>
          </w:tcPr>
          <w:p>
            <w:pPr>
              <w:jc w:val="right"/>
              <w:ind w:right="29"/>
              <w:spacing w:after="0" w:line="148"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7"/>
              <w:spacing w:after="0" w:line="148"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94"/>
              <w:spacing w:after="0" w:line="148" w:lineRule="exact"/>
              <w:rPr>
                <w:sz w:val="20"/>
                <w:szCs w:val="20"/>
                <w:color w:val="auto"/>
              </w:rPr>
            </w:pPr>
            <w:r>
              <w:rPr>
                <w:rFonts w:ascii="Arial" w:cs="Arial" w:eastAsia="Arial" w:hAnsi="Arial"/>
                <w:sz w:val="14"/>
                <w:szCs w:val="14"/>
                <w:b w:val="1"/>
                <w:bCs w:val="1"/>
                <w:color w:val="auto"/>
              </w:rPr>
              <w:t>Total</w:t>
            </w: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36"/>
              <w:spacing w:after="0" w:line="16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r>
      <w:tr>
        <w:trPr>
          <w:trHeight w:val="194"/>
        </w:trPr>
        <w:tc>
          <w:tcPr>
            <w:tcW w:w="2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7"/>
              <w:spacing w:after="0" w:line="193"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33"/>
        </w:trPr>
        <w:tc>
          <w:tcPr>
            <w:tcW w:w="2980" w:type="dxa"/>
            <w:vAlign w:val="bottom"/>
          </w:tcPr>
          <w:p>
            <w:pPr>
              <w:ind w:left="20"/>
              <w:spacing w:after="0" w:line="233"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215,255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33" w:lineRule="exact"/>
              <w:rPr>
                <w:sz w:val="20"/>
                <w:szCs w:val="20"/>
                <w:color w:val="auto"/>
              </w:rPr>
            </w:pPr>
            <w:r>
              <w:rPr>
                <w:rFonts w:ascii="Arial" w:cs="Arial" w:eastAsia="Arial" w:hAnsi="Arial"/>
                <w:sz w:val="17"/>
                <w:szCs w:val="17"/>
                <w:color w:val="auto"/>
                <w:w w:val="88"/>
              </w:rPr>
              <w:t>104,177</w:t>
            </w:r>
            <w:r>
              <w:rPr>
                <w:rFonts w:ascii="Arial" w:cs="Arial" w:eastAsia="Arial" w:hAnsi="Arial"/>
                <w:sz w:val="27"/>
                <w:szCs w:val="27"/>
                <w:color w:val="auto"/>
                <w:w w:val="88"/>
                <w:vertAlign w:val="superscript"/>
              </w:rPr>
              <w:t>(5)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319,432</w:t>
            </w:r>
          </w:p>
        </w:tc>
      </w:tr>
      <w:tr>
        <w:trPr>
          <w:trHeight w:val="25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Former Chief Executive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213,531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$ 1,476,000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53" w:lineRule="exact"/>
              <w:rPr>
                <w:sz w:val="20"/>
                <w:szCs w:val="20"/>
                <w:color w:val="auto"/>
              </w:rPr>
            </w:pPr>
            <w:r>
              <w:rPr>
                <w:rFonts w:ascii="Arial" w:cs="Arial" w:eastAsia="Arial" w:hAnsi="Arial"/>
                <w:sz w:val="18"/>
                <w:szCs w:val="18"/>
                <w:color w:val="auto"/>
                <w:w w:val="94"/>
              </w:rPr>
              <w:t>90,802</w:t>
            </w:r>
            <w:r>
              <w:rPr>
                <w:rFonts w:ascii="Arial" w:cs="Arial" w:eastAsia="Arial" w:hAnsi="Arial"/>
                <w:sz w:val="29"/>
                <w:szCs w:val="29"/>
                <w:color w:val="auto"/>
                <w:w w:val="94"/>
                <w:vertAlign w:val="superscript"/>
              </w:rPr>
              <w:t>(5)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1,780,333</w:t>
            </w:r>
          </w:p>
        </w:tc>
      </w:tr>
      <w:tr>
        <w:trPr>
          <w:trHeight w:val="214"/>
        </w:trPr>
        <w:tc>
          <w:tcPr>
            <w:tcW w:w="2980" w:type="dxa"/>
            <w:vAlign w:val="bottom"/>
          </w:tcPr>
          <w:p>
            <w:pPr>
              <w:ind w:left="20"/>
              <w:spacing w:after="0"/>
              <w:rPr>
                <w:sz w:val="20"/>
                <w:szCs w:val="20"/>
                <w:color w:val="auto"/>
              </w:rPr>
            </w:pPr>
            <w:r>
              <w:rPr>
                <w:rFonts w:ascii="Arial" w:cs="Arial" w:eastAsia="Arial" w:hAnsi="Arial"/>
                <w:sz w:val="18"/>
                <w:szCs w:val="18"/>
                <w:color w:val="auto"/>
              </w:rPr>
              <w:t>Andrew D. Perlman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188,269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156,325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344,594</w:t>
            </w:r>
          </w:p>
        </w:tc>
      </w:tr>
      <w:tr>
        <w:trPr>
          <w:trHeight w:val="218"/>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142,885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422,785</w:t>
            </w: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127,988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51" w:lineRule="exact"/>
              <w:rPr>
                <w:sz w:val="20"/>
                <w:szCs w:val="20"/>
                <w:color w:val="auto"/>
              </w:rPr>
            </w:pPr>
            <w:r>
              <w:rPr>
                <w:rFonts w:ascii="Arial" w:cs="Arial" w:eastAsia="Arial" w:hAnsi="Arial"/>
                <w:sz w:val="18"/>
                <w:szCs w:val="18"/>
                <w:color w:val="auto"/>
                <w:w w:val="94"/>
              </w:rPr>
              <w:t>36,841</w:t>
            </w:r>
            <w:r>
              <w:rPr>
                <w:rFonts w:ascii="Arial" w:cs="Arial" w:eastAsia="Arial" w:hAnsi="Arial"/>
                <w:sz w:val="29"/>
                <w:szCs w:val="29"/>
                <w:color w:val="auto"/>
                <w:w w:val="94"/>
                <w:vertAlign w:val="superscript"/>
              </w:rPr>
              <w:t>(6)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223,009</w:t>
            </w:r>
          </w:p>
        </w:tc>
      </w:tr>
      <w:tr>
        <w:trPr>
          <w:trHeight w:val="258"/>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106,540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73,800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58" w:lineRule="exact"/>
              <w:rPr>
                <w:sz w:val="20"/>
                <w:szCs w:val="20"/>
                <w:color w:val="auto"/>
              </w:rPr>
            </w:pPr>
            <w:r>
              <w:rPr>
                <w:rFonts w:ascii="Arial" w:cs="Arial" w:eastAsia="Arial" w:hAnsi="Arial"/>
                <w:sz w:val="18"/>
                <w:szCs w:val="18"/>
                <w:color w:val="auto"/>
                <w:w w:val="94"/>
              </w:rPr>
              <w:t>31,276</w:t>
            </w:r>
            <w:r>
              <w:rPr>
                <w:rFonts w:ascii="Arial" w:cs="Arial" w:eastAsia="Arial" w:hAnsi="Arial"/>
                <w:sz w:val="29"/>
                <w:szCs w:val="29"/>
                <w:color w:val="auto"/>
                <w:w w:val="94"/>
                <w:vertAlign w:val="superscript"/>
              </w:rPr>
              <w:t>(6)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211,616</w:t>
            </w:r>
          </w:p>
        </w:tc>
      </w:tr>
      <w:tr>
        <w:trPr>
          <w:trHeight w:val="250"/>
        </w:trPr>
        <w:tc>
          <w:tcPr>
            <w:tcW w:w="2980" w:type="dxa"/>
            <w:vAlign w:val="bottom"/>
          </w:tcPr>
          <w:p>
            <w:pPr>
              <w:ind w:left="20"/>
              <w:spacing w:after="0" w:line="251" w:lineRule="exact"/>
              <w:rPr>
                <w:sz w:val="20"/>
                <w:szCs w:val="20"/>
                <w:color w:val="auto"/>
              </w:rPr>
            </w:pPr>
            <w:r>
              <w:rPr>
                <w:rFonts w:ascii="Arial" w:cs="Arial" w:eastAsia="Arial" w:hAnsi="Arial"/>
                <w:sz w:val="18"/>
                <w:szCs w:val="18"/>
                <w:color w:val="auto"/>
              </w:rPr>
              <w:t>Stuart Frohlich</w:t>
            </w:r>
            <w:r>
              <w:rPr>
                <w:rFonts w:ascii="Arial" w:cs="Arial" w:eastAsia="Arial" w:hAnsi="Arial"/>
                <w:sz w:val="29"/>
                <w:szCs w:val="29"/>
                <w:color w:val="auto"/>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87,273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51" w:lineRule="exact"/>
              <w:rPr>
                <w:sz w:val="20"/>
                <w:szCs w:val="20"/>
                <w:color w:val="auto"/>
              </w:rPr>
            </w:pPr>
            <w:r>
              <w:rPr>
                <w:rFonts w:ascii="Arial" w:cs="Arial" w:eastAsia="Arial" w:hAnsi="Arial"/>
                <w:sz w:val="18"/>
                <w:szCs w:val="18"/>
                <w:color w:val="auto"/>
                <w:w w:val="94"/>
              </w:rPr>
              <w:t>31,097</w:t>
            </w:r>
            <w:r>
              <w:rPr>
                <w:rFonts w:ascii="Arial" w:cs="Arial" w:eastAsia="Arial" w:hAnsi="Arial"/>
                <w:sz w:val="29"/>
                <w:szCs w:val="29"/>
                <w:color w:val="auto"/>
                <w:w w:val="94"/>
                <w:vertAlign w:val="superscript"/>
              </w:rPr>
              <w:t>(7)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118,370</w:t>
            </w:r>
          </w:p>
        </w:tc>
      </w:tr>
      <w:tr>
        <w:trPr>
          <w:trHeight w:val="390"/>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129,693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210,600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43,893</w:t>
            </w:r>
            <w:r>
              <w:rPr>
                <w:rFonts w:ascii="Arial" w:cs="Arial" w:eastAsia="Arial" w:hAnsi="Arial"/>
                <w:sz w:val="29"/>
                <w:szCs w:val="29"/>
                <w:color w:val="auto"/>
                <w:w w:val="94"/>
                <w:vertAlign w:val="superscript"/>
              </w:rPr>
              <w:t>(7)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92075</wp:posOffset>
            </wp:positionV>
            <wp:extent cx="610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391" w:lineRule="exact"/>
        <w:rPr>
          <w:sz w:val="20"/>
          <w:szCs w:val="20"/>
          <w:color w:val="auto"/>
        </w:rPr>
      </w:pPr>
    </w:p>
    <w:p>
      <w:pPr>
        <w:ind w:left="300" w:hanging="275"/>
        <w:spacing w:after="0"/>
        <w:tabs>
          <w:tab w:leader="none" w:pos="3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upon an average exchange rate of 3.58 and 3.73 between the NIS and U.S. Dollar for 2011 and 2010, respectively.</w:t>
      </w:r>
    </w:p>
    <w:p>
      <w:pPr>
        <w:spacing w:after="0" w:line="125" w:lineRule="exact"/>
        <w:rPr>
          <w:rFonts w:ascii="Arial" w:cs="Arial" w:eastAsia="Arial" w:hAnsi="Arial"/>
          <w:sz w:val="17"/>
          <w:szCs w:val="17"/>
          <w:color w:val="auto"/>
        </w:rPr>
      </w:pPr>
    </w:p>
    <w:p>
      <w:pPr>
        <w:ind w:left="300" w:right="619" w:hanging="275"/>
        <w:spacing w:after="0" w:line="300" w:lineRule="auto"/>
        <w:tabs>
          <w:tab w:leader="none" w:pos="3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For the assumptions made in the valuation of Vringo’s equity awards see Note 11 of the consolidated financial statements of Vringo.</w:t>
      </w:r>
    </w:p>
    <w:p>
      <w:pPr>
        <w:spacing w:after="0" w:line="45" w:lineRule="exact"/>
        <w:rPr>
          <w:rFonts w:ascii="Arial" w:cs="Arial" w:eastAsia="Arial" w:hAnsi="Arial"/>
          <w:sz w:val="17"/>
          <w:szCs w:val="17"/>
          <w:color w:val="auto"/>
        </w:rPr>
      </w:pPr>
    </w:p>
    <w:p>
      <w:pPr>
        <w:jc w:val="both"/>
        <w:ind w:left="300" w:right="619" w:hanging="275"/>
        <w:spacing w:after="0" w:line="268" w:lineRule="auto"/>
        <w:tabs>
          <w:tab w:leader="none" w:pos="3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Subsequent to the balance sheet date, in March 2012, Vringo entered into a separation agreement with Vringo’s former Chief Executive Officer, Jonathan Medved. According to the terms of the separation agreement,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1" w:lineRule="exact"/>
        <w:rPr>
          <w:rFonts w:ascii="Arial" w:cs="Arial" w:eastAsia="Arial" w:hAnsi="Arial"/>
          <w:sz w:val="17"/>
          <w:szCs w:val="17"/>
          <w:color w:val="auto"/>
        </w:rPr>
      </w:pPr>
    </w:p>
    <w:p>
      <w:pPr>
        <w:ind w:left="300" w:right="619" w:hanging="275"/>
        <w:spacing w:after="0" w:line="270" w:lineRule="auto"/>
        <w:tabs>
          <w:tab w:leader="none" w:pos="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July 31, 2011, Stuart Frohlich resigned his position as Chief Operating Officer of Vringo, Inc. As part of his separation agreement, 20,000 of his $0.01 options to purchase shares of Vringo common stock were accelerated.</w:t>
      </w:r>
    </w:p>
    <w:p>
      <w:pPr>
        <w:spacing w:after="0" w:line="68" w:lineRule="exact"/>
        <w:rPr>
          <w:rFonts w:ascii="Arial" w:cs="Arial" w:eastAsia="Arial" w:hAnsi="Arial"/>
          <w:sz w:val="18"/>
          <w:szCs w:val="18"/>
          <w:color w:val="auto"/>
        </w:rPr>
      </w:pPr>
    </w:p>
    <w:p>
      <w:pPr>
        <w:jc w:val="both"/>
        <w:ind w:left="300" w:right="639" w:hanging="275"/>
        <w:spacing w:after="0" w:line="272" w:lineRule="auto"/>
        <w:tabs>
          <w:tab w:leader="none" w:pos="3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$67,580 in 2011 and $58,324 in 2010. In addition, includes payments associated with possession of company-leased vehicle in the amount of $19,578 in 2011 and $18,735 in 2010. Additionally, includes life insurance (Keyman insurance) in the aggregate amount of $17,019 in 2011 and $14,103 in 2010.</w:t>
      </w:r>
    </w:p>
    <w:p>
      <w:pPr>
        <w:spacing w:after="0" w:line="68" w:lineRule="exact"/>
        <w:rPr>
          <w:rFonts w:ascii="Arial" w:cs="Arial" w:eastAsia="Arial" w:hAnsi="Arial"/>
          <w:sz w:val="17"/>
          <w:szCs w:val="17"/>
          <w:color w:val="auto"/>
        </w:rPr>
      </w:pPr>
    </w:p>
    <w:p>
      <w:pPr>
        <w:jc w:val="both"/>
        <w:ind w:left="300" w:right="639" w:hanging="275"/>
        <w:spacing w:after="0" w:line="255" w:lineRule="auto"/>
        <w:tabs>
          <w:tab w:leader="none" w:pos="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in 2011 and $26,177 in 2010. Additionally, includes local travel reimbursement in the aggregate amount of $5,943 in 2011 and $5,099 in 2010.</w:t>
      </w:r>
    </w:p>
    <w:p>
      <w:pPr>
        <w:spacing w:after="0" w:line="82" w:lineRule="exact"/>
        <w:rPr>
          <w:rFonts w:ascii="Arial" w:cs="Arial" w:eastAsia="Arial" w:hAnsi="Arial"/>
          <w:sz w:val="18"/>
          <w:szCs w:val="18"/>
          <w:color w:val="auto"/>
        </w:rPr>
      </w:pPr>
    </w:p>
    <w:p>
      <w:pPr>
        <w:jc w:val="both"/>
        <w:ind w:left="300" w:right="639" w:hanging="275"/>
        <w:spacing w:after="0" w:line="259" w:lineRule="auto"/>
        <w:tabs>
          <w:tab w:leader="none" w:pos="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$19,938 in 2011 and $31,187 in 2010.</w:t>
      </w:r>
    </w:p>
    <w:p>
      <w:pPr>
        <w:spacing w:after="0" w:line="78" w:lineRule="exact"/>
        <w:rPr>
          <w:sz w:val="20"/>
          <w:szCs w:val="20"/>
          <w:color w:val="auto"/>
        </w:rPr>
      </w:pPr>
    </w:p>
    <w:p>
      <w:pPr>
        <w:ind w:left="60" w:right="639" w:firstLine="267"/>
        <w:spacing w:after="0" w:line="270" w:lineRule="auto"/>
        <w:rPr>
          <w:sz w:val="20"/>
          <w:szCs w:val="20"/>
          <w:color w:val="auto"/>
        </w:rPr>
      </w:pPr>
      <w:r>
        <w:rPr>
          <w:rFonts w:ascii="Arial" w:cs="Arial" w:eastAsia="Arial" w:hAnsi="Arial"/>
          <w:sz w:val="18"/>
          <w:szCs w:val="18"/>
          <w:color w:val="auto"/>
        </w:rPr>
        <w:t>In addition, includes payments associated with possession of company-leased vehicle in the amount of $11,159 in 2011 and $12,706 in 2010.</w:t>
      </w:r>
    </w:p>
    <w:p>
      <w:pPr>
        <w:spacing w:after="0" w:line="200" w:lineRule="exact"/>
        <w:rPr>
          <w:sz w:val="20"/>
          <w:szCs w:val="20"/>
          <w:color w:val="auto"/>
        </w:r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Jonathan Medved Separation Agreement</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March 2012, Vringo signed a separation agreement with its former Chief Executive Officer,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Andrew Perlman Employment Agreement</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Andrew Perlman entered into an employment agreement with Vringo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Vringo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During the term of his employment, Mr. Perlman’s annual base salary is $175,000. In addition, he is eligible for an additional compensation in an amount to be determined by the board of directors, and receives $5,000 at the end of each quarter as an advance for such additional compensation. Upon a Change of Control (as defined in his employment agreement), fifty percent of the unvested portion of his option grants priced at $0.01 and $5.50 will automatically and immediately become fully vested, also refer to Note 17 to accompanying financial statements.</w:t>
      </w:r>
    </w:p>
    <w:p>
      <w:pPr>
        <w:spacing w:after="0" w:line="85"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In March 2012, Mr. Perlman was appointed as Vringo’s Chief Executive Officer. In connection with Mr. Perlman’s new position, the Vringo board of directors agreed to following, revised employment terms: Mr. Perlman will be paid $250,000 per year, he will be entitled to severance, equal to his one year salary, to be paid in the event he ceases to be Vringo’s Chief Executive Officer pursuant to a change of control. In addition, the Vringo board of directors approved the grant of options to purchase 450,000 shares at an exercise price of $1.65 per share. Vringo and Mr. Perlman expect to enter into an amendment to his employment agreement to formalize the foregoing terms.</w:t>
      </w:r>
    </w:p>
    <w:p>
      <w:pPr>
        <w:spacing w:after="0" w:line="8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employment agreement requires Mr. Perlman to assign inventions and other intellectual property which he conceives or reduces to practice during his employment to Vringo and to maintain Vringo’s confidential information during employment and thereafter. Mr. Perlman is also subject to a non-competition and a non-solicitation provision that extends for a period of twelve months following termination of his agreement.</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Ellen Cohl Employment Agreement</w:t>
      </w:r>
    </w:p>
    <w:p>
      <w:pPr>
        <w:spacing w:after="0" w:line="114"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color w:val="auto"/>
        </w:rPr>
        <w:t>Ellen Cohl entered into an employment agreement with Vringo on October 20, 2010, to act as Vringo’s principal financial officer. Pursuant to the terms of her employment agreement, Ms. Cohl’s term of employment is at the will of the parties and may be terminated by either party for any reason or for no reason by giving advance written notice of 90 days. Notwithstanding the foregoing, Ms. Cohl may be dismissed immediately, without prior notice, and with rights to receive no further compensation pursuant to this employment agreement upon the occurrence of any event in which severance payments, in whole or in part, may be denied to Ms. Cohl pursuant to Israeli law. Such events include, without limitation: (i) indictment for an offense constituting a felony or involving moral turpitude, theft or embezzlement, whether or not involving the company; (ii) Ms. Cohl’s breach of her confidentiality or non-competition obligations pursuant to her employment agreement; or (iii) an act of bad faith by Ms. Cohl towards the company or any other breach of a fiduciary duty towards the company or any other breach of her employment agreement.</w:t>
      </w: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68" w:name="page169"/>
    <w:bookmarkEnd w:id="16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During the term of her employment, Ms. Cohl receives a gross monthly salary of NIS 35,000, or an aggregate of NIS 420,000 per year (approximately $118,000 as of December 31, 2010). In January 2011, Ms. Cohl’s gross monthly salary was increased to NIS 40,000. Ms. Cohl shall be reimbursed for all pre-approved expenses, and travel expenses, incurred in connection with her duties pursuant to the employment agreement.</w:t>
      </w:r>
    </w:p>
    <w:p>
      <w:pPr>
        <w:spacing w:after="0" w:line="83" w:lineRule="exact"/>
        <w:rPr>
          <w:sz w:val="20"/>
          <w:szCs w:val="20"/>
          <w:color w:val="auto"/>
        </w:rPr>
      </w:pPr>
    </w:p>
    <w:p>
      <w:pPr>
        <w:jc w:val="both"/>
        <w:ind w:left="60" w:right="619" w:firstLine="267"/>
        <w:spacing w:after="0" w:line="284" w:lineRule="auto"/>
        <w:rPr>
          <w:sz w:val="20"/>
          <w:szCs w:val="20"/>
          <w:color w:val="auto"/>
        </w:rPr>
      </w:pPr>
      <w:r>
        <w:rPr>
          <w:rFonts w:ascii="Arial" w:cs="Arial" w:eastAsia="Arial" w:hAnsi="Arial"/>
          <w:sz w:val="16"/>
          <w:szCs w:val="16"/>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agreement, the Manager’s Policy will be transferred to her personally. The Manager’s Policy would not be transferred to Ms. Cohl in certain circumstances, including breach of confidentiality and non-competition provisions or the breach of fiduciary duties. During the term of Ms. Cohl’s employment agreement, an amount equal to 7.5% of her base salary will be deposited into a Further Education Fund recognized by Israeli income tax authorities. Vringo’s contributions under this Section 5.4 will continue only up to the applicable tax-exempt “ceiling” under the income tax regulations in effect from time to time. The funds may be released to Ms. Cohl upon her written request.</w:t>
      </w:r>
    </w:p>
    <w:p>
      <w:pPr>
        <w:spacing w:after="0" w:line="64"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The employment agreement requires Ms. Cohl to assign inventions and other intellectual property which she conceives or reduces to practice during employment to Vringo and to maintain Vringo’s confidential information during employment and thereafter. Ms. Cohl is also subject to a non-competition and a non-solicitation provision that extends for a period of 12 months following termination of her agreement.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Table: Combined Company Executive Officers from Vringo</w:t>
      </w:r>
    </w:p>
    <w:p>
      <w:pPr>
        <w:spacing w:after="0" w:line="114"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sets forth cash compensation and the value of stock options awards granted to Vringo’s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435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366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82"/>
              <w:spacing w:after="0" w:line="148"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920" w:type="dxa"/>
            <w:vAlign w:val="bottom"/>
          </w:tcPr>
          <w:p>
            <w:pPr>
              <w:jc w:val="right"/>
              <w:ind w:right="83"/>
              <w:spacing w:after="0" w:line="148"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w w:val="95"/>
              </w:rPr>
              <w:t>Total</w:t>
            </w:r>
          </w:p>
        </w:tc>
      </w:tr>
      <w:tr>
        <w:trPr>
          <w:trHeight w:val="159"/>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0"/>
              <w:spacing w:after="0" w:line="15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ind w:right="82"/>
              <w:spacing w:after="0" w:line="15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60"/>
              <w:spacing w:after="0" w:line="159" w:lineRule="exact"/>
              <w:rPr>
                <w:sz w:val="20"/>
                <w:szCs w:val="20"/>
                <w:color w:val="auto"/>
              </w:rPr>
            </w:pPr>
            <w:r>
              <w:rPr>
                <w:rFonts w:ascii="Arial" w:cs="Arial" w:eastAsia="Arial" w:hAnsi="Arial"/>
                <w:sz w:val="14"/>
                <w:szCs w:val="14"/>
                <w:b w:val="1"/>
                <w:bCs w:val="1"/>
                <w:color w:val="auto"/>
              </w:rPr>
              <w:t>($)</w:t>
            </w:r>
          </w:p>
        </w:tc>
      </w:tr>
      <w:tr>
        <w:trPr>
          <w:trHeight w:val="198"/>
        </w:trPr>
        <w:tc>
          <w:tcPr>
            <w:tcW w:w="3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2"/>
              <w:spacing w:after="0" w:line="198"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22"/>
                <w:szCs w:val="22"/>
                <w:b w:val="1"/>
                <w:bCs w:val="1"/>
                <w:color w:val="auto"/>
                <w:w w:val="91"/>
                <w:vertAlign w:val="superscript"/>
              </w:rPr>
              <w:t>(1)</w:t>
            </w: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07"/>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5"/>
              </w:rPr>
              <w:t>188,269</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ind w:right="2"/>
              <w:spacing w:after="0"/>
              <w:rPr>
                <w:sz w:val="20"/>
                <w:szCs w:val="20"/>
                <w:color w:val="auto"/>
              </w:rPr>
            </w:pPr>
            <w:r>
              <w:rPr>
                <w:rFonts w:ascii="Arial" w:cs="Arial" w:eastAsia="Arial" w:hAnsi="Arial"/>
                <w:sz w:val="18"/>
                <w:szCs w:val="18"/>
                <w:color w:val="auto"/>
              </w:rPr>
              <w:t>156,325</w:t>
            </w: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2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ind w:left="40"/>
              <w:spacing w:after="0"/>
              <w:rPr>
                <w:sz w:val="20"/>
                <w:szCs w:val="20"/>
                <w:color w:val="auto"/>
              </w:rPr>
            </w:pPr>
            <w:r>
              <w:rPr>
                <w:rFonts w:ascii="Arial" w:cs="Arial" w:eastAsia="Arial" w:hAnsi="Arial"/>
                <w:sz w:val="18"/>
                <w:szCs w:val="18"/>
                <w:color w:val="auto"/>
              </w:rPr>
              <w:t>344,594</w:t>
            </w:r>
          </w:p>
        </w:tc>
      </w:tr>
      <w:tr>
        <w:trPr>
          <w:trHeight w:val="387"/>
        </w:trPr>
        <w:tc>
          <w:tcPr>
            <w:tcW w:w="366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ind w:left="100"/>
              <w:spacing w:after="0"/>
              <w:rPr>
                <w:sz w:val="20"/>
                <w:szCs w:val="20"/>
                <w:color w:val="auto"/>
              </w:rPr>
            </w:pPr>
            <w:r>
              <w:rPr>
                <w:rFonts w:ascii="Arial" w:cs="Arial" w:eastAsia="Arial" w:hAnsi="Arial"/>
                <w:sz w:val="18"/>
                <w:szCs w:val="18"/>
                <w:color w:val="auto"/>
                <w:w w:val="95"/>
              </w:rPr>
              <w:t>127,988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
              <w:spacing w:after="0"/>
              <w:rPr>
                <w:sz w:val="20"/>
                <w:szCs w:val="20"/>
                <w:color w:val="auto"/>
              </w:rPr>
            </w:pPr>
            <w:r>
              <w:rPr>
                <w:rFonts w:ascii="Arial" w:cs="Arial" w:eastAsia="Arial" w:hAnsi="Arial"/>
                <w:sz w:val="18"/>
                <w:szCs w:val="18"/>
                <w:color w:val="auto"/>
              </w:rPr>
              <w:t>58,180</w:t>
            </w:r>
          </w:p>
        </w:tc>
        <w:tc>
          <w:tcPr>
            <w:tcW w:w="1080" w:type="dxa"/>
            <w:vAlign w:val="bottom"/>
            <w:gridSpan w:val="2"/>
          </w:tcPr>
          <w:p>
            <w:pPr>
              <w:jc w:val="right"/>
              <w:ind w:right="23"/>
              <w:spacing w:after="0"/>
              <w:rPr>
                <w:sz w:val="20"/>
                <w:szCs w:val="20"/>
                <w:color w:val="auto"/>
              </w:rPr>
            </w:pPr>
            <w:r>
              <w:rPr>
                <w:rFonts w:ascii="Arial" w:cs="Arial" w:eastAsia="Arial" w:hAnsi="Arial"/>
                <w:sz w:val="18"/>
                <w:szCs w:val="18"/>
                <w:color w:val="auto"/>
              </w:rPr>
              <w:t>36,841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ind w:left="40"/>
              <w:spacing w:after="0"/>
              <w:rPr>
                <w:sz w:val="20"/>
                <w:szCs w:val="20"/>
                <w:color w:val="auto"/>
              </w:rPr>
            </w:pPr>
            <w:r>
              <w:rPr>
                <w:rFonts w:ascii="Arial" w:cs="Arial" w:eastAsia="Arial" w:hAnsi="Arial"/>
                <w:sz w:val="18"/>
                <w:szCs w:val="18"/>
                <w:color w:val="auto"/>
                <w:w w:val="94"/>
              </w:rPr>
              <w:t>223,009</w:t>
            </w:r>
            <w:r>
              <w:rPr>
                <w:rFonts w:ascii="Arial" w:cs="Arial" w:eastAsia="Arial" w:hAnsi="Arial"/>
                <w:sz w:val="29"/>
                <w:szCs w:val="29"/>
                <w:color w:val="auto"/>
                <w:w w:val="94"/>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61087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394" w:lineRule="exact"/>
        <w:rPr>
          <w:sz w:val="20"/>
          <w:szCs w:val="20"/>
          <w:color w:val="auto"/>
        </w:rPr>
      </w:pPr>
    </w:p>
    <w:p>
      <w:pPr>
        <w:ind w:left="300" w:hanging="275"/>
        <w:spacing w:after="0"/>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w:t>
      </w:r>
    </w:p>
    <w:p>
      <w:pPr>
        <w:spacing w:after="0" w:line="113" w:lineRule="exact"/>
        <w:rPr>
          <w:rFonts w:ascii="Arial" w:cs="Arial" w:eastAsia="Arial" w:hAnsi="Arial"/>
          <w:sz w:val="18"/>
          <w:szCs w:val="18"/>
          <w:color w:val="auto"/>
        </w:rPr>
      </w:pPr>
    </w:p>
    <w:p>
      <w:pPr>
        <w:jc w:val="both"/>
        <w:ind w:left="300" w:right="639" w:hanging="275"/>
        <w:spacing w:after="0" w:line="306" w:lineRule="auto"/>
        <w:tabs>
          <w:tab w:leader="none" w:pos="3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Additionally, includes local travel reimbursement in the aggregate amount of $5,943.</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Table: Combined Company Executive Officers from Innovate/Protect</w:t>
      </w:r>
    </w:p>
    <w:p>
      <w:pPr>
        <w:spacing w:after="0" w:line="114" w:lineRule="exact"/>
        <w:rPr>
          <w:sz w:val="20"/>
          <w:szCs w:val="20"/>
          <w:color w:val="auto"/>
        </w:rPr>
      </w:pPr>
    </w:p>
    <w:p>
      <w:pPr>
        <w:ind w:left="60" w:right="619" w:firstLine="267"/>
        <w:spacing w:after="0" w:line="282" w:lineRule="auto"/>
        <w:rPr>
          <w:sz w:val="20"/>
          <w:szCs w:val="20"/>
          <w:color w:val="auto"/>
        </w:rPr>
      </w:pPr>
      <w:r>
        <w:rPr>
          <w:rFonts w:ascii="Arial" w:cs="Arial" w:eastAsia="Arial" w:hAnsi="Arial"/>
          <w:sz w:val="17"/>
          <w:szCs w:val="17"/>
          <w:color w:val="auto"/>
        </w:rPr>
        <w:t>The following table sets forth cash compensation and the value of stock options awards granted to Innovate/Protect’s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51435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36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920" w:type="dxa"/>
            <w:vAlign w:val="bottom"/>
          </w:tcPr>
          <w:p>
            <w:pPr>
              <w:jc w:val="right"/>
              <w:ind w:right="189"/>
              <w:spacing w:after="0" w:line="147"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960" w:type="dxa"/>
            <w:vAlign w:val="bottom"/>
          </w:tcPr>
          <w:p>
            <w:pPr>
              <w:jc w:val="right"/>
              <w:ind w:right="103"/>
              <w:spacing w:after="0" w:line="147"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Total</w:t>
            </w:r>
          </w:p>
        </w:tc>
      </w:tr>
      <w:tr>
        <w:trPr>
          <w:trHeight w:val="159"/>
        </w:trPr>
        <w:tc>
          <w:tcPr>
            <w:tcW w:w="3660" w:type="dxa"/>
            <w:vAlign w:val="bottom"/>
          </w:tcPr>
          <w:p>
            <w:pPr>
              <w:spacing w:after="0"/>
              <w:rPr>
                <w:sz w:val="13"/>
                <w:szCs w:val="13"/>
                <w:color w:val="auto"/>
              </w:rPr>
            </w:pPr>
          </w:p>
        </w:tc>
        <w:tc>
          <w:tcPr>
            <w:tcW w:w="1080" w:type="dxa"/>
            <w:vAlign w:val="bottom"/>
            <w:gridSpan w:val="2"/>
          </w:tcPr>
          <w:p>
            <w:pPr>
              <w:jc w:val="right"/>
              <w:ind w:right="309"/>
              <w:spacing w:after="0" w:line="15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60"/>
              <w:spacing w:after="0" w:line="159" w:lineRule="exact"/>
              <w:rPr>
                <w:sz w:val="20"/>
                <w:szCs w:val="20"/>
                <w:color w:val="auto"/>
              </w:rPr>
            </w:pPr>
            <w:r>
              <w:rPr>
                <w:rFonts w:ascii="Arial" w:cs="Arial" w:eastAsia="Arial" w:hAnsi="Arial"/>
                <w:sz w:val="14"/>
                <w:szCs w:val="14"/>
                <w:b w:val="1"/>
                <w:bCs w:val="1"/>
                <w:color w:val="auto"/>
              </w:rPr>
              <w:t>($)</w:t>
            </w:r>
          </w:p>
        </w:tc>
      </w:tr>
      <w:tr>
        <w:trPr>
          <w:trHeight w:val="198"/>
        </w:trPr>
        <w:tc>
          <w:tcPr>
            <w:tcW w:w="3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47"/>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080" w:type="dxa"/>
            <w:vAlign w:val="bottom"/>
            <w:gridSpan w:val="2"/>
            <w:shd w:val="clear" w:color="auto" w:fill="CCFFCC"/>
          </w:tcPr>
          <w:p>
            <w:pPr>
              <w:jc w:val="right"/>
              <w:ind w:right="29"/>
              <w:spacing w:after="0" w:line="247" w:lineRule="exact"/>
              <w:rPr>
                <w:sz w:val="20"/>
                <w:szCs w:val="20"/>
                <w:color w:val="auto"/>
              </w:rPr>
            </w:pPr>
            <w:r>
              <w:rPr>
                <w:rFonts w:ascii="Arial" w:cs="Arial" w:eastAsia="Arial" w:hAnsi="Arial"/>
                <w:sz w:val="17"/>
                <w:szCs w:val="17"/>
                <w:color w:val="auto"/>
              </w:rPr>
              <w:t>$ 88,723</w:t>
            </w:r>
            <w:r>
              <w:rPr>
                <w:rFonts w:ascii="Arial" w:cs="Arial" w:eastAsia="Arial" w:hAnsi="Arial"/>
                <w:sz w:val="28"/>
                <w:szCs w:val="28"/>
                <w:color w:val="auto"/>
                <w:vertAlign w:val="superscript"/>
              </w:rPr>
              <w:t>(2)</w:t>
            </w:r>
          </w:p>
        </w:tc>
        <w:tc>
          <w:tcPr>
            <w:tcW w:w="1080" w:type="dxa"/>
            <w:vAlign w:val="bottom"/>
            <w:gridSpan w:val="2"/>
            <w:shd w:val="clear" w:color="auto" w:fill="CCFFCC"/>
          </w:tcPr>
          <w:p>
            <w:pPr>
              <w:jc w:val="right"/>
              <w:spacing w:after="0" w:line="247" w:lineRule="exact"/>
              <w:rPr>
                <w:sz w:val="20"/>
                <w:szCs w:val="20"/>
                <w:color w:val="auto"/>
              </w:rPr>
            </w:pPr>
            <w:r>
              <w:rPr>
                <w:rFonts w:ascii="Arial" w:cs="Arial" w:eastAsia="Arial" w:hAnsi="Arial"/>
                <w:sz w:val="17"/>
                <w:szCs w:val="17"/>
                <w:color w:val="auto"/>
              </w:rPr>
              <w:t>$ 546,254</w:t>
            </w:r>
            <w:r>
              <w:rPr>
                <w:rFonts w:ascii="Arial" w:cs="Arial" w:eastAsia="Arial" w:hAnsi="Arial"/>
                <w:sz w:val="28"/>
                <w:szCs w:val="28"/>
                <w:color w:val="auto"/>
                <w:vertAlign w:val="superscript"/>
              </w:rPr>
              <w:t>(3)</w:t>
            </w:r>
          </w:p>
        </w:tc>
        <w:tc>
          <w:tcPr>
            <w:tcW w:w="1120" w:type="dxa"/>
            <w:vAlign w:val="bottom"/>
            <w:gridSpan w:val="2"/>
            <w:shd w:val="clear" w:color="auto" w:fill="CCFFCC"/>
          </w:tcPr>
          <w:p>
            <w:pPr>
              <w:jc w:val="right"/>
              <w:ind w:right="43"/>
              <w:spacing w:after="0" w:line="247" w:lineRule="exact"/>
              <w:rPr>
                <w:sz w:val="20"/>
                <w:szCs w:val="20"/>
                <w:color w:val="auto"/>
              </w:rPr>
            </w:pPr>
            <w:r>
              <w:rPr>
                <w:rFonts w:ascii="Arial" w:cs="Arial" w:eastAsia="Arial" w:hAnsi="Arial"/>
                <w:sz w:val="17"/>
                <w:szCs w:val="17"/>
                <w:color w:val="auto"/>
              </w:rPr>
              <w:t>14,653</w:t>
            </w:r>
            <w:r>
              <w:rPr>
                <w:rFonts w:ascii="Arial" w:cs="Arial" w:eastAsia="Arial" w:hAnsi="Arial"/>
                <w:sz w:val="28"/>
                <w:szCs w:val="28"/>
                <w:color w:val="auto"/>
                <w:vertAlign w:val="superscript"/>
              </w:rPr>
              <w:t>(4)</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649,630</w:t>
            </w:r>
          </w:p>
        </w:tc>
      </w:tr>
      <w:tr>
        <w:trPr>
          <w:trHeight w:val="387"/>
        </w:trPr>
        <w:tc>
          <w:tcPr>
            <w:tcW w:w="366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1080" w:type="dxa"/>
            <w:vAlign w:val="bottom"/>
            <w:gridSpan w:val="2"/>
          </w:tcPr>
          <w:p>
            <w:pPr>
              <w:jc w:val="right"/>
              <w:ind w:right="29"/>
              <w:spacing w:after="0"/>
              <w:rPr>
                <w:sz w:val="20"/>
                <w:szCs w:val="20"/>
                <w:color w:val="auto"/>
              </w:rPr>
            </w:pPr>
            <w:r>
              <w:rPr>
                <w:rFonts w:ascii="Arial" w:cs="Arial" w:eastAsia="Arial" w:hAnsi="Arial"/>
                <w:sz w:val="18"/>
                <w:szCs w:val="18"/>
                <w:color w:val="auto"/>
              </w:rPr>
              <w:t>$ 53,274</w:t>
            </w:r>
            <w:r>
              <w:rPr>
                <w:rFonts w:ascii="Arial" w:cs="Arial" w:eastAsia="Arial" w:hAnsi="Arial"/>
                <w:sz w:val="29"/>
                <w:szCs w:val="29"/>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8"/>
              </w:rPr>
              <w:t>$ 161,438</w:t>
            </w:r>
            <w:r>
              <w:rPr>
                <w:rFonts w:ascii="Arial" w:cs="Arial" w:eastAsia="Arial" w:hAnsi="Arial"/>
                <w:sz w:val="29"/>
                <w:szCs w:val="29"/>
                <w:color w:val="auto"/>
                <w:w w:val="98"/>
                <w:vertAlign w:val="superscript"/>
              </w:rPr>
              <w:t>(6)</w:t>
            </w:r>
          </w:p>
        </w:tc>
        <w:tc>
          <w:tcPr>
            <w:tcW w:w="160" w:type="dxa"/>
            <w:vAlign w:val="bottom"/>
          </w:tcPr>
          <w:p>
            <w:pPr>
              <w:spacing w:after="0"/>
              <w:rPr>
                <w:sz w:val="24"/>
                <w:szCs w:val="24"/>
                <w:color w:val="auto"/>
              </w:rPr>
            </w:pPr>
          </w:p>
        </w:tc>
        <w:tc>
          <w:tcPr>
            <w:tcW w:w="960" w:type="dxa"/>
            <w:vAlign w:val="bottom"/>
          </w:tcPr>
          <w:p>
            <w:pPr>
              <w:jc w:val="right"/>
              <w:ind w:right="20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ind w:left="140"/>
              <w:spacing w:after="0"/>
              <w:rPr>
                <w:sz w:val="20"/>
                <w:szCs w:val="20"/>
                <w:color w:val="auto"/>
              </w:rPr>
            </w:pPr>
            <w:r>
              <w:rPr>
                <w:rFonts w:ascii="Arial" w:cs="Arial" w:eastAsia="Arial" w:hAnsi="Arial"/>
                <w:sz w:val="18"/>
                <w:szCs w:val="18"/>
                <w:color w:val="auto"/>
              </w:rPr>
              <w:t>214,712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61087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394" w:lineRule="exact"/>
        <w:rPr>
          <w:sz w:val="20"/>
          <w:szCs w:val="20"/>
          <w:color w:val="auto"/>
        </w:rPr>
      </w:pPr>
    </w:p>
    <w:p>
      <w:pPr>
        <w:ind w:left="300" w:hanging="275"/>
        <w:spacing w:after="0"/>
        <w:tabs>
          <w:tab w:leader="none" w:pos="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w:t>
      </w:r>
    </w:p>
    <w:p>
      <w:pPr>
        <w:spacing w:after="0" w:line="113" w:lineRule="exact"/>
        <w:rPr>
          <w:rFonts w:ascii="Arial" w:cs="Arial" w:eastAsia="Arial" w:hAnsi="Arial"/>
          <w:sz w:val="18"/>
          <w:szCs w:val="18"/>
          <w:color w:val="auto"/>
        </w:rPr>
      </w:pPr>
    </w:p>
    <w:p>
      <w:pPr>
        <w:ind w:left="300" w:right="619" w:hanging="275"/>
        <w:spacing w:after="0" w:line="270" w:lineRule="auto"/>
        <w:tabs>
          <w:tab w:leader="none" w:pos="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Innovate/Protect successfully completes an IPO and realizes net proceeds of at least $7 million from the sum of the private placements and the IPO, Mr. Lang’s annual salary will increase to $385,000.</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69" w:name="page170"/>
    <w:bookmarkEnd w:id="16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00" w:right="639" w:hanging="275"/>
        <w:spacing w:after="0" w:line="255" w:lineRule="auto"/>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Total stock award of 2,115,625 shares. 1,178,125 shares vested immediately upon grant and 937,500 shares vest over a three (3) year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82" w:lineRule="exact"/>
        <w:rPr>
          <w:rFonts w:ascii="Arial" w:cs="Arial" w:eastAsia="Arial" w:hAnsi="Arial"/>
          <w:sz w:val="18"/>
          <w:szCs w:val="18"/>
          <w:color w:val="auto"/>
        </w:rPr>
      </w:pPr>
    </w:p>
    <w:p>
      <w:pPr>
        <w:ind w:left="300" w:hanging="275"/>
        <w:spacing w:after="0"/>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$14,653 provided to Mr. Lang in moving reimbursement expenses.</w:t>
      </w:r>
    </w:p>
    <w:p>
      <w:pPr>
        <w:spacing w:after="0" w:line="113"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company successfully completes an IPO and realizes net proceeds of at least $7 million from the sum of the private placements and the IPO, Mr. Berger’s annual salary will increase to $250,000.</w:t>
      </w:r>
    </w:p>
    <w:p>
      <w:pPr>
        <w:spacing w:after="0" w:line="68" w:lineRule="exact"/>
        <w:rPr>
          <w:rFonts w:ascii="Arial" w:cs="Arial" w:eastAsia="Arial" w:hAnsi="Arial"/>
          <w:sz w:val="18"/>
          <w:szCs w:val="18"/>
          <w:color w:val="auto"/>
        </w:rPr>
      </w:pPr>
    </w:p>
    <w:p>
      <w:pPr>
        <w:jc w:val="both"/>
        <w:ind w:left="300" w:right="619" w:hanging="275"/>
        <w:spacing w:after="0" w:line="297" w:lineRule="auto"/>
        <w:tabs>
          <w:tab w:leader="none" w:pos="3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Total stock award of 625,000 shares. The fair value of these shares at the time of grant has been treated as compensation and is recognized at such times as the shares vest over an eighteen (18) month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14" w:lineRule="exact"/>
        <w:rPr>
          <w:sz w:val="20"/>
          <w:szCs w:val="20"/>
          <w:color w:val="auto"/>
        </w:rPr>
      </w:pPr>
    </w:p>
    <w:p>
      <w:pPr>
        <w:ind w:left="60" w:right="639" w:firstLine="267"/>
        <w:spacing w:after="0" w:line="266" w:lineRule="auto"/>
        <w:rPr>
          <w:sz w:val="20"/>
          <w:szCs w:val="20"/>
          <w:color w:val="auto"/>
        </w:rPr>
      </w:pPr>
      <w:r>
        <w:rPr>
          <w:rFonts w:ascii="Arial" w:cs="Arial" w:eastAsia="Arial" w:hAnsi="Arial"/>
          <w:sz w:val="18"/>
          <w:szCs w:val="18"/>
          <w:color w:val="auto"/>
        </w:rPr>
        <w:t>The table below sets forth information regarding outstanding equity awards held by Vringo’s named executive officers as of December 31, 2011 granted under Vringo’s 2006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43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58"/>
        </w:trPr>
        <w:tc>
          <w:tcPr>
            <w:tcW w:w="25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11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Vesting</w:t>
            </w:r>
          </w:p>
        </w:tc>
        <w:tc>
          <w:tcPr>
            <w:tcW w:w="16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Option</w:t>
            </w:r>
          </w:p>
        </w:tc>
      </w:tr>
      <w:tr>
        <w:trPr>
          <w:trHeight w:val="147"/>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5"/>
              </w:rPr>
              <w:t>securities</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securities</w:t>
            </w:r>
          </w:p>
        </w:tc>
        <w:tc>
          <w:tcPr>
            <w:tcW w:w="160" w:type="dxa"/>
            <w:vAlign w:val="bottom"/>
          </w:tcPr>
          <w:p>
            <w:pPr>
              <w:spacing w:after="0"/>
              <w:rPr>
                <w:sz w:val="12"/>
                <w:szCs w:val="12"/>
                <w:color w:val="auto"/>
              </w:rPr>
            </w:pPr>
          </w:p>
        </w:tc>
        <w:tc>
          <w:tcPr>
            <w:tcW w:w="11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87"/>
              </w:rPr>
              <w:t>exercise price</w:t>
            </w: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commencement</w:t>
            </w:r>
          </w:p>
        </w:tc>
        <w:tc>
          <w:tcPr>
            <w:tcW w:w="16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expiration</w:t>
            </w:r>
          </w:p>
        </w:tc>
      </w:tr>
      <w:tr>
        <w:trPr>
          <w:trHeight w:val="147"/>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underlying</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1080" w:type="dxa"/>
            <w:vAlign w:val="bottom"/>
            <w:gridSpan w:val="2"/>
          </w:tcPr>
          <w:p>
            <w:pPr>
              <w:jc w:val="center"/>
              <w:ind w:left="72"/>
              <w:spacing w:after="0" w:line="147"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date</w:t>
            </w:r>
          </w:p>
        </w:tc>
        <w:tc>
          <w:tcPr>
            <w:tcW w:w="16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date</w:t>
            </w:r>
          </w:p>
        </w:tc>
      </w:tr>
      <w:tr>
        <w:trPr>
          <w:trHeight w:val="147"/>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7"/>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options (#)</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0"/>
        </w:trPr>
        <w:tc>
          <w:tcPr>
            <w:tcW w:w="2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un-exercisable</w:t>
            </w: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247"/>
        </w:trPr>
        <w:tc>
          <w:tcPr>
            <w:tcW w:w="2360" w:type="dxa"/>
            <w:vAlign w:val="bottom"/>
          </w:tcPr>
          <w:p>
            <w:pPr>
              <w:ind w:left="20"/>
              <w:spacing w:after="0" w:line="247" w:lineRule="exact"/>
              <w:rPr>
                <w:sz w:val="20"/>
                <w:szCs w:val="20"/>
                <w:color w:val="auto"/>
              </w:rPr>
            </w:pPr>
            <w:r>
              <w:rPr>
                <w:rFonts w:ascii="Arial" w:cs="Arial" w:eastAsia="Arial" w:hAnsi="Arial"/>
                <w:sz w:val="17"/>
                <w:szCs w:val="17"/>
                <w:color w:val="auto"/>
              </w:rPr>
              <w:t>Jonathan Medved</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20,833</w:t>
            </w:r>
          </w:p>
        </w:tc>
        <w:tc>
          <w:tcPr>
            <w:tcW w:w="160" w:type="dxa"/>
            <w:vAlign w:val="bottom"/>
          </w:tcPr>
          <w:p>
            <w:pPr>
              <w:spacing w:after="0"/>
              <w:rPr>
                <w:sz w:val="21"/>
                <w:szCs w:val="21"/>
                <w:color w:val="auto"/>
              </w:rPr>
            </w:pPr>
          </w:p>
        </w:tc>
        <w:tc>
          <w:tcPr>
            <w:tcW w:w="9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9/16/2007</w:t>
            </w:r>
          </w:p>
        </w:tc>
        <w:tc>
          <w:tcPr>
            <w:tcW w:w="160" w:type="dxa"/>
            <w:vAlign w:val="bottom"/>
          </w:tcPr>
          <w:p>
            <w:pPr>
              <w:spacing w:after="0"/>
              <w:rPr>
                <w:sz w:val="21"/>
                <w:szCs w:val="21"/>
                <w:color w:val="auto"/>
              </w:rPr>
            </w:pPr>
          </w:p>
        </w:tc>
        <w:tc>
          <w:tcPr>
            <w:tcW w:w="1040" w:type="dxa"/>
            <w:vAlign w:val="bottom"/>
          </w:tcPr>
          <w:p>
            <w:pPr>
              <w:ind w:left="80"/>
              <w:spacing w:after="0" w:line="247" w:lineRule="exact"/>
              <w:rPr>
                <w:sz w:val="20"/>
                <w:szCs w:val="20"/>
                <w:color w:val="auto"/>
              </w:rPr>
            </w:pPr>
            <w:r>
              <w:rPr>
                <w:rFonts w:ascii="Arial" w:cs="Arial" w:eastAsia="Arial" w:hAnsi="Arial"/>
                <w:sz w:val="17"/>
                <w:szCs w:val="17"/>
                <w:color w:val="auto"/>
                <w:w w:val="95"/>
              </w:rPr>
              <w:t>9/21/2013</w:t>
            </w:r>
            <w:r>
              <w:rPr>
                <w:rFonts w:ascii="Arial" w:cs="Arial" w:eastAsia="Arial" w:hAnsi="Arial"/>
                <w:sz w:val="28"/>
                <w:szCs w:val="28"/>
                <w:color w:val="auto"/>
                <w:w w:val="95"/>
                <w:vertAlign w:val="superscript"/>
              </w:rPr>
              <w:t>(4)</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(1)</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7,670</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4,018</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6/25/2009</w:t>
            </w:r>
          </w:p>
        </w:tc>
        <w:tc>
          <w:tcPr>
            <w:tcW w:w="1200" w:type="dxa"/>
            <w:vAlign w:val="bottom"/>
            <w:gridSpan w:val="2"/>
            <w:shd w:val="clear" w:color="auto" w:fill="CCFFCC"/>
          </w:tcPr>
          <w:p>
            <w:pPr>
              <w:ind w:left="240"/>
              <w:spacing w:after="0" w:line="253" w:lineRule="exact"/>
              <w:rPr>
                <w:sz w:val="20"/>
                <w:szCs w:val="20"/>
                <w:color w:val="auto"/>
              </w:rPr>
            </w:pPr>
            <w:r>
              <w:rPr>
                <w:rFonts w:ascii="Arial" w:cs="Arial" w:eastAsia="Arial" w:hAnsi="Arial"/>
                <w:sz w:val="18"/>
                <w:szCs w:val="18"/>
                <w:color w:val="auto"/>
                <w:w w:val="90"/>
              </w:rPr>
              <w:t>9/21/2013</w:t>
            </w:r>
            <w:r>
              <w:rPr>
                <w:rFonts w:ascii="Arial" w:cs="Arial" w:eastAsia="Arial" w:hAnsi="Arial"/>
                <w:sz w:val="29"/>
                <w:szCs w:val="29"/>
                <w:color w:val="auto"/>
                <w:w w:val="90"/>
                <w:vertAlign w:val="superscript"/>
              </w:rPr>
              <w:t>(4)</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266,667</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tcPr>
          <w:p>
            <w:pPr>
              <w:ind w:left="240"/>
              <w:spacing w:after="0" w:line="253" w:lineRule="exact"/>
              <w:rPr>
                <w:sz w:val="20"/>
                <w:szCs w:val="20"/>
                <w:color w:val="auto"/>
              </w:rPr>
            </w:pPr>
            <w:r>
              <w:rPr>
                <w:rFonts w:ascii="Arial" w:cs="Arial" w:eastAsia="Arial" w:hAnsi="Arial"/>
                <w:sz w:val="18"/>
                <w:szCs w:val="18"/>
                <w:color w:val="auto"/>
                <w:w w:val="90"/>
              </w:rPr>
              <w:t>9/21/2012</w:t>
            </w:r>
            <w:r>
              <w:rPr>
                <w:rFonts w:ascii="Arial" w:cs="Arial" w:eastAsia="Arial" w:hAnsi="Arial"/>
                <w:sz w:val="29"/>
                <w:szCs w:val="29"/>
                <w:color w:val="auto"/>
                <w:w w:val="90"/>
                <w:vertAlign w:val="superscript"/>
              </w:rPr>
              <w:t>(4)</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(2)</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250,000</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9/21/2013</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4,167</w:t>
            </w:r>
          </w:p>
        </w:tc>
        <w:tc>
          <w:tcPr>
            <w:tcW w:w="160" w:type="dxa"/>
            <w:vAlign w:val="bottom"/>
          </w:tcPr>
          <w:p>
            <w:pPr>
              <w:spacing w:after="0"/>
              <w:rPr>
                <w:sz w:val="22"/>
                <w:szCs w:val="22"/>
                <w:color w:val="auto"/>
              </w:rPr>
            </w:pPr>
          </w:p>
        </w:tc>
        <w:tc>
          <w:tcPr>
            <w:tcW w:w="9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7/30/2007</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7/30/2013</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FFCC"/>
          </w:tcPr>
          <w:p>
            <w:pPr>
              <w:spacing w:after="0"/>
              <w:rPr>
                <w:sz w:val="22"/>
                <w:szCs w:val="22"/>
                <w:color w:val="auto"/>
              </w:rPr>
            </w:pPr>
          </w:p>
        </w:tc>
        <w:tc>
          <w:tcPr>
            <w:tcW w:w="920" w:type="dxa"/>
            <w:vAlign w:val="bottom"/>
            <w:shd w:val="clear" w:color="auto" w:fill="CCFFCC"/>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1/20/2008</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1/20/2014</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1,490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677</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2/14/2009</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2/14/2015</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46,667</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3/17/2016</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33,750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56,250</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3/17/2016</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46,667</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1/31/2017</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60,000</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9/30/2010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1/31/2017</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20,000</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1/31/2017</w:t>
            </w:r>
          </w:p>
        </w:tc>
      </w:tr>
      <w:tr>
        <w:trPr>
          <w:trHeight w:val="254"/>
        </w:trPr>
        <w:tc>
          <w:tcPr>
            <w:tcW w:w="2520" w:type="dxa"/>
            <w:vAlign w:val="bottom"/>
            <w:gridSpan w:val="2"/>
          </w:tcPr>
          <w:p>
            <w:pPr>
              <w:ind w:left="20"/>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6,250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13,750</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9/30/2010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1/31/2017</w:t>
            </w:r>
          </w:p>
        </w:tc>
      </w:tr>
      <w:tr>
        <w:trPr>
          <w:trHeight w:val="254"/>
        </w:trPr>
        <w:tc>
          <w:tcPr>
            <w:tcW w:w="2520" w:type="dxa"/>
            <w:vAlign w:val="bottom"/>
            <w:gridSpan w:val="2"/>
            <w:shd w:val="clear" w:color="auto" w:fill="CCFFCC"/>
          </w:tcPr>
          <w:p>
            <w:pPr>
              <w:ind w:left="20"/>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(2)</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3"/>
              <w:spacing w:after="0"/>
              <w:rPr>
                <w:sz w:val="20"/>
                <w:szCs w:val="20"/>
                <w:color w:val="auto"/>
              </w:rPr>
            </w:pPr>
            <w:r>
              <w:rPr>
                <w:rFonts w:ascii="Arial" w:cs="Arial" w:eastAsia="Arial" w:hAnsi="Arial"/>
                <w:sz w:val="18"/>
                <w:szCs w:val="18"/>
                <w:color w:val="auto"/>
              </w:rPr>
              <w:t>15,000</w:t>
            </w:r>
          </w:p>
        </w:tc>
        <w:tc>
          <w:tcPr>
            <w:tcW w:w="108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3/17/2016</w:t>
            </w:r>
          </w:p>
        </w:tc>
      </w:tr>
      <w:tr>
        <w:trPr>
          <w:trHeight w:val="227"/>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Ellen Cohl (2)</w:t>
            </w: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right"/>
              <w:ind w:right="49"/>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00" w:type="dxa"/>
            <w:vAlign w:val="bottom"/>
            <w:gridSpan w:val="2"/>
          </w:tcPr>
          <w:p>
            <w:pPr>
              <w:ind w:left="240"/>
              <w:spacing w:after="0"/>
              <w:rPr>
                <w:sz w:val="20"/>
                <w:szCs w:val="20"/>
                <w:color w:val="auto"/>
              </w:rPr>
            </w:pPr>
            <w:r>
              <w:rPr>
                <w:rFonts w:ascii="Arial" w:cs="Arial" w:eastAsia="Arial" w:hAnsi="Arial"/>
                <w:sz w:val="18"/>
                <w:szCs w:val="18"/>
                <w:color w:val="auto"/>
              </w:rPr>
              <w:t>3/17/2016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wp:posOffset>
            </wp:positionV>
            <wp:extent cx="61087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0870" cy="171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300" w:right="619" w:hanging="275"/>
        <w:spacing w:after="0" w:line="255" w:lineRule="auto"/>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spacing w:after="0" w:line="82" w:lineRule="exact"/>
        <w:rPr>
          <w:rFonts w:ascii="Arial" w:cs="Arial" w:eastAsia="Arial" w:hAnsi="Arial"/>
          <w:sz w:val="18"/>
          <w:szCs w:val="18"/>
          <w:color w:val="auto"/>
        </w:rPr>
      </w:pPr>
    </w:p>
    <w:p>
      <w:pPr>
        <w:jc w:val="both"/>
        <w:ind w:left="300" w:right="639" w:hanging="275"/>
        <w:spacing w:after="0" w:line="255" w:lineRule="auto"/>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equal annual increments (25% per year) over the subsequent three years, subject to the optionee’s continuous service status on the relevant vesting date.</w:t>
      </w:r>
    </w:p>
    <w:p>
      <w:pPr>
        <w:spacing w:after="0" w:line="82" w:lineRule="exact"/>
        <w:rPr>
          <w:rFonts w:ascii="Arial" w:cs="Arial" w:eastAsia="Arial" w:hAnsi="Arial"/>
          <w:sz w:val="18"/>
          <w:szCs w:val="18"/>
          <w:color w:val="auto"/>
        </w:rPr>
      </w:pPr>
    </w:p>
    <w:p>
      <w:pPr>
        <w:jc w:val="both"/>
        <w:ind w:left="300" w:right="619" w:hanging="275"/>
        <w:spacing w:after="0" w:line="255" w:lineRule="auto"/>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33% of the options awards vest in arrears on the date which is twelve months after the applicable vesting commencement date, subject to the optionee’s continuous service status on such date. The remaining 67% of the options vest in two equal annual increments (33% per year) over the subsequent two years, subject to the optionee’s continuous service status on the relevant vesting date.</w:t>
      </w:r>
    </w:p>
    <w:p>
      <w:pPr>
        <w:spacing w:after="0" w:line="82" w:lineRule="exact"/>
        <w:rPr>
          <w:rFonts w:ascii="Arial" w:cs="Arial" w:eastAsia="Arial" w:hAnsi="Arial"/>
          <w:sz w:val="18"/>
          <w:szCs w:val="18"/>
          <w:color w:val="auto"/>
        </w:rPr>
      </w:pPr>
    </w:p>
    <w:p>
      <w:pPr>
        <w:ind w:left="300" w:hanging="275"/>
        <w:spacing w:after="0"/>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Reflects option expiration dates pursuant to separation agreement signed in March 2012.</w:t>
      </w:r>
    </w:p>
    <w:p>
      <w:pPr>
        <w:spacing w:after="0" w:line="113" w:lineRule="exact"/>
        <w:rPr>
          <w:rFonts w:ascii="Arial" w:cs="Arial" w:eastAsia="Arial" w:hAnsi="Arial"/>
          <w:sz w:val="18"/>
          <w:szCs w:val="18"/>
          <w:color w:val="auto"/>
        </w:rPr>
      </w:pPr>
    </w:p>
    <w:p>
      <w:pPr>
        <w:ind w:left="300" w:hanging="275"/>
        <w:spacing w:after="0"/>
        <w:tabs>
          <w:tab w:leader="none" w:pos="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For additional option grants related subsequent events, also refer to Note 17 to the Vringo’s consolidated financial statements.</w:t>
      </w:r>
    </w:p>
    <w:p>
      <w:pPr>
        <w:spacing w:after="0" w:line="200" w:lineRule="exact"/>
        <w:rPr>
          <w:sz w:val="20"/>
          <w:szCs w:val="20"/>
          <w:color w:val="auto"/>
        </w:rPr>
      </w:pPr>
    </w:p>
    <w:p>
      <w:pPr>
        <w:spacing w:after="0" w:line="3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70" w:name="page171"/>
    <w:bookmarkEnd w:id="17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SECURITY OWNERSHIP OF</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101"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The following table sets forth information as of March 30, 2012, regarding the beneficial ownership of Vringo common stock by (i) each person known by the Vringo board of directors to own beneficially 5% or more of the outstanding shares of Vringo common stock, (ii) each director of Vringo, (iii) Vringo’s named executive officers, and (iv) all of Vringo’s directors and executive officers as a group. Information with respect to beneficial ownership is based solely on a review of Vringo’s capital stock transfer records and on publicly available filings made with the SEC by or on behalf of the stockholders listed below.</w:t>
      </w:r>
    </w:p>
    <w:p>
      <w:pPr>
        <w:spacing w:after="0" w:line="68" w:lineRule="exact"/>
        <w:rPr>
          <w:sz w:val="20"/>
          <w:szCs w:val="20"/>
          <w:color w:val="auto"/>
        </w:rPr>
      </w:pPr>
    </w:p>
    <w:p>
      <w:pPr>
        <w:jc w:val="both"/>
        <w:ind w:left="60" w:right="619" w:firstLine="267"/>
        <w:spacing w:after="0" w:line="280" w:lineRule="auto"/>
        <w:rPr>
          <w:sz w:val="20"/>
          <w:szCs w:val="20"/>
          <w:color w:val="auto"/>
        </w:rPr>
      </w:pPr>
      <w:r>
        <w:rPr>
          <w:rFonts w:ascii="Arial" w:cs="Arial" w:eastAsia="Arial" w:hAnsi="Arial"/>
          <w:sz w:val="16"/>
          <w:szCs w:val="16"/>
          <w:color w:val="auto"/>
        </w:rPr>
        <w:t>Percentage of beneficial ownership is calculated in relation to the 13,861,423 shares of Vringo common stock that were outstanding as of March 30, 2012. Beneficial ownership is determined in accordance with the rules of the SEC, which generally attribute beneficial ownership of securities to persons who possess sole or shared voting or investment power with respect to those securities, and includes shares of Vringo common stock issuable pursuant to the exercise of stock options or other securities that are exercisable or convertible into shares of Vringo common stock within 60 days of March 30, 2012. Options to purchase shares of Vringo common stock that are exercisable within 60 days of March 30, 2012 are considered beneficially owned by the person holding such options for the purpose of computing ownership of such person, but are not treated as outstanding for the purpose of computing the beneficial ownership of any other person. Unless otherwise indicated, to Vringo’s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51600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5360" w:type="dxa"/>
            <w:vAlign w:val="bottom"/>
            <w:gridSpan w:val="3"/>
          </w:tcPr>
          <w:p>
            <w:pPr>
              <w:ind w:left="20"/>
              <w:spacing w:after="0" w:line="172" w:lineRule="exact"/>
              <w:rPr>
                <w:sz w:val="20"/>
                <w:szCs w:val="20"/>
                <w:color w:val="auto"/>
              </w:rPr>
            </w:pPr>
            <w:r>
              <w:rPr>
                <w:rFonts w:ascii="Arial" w:cs="Arial" w:eastAsia="Arial" w:hAnsi="Arial"/>
                <w:sz w:val="12"/>
                <w:szCs w:val="12"/>
                <w:b w:val="1"/>
                <w:bCs w:val="1"/>
                <w:color w:val="auto"/>
              </w:rPr>
              <w:t>Name and Address of Beneficial Owner</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60" w:type="dxa"/>
            <w:vAlign w:val="bottom"/>
          </w:tcPr>
          <w:p>
            <w:pPr>
              <w:spacing w:after="0"/>
              <w:rPr>
                <w:sz w:val="14"/>
                <w:szCs w:val="14"/>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Percentage of</w:t>
            </w:r>
          </w:p>
        </w:tc>
      </w:t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3"/>
                <w:szCs w:val="13"/>
                <w:b w:val="1"/>
                <w:bCs w:val="1"/>
                <w:color w:val="auto"/>
                <w:w w:val="97"/>
              </w:rPr>
              <w:t>Common Stock</w:t>
            </w:r>
            <w:r>
              <w:rPr>
                <w:rFonts w:ascii="Arial" w:cs="Arial" w:eastAsia="Arial" w:hAnsi="Arial"/>
                <w:sz w:val="21"/>
                <w:szCs w:val="21"/>
                <w:b w:val="1"/>
                <w:bCs w:val="1"/>
                <w:color w:val="auto"/>
                <w:w w:val="97"/>
                <w:vertAlign w:val="superscript"/>
              </w:rPr>
              <w:t>(5)</w:t>
            </w:r>
          </w:p>
        </w:tc>
      </w:tr>
      <w:tr>
        <w:trPr>
          <w:trHeight w:val="123"/>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Stock Beneficially</w:t>
            </w: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22"/>
                <w:szCs w:val="22"/>
                <w:b w:val="1"/>
                <w:bCs w:val="1"/>
                <w:color w:val="auto"/>
                <w:w w:val="98"/>
                <w:vertAlign w:val="subscript"/>
              </w:rPr>
              <w:t>Owned</w:t>
            </w:r>
            <w:r>
              <w:rPr>
                <w:rFonts w:ascii="Arial" w:cs="Arial" w:eastAsia="Arial" w:hAnsi="Arial"/>
                <w:sz w:val="10"/>
                <w:szCs w:val="10"/>
                <w:b w:val="1"/>
                <w:bCs w:val="1"/>
                <w:color w:val="auto"/>
                <w:w w:val="98"/>
              </w:rPr>
              <w:t>(2)(3)(4)</w:t>
            </w:r>
          </w:p>
        </w:tc>
        <w:tc>
          <w:tcPr>
            <w:tcW w:w="1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7"/>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Five percent or more beneficial owners:</w:t>
            </w: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40"/>
        </w:trPr>
        <w:tc>
          <w:tcPr>
            <w:tcW w:w="5360" w:type="dxa"/>
            <w:vAlign w:val="bottom"/>
            <w:gridSpan w:val="3"/>
          </w:tcPr>
          <w:p>
            <w:pPr>
              <w:ind w:left="20"/>
              <w:spacing w:after="0" w:line="240" w:lineRule="exact"/>
              <w:rPr>
                <w:sz w:val="20"/>
                <w:szCs w:val="20"/>
                <w:color w:val="auto"/>
              </w:rPr>
            </w:pPr>
            <w:r>
              <w:rPr>
                <w:rFonts w:ascii="Arial" w:cs="Arial" w:eastAsia="Arial" w:hAnsi="Arial"/>
                <w:sz w:val="17"/>
                <w:szCs w:val="17"/>
                <w:b w:val="1"/>
                <w:bCs w:val="1"/>
                <w:color w:val="auto"/>
              </w:rPr>
              <w:t>Iroquois Master Fund Ltd.</w:t>
            </w:r>
            <w:r>
              <w:rPr>
                <w:rFonts w:ascii="Arial" w:cs="Arial" w:eastAsia="Arial" w:hAnsi="Arial"/>
                <w:sz w:val="27"/>
                <w:szCs w:val="27"/>
                <w:color w:val="auto"/>
                <w:vertAlign w:val="superscript"/>
              </w:rPr>
              <w:t>(6)</w:t>
            </w:r>
          </w:p>
        </w:tc>
        <w:tc>
          <w:tcPr>
            <w:tcW w:w="1440" w:type="dxa"/>
            <w:vAlign w:val="bottom"/>
            <w:gridSpan w:val="2"/>
          </w:tcPr>
          <w:p>
            <w:pPr>
              <w:jc w:val="right"/>
              <w:ind w:right="29"/>
              <w:spacing w:after="0"/>
              <w:rPr>
                <w:sz w:val="20"/>
                <w:szCs w:val="20"/>
                <w:color w:val="auto"/>
              </w:rPr>
            </w:pPr>
            <w:r>
              <w:rPr>
                <w:rFonts w:ascii="Arial" w:cs="Arial" w:eastAsia="Arial" w:hAnsi="Arial"/>
                <w:sz w:val="18"/>
                <w:szCs w:val="18"/>
                <w:color w:val="auto"/>
              </w:rPr>
              <w:t>1,242,828</w:t>
            </w:r>
          </w:p>
        </w:tc>
        <w:tc>
          <w:tcPr>
            <w:tcW w:w="1340" w:type="dxa"/>
            <w:vAlign w:val="bottom"/>
            <w:gridSpan w:val="2"/>
          </w:tcPr>
          <w:p>
            <w:pPr>
              <w:jc w:val="right"/>
              <w:ind w:right="291"/>
              <w:spacing w:after="0"/>
              <w:rPr>
                <w:sz w:val="20"/>
                <w:szCs w:val="20"/>
                <w:color w:val="auto"/>
              </w:rPr>
            </w:pPr>
            <w:r>
              <w:rPr>
                <w:rFonts w:ascii="Arial" w:cs="Arial" w:eastAsia="Arial" w:hAnsi="Arial"/>
                <w:sz w:val="18"/>
                <w:szCs w:val="18"/>
                <w:color w:val="auto"/>
              </w:rPr>
              <w:t>8.5%</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641 Lexington Ave, 26 Fl.</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7"/>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New York, NY 10022</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5"/>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Andrew D. Perlman</w:t>
            </w:r>
          </w:p>
        </w:tc>
        <w:tc>
          <w:tcPr>
            <w:tcW w:w="1440" w:type="dxa"/>
            <w:vAlign w:val="bottom"/>
            <w:gridSpan w:val="2"/>
          </w:tcPr>
          <w:p>
            <w:pPr>
              <w:jc w:val="right"/>
              <w:ind w:right="29"/>
              <w:spacing w:after="0"/>
              <w:rPr>
                <w:sz w:val="20"/>
                <w:szCs w:val="20"/>
                <w:color w:val="auto"/>
              </w:rPr>
            </w:pPr>
            <w:r>
              <w:rPr>
                <w:rFonts w:ascii="Arial" w:cs="Arial" w:eastAsia="Arial" w:hAnsi="Arial"/>
                <w:sz w:val="18"/>
                <w:szCs w:val="18"/>
                <w:color w:val="auto"/>
              </w:rPr>
              <w:t>184,334</w:t>
            </w:r>
          </w:p>
        </w:tc>
        <w:tc>
          <w:tcPr>
            <w:tcW w:w="1340" w:type="dxa"/>
            <w:vAlign w:val="bottom"/>
            <w:gridSpan w:val="2"/>
          </w:tcPr>
          <w:p>
            <w:pPr>
              <w:jc w:val="right"/>
              <w:ind w:right="291"/>
              <w:spacing w:after="0"/>
              <w:rPr>
                <w:sz w:val="20"/>
                <w:szCs w:val="20"/>
                <w:color w:val="auto"/>
              </w:rPr>
            </w:pPr>
            <w:r>
              <w:rPr>
                <w:rFonts w:ascii="Arial" w:cs="Arial" w:eastAsia="Arial" w:hAnsi="Arial"/>
                <w:sz w:val="18"/>
                <w:szCs w:val="18"/>
                <w:color w:val="auto"/>
              </w:rPr>
              <w:t>1.3%</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Seth M. Siegel</w:t>
            </w:r>
          </w:p>
        </w:tc>
        <w:tc>
          <w:tcPr>
            <w:tcW w:w="1440" w:type="dxa"/>
            <w:vAlign w:val="bottom"/>
            <w:gridSpan w:val="2"/>
            <w:shd w:val="clear" w:color="auto" w:fill="CCFFCC"/>
          </w:tcPr>
          <w:p>
            <w:pPr>
              <w:jc w:val="right"/>
              <w:ind w:right="29"/>
              <w:spacing w:after="0"/>
              <w:rPr>
                <w:sz w:val="20"/>
                <w:szCs w:val="20"/>
                <w:color w:val="auto"/>
              </w:rPr>
            </w:pPr>
            <w:r>
              <w:rPr>
                <w:rFonts w:ascii="Arial" w:cs="Arial" w:eastAsia="Arial" w:hAnsi="Arial"/>
                <w:sz w:val="18"/>
                <w:szCs w:val="18"/>
                <w:color w:val="auto"/>
              </w:rPr>
              <w:t>313,478</w:t>
            </w:r>
          </w:p>
        </w:tc>
        <w:tc>
          <w:tcPr>
            <w:tcW w:w="1340" w:type="dxa"/>
            <w:vAlign w:val="bottom"/>
            <w:gridSpan w:val="2"/>
            <w:shd w:val="clear" w:color="auto" w:fill="CCFFCC"/>
          </w:tcPr>
          <w:p>
            <w:pPr>
              <w:jc w:val="right"/>
              <w:ind w:right="291"/>
              <w:spacing w:after="0"/>
              <w:rPr>
                <w:sz w:val="20"/>
                <w:szCs w:val="20"/>
                <w:color w:val="auto"/>
              </w:rPr>
            </w:pPr>
            <w:r>
              <w:rPr>
                <w:rFonts w:ascii="Arial" w:cs="Arial" w:eastAsia="Arial" w:hAnsi="Arial"/>
                <w:sz w:val="18"/>
                <w:szCs w:val="18"/>
                <w:color w:val="auto"/>
              </w:rPr>
              <w:t>2.2%</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Ellen Cohl</w:t>
            </w:r>
          </w:p>
        </w:tc>
        <w:tc>
          <w:tcPr>
            <w:tcW w:w="1440" w:type="dxa"/>
            <w:vAlign w:val="bottom"/>
            <w:gridSpan w:val="2"/>
          </w:tcPr>
          <w:p>
            <w:pPr>
              <w:jc w:val="right"/>
              <w:ind w:right="29"/>
              <w:spacing w:after="0"/>
              <w:rPr>
                <w:sz w:val="20"/>
                <w:szCs w:val="20"/>
                <w:color w:val="auto"/>
              </w:rPr>
            </w:pPr>
            <w:r>
              <w:rPr>
                <w:rFonts w:ascii="Arial" w:cs="Arial" w:eastAsia="Arial" w:hAnsi="Arial"/>
                <w:sz w:val="18"/>
                <w:szCs w:val="18"/>
                <w:color w:val="auto"/>
              </w:rPr>
              <w:t>60,000</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440" w:type="dxa"/>
            <w:vAlign w:val="bottom"/>
            <w:gridSpan w:val="2"/>
            <w:shd w:val="clear" w:color="auto" w:fill="CCFFCC"/>
          </w:tcPr>
          <w:p>
            <w:pPr>
              <w:jc w:val="right"/>
              <w:ind w:right="29"/>
              <w:spacing w:after="0"/>
              <w:rPr>
                <w:sz w:val="20"/>
                <w:szCs w:val="20"/>
                <w:color w:val="auto"/>
              </w:rPr>
            </w:pPr>
            <w:r>
              <w:rPr>
                <w:rFonts w:ascii="Arial" w:cs="Arial" w:eastAsia="Arial" w:hAnsi="Arial"/>
                <w:sz w:val="18"/>
                <w:szCs w:val="18"/>
                <w:color w:val="auto"/>
              </w:rPr>
              <w:t>92,008</w:t>
            </w:r>
          </w:p>
        </w:tc>
        <w:tc>
          <w:tcPr>
            <w:tcW w:w="1340" w:type="dxa"/>
            <w:vAlign w:val="bottom"/>
            <w:gridSpan w:val="2"/>
            <w:shd w:val="clear" w:color="auto" w:fill="CCFFCC"/>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Edo Segal</w:t>
            </w:r>
          </w:p>
        </w:tc>
        <w:tc>
          <w:tcPr>
            <w:tcW w:w="1440" w:type="dxa"/>
            <w:vAlign w:val="bottom"/>
            <w:gridSpan w:val="2"/>
          </w:tcPr>
          <w:p>
            <w:pPr>
              <w:jc w:val="right"/>
              <w:ind w:right="29"/>
              <w:spacing w:after="0"/>
              <w:rPr>
                <w:sz w:val="20"/>
                <w:szCs w:val="20"/>
                <w:color w:val="auto"/>
              </w:rPr>
            </w:pPr>
            <w:r>
              <w:rPr>
                <w:rFonts w:ascii="Arial" w:cs="Arial" w:eastAsia="Arial" w:hAnsi="Arial"/>
                <w:sz w:val="18"/>
                <w:szCs w:val="18"/>
                <w:color w:val="auto"/>
              </w:rPr>
              <w:t>64,435</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Philip Serlin</w:t>
            </w:r>
          </w:p>
        </w:tc>
        <w:tc>
          <w:tcPr>
            <w:tcW w:w="1440" w:type="dxa"/>
            <w:vAlign w:val="bottom"/>
            <w:gridSpan w:val="2"/>
            <w:shd w:val="clear" w:color="auto" w:fill="CCFFCC"/>
          </w:tcPr>
          <w:p>
            <w:pPr>
              <w:jc w:val="right"/>
              <w:ind w:right="29"/>
              <w:spacing w:after="0"/>
              <w:rPr>
                <w:sz w:val="20"/>
                <w:szCs w:val="20"/>
                <w:color w:val="auto"/>
              </w:rPr>
            </w:pPr>
            <w:r>
              <w:rPr>
                <w:rFonts w:ascii="Arial" w:cs="Arial" w:eastAsia="Arial" w:hAnsi="Arial"/>
                <w:sz w:val="18"/>
                <w:szCs w:val="18"/>
                <w:color w:val="auto"/>
              </w:rPr>
              <w:t>17,813</w:t>
            </w:r>
          </w:p>
        </w:tc>
        <w:tc>
          <w:tcPr>
            <w:tcW w:w="1340" w:type="dxa"/>
            <w:vAlign w:val="bottom"/>
            <w:gridSpan w:val="2"/>
            <w:shd w:val="clear" w:color="auto" w:fill="CCFFCC"/>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Geoffrey Skolnik</w:t>
            </w:r>
          </w:p>
        </w:tc>
        <w:tc>
          <w:tcPr>
            <w:tcW w:w="160" w:type="dxa"/>
            <w:vAlign w:val="bottom"/>
          </w:tcPr>
          <w:p>
            <w:pPr>
              <w:spacing w:after="0"/>
              <w:rPr>
                <w:sz w:val="18"/>
                <w:szCs w:val="18"/>
                <w:color w:val="auto"/>
              </w:rPr>
            </w:pPr>
          </w:p>
        </w:tc>
        <w:tc>
          <w:tcPr>
            <w:tcW w:w="1280" w:type="dxa"/>
            <w:vAlign w:val="bottom"/>
          </w:tcPr>
          <w:p>
            <w:pPr>
              <w:jc w:val="right"/>
              <w:ind w:right="2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4"/>
        </w:trPr>
        <w:tc>
          <w:tcPr>
            <w:tcW w:w="53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All executive officers and directors as a group (7 persons)</w:t>
            </w:r>
          </w:p>
        </w:tc>
        <w:tc>
          <w:tcPr>
            <w:tcW w:w="1440" w:type="dxa"/>
            <w:vAlign w:val="bottom"/>
            <w:gridSpan w:val="2"/>
            <w:shd w:val="clear" w:color="auto" w:fill="CCFFCC"/>
          </w:tcPr>
          <w:p>
            <w:pPr>
              <w:jc w:val="right"/>
              <w:ind w:right="29"/>
              <w:spacing w:after="0"/>
              <w:rPr>
                <w:sz w:val="20"/>
                <w:szCs w:val="20"/>
                <w:color w:val="auto"/>
              </w:rPr>
            </w:pPr>
            <w:r>
              <w:rPr>
                <w:rFonts w:ascii="Arial" w:cs="Arial" w:eastAsia="Arial" w:hAnsi="Arial"/>
                <w:sz w:val="18"/>
                <w:szCs w:val="18"/>
                <w:color w:val="auto"/>
              </w:rPr>
              <w:t>732,068</w:t>
            </w:r>
          </w:p>
        </w:tc>
        <w:tc>
          <w:tcPr>
            <w:tcW w:w="1340" w:type="dxa"/>
            <w:vAlign w:val="bottom"/>
            <w:gridSpan w:val="2"/>
            <w:shd w:val="clear" w:color="auto" w:fill="CCFFCC"/>
          </w:tcPr>
          <w:p>
            <w:pPr>
              <w:jc w:val="right"/>
              <w:ind w:right="291"/>
              <w:spacing w:after="0"/>
              <w:rPr>
                <w:sz w:val="20"/>
                <w:szCs w:val="20"/>
                <w:color w:val="auto"/>
              </w:rPr>
            </w:pPr>
            <w:r>
              <w:rPr>
                <w:rFonts w:ascii="Arial" w:cs="Arial" w:eastAsia="Arial" w:hAnsi="Arial"/>
                <w:sz w:val="18"/>
                <w:szCs w:val="18"/>
                <w:color w:val="auto"/>
              </w:rPr>
              <w:t>5.3%</w:t>
            </w: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53" w:lineRule="exact"/>
        <w:rPr>
          <w:sz w:val="20"/>
          <w:szCs w:val="20"/>
          <w:color w:val="auto"/>
        </w:rPr>
      </w:pPr>
    </w:p>
    <w:p>
      <w:pPr>
        <w:ind w:left="300" w:hanging="275"/>
        <w:spacing w:after="0"/>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Does not exceed 1%</w:t>
      </w:r>
    </w:p>
    <w:p>
      <w:pPr>
        <w:spacing w:after="0" w:line="114" w:lineRule="exact"/>
        <w:rPr>
          <w:sz w:val="20"/>
          <w:szCs w:val="20"/>
          <w:color w:val="auto"/>
        </w:rPr>
      </w:pPr>
    </w:p>
    <w:p>
      <w:pPr>
        <w:ind w:left="300" w:right="619" w:hanging="275"/>
        <w:spacing w:after="0" w:line="270" w:lineRule="auto"/>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Vringo Inc., 44 W. 28th Street New York, New York, 10001.</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March 30, 2012.</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ownership of the executive officers and directors is direct beneficial ownership, except for 19,165 shares held in a trust controlled by Seth M. Siegel.</w:t>
      </w:r>
    </w:p>
    <w:p>
      <w:pPr>
        <w:spacing w:after="0" w:line="68" w:lineRule="exact"/>
        <w:rPr>
          <w:rFonts w:ascii="Arial" w:cs="Arial" w:eastAsia="Arial" w:hAnsi="Arial"/>
          <w:sz w:val="18"/>
          <w:szCs w:val="18"/>
          <w:color w:val="auto"/>
        </w:rPr>
      </w:pPr>
    </w:p>
    <w:p>
      <w:pPr>
        <w:ind w:left="300" w:hanging="275"/>
        <w:spacing w:after="0"/>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information included on Form 3, Form 4, Form 4/A or Schedule 13G filed with the SEC.</w:t>
      </w:r>
    </w:p>
    <w:p>
      <w:pPr>
        <w:spacing w:after="0" w:line="113"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68" w:lineRule="exact"/>
        <w:rPr>
          <w:rFonts w:ascii="Arial" w:cs="Arial" w:eastAsia="Arial" w:hAnsi="Arial"/>
          <w:sz w:val="18"/>
          <w:szCs w:val="18"/>
          <w:color w:val="auto"/>
        </w:rPr>
      </w:pPr>
    </w:p>
    <w:p>
      <w:pPr>
        <w:jc w:val="both"/>
        <w:ind w:left="300" w:right="619" w:hanging="275"/>
        <w:spacing w:after="0" w:line="270" w:lineRule="auto"/>
        <w:tabs>
          <w:tab w:leader="none" w:pos="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200" w:lineRule="exact"/>
        <w:rPr>
          <w:sz w:val="20"/>
          <w:szCs w:val="20"/>
          <w:color w:val="auto"/>
        </w:rPr>
      </w:pPr>
    </w:p>
    <w:p>
      <w:pPr>
        <w:spacing w:after="0" w:line="31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71" w:name="page172"/>
    <w:bookmarkEnd w:id="17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INNOVATE/PROTECT SECURITY OWNERSHIP OF</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101" w:lineRule="exact"/>
        <w:rPr>
          <w:sz w:val="20"/>
          <w:szCs w:val="20"/>
          <w:color w:val="auto"/>
        </w:rPr>
      </w:pPr>
    </w:p>
    <w:p>
      <w:pPr>
        <w:jc w:val="both"/>
        <w:ind w:left="60" w:right="619" w:firstLine="267"/>
        <w:spacing w:after="0" w:line="287" w:lineRule="auto"/>
        <w:rPr>
          <w:sz w:val="20"/>
          <w:szCs w:val="20"/>
          <w:color w:val="auto"/>
        </w:rPr>
      </w:pPr>
      <w:r>
        <w:rPr>
          <w:rFonts w:ascii="Arial" w:cs="Arial" w:eastAsia="Arial" w:hAnsi="Arial"/>
          <w:sz w:val="16"/>
          <w:szCs w:val="16"/>
          <w:color w:val="auto"/>
        </w:rPr>
        <w:t>The following table sets forth the beneficial ownership of Innovate/Protect capital stock as of March 30, 2012, by (i) each person or entity who is known by Innovate to own beneficially more than 5% of the outstanding shares of Innovate capital stock,</w:t>
      </w:r>
    </w:p>
    <w:p>
      <w:pPr>
        <w:spacing w:after="0" w:line="1" w:lineRule="exact"/>
        <w:rPr>
          <w:sz w:val="20"/>
          <w:szCs w:val="20"/>
          <w:color w:val="auto"/>
        </w:rPr>
      </w:pPr>
    </w:p>
    <w:p>
      <w:pPr>
        <w:ind w:left="60" w:right="639" w:firstLine="5"/>
        <w:spacing w:after="0" w:line="255" w:lineRule="auto"/>
        <w:tabs>
          <w:tab w:leader="none" w:pos="34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director of Innovate/Protect, (iii) each of Innovate/Protect’s named executive officers, and (iv) all directors and named executive officers of Innovate/Protect as a group.</w:t>
      </w:r>
    </w:p>
    <w:p>
      <w:pPr>
        <w:spacing w:after="0" w:line="82" w:lineRule="exact"/>
        <w:rPr>
          <w:sz w:val="20"/>
          <w:szCs w:val="20"/>
          <w:color w:val="auto"/>
        </w:rPr>
      </w:pPr>
    </w:p>
    <w:p>
      <w:pPr>
        <w:jc w:val="both"/>
        <w:ind w:left="60" w:right="619" w:firstLine="267"/>
        <w:spacing w:after="0" w:line="282" w:lineRule="auto"/>
        <w:rPr>
          <w:sz w:val="20"/>
          <w:szCs w:val="20"/>
          <w:color w:val="auto"/>
        </w:rPr>
      </w:pPr>
      <w:r>
        <w:rPr>
          <w:rFonts w:ascii="Arial" w:cs="Arial" w:eastAsia="Arial" w:hAnsi="Arial"/>
          <w:sz w:val="16"/>
          <w:szCs w:val="16"/>
          <w:color w:val="auto"/>
        </w:rPr>
        <w:t>Percentage of beneficial ownership is calculated in relation to the 5,774,661 shares of Innovate common stock and 6,818 preferred stock of Innovate/Protect preferred stock that were outstanding as of March 30, 2012.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issuable pursuant to the exercise of stock options or other securities that are exercisable or convertible into shares of Innovate/Protect capital stock within 60 days of March 30, 2012. Options to purchase shares of Innovate/Protect common stock that are exercisable within 60 days of March 30, 2012 are considered beneficially owned by the person holding such options for the purpose of computing ownership of such person, but are not treated as outstanding for the purpose of computing the beneficial ownership of any other person. Notes convertible into shares of Innovate/Protect capital stock that are convertible within 60 days of March 30, 2012 are considered beneficially owned by the person holding such notes for the purpose of computing ownership of such person, but are not treated as outstanding for the purpose of computing the beneficial ownership of any other person. Unless otherwise indicated, to Innovate/Protect’s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51600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Common Stock (as converted)</w:t>
            </w:r>
          </w:p>
        </w:tc>
        <w:tc>
          <w:tcPr>
            <w:tcW w:w="160" w:type="dxa"/>
            <w:vAlign w:val="bottom"/>
          </w:tcPr>
          <w:p>
            <w:pPr>
              <w:spacing w:after="0"/>
              <w:rPr>
                <w:sz w:val="15"/>
                <w:szCs w:val="15"/>
                <w:color w:val="auto"/>
              </w:rPr>
            </w:pPr>
          </w:p>
        </w:tc>
        <w:tc>
          <w:tcPr>
            <w:tcW w:w="19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Preferred Stock</w:t>
            </w:r>
          </w:p>
        </w:tc>
      </w:tr>
      <w:tr>
        <w:trPr>
          <w:trHeight w:val="158"/>
        </w:trPr>
        <w:tc>
          <w:tcPr>
            <w:tcW w:w="4080" w:type="dxa"/>
            <w:vAlign w:val="bottom"/>
            <w:gridSpan w:val="4"/>
          </w:tcPr>
          <w:p>
            <w:pPr>
              <w:ind w:left="20"/>
              <w:spacing w:after="0" w:line="158" w:lineRule="exact"/>
              <w:rPr>
                <w:sz w:val="20"/>
                <w:szCs w:val="20"/>
                <w:color w:val="auto"/>
              </w:rPr>
            </w:pPr>
            <w:r>
              <w:rPr>
                <w:rFonts w:ascii="Arial" w:cs="Arial" w:eastAsia="Arial" w:hAnsi="Arial"/>
                <w:sz w:val="12"/>
                <w:szCs w:val="12"/>
                <w:b w:val="1"/>
                <w:bCs w:val="1"/>
                <w:color w:val="auto"/>
              </w:rPr>
              <w:t>Name and Address of Beneficial Owner</w:t>
            </w:r>
            <w:r>
              <w:rPr>
                <w:rFonts w:ascii="Arial" w:cs="Arial" w:eastAsia="Arial" w:hAnsi="Arial"/>
                <w:sz w:val="18"/>
                <w:szCs w:val="18"/>
                <w:b w:val="1"/>
                <w:bCs w:val="1"/>
                <w:color w:val="auto"/>
                <w:vertAlign w:val="superscript"/>
              </w:rPr>
              <w:t>(1)</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3"/>
                <w:szCs w:val="13"/>
                <w:color w:val="auto"/>
              </w:rPr>
            </w:pPr>
          </w:p>
        </w:tc>
        <w:tc>
          <w:tcPr>
            <w:tcW w:w="880" w:type="dxa"/>
            <w:vAlign w:val="bottom"/>
          </w:tcPr>
          <w:p>
            <w:pPr>
              <w:jc w:val="right"/>
              <w:ind w:right="69"/>
              <w:spacing w:after="0" w:line="158"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3"/>
                <w:szCs w:val="13"/>
                <w:color w:val="auto"/>
              </w:rPr>
            </w:pPr>
          </w:p>
        </w:tc>
        <w:tc>
          <w:tcPr>
            <w:tcW w:w="96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Percent of</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Beneficial</w:t>
            </w:r>
          </w:p>
        </w:tc>
        <w:tc>
          <w:tcPr>
            <w:tcW w:w="160" w:type="dxa"/>
            <w:vAlign w:val="bottom"/>
          </w:tcPr>
          <w:p>
            <w:pPr>
              <w:spacing w:after="0"/>
              <w:rPr>
                <w:sz w:val="12"/>
                <w:szCs w:val="12"/>
                <w:color w:val="auto"/>
              </w:rPr>
            </w:pPr>
          </w:p>
        </w:tc>
        <w:tc>
          <w:tcPr>
            <w:tcW w:w="880" w:type="dxa"/>
            <w:vAlign w:val="bottom"/>
          </w:tcPr>
          <w:p>
            <w:pPr>
              <w:jc w:val="right"/>
              <w:ind w:right="209"/>
              <w:spacing w:after="0" w:line="147" w:lineRule="exact"/>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Beneficial</w:t>
            </w:r>
          </w:p>
        </w:tc>
        <w:tc>
          <w:tcPr>
            <w:tcW w:w="160" w:type="dxa"/>
            <w:vAlign w:val="bottom"/>
          </w:tcPr>
          <w:p>
            <w:pPr>
              <w:spacing w:after="0"/>
              <w:rPr>
                <w:sz w:val="12"/>
                <w:szCs w:val="12"/>
                <w:color w:val="auto"/>
              </w:rPr>
            </w:pPr>
          </w:p>
        </w:tc>
        <w:tc>
          <w:tcPr>
            <w:tcW w:w="960" w:type="dxa"/>
            <w:vAlign w:val="bottom"/>
          </w:tcPr>
          <w:p>
            <w:pPr>
              <w:ind w:left="320"/>
              <w:spacing w:after="0" w:line="147" w:lineRule="exact"/>
              <w:rPr>
                <w:sz w:val="20"/>
                <w:szCs w:val="20"/>
                <w:color w:val="auto"/>
              </w:rPr>
            </w:pPr>
            <w:r>
              <w:rPr>
                <w:rFonts w:ascii="Arial" w:cs="Arial" w:eastAsia="Arial" w:hAnsi="Arial"/>
                <w:sz w:val="14"/>
                <w:szCs w:val="14"/>
                <w:b w:val="1"/>
                <w:bCs w:val="1"/>
                <w:color w:val="auto"/>
              </w:rPr>
              <w:t>Class</w:t>
            </w:r>
          </w:p>
        </w:tc>
      </w:tr>
      <w:tr>
        <w:trPr>
          <w:trHeight w:val="210"/>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4"/>
                <w:szCs w:val="14"/>
                <w:b w:val="1"/>
                <w:bCs w:val="1"/>
                <w:color w:val="auto"/>
                <w:w w:val="87"/>
              </w:rPr>
              <w:t>Ownership</w:t>
            </w:r>
            <w:r>
              <w:rPr>
                <w:rFonts w:ascii="Arial" w:cs="Arial" w:eastAsia="Arial" w:hAnsi="Arial"/>
                <w:sz w:val="23"/>
                <w:szCs w:val="23"/>
                <w:b w:val="1"/>
                <w:bCs w:val="1"/>
                <w:color w:val="auto"/>
                <w:w w:val="87"/>
                <w:vertAlign w:val="superscript"/>
              </w:rPr>
              <w:t>(2)</w:t>
            </w: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Ownership</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7"/>
        </w:trPr>
        <w:tc>
          <w:tcPr>
            <w:tcW w:w="39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5% Stockholders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0"/>
        </w:trPr>
        <w:tc>
          <w:tcPr>
            <w:tcW w:w="4080" w:type="dxa"/>
            <w:vAlign w:val="bottom"/>
            <w:gridSpan w:val="4"/>
            <w:shd w:val="clear" w:color="auto" w:fill="CCFFCC"/>
          </w:tcPr>
          <w:p>
            <w:pPr>
              <w:ind w:left="20"/>
              <w:spacing w:after="0" w:line="240" w:lineRule="exact"/>
              <w:rPr>
                <w:sz w:val="20"/>
                <w:szCs w:val="20"/>
                <w:color w:val="auto"/>
              </w:rPr>
            </w:pPr>
            <w:r>
              <w:rPr>
                <w:rFonts w:ascii="Arial" w:cs="Arial" w:eastAsia="Arial" w:hAnsi="Arial"/>
                <w:sz w:val="17"/>
                <w:szCs w:val="17"/>
                <w:b w:val="1"/>
                <w:bCs w:val="1"/>
                <w:color w:val="auto"/>
              </w:rPr>
              <w:t>Hudson Bay Master Fund Ltd.</w:t>
            </w:r>
            <w:r>
              <w:rPr>
                <w:rFonts w:ascii="Arial" w:cs="Arial" w:eastAsia="Arial" w:hAnsi="Arial"/>
                <w:sz w:val="27"/>
                <w:szCs w:val="27"/>
                <w:color w:val="auto"/>
                <w:vertAlign w:val="superscript"/>
              </w:rPr>
              <w:t>(3)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6,724,100</w:t>
            </w:r>
          </w:p>
        </w:tc>
        <w:tc>
          <w:tcPr>
            <w:tcW w:w="104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53.8%</w:t>
            </w:r>
          </w:p>
        </w:tc>
        <w:tc>
          <w:tcPr>
            <w:tcW w:w="1020" w:type="dxa"/>
            <w:vAlign w:val="bottom"/>
            <w:gridSpan w:val="2"/>
            <w:shd w:val="clear" w:color="auto" w:fill="CCFFCC"/>
          </w:tcPr>
          <w:p>
            <w:pPr>
              <w:jc w:val="right"/>
              <w:ind w:right="36"/>
              <w:spacing w:after="0"/>
              <w:rPr>
                <w:sz w:val="20"/>
                <w:szCs w:val="20"/>
                <w:color w:val="auto"/>
              </w:rPr>
            </w:pPr>
            <w:r>
              <w:rPr>
                <w:rFonts w:ascii="Arial" w:cs="Arial" w:eastAsia="Arial" w:hAnsi="Arial"/>
                <w:sz w:val="18"/>
                <w:szCs w:val="18"/>
                <w:color w:val="auto"/>
              </w:rPr>
              <w:t>6,474</w:t>
            </w:r>
          </w:p>
        </w:tc>
        <w:tc>
          <w:tcPr>
            <w:tcW w:w="112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95%</w:t>
            </w:r>
          </w:p>
        </w:tc>
      </w:tr>
      <w:tr>
        <w:trPr>
          <w:trHeight w:val="214"/>
        </w:trPr>
        <w:tc>
          <w:tcPr>
            <w:tcW w:w="4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777 Third Avenue</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r>
      <w:tr>
        <w:trPr>
          <w:trHeight w:val="228"/>
        </w:trPr>
        <w:tc>
          <w:tcPr>
            <w:tcW w:w="4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New York, NY 10017</w:t>
            </w: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r>
      <w:tr>
        <w:trPr>
          <w:trHeight w:val="243"/>
        </w:trPr>
        <w:tc>
          <w:tcPr>
            <w:tcW w:w="4080" w:type="dxa"/>
            <w:vAlign w:val="bottom"/>
            <w:gridSpan w:val="4"/>
          </w:tcPr>
          <w:p>
            <w:pPr>
              <w:ind w:left="20"/>
              <w:spacing w:after="0" w:line="243" w:lineRule="exact"/>
              <w:rPr>
                <w:sz w:val="20"/>
                <w:szCs w:val="20"/>
                <w:color w:val="auto"/>
              </w:rPr>
            </w:pPr>
            <w:r>
              <w:rPr>
                <w:rFonts w:ascii="Arial" w:cs="Arial" w:eastAsia="Arial" w:hAnsi="Arial"/>
                <w:sz w:val="17"/>
                <w:szCs w:val="17"/>
                <w:b w:val="1"/>
                <w:bCs w:val="1"/>
                <w:color w:val="auto"/>
              </w:rPr>
              <w:t>Iroquois Master Fund Ltd.</w:t>
            </w:r>
            <w:r>
              <w:rPr>
                <w:rFonts w:ascii="Arial" w:cs="Arial" w:eastAsia="Arial" w:hAnsi="Arial"/>
                <w:sz w:val="28"/>
                <w:szCs w:val="28"/>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433,625</w:t>
            </w:r>
          </w:p>
        </w:tc>
        <w:tc>
          <w:tcPr>
            <w:tcW w:w="1040" w:type="dxa"/>
            <w:vAlign w:val="bottom"/>
            <w:gridSpan w:val="2"/>
          </w:tcPr>
          <w:p>
            <w:pPr>
              <w:jc w:val="right"/>
              <w:ind w:right="49"/>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50"/>
        </w:trPr>
        <w:tc>
          <w:tcPr>
            <w:tcW w:w="4080" w:type="dxa"/>
            <w:vAlign w:val="bottom"/>
            <w:gridSpan w:val="4"/>
          </w:tcPr>
          <w:p>
            <w:pPr>
              <w:ind w:left="20"/>
              <w:spacing w:after="0" w:line="251"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7"/>
        </w:trPr>
        <w:tc>
          <w:tcPr>
            <w:tcW w:w="4080" w:type="dxa"/>
            <w:vAlign w:val="bottom"/>
            <w:gridSpan w:val="4"/>
          </w:tcPr>
          <w:p>
            <w:pPr>
              <w:ind w:left="20"/>
              <w:spacing w:after="0"/>
              <w:rPr>
                <w:sz w:val="20"/>
                <w:szCs w:val="20"/>
                <w:color w:val="auto"/>
              </w:rPr>
            </w:pPr>
            <w:r>
              <w:rPr>
                <w:rFonts w:ascii="Arial" w:cs="Arial" w:eastAsia="Arial" w:hAnsi="Arial"/>
                <w:sz w:val="18"/>
                <w:szCs w:val="18"/>
                <w:color w:val="auto"/>
              </w:rPr>
              <w:t>New York, NY 10022</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0"/>
        </w:trPr>
        <w:tc>
          <w:tcPr>
            <w:tcW w:w="4080" w:type="dxa"/>
            <w:vAlign w:val="bottom"/>
            <w:gridSpan w:val="4"/>
            <w:shd w:val="clear" w:color="auto" w:fill="CCFFCC"/>
          </w:tcPr>
          <w:p>
            <w:pPr>
              <w:ind w:left="20"/>
              <w:spacing w:after="0" w:line="201" w:lineRule="exact"/>
              <w:rPr>
                <w:sz w:val="20"/>
                <w:szCs w:val="20"/>
                <w:color w:val="auto"/>
              </w:rPr>
            </w:pPr>
            <w:r>
              <w:rPr>
                <w:rFonts w:ascii="Arial" w:cs="Arial" w:eastAsia="Arial" w:hAnsi="Arial"/>
                <w:sz w:val="18"/>
                <w:szCs w:val="18"/>
                <w:b w:val="1"/>
                <w:bCs w:val="1"/>
                <w:color w:val="auto"/>
              </w:rPr>
              <w:t>Frost Gamma Investments Trust</w:t>
            </w:r>
          </w:p>
        </w:tc>
        <w:tc>
          <w:tcPr>
            <w:tcW w:w="88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375,000</w:t>
            </w:r>
          </w:p>
        </w:tc>
        <w:tc>
          <w:tcPr>
            <w:tcW w:w="1040" w:type="dxa"/>
            <w:vAlign w:val="bottom"/>
            <w:gridSpan w:val="2"/>
            <w:shd w:val="clear" w:color="auto" w:fill="CCFFCC"/>
          </w:tcPr>
          <w:p>
            <w:pPr>
              <w:jc w:val="right"/>
              <w:ind w:right="49"/>
              <w:spacing w:after="0" w:line="201" w:lineRule="exact"/>
              <w:rPr>
                <w:sz w:val="20"/>
                <w:szCs w:val="20"/>
                <w:color w:val="auto"/>
              </w:rPr>
            </w:pPr>
            <w:r>
              <w:rPr>
                <w:rFonts w:ascii="Arial" w:cs="Arial" w:eastAsia="Arial" w:hAnsi="Arial"/>
                <w:sz w:val="18"/>
                <w:szCs w:val="18"/>
                <w:color w:val="auto"/>
              </w:rPr>
              <w:t>6.49%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ind w:right="36"/>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960" w:type="dxa"/>
            <w:vAlign w:val="bottom"/>
            <w:shd w:val="clear" w:color="auto" w:fill="CCFFCC"/>
          </w:tcPr>
          <w:p>
            <w:pPr>
              <w:ind w:left="300"/>
              <w:spacing w:after="0" w:line="201" w:lineRule="exact"/>
              <w:rPr>
                <w:sz w:val="20"/>
                <w:szCs w:val="20"/>
                <w:color w:val="auto"/>
              </w:rPr>
            </w:pPr>
            <w:r>
              <w:rPr>
                <w:rFonts w:ascii="Arial" w:cs="Arial" w:eastAsia="Arial" w:hAnsi="Arial"/>
                <w:sz w:val="18"/>
                <w:szCs w:val="18"/>
                <w:color w:val="auto"/>
              </w:rPr>
              <w:t>—</w:t>
            </w:r>
          </w:p>
        </w:tc>
      </w:tr>
      <w:tr>
        <w:trPr>
          <w:trHeight w:val="214"/>
        </w:trPr>
        <w:tc>
          <w:tcPr>
            <w:tcW w:w="4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4400 Biscayne Boulevard</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r>
      <w:tr>
        <w:trPr>
          <w:trHeight w:val="228"/>
        </w:trPr>
        <w:tc>
          <w:tcPr>
            <w:tcW w:w="4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Miami, FL 33137</w:t>
            </w: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r>
      <w:tr>
        <w:trPr>
          <w:trHeight w:val="199"/>
        </w:trPr>
        <w:tc>
          <w:tcPr>
            <w:tcW w:w="4080" w:type="dxa"/>
            <w:vAlign w:val="bottom"/>
            <w:gridSpan w:val="4"/>
          </w:tcPr>
          <w:p>
            <w:pPr>
              <w:ind w:left="20"/>
              <w:spacing w:after="0" w:line="200" w:lineRule="exact"/>
              <w:rPr>
                <w:sz w:val="20"/>
                <w:szCs w:val="20"/>
                <w:color w:val="auto"/>
              </w:rPr>
            </w:pPr>
            <w:r>
              <w:rPr>
                <w:rFonts w:ascii="Arial" w:cs="Arial" w:eastAsia="Arial" w:hAnsi="Arial"/>
                <w:sz w:val="18"/>
                <w:szCs w:val="18"/>
                <w:b w:val="1"/>
                <w:bCs w:val="1"/>
                <w:color w:val="auto"/>
              </w:rPr>
              <w:t>Michael and Betsy Brauser TBE</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387,500</w:t>
            </w:r>
          </w:p>
        </w:tc>
        <w:tc>
          <w:tcPr>
            <w:tcW w:w="1040" w:type="dxa"/>
            <w:vAlign w:val="bottom"/>
            <w:gridSpan w:val="2"/>
          </w:tcPr>
          <w:p>
            <w:pPr>
              <w:jc w:val="right"/>
              <w:ind w:right="49"/>
              <w:spacing w:after="0" w:line="200" w:lineRule="exact"/>
              <w:rPr>
                <w:sz w:val="20"/>
                <w:szCs w:val="20"/>
                <w:color w:val="auto"/>
              </w:rPr>
            </w:pPr>
            <w:r>
              <w:rPr>
                <w:rFonts w:ascii="Arial" w:cs="Arial" w:eastAsia="Arial" w:hAnsi="Arial"/>
                <w:sz w:val="18"/>
                <w:szCs w:val="18"/>
                <w:color w:val="auto"/>
              </w:rPr>
              <w:t>6.71%</w:t>
            </w:r>
          </w:p>
        </w:tc>
        <w:tc>
          <w:tcPr>
            <w:tcW w:w="160" w:type="dxa"/>
            <w:vAlign w:val="bottom"/>
          </w:tcPr>
          <w:p>
            <w:pPr>
              <w:spacing w:after="0"/>
              <w:rPr>
                <w:sz w:val="17"/>
                <w:szCs w:val="17"/>
                <w:color w:val="auto"/>
              </w:rPr>
            </w:pPr>
          </w:p>
        </w:tc>
        <w:tc>
          <w:tcPr>
            <w:tcW w:w="860" w:type="dxa"/>
            <w:vAlign w:val="bottom"/>
          </w:tcPr>
          <w:p>
            <w:pPr>
              <w:jc w:val="right"/>
              <w:ind w:right="36"/>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0" w:type="dxa"/>
            <w:vAlign w:val="bottom"/>
          </w:tcPr>
          <w:p>
            <w:pPr>
              <w:ind w:left="300"/>
              <w:spacing w:after="0" w:line="200" w:lineRule="exact"/>
              <w:rPr>
                <w:sz w:val="20"/>
                <w:szCs w:val="20"/>
                <w:color w:val="auto"/>
              </w:rPr>
            </w:pPr>
            <w:r>
              <w:rPr>
                <w:rFonts w:ascii="Arial" w:cs="Arial" w:eastAsia="Arial" w:hAnsi="Arial"/>
                <w:sz w:val="18"/>
                <w:szCs w:val="18"/>
                <w:color w:val="auto"/>
              </w:rPr>
              <w:t>—</w:t>
            </w:r>
          </w:p>
        </w:tc>
      </w:tr>
      <w:tr>
        <w:trPr>
          <w:trHeight w:val="214"/>
        </w:trPr>
        <w:tc>
          <w:tcPr>
            <w:tcW w:w="4080" w:type="dxa"/>
            <w:vAlign w:val="bottom"/>
            <w:gridSpan w:val="4"/>
          </w:tcPr>
          <w:p>
            <w:pPr>
              <w:ind w:left="20"/>
              <w:spacing w:after="0"/>
              <w:rPr>
                <w:sz w:val="20"/>
                <w:szCs w:val="20"/>
                <w:color w:val="auto"/>
              </w:rPr>
            </w:pPr>
            <w:r>
              <w:rPr>
                <w:rFonts w:ascii="Arial" w:cs="Arial" w:eastAsia="Arial" w:hAnsi="Arial"/>
                <w:sz w:val="18"/>
                <w:szCs w:val="18"/>
                <w:color w:val="auto"/>
              </w:rPr>
              <w:t>3164 NE 31st Avenue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7"/>
        </w:trPr>
        <w:tc>
          <w:tcPr>
            <w:tcW w:w="4080" w:type="dxa"/>
            <w:vAlign w:val="bottom"/>
            <w:gridSpan w:val="4"/>
          </w:tcPr>
          <w:p>
            <w:pPr>
              <w:ind w:left="20"/>
              <w:spacing w:after="0"/>
              <w:rPr>
                <w:sz w:val="20"/>
                <w:szCs w:val="20"/>
                <w:color w:val="auto"/>
              </w:rPr>
            </w:pPr>
            <w:r>
              <w:rPr>
                <w:rFonts w:ascii="Arial" w:cs="Arial" w:eastAsia="Arial" w:hAnsi="Arial"/>
                <w:sz w:val="18"/>
                <w:szCs w:val="18"/>
                <w:color w:val="auto"/>
              </w:rPr>
              <w:t>Lighthouse Point, FL 33064</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0"/>
        </w:trPr>
        <w:tc>
          <w:tcPr>
            <w:tcW w:w="4080" w:type="dxa"/>
            <w:vAlign w:val="bottom"/>
            <w:gridSpan w:val="4"/>
            <w:shd w:val="clear" w:color="auto" w:fill="CCFFCC"/>
          </w:tcPr>
          <w:p>
            <w:pPr>
              <w:ind w:left="20"/>
              <w:spacing w:after="0" w:line="201" w:lineRule="exact"/>
              <w:rPr>
                <w:sz w:val="20"/>
                <w:szCs w:val="20"/>
                <w:color w:val="auto"/>
              </w:rPr>
            </w:pPr>
            <w:r>
              <w:rPr>
                <w:rFonts w:ascii="Arial" w:cs="Arial" w:eastAsia="Arial" w:hAnsi="Arial"/>
                <w:sz w:val="18"/>
                <w:szCs w:val="18"/>
                <w:b w:val="1"/>
                <w:bCs w:val="1"/>
                <w:color w:val="auto"/>
              </w:rPr>
              <w:t>Barry Honig</w:t>
            </w:r>
          </w:p>
        </w:tc>
        <w:tc>
          <w:tcPr>
            <w:tcW w:w="88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437,500</w:t>
            </w:r>
          </w:p>
        </w:tc>
        <w:tc>
          <w:tcPr>
            <w:tcW w:w="1040" w:type="dxa"/>
            <w:vAlign w:val="bottom"/>
            <w:gridSpan w:val="2"/>
            <w:shd w:val="clear" w:color="auto" w:fill="CCFFCC"/>
          </w:tcPr>
          <w:p>
            <w:pPr>
              <w:jc w:val="right"/>
              <w:ind w:right="49"/>
              <w:spacing w:after="0" w:line="201" w:lineRule="exact"/>
              <w:rPr>
                <w:sz w:val="20"/>
                <w:szCs w:val="20"/>
                <w:color w:val="auto"/>
              </w:rPr>
            </w:pPr>
            <w:r>
              <w:rPr>
                <w:rFonts w:ascii="Arial" w:cs="Arial" w:eastAsia="Arial" w:hAnsi="Arial"/>
                <w:sz w:val="18"/>
                <w:szCs w:val="18"/>
                <w:color w:val="auto"/>
              </w:rPr>
              <w:t>7.58%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ind w:right="36"/>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960" w:type="dxa"/>
            <w:vAlign w:val="bottom"/>
            <w:shd w:val="clear" w:color="auto" w:fill="CCFFCC"/>
          </w:tcPr>
          <w:p>
            <w:pPr>
              <w:ind w:left="300"/>
              <w:spacing w:after="0" w:line="201" w:lineRule="exact"/>
              <w:rPr>
                <w:sz w:val="20"/>
                <w:szCs w:val="20"/>
                <w:color w:val="auto"/>
              </w:rPr>
            </w:pPr>
            <w:r>
              <w:rPr>
                <w:rFonts w:ascii="Arial" w:cs="Arial" w:eastAsia="Arial" w:hAnsi="Arial"/>
                <w:sz w:val="18"/>
                <w:szCs w:val="18"/>
                <w:color w:val="auto"/>
              </w:rPr>
              <w:t>—</w:t>
            </w:r>
          </w:p>
        </w:tc>
      </w:tr>
      <w:tr>
        <w:trPr>
          <w:trHeight w:val="214"/>
        </w:trPr>
        <w:tc>
          <w:tcPr>
            <w:tcW w:w="4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4400 Biscayne Boulevard, Suite 850</w:t>
            </w: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r>
      <w:tr>
        <w:trPr>
          <w:trHeight w:val="228"/>
        </w:trPr>
        <w:tc>
          <w:tcPr>
            <w:tcW w:w="4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Miami, FL 33137</w:t>
            </w: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r>
      <w:tr>
        <w:trPr>
          <w:trHeight w:val="214"/>
        </w:trPr>
        <w:tc>
          <w:tcPr>
            <w:tcW w:w="408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4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1,875,000</w:t>
            </w:r>
          </w:p>
        </w:tc>
        <w:tc>
          <w:tcPr>
            <w:tcW w:w="104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32.47%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w:t>
            </w:r>
          </w:p>
        </w:tc>
      </w:tr>
      <w:tr>
        <w:trPr>
          <w:trHeight w:val="214"/>
        </w:trPr>
        <w:tc>
          <w:tcPr>
            <w:tcW w:w="4080" w:type="dxa"/>
            <w:vAlign w:val="bottom"/>
            <w:gridSpan w:val="4"/>
          </w:tcPr>
          <w:p>
            <w:pPr>
              <w:ind w:left="20"/>
              <w:spacing w:after="0"/>
              <w:rPr>
                <w:sz w:val="20"/>
                <w:szCs w:val="20"/>
                <w:color w:val="auto"/>
              </w:rPr>
            </w:pPr>
            <w:r>
              <w:rPr>
                <w:rFonts w:ascii="Arial" w:cs="Arial" w:eastAsia="Arial" w:hAnsi="Arial"/>
                <w:sz w:val="18"/>
                <w:szCs w:val="18"/>
                <w:color w:val="auto"/>
              </w:rPr>
              <w:t>Alexander R. Berger</w:t>
            </w:r>
          </w:p>
        </w:tc>
        <w:tc>
          <w:tcPr>
            <w:tcW w:w="880" w:type="dxa"/>
            <w:vAlign w:val="bottom"/>
          </w:tcPr>
          <w:p>
            <w:pPr>
              <w:jc w:val="right"/>
              <w:spacing w:after="0"/>
              <w:rPr>
                <w:sz w:val="20"/>
                <w:szCs w:val="20"/>
                <w:color w:val="auto"/>
              </w:rPr>
            </w:pPr>
            <w:r>
              <w:rPr>
                <w:rFonts w:ascii="Arial" w:cs="Arial" w:eastAsia="Arial" w:hAnsi="Arial"/>
                <w:sz w:val="18"/>
                <w:szCs w:val="18"/>
                <w:color w:val="auto"/>
              </w:rPr>
              <w:t>625,000</w:t>
            </w:r>
          </w:p>
        </w:tc>
        <w:tc>
          <w:tcPr>
            <w:tcW w:w="1040" w:type="dxa"/>
            <w:vAlign w:val="bottom"/>
            <w:gridSpan w:val="2"/>
          </w:tcPr>
          <w:p>
            <w:pPr>
              <w:jc w:val="right"/>
              <w:ind w:right="49"/>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54"/>
        </w:trPr>
        <w:tc>
          <w:tcPr>
            <w:tcW w:w="4080" w:type="dxa"/>
            <w:vAlign w:val="bottom"/>
            <w:gridSpan w:val="4"/>
            <w:shd w:val="clear" w:color="auto" w:fill="CCFFCC"/>
          </w:tcPr>
          <w:p>
            <w:pPr>
              <w:ind w:left="20"/>
              <w:spacing w:after="0" w:line="253"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256,824</w:t>
            </w:r>
          </w:p>
        </w:tc>
        <w:tc>
          <w:tcPr>
            <w:tcW w:w="104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2"/>
                <w:szCs w:val="22"/>
                <w:color w:val="auto"/>
              </w:rPr>
            </w:pPr>
          </w:p>
        </w:tc>
        <w:tc>
          <w:tcPr>
            <w:tcW w:w="9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w:t>
            </w:r>
          </w:p>
        </w:tc>
      </w:tr>
      <w:tr>
        <w:trPr>
          <w:trHeight w:val="214"/>
        </w:trPr>
        <w:tc>
          <w:tcPr>
            <w:tcW w:w="4080" w:type="dxa"/>
            <w:vAlign w:val="bottom"/>
            <w:gridSpan w:val="4"/>
          </w:tcPr>
          <w:p>
            <w:pPr>
              <w:ind w:left="20"/>
              <w:spacing w:after="0"/>
              <w:rPr>
                <w:sz w:val="20"/>
                <w:szCs w:val="20"/>
                <w:color w:val="auto"/>
              </w:rPr>
            </w:pPr>
            <w:r>
              <w:rPr>
                <w:rFonts w:ascii="Arial" w:cs="Arial" w:eastAsia="Arial" w:hAnsi="Arial"/>
                <w:sz w:val="18"/>
                <w:szCs w:val="18"/>
                <w:color w:val="auto"/>
              </w:rPr>
              <w:t>H. Van Sinclair</w:t>
            </w: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c>
          <w:tcPr>
            <w:tcW w:w="104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4"/>
        </w:trPr>
        <w:tc>
          <w:tcPr>
            <w:tcW w:w="4080" w:type="dxa"/>
            <w:vAlign w:val="bottom"/>
            <w:gridSpan w:val="4"/>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w w:val="98"/>
              </w:rPr>
              <w:t>All officers and directors as a group (4 persons)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2,796,824</w:t>
            </w:r>
          </w:p>
        </w:tc>
        <w:tc>
          <w:tcPr>
            <w:tcW w:w="104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w:t>
            </w: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253"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Does not exceed 1% of the class</w:t>
      </w:r>
    </w:p>
    <w:p>
      <w:pPr>
        <w:spacing w:after="0" w:line="200" w:lineRule="exact"/>
        <w:rPr>
          <w:sz w:val="20"/>
          <w:szCs w:val="20"/>
          <w:color w:val="auto"/>
        </w:rPr>
      </w:pPr>
    </w:p>
    <w:p>
      <w:pPr>
        <w:spacing w:after="0" w:line="35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80" w:right="619" w:hanging="275"/>
        <w:spacing w:after="0" w:line="270" w:lineRule="auto"/>
        <w:tabs>
          <w:tab w:leader="none" w:pos="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Unless otherwise indicated, the address of each listed stockholder is c/o Innovate/Protect, Inc., 380 Madison Avenue, 22nd Floor, New York, New York 10017.</w:t>
      </w:r>
    </w:p>
    <w:p>
      <w:pPr>
        <w:spacing w:after="0" w:line="68" w:lineRule="exact"/>
        <w:rPr>
          <w:rFonts w:ascii="Arial" w:cs="Arial" w:eastAsia="Arial" w:hAnsi="Arial"/>
          <w:sz w:val="18"/>
          <w:szCs w:val="18"/>
          <w:color w:val="auto"/>
        </w:rPr>
      </w:pPr>
    </w:p>
    <w:p>
      <w:pPr>
        <w:ind w:left="280" w:right="639" w:hanging="275"/>
        <w:spacing w:after="0" w:line="270" w:lineRule="auto"/>
        <w:tabs>
          <w:tab w:leader="none" w:pos="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March 30, 2012.</w:t>
      </w:r>
    </w:p>
    <w:p>
      <w:pPr>
        <w:spacing w:after="0" w:line="68" w:lineRule="exact"/>
        <w:rPr>
          <w:rFonts w:ascii="Arial" w:cs="Arial" w:eastAsia="Arial" w:hAnsi="Arial"/>
          <w:sz w:val="18"/>
          <w:szCs w:val="18"/>
          <w:color w:val="auto"/>
        </w:rPr>
      </w:pPr>
    </w:p>
    <w:p>
      <w:pPr>
        <w:jc w:val="both"/>
        <w:ind w:left="280" w:right="619" w:hanging="275"/>
        <w:spacing w:after="0" w:line="292" w:lineRule="auto"/>
        <w:tabs>
          <w:tab w:leader="none" w:pos="2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Hudson Bay Master Fund Ltd. also holds a warrant exercisable for 250,000 shares of common stock, which would be 4.15% of the class upon exercise and shares of preferred stock convertible into 6,474,000 shares of common stock.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w:t>
      </w:r>
    </w:p>
    <w:p>
      <w:pPr>
        <w:spacing w:after="0" w:line="56" w:lineRule="exact"/>
        <w:rPr>
          <w:rFonts w:ascii="Arial" w:cs="Arial" w:eastAsia="Arial" w:hAnsi="Arial"/>
          <w:sz w:val="16"/>
          <w:szCs w:val="16"/>
          <w:color w:val="auto"/>
        </w:rPr>
      </w:pPr>
    </w:p>
    <w:p>
      <w:pPr>
        <w:jc w:val="both"/>
        <w:ind w:left="280" w:right="619" w:hanging="275"/>
        <w:spacing w:after="0" w:line="270" w:lineRule="auto"/>
        <w:tabs>
          <w:tab w:leader="none" w:pos="2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hanging="275"/>
        <w:spacing w:after="0"/>
        <w:tabs>
          <w:tab w:leader="none" w:pos="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SECURITY OWNERSHIP OF CERTAIN BENEFICIAL OWNERS AND</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MANAGEMENT OF THE COMBINED COMPANY FOLLOWING THE MERGER</w:t>
      </w:r>
    </w:p>
    <w:p>
      <w:pPr>
        <w:spacing w:after="0" w:line="101"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following table sets forth information as of March 30,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 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1"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Percentage of beneficial ownership is calculated based on 13,861,423 shares of Vringo common stock outstanding as of March 30, 2012 and 12,592,661 shares of Innovate/Protect capital stock outstanding as of March 30, 2012 (which includes 6,818 shares of preferred stock and 5,774,661 shares of common stock). The percent of common stock of the combined company is based on 31,537,040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March 30,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March 30,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TABLE OF CONTENTS</w:t>
            </w: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1"/>
        </w:trPr>
        <w:tc>
          <w:tcPr>
            <w:tcW w:w="20" w:type="dxa"/>
            <w:vAlign w:val="bottom"/>
          </w:tcPr>
          <w:p>
            <w:pPr>
              <w:spacing w:after="0"/>
              <w:rPr>
                <w:sz w:val="21"/>
                <w:szCs w:val="21"/>
                <w:color w:val="auto"/>
              </w:rPr>
            </w:pPr>
          </w:p>
        </w:tc>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Percent of</w:t>
            </w:r>
          </w:p>
        </w:tc>
      </w:tr>
      <w:tr>
        <w:trPr>
          <w:trHeight w:val="15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Beneficial</w:t>
            </w:r>
          </w:p>
        </w:tc>
        <w:tc>
          <w:tcPr>
            <w:tcW w:w="100" w:type="dxa"/>
            <w:vAlign w:val="bottom"/>
          </w:tcPr>
          <w:p>
            <w:pPr>
              <w:spacing w:after="0"/>
              <w:rPr>
                <w:sz w:val="13"/>
                <w:szCs w:val="13"/>
                <w:color w:val="auto"/>
              </w:rPr>
            </w:pPr>
          </w:p>
        </w:tc>
        <w:tc>
          <w:tcPr>
            <w:tcW w:w="700" w:type="dxa"/>
            <w:vAlign w:val="bottom"/>
          </w:tcPr>
          <w:p>
            <w:pPr>
              <w:jc w:val="right"/>
              <w:ind w:right="109"/>
              <w:spacing w:after="0" w:line="159" w:lineRule="exact"/>
              <w:rPr>
                <w:sz w:val="20"/>
                <w:szCs w:val="20"/>
                <w:color w:val="auto"/>
              </w:rPr>
            </w:pPr>
            <w:r>
              <w:rPr>
                <w:rFonts w:ascii="Arial" w:cs="Arial" w:eastAsia="Arial" w:hAnsi="Arial"/>
                <w:sz w:val="14"/>
                <w:szCs w:val="14"/>
                <w:b w:val="1"/>
                <w:bCs w:val="1"/>
                <w:color w:val="auto"/>
              </w:rPr>
              <w:t>Class</w:t>
            </w:r>
          </w:p>
        </w:tc>
      </w:tr>
      <w:tr>
        <w:trPr>
          <w:trHeight w:val="198"/>
        </w:trPr>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22"/>
                <w:szCs w:val="22"/>
                <w:b w:val="1"/>
                <w:bCs w:val="1"/>
                <w:color w:val="auto"/>
                <w:w w:val="99"/>
                <w:vertAlign w:val="subscript"/>
              </w:rPr>
              <w:t>Ownership</w:t>
            </w:r>
            <w:r>
              <w:rPr>
                <w:rFonts w:ascii="Arial" w:cs="Arial" w:eastAsia="Arial" w:hAnsi="Arial"/>
                <w:sz w:val="10"/>
                <w:szCs w:val="10"/>
                <w:b w:val="1"/>
                <w:bCs w:val="1"/>
                <w:color w:val="auto"/>
                <w:w w:val="99"/>
              </w:rPr>
              <w:t>(3)(4)(5)(6)</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07"/>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i w:val="1"/>
                <w:iCs w:val="1"/>
                <w:color w:val="auto"/>
              </w:rPr>
              <w:t>5% Stockholders (Preferred)</w:t>
            </w: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820" w:type="dxa"/>
            <w:vAlign w:val="bottom"/>
            <w:gridSpan w:val="3"/>
          </w:tcPr>
          <w:p>
            <w:pPr>
              <w:spacing w:after="0" w:line="200" w:lineRule="exact"/>
              <w:rPr>
                <w:sz w:val="20"/>
                <w:szCs w:val="20"/>
                <w:color w:val="auto"/>
              </w:rPr>
            </w:pPr>
            <w:r>
              <w:rPr>
                <w:rFonts w:ascii="Arial" w:cs="Arial" w:eastAsia="Arial" w:hAnsi="Arial"/>
                <w:sz w:val="18"/>
                <w:szCs w:val="18"/>
                <w:color w:val="auto"/>
              </w:rPr>
              <w:t>Hudson Bay Master Fund Ltd.</w:t>
            </w:r>
          </w:p>
        </w:tc>
        <w:tc>
          <w:tcPr>
            <w:tcW w:w="1500" w:type="dxa"/>
            <w:vAlign w:val="bottom"/>
            <w:gridSpan w:val="2"/>
          </w:tcPr>
          <w:p>
            <w:pPr>
              <w:jc w:val="right"/>
              <w:ind w:right="35"/>
              <w:spacing w:after="0" w:line="200" w:lineRule="exact"/>
              <w:rPr>
                <w:sz w:val="20"/>
                <w:szCs w:val="20"/>
                <w:color w:val="auto"/>
              </w:rPr>
            </w:pPr>
            <w:r>
              <w:rPr>
                <w:rFonts w:ascii="Arial" w:cs="Arial" w:eastAsia="Arial" w:hAnsi="Arial"/>
                <w:sz w:val="18"/>
                <w:szCs w:val="18"/>
                <w:color w:val="auto"/>
              </w:rPr>
              <w:t>6,474</w:t>
            </w:r>
          </w:p>
        </w:tc>
        <w:tc>
          <w:tcPr>
            <w:tcW w:w="8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95.0%</w:t>
            </w:r>
          </w:p>
        </w:tc>
      </w:tr>
      <w:tr>
        <w:trPr>
          <w:trHeight w:val="214"/>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777 Third Avenue</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New York, NY 10017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4"/>
        </w:trPr>
        <w:tc>
          <w:tcPr>
            <w:tcW w:w="20" w:type="dxa"/>
            <w:vAlign w:val="bottom"/>
            <w:shd w:val="clear" w:color="auto" w:fill="CCFFCC"/>
          </w:tcPr>
          <w:p>
            <w:pPr>
              <w:spacing w:after="0"/>
              <w:rPr>
                <w:sz w:val="17"/>
                <w:szCs w:val="17"/>
                <w:color w:val="auto"/>
              </w:rPr>
            </w:pPr>
          </w:p>
        </w:tc>
        <w:tc>
          <w:tcPr>
            <w:tcW w:w="5820" w:type="dxa"/>
            <w:vAlign w:val="bottom"/>
            <w:gridSpan w:val="3"/>
            <w:shd w:val="clear" w:color="auto" w:fill="CCFFCC"/>
          </w:tcPr>
          <w:p>
            <w:pPr>
              <w:spacing w:after="0" w:line="204" w:lineRule="exact"/>
              <w:rPr>
                <w:sz w:val="20"/>
                <w:szCs w:val="20"/>
                <w:color w:val="auto"/>
              </w:rPr>
            </w:pPr>
            <w:r>
              <w:rPr>
                <w:rFonts w:ascii="Arial" w:cs="Arial" w:eastAsia="Arial" w:hAnsi="Arial"/>
                <w:sz w:val="18"/>
                <w:szCs w:val="18"/>
                <w:color w:val="auto"/>
              </w:rPr>
              <w:t>Iroquois Master Fund Ltd.</w:t>
            </w:r>
          </w:p>
        </w:tc>
        <w:tc>
          <w:tcPr>
            <w:tcW w:w="1500" w:type="dxa"/>
            <w:vAlign w:val="bottom"/>
            <w:gridSpan w:val="2"/>
            <w:shd w:val="clear" w:color="auto" w:fill="CCFFCC"/>
          </w:tcPr>
          <w:p>
            <w:pPr>
              <w:jc w:val="right"/>
              <w:ind w:right="35"/>
              <w:spacing w:after="0" w:line="204" w:lineRule="exact"/>
              <w:rPr>
                <w:sz w:val="20"/>
                <w:szCs w:val="20"/>
                <w:color w:val="auto"/>
              </w:rPr>
            </w:pPr>
            <w:r>
              <w:rPr>
                <w:rFonts w:ascii="Arial" w:cs="Arial" w:eastAsia="Arial" w:hAnsi="Arial"/>
                <w:sz w:val="18"/>
                <w:szCs w:val="18"/>
                <w:color w:val="auto"/>
              </w:rPr>
              <w:t>344</w:t>
            </w:r>
          </w:p>
        </w:tc>
        <w:tc>
          <w:tcPr>
            <w:tcW w:w="800" w:type="dxa"/>
            <w:vAlign w:val="bottom"/>
            <w:gridSpan w:val="2"/>
            <w:shd w:val="clear" w:color="auto" w:fill="CCFFCC"/>
          </w:tcPr>
          <w:p>
            <w:pPr>
              <w:jc w:val="right"/>
              <w:spacing w:after="0" w:line="204" w:lineRule="exact"/>
              <w:rPr>
                <w:sz w:val="20"/>
                <w:szCs w:val="20"/>
                <w:color w:val="auto"/>
              </w:rPr>
            </w:pPr>
            <w:r>
              <w:rPr>
                <w:rFonts w:ascii="Arial" w:cs="Arial" w:eastAsia="Arial" w:hAnsi="Arial"/>
                <w:sz w:val="18"/>
                <w:szCs w:val="18"/>
                <w:color w:val="auto"/>
              </w:rPr>
              <w:t>5.0%</w:t>
            </w:r>
          </w:p>
        </w:tc>
      </w:tr>
      <w:tr>
        <w:trPr>
          <w:trHeight w:val="250"/>
        </w:trPr>
        <w:tc>
          <w:tcPr>
            <w:tcW w:w="20" w:type="dxa"/>
            <w:vAlign w:val="bottom"/>
            <w:shd w:val="clear" w:color="auto" w:fill="CCFFCC"/>
          </w:tcPr>
          <w:p>
            <w:pPr>
              <w:spacing w:after="0"/>
              <w:rPr>
                <w:sz w:val="21"/>
                <w:szCs w:val="21"/>
                <w:color w:val="auto"/>
              </w:rPr>
            </w:pPr>
          </w:p>
        </w:tc>
        <w:tc>
          <w:tcPr>
            <w:tcW w:w="5820" w:type="dxa"/>
            <w:vAlign w:val="bottom"/>
            <w:gridSpan w:val="3"/>
            <w:shd w:val="clear" w:color="auto" w:fill="CCFFCC"/>
          </w:tcPr>
          <w:p>
            <w:pPr>
              <w:spacing w:after="0" w:line="251"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0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r>
      <w:tr>
        <w:trPr>
          <w:trHeight w:val="228"/>
        </w:trPr>
        <w:tc>
          <w:tcPr>
            <w:tcW w:w="20" w:type="dxa"/>
            <w:vAlign w:val="bottom"/>
            <w:shd w:val="clear" w:color="auto" w:fill="CCFFCC"/>
          </w:tcPr>
          <w:p>
            <w:pPr>
              <w:spacing w:after="0"/>
              <w:rPr>
                <w:sz w:val="19"/>
                <w:szCs w:val="19"/>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New York, NY 10022</w:t>
            </w:r>
          </w:p>
        </w:tc>
        <w:tc>
          <w:tcPr>
            <w:tcW w:w="100" w:type="dxa"/>
            <w:vAlign w:val="bottom"/>
            <w:shd w:val="clear" w:color="auto" w:fill="CCFFCC"/>
          </w:tcPr>
          <w:p>
            <w:pPr>
              <w:spacing w:after="0"/>
              <w:rPr>
                <w:sz w:val="19"/>
                <w:szCs w:val="19"/>
                <w:color w:val="auto"/>
              </w:rPr>
            </w:pPr>
          </w:p>
        </w:tc>
        <w:tc>
          <w:tcPr>
            <w:tcW w:w="14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5820" w:type="dxa"/>
            <w:vAlign w:val="bottom"/>
            <w:gridSpan w:val="3"/>
          </w:tcPr>
          <w:p>
            <w:pPr>
              <w:spacing w:after="0" w:line="200" w:lineRule="exact"/>
              <w:rPr>
                <w:sz w:val="20"/>
                <w:szCs w:val="20"/>
                <w:color w:val="auto"/>
              </w:rPr>
            </w:pPr>
            <w:r>
              <w:rPr>
                <w:rFonts w:ascii="Arial" w:cs="Arial" w:eastAsia="Arial" w:hAnsi="Arial"/>
                <w:sz w:val="18"/>
                <w:szCs w:val="18"/>
                <w:b w:val="1"/>
                <w:bCs w:val="1"/>
                <w:i w:val="1"/>
                <w:iCs w:val="1"/>
                <w:color w:val="auto"/>
                <w:w w:val="96"/>
              </w:rPr>
              <w:t>5% Stockholders (Common) (Excluding Named Executive Officers and</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Directors)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582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Hudson Bay Master Fund Ltd.</w:t>
            </w:r>
          </w:p>
        </w:tc>
        <w:tc>
          <w:tcPr>
            <w:tcW w:w="1500" w:type="dxa"/>
            <w:vAlign w:val="bottom"/>
            <w:gridSpan w:val="2"/>
            <w:shd w:val="clear" w:color="auto" w:fill="CCFFCC"/>
          </w:tcPr>
          <w:p>
            <w:pPr>
              <w:jc w:val="right"/>
              <w:ind w:right="35"/>
              <w:spacing w:after="0" w:line="201" w:lineRule="exact"/>
              <w:rPr>
                <w:sz w:val="20"/>
                <w:szCs w:val="20"/>
                <w:color w:val="auto"/>
              </w:rPr>
            </w:pPr>
            <w:r>
              <w:rPr>
                <w:rFonts w:ascii="Arial" w:cs="Arial" w:eastAsia="Arial" w:hAnsi="Arial"/>
                <w:sz w:val="18"/>
                <w:szCs w:val="18"/>
                <w:color w:val="auto"/>
              </w:rPr>
              <w:t>3,500,223</w:t>
            </w:r>
          </w:p>
        </w:tc>
        <w:tc>
          <w:tcPr>
            <w:tcW w:w="80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9.99%</w:t>
            </w:r>
          </w:p>
        </w:tc>
      </w:tr>
      <w:tr>
        <w:trPr>
          <w:trHeight w:val="214"/>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777 Third Avenue</w:t>
            </w: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New York, NY 10017</w:t>
            </w:r>
          </w:p>
        </w:tc>
        <w:tc>
          <w:tcPr>
            <w:tcW w:w="100" w:type="dxa"/>
            <w:vAlign w:val="bottom"/>
            <w:shd w:val="clear" w:color="auto" w:fill="CCFFCC"/>
          </w:tcPr>
          <w:p>
            <w:pPr>
              <w:spacing w:after="0"/>
              <w:rPr>
                <w:sz w:val="19"/>
                <w:szCs w:val="19"/>
                <w:color w:val="auto"/>
              </w:rPr>
            </w:pPr>
          </w:p>
        </w:tc>
        <w:tc>
          <w:tcPr>
            <w:tcW w:w="14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820" w:type="dxa"/>
            <w:vAlign w:val="bottom"/>
            <w:gridSpan w:val="3"/>
          </w:tcPr>
          <w:p>
            <w:pPr>
              <w:spacing w:after="0" w:line="203" w:lineRule="exact"/>
              <w:rPr>
                <w:sz w:val="20"/>
                <w:szCs w:val="20"/>
                <w:color w:val="auto"/>
              </w:rPr>
            </w:pPr>
            <w:r>
              <w:rPr>
                <w:rFonts w:ascii="Arial" w:cs="Arial" w:eastAsia="Arial" w:hAnsi="Arial"/>
                <w:sz w:val="18"/>
                <w:szCs w:val="18"/>
                <w:color w:val="auto"/>
              </w:rPr>
              <w:t>Iroquois Master Fund Ltd.</w:t>
            </w:r>
          </w:p>
        </w:tc>
        <w:tc>
          <w:tcPr>
            <w:tcW w:w="1500" w:type="dxa"/>
            <w:vAlign w:val="bottom"/>
            <w:gridSpan w:val="2"/>
          </w:tcPr>
          <w:p>
            <w:pPr>
              <w:jc w:val="right"/>
              <w:ind w:right="35"/>
              <w:spacing w:after="0" w:line="203" w:lineRule="exact"/>
              <w:rPr>
                <w:sz w:val="20"/>
                <w:szCs w:val="20"/>
                <w:color w:val="auto"/>
              </w:rPr>
            </w:pPr>
            <w:r>
              <w:rPr>
                <w:rFonts w:ascii="Arial" w:cs="Arial" w:eastAsia="Arial" w:hAnsi="Arial"/>
                <w:sz w:val="18"/>
                <w:szCs w:val="18"/>
                <w:color w:val="auto"/>
              </w:rPr>
              <w:t>1,952,530</w:t>
            </w:r>
          </w:p>
        </w:tc>
        <w:tc>
          <w:tcPr>
            <w:tcW w:w="8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6.0%</w:t>
            </w:r>
          </w:p>
        </w:tc>
      </w:tr>
      <w:tr>
        <w:trPr>
          <w:trHeight w:val="250"/>
        </w:trPr>
        <w:tc>
          <w:tcPr>
            <w:tcW w:w="20" w:type="dxa"/>
            <w:vAlign w:val="bottom"/>
          </w:tcPr>
          <w:p>
            <w:pPr>
              <w:spacing w:after="0"/>
              <w:rPr>
                <w:sz w:val="21"/>
                <w:szCs w:val="21"/>
                <w:color w:val="auto"/>
              </w:rPr>
            </w:pPr>
          </w:p>
        </w:tc>
        <w:tc>
          <w:tcPr>
            <w:tcW w:w="5820" w:type="dxa"/>
            <w:vAlign w:val="bottom"/>
            <w:gridSpan w:val="3"/>
          </w:tcPr>
          <w:p>
            <w:pPr>
              <w:spacing w:after="0" w:line="251"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582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Frost Gamma Investments Trust</w:t>
            </w:r>
          </w:p>
        </w:tc>
        <w:tc>
          <w:tcPr>
            <w:tcW w:w="1500" w:type="dxa"/>
            <w:vAlign w:val="bottom"/>
            <w:gridSpan w:val="2"/>
            <w:shd w:val="clear" w:color="auto" w:fill="CCFFCC"/>
          </w:tcPr>
          <w:p>
            <w:pPr>
              <w:jc w:val="right"/>
              <w:ind w:right="35"/>
              <w:spacing w:after="0" w:line="201" w:lineRule="exact"/>
              <w:rPr>
                <w:sz w:val="20"/>
                <w:szCs w:val="20"/>
                <w:color w:val="auto"/>
              </w:rPr>
            </w:pPr>
            <w:r>
              <w:rPr>
                <w:rFonts w:ascii="Arial" w:cs="Arial" w:eastAsia="Arial" w:hAnsi="Arial"/>
                <w:sz w:val="18"/>
                <w:szCs w:val="18"/>
                <w:color w:val="auto"/>
              </w:rPr>
              <w:t>1,606,872</w:t>
            </w:r>
          </w:p>
        </w:tc>
        <w:tc>
          <w:tcPr>
            <w:tcW w:w="80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14"/>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4400 Biscayne Boulevard</w:t>
            </w: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Miami, FL 33137</w:t>
            </w:r>
          </w:p>
        </w:tc>
        <w:tc>
          <w:tcPr>
            <w:tcW w:w="100" w:type="dxa"/>
            <w:vAlign w:val="bottom"/>
            <w:shd w:val="clear" w:color="auto" w:fill="CCFFCC"/>
          </w:tcPr>
          <w:p>
            <w:pPr>
              <w:spacing w:after="0"/>
              <w:rPr>
                <w:sz w:val="19"/>
                <w:szCs w:val="19"/>
                <w:color w:val="auto"/>
              </w:rPr>
            </w:pPr>
          </w:p>
        </w:tc>
        <w:tc>
          <w:tcPr>
            <w:tcW w:w="14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5820" w:type="dxa"/>
            <w:vAlign w:val="bottom"/>
            <w:gridSpan w:val="3"/>
          </w:tcPr>
          <w:p>
            <w:pPr>
              <w:spacing w:after="0" w:line="200" w:lineRule="exact"/>
              <w:rPr>
                <w:sz w:val="20"/>
                <w:szCs w:val="20"/>
                <w:color w:val="auto"/>
              </w:rPr>
            </w:pPr>
            <w:r>
              <w:rPr>
                <w:rFonts w:ascii="Arial" w:cs="Arial" w:eastAsia="Arial" w:hAnsi="Arial"/>
                <w:sz w:val="18"/>
                <w:szCs w:val="18"/>
                <w:color w:val="auto"/>
              </w:rPr>
              <w:t>Michael and Betsy Brauser TBE</w:t>
            </w:r>
          </w:p>
        </w:tc>
        <w:tc>
          <w:tcPr>
            <w:tcW w:w="1500" w:type="dxa"/>
            <w:vAlign w:val="bottom"/>
            <w:gridSpan w:val="2"/>
          </w:tcPr>
          <w:p>
            <w:pPr>
              <w:jc w:val="right"/>
              <w:ind w:right="35"/>
              <w:spacing w:after="0" w:line="200" w:lineRule="exact"/>
              <w:rPr>
                <w:sz w:val="20"/>
                <w:szCs w:val="20"/>
                <w:color w:val="auto"/>
              </w:rPr>
            </w:pPr>
            <w:r>
              <w:rPr>
                <w:rFonts w:ascii="Arial" w:cs="Arial" w:eastAsia="Arial" w:hAnsi="Arial"/>
                <w:sz w:val="18"/>
                <w:szCs w:val="18"/>
                <w:color w:val="auto"/>
              </w:rPr>
              <w:t>1,660,435</w:t>
            </w:r>
          </w:p>
        </w:tc>
        <w:tc>
          <w:tcPr>
            <w:tcW w:w="8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5.2%</w:t>
            </w:r>
          </w:p>
        </w:tc>
      </w:tr>
      <w:tr>
        <w:trPr>
          <w:trHeight w:val="214"/>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3164 NE 31st Avenue</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Lighthouse Point, FL 33064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0"/>
        </w:trPr>
        <w:tc>
          <w:tcPr>
            <w:tcW w:w="20" w:type="dxa"/>
            <w:vAlign w:val="bottom"/>
            <w:shd w:val="clear" w:color="auto" w:fill="CCFFCC"/>
          </w:tcPr>
          <w:p>
            <w:pPr>
              <w:spacing w:after="0"/>
              <w:rPr>
                <w:sz w:val="17"/>
                <w:szCs w:val="17"/>
                <w:color w:val="auto"/>
              </w:rPr>
            </w:pPr>
          </w:p>
        </w:tc>
        <w:tc>
          <w:tcPr>
            <w:tcW w:w="582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Barry Honig</w:t>
            </w:r>
          </w:p>
        </w:tc>
        <w:tc>
          <w:tcPr>
            <w:tcW w:w="1500" w:type="dxa"/>
            <w:vAlign w:val="bottom"/>
            <w:gridSpan w:val="2"/>
            <w:shd w:val="clear" w:color="auto" w:fill="CCFFCC"/>
          </w:tcPr>
          <w:p>
            <w:pPr>
              <w:jc w:val="right"/>
              <w:ind w:right="35"/>
              <w:spacing w:after="0" w:line="201" w:lineRule="exact"/>
              <w:rPr>
                <w:sz w:val="20"/>
                <w:szCs w:val="20"/>
                <w:color w:val="auto"/>
              </w:rPr>
            </w:pPr>
            <w:r>
              <w:rPr>
                <w:rFonts w:ascii="Arial" w:cs="Arial" w:eastAsia="Arial" w:hAnsi="Arial"/>
                <w:sz w:val="18"/>
                <w:szCs w:val="18"/>
                <w:color w:val="auto"/>
              </w:rPr>
              <w:t>1,874,684</w:t>
            </w:r>
          </w:p>
        </w:tc>
        <w:tc>
          <w:tcPr>
            <w:tcW w:w="80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5.8%</w:t>
            </w:r>
          </w:p>
        </w:tc>
      </w:tr>
      <w:tr>
        <w:trPr>
          <w:trHeight w:val="214"/>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4400 Biscayne Boulevard, Suite 850</w:t>
            </w: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Miami, FL 33137</w:t>
            </w:r>
          </w:p>
        </w:tc>
        <w:tc>
          <w:tcPr>
            <w:tcW w:w="100" w:type="dxa"/>
            <w:vAlign w:val="bottom"/>
            <w:shd w:val="clear" w:color="auto" w:fill="CCFFCC"/>
          </w:tcPr>
          <w:p>
            <w:pPr>
              <w:spacing w:after="0"/>
              <w:rPr>
                <w:sz w:val="19"/>
                <w:szCs w:val="19"/>
                <w:color w:val="auto"/>
              </w:rPr>
            </w:pPr>
          </w:p>
        </w:tc>
        <w:tc>
          <w:tcPr>
            <w:tcW w:w="14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4"/>
        </w:trPr>
        <w:tc>
          <w:tcPr>
            <w:tcW w:w="20" w:type="dxa"/>
            <w:vAlign w:val="bottom"/>
            <w:shd w:val="clear" w:color="auto" w:fill="CCFFCC"/>
          </w:tcPr>
          <w:p>
            <w:pPr>
              <w:spacing w:after="0"/>
              <w:rPr>
                <w:sz w:val="22"/>
                <w:szCs w:val="22"/>
                <w:color w:val="auto"/>
              </w:rPr>
            </w:pPr>
          </w:p>
        </w:tc>
        <w:tc>
          <w:tcPr>
            <w:tcW w:w="5820" w:type="dxa"/>
            <w:vAlign w:val="bottom"/>
            <w:gridSpan w:val="3"/>
            <w:shd w:val="clear" w:color="auto" w:fill="CCFFCC"/>
          </w:tcPr>
          <w:p>
            <w:pPr>
              <w:spacing w:after="0" w:line="253"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1500" w:type="dxa"/>
            <w:vAlign w:val="bottom"/>
            <w:gridSpan w:val="2"/>
            <w:shd w:val="clear" w:color="auto" w:fill="CCFFCC"/>
          </w:tcPr>
          <w:p>
            <w:pPr>
              <w:jc w:val="right"/>
              <w:ind w:right="35"/>
              <w:spacing w:after="0"/>
              <w:rPr>
                <w:sz w:val="20"/>
                <w:szCs w:val="20"/>
                <w:color w:val="auto"/>
              </w:rPr>
            </w:pPr>
            <w:r>
              <w:rPr>
                <w:rFonts w:ascii="Arial" w:cs="Arial" w:eastAsia="Arial" w:hAnsi="Arial"/>
                <w:sz w:val="18"/>
                <w:szCs w:val="18"/>
                <w:color w:val="auto"/>
              </w:rPr>
              <w:t>561,584</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r>
      <w:tr>
        <w:trPr>
          <w:trHeight w:val="254"/>
        </w:trPr>
        <w:tc>
          <w:tcPr>
            <w:tcW w:w="20" w:type="dxa"/>
            <w:vAlign w:val="bottom"/>
          </w:tcPr>
          <w:p>
            <w:pPr>
              <w:spacing w:after="0"/>
              <w:rPr>
                <w:sz w:val="22"/>
                <w:szCs w:val="22"/>
                <w:color w:val="auto"/>
              </w:rPr>
            </w:pPr>
          </w:p>
        </w:tc>
        <w:tc>
          <w:tcPr>
            <w:tcW w:w="5820" w:type="dxa"/>
            <w:vAlign w:val="bottom"/>
            <w:gridSpan w:val="3"/>
          </w:tcPr>
          <w:p>
            <w:pPr>
              <w:spacing w:after="0" w:line="253"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500" w:type="dxa"/>
            <w:vAlign w:val="bottom"/>
            <w:gridSpan w:val="2"/>
          </w:tcPr>
          <w:p>
            <w:pPr>
              <w:jc w:val="right"/>
              <w:ind w:right="35"/>
              <w:spacing w:after="0"/>
              <w:rPr>
                <w:sz w:val="20"/>
                <w:szCs w:val="20"/>
                <w:color w:val="auto"/>
              </w:rPr>
            </w:pPr>
            <w:r>
              <w:rPr>
                <w:rFonts w:ascii="Arial" w:cs="Arial" w:eastAsia="Arial" w:hAnsi="Arial"/>
                <w:sz w:val="18"/>
                <w:szCs w:val="18"/>
                <w:color w:val="auto"/>
              </w:rPr>
              <w:t>8,034,360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254"/>
        </w:trPr>
        <w:tc>
          <w:tcPr>
            <w:tcW w:w="20" w:type="dxa"/>
            <w:vAlign w:val="bottom"/>
            <w:shd w:val="clear" w:color="auto" w:fill="CCFFCC"/>
          </w:tcPr>
          <w:p>
            <w:pPr>
              <w:spacing w:after="0"/>
              <w:rPr>
                <w:sz w:val="22"/>
                <w:szCs w:val="22"/>
                <w:color w:val="auto"/>
              </w:rPr>
            </w:pPr>
          </w:p>
        </w:tc>
        <w:tc>
          <w:tcPr>
            <w:tcW w:w="5820" w:type="dxa"/>
            <w:vAlign w:val="bottom"/>
            <w:gridSpan w:val="3"/>
            <w:shd w:val="clear" w:color="auto" w:fill="CCFFCC"/>
          </w:tcPr>
          <w:p>
            <w:pPr>
              <w:spacing w:after="0" w:line="253" w:lineRule="exact"/>
              <w:rPr>
                <w:sz w:val="20"/>
                <w:szCs w:val="20"/>
                <w:color w:val="auto"/>
              </w:rPr>
            </w:pPr>
            <w:r>
              <w:rPr>
                <w:rFonts w:ascii="Arial" w:cs="Arial" w:eastAsia="Arial" w:hAnsi="Arial"/>
                <w:sz w:val="18"/>
                <w:szCs w:val="18"/>
                <w:color w:val="auto"/>
              </w:rPr>
              <w:t>Seth M. Siegel</w:t>
            </w:r>
            <w:r>
              <w:rPr>
                <w:rFonts w:ascii="Arial" w:cs="Arial" w:eastAsia="Arial" w:hAnsi="Arial"/>
                <w:sz w:val="29"/>
                <w:szCs w:val="29"/>
                <w:color w:val="auto"/>
                <w:vertAlign w:val="superscript"/>
              </w:rPr>
              <w:t>(1)</w:t>
            </w:r>
          </w:p>
        </w:tc>
        <w:tc>
          <w:tcPr>
            <w:tcW w:w="1500" w:type="dxa"/>
            <w:vAlign w:val="bottom"/>
            <w:gridSpan w:val="2"/>
            <w:shd w:val="clear" w:color="auto" w:fill="CCFFCC"/>
          </w:tcPr>
          <w:p>
            <w:pPr>
              <w:jc w:val="right"/>
              <w:ind w:right="35"/>
              <w:spacing w:after="0"/>
              <w:rPr>
                <w:sz w:val="20"/>
                <w:szCs w:val="20"/>
                <w:color w:val="auto"/>
              </w:rPr>
            </w:pPr>
            <w:r>
              <w:rPr>
                <w:rFonts w:ascii="Arial" w:cs="Arial" w:eastAsia="Arial" w:hAnsi="Arial"/>
                <w:sz w:val="18"/>
                <w:szCs w:val="18"/>
                <w:color w:val="auto"/>
              </w:rPr>
              <w:t>557,830</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w:t>
            </w:r>
          </w:p>
        </w:tc>
      </w:tr>
      <w:tr>
        <w:trPr>
          <w:trHeight w:val="254"/>
        </w:trPr>
        <w:tc>
          <w:tcPr>
            <w:tcW w:w="20" w:type="dxa"/>
            <w:vAlign w:val="bottom"/>
          </w:tcPr>
          <w:p>
            <w:pPr>
              <w:spacing w:after="0"/>
              <w:rPr>
                <w:sz w:val="22"/>
                <w:szCs w:val="22"/>
                <w:color w:val="auto"/>
              </w:rPr>
            </w:pPr>
          </w:p>
        </w:tc>
        <w:tc>
          <w:tcPr>
            <w:tcW w:w="5820" w:type="dxa"/>
            <w:vAlign w:val="bottom"/>
            <w:gridSpan w:val="3"/>
          </w:tcPr>
          <w:p>
            <w:pPr>
              <w:spacing w:after="0" w:line="253"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(2)</w:t>
            </w:r>
          </w:p>
        </w:tc>
        <w:tc>
          <w:tcPr>
            <w:tcW w:w="1500" w:type="dxa"/>
            <w:vAlign w:val="bottom"/>
            <w:gridSpan w:val="2"/>
          </w:tcPr>
          <w:p>
            <w:pPr>
              <w:jc w:val="right"/>
              <w:ind w:right="35"/>
              <w:spacing w:after="0"/>
              <w:rPr>
                <w:sz w:val="20"/>
                <w:szCs w:val="20"/>
                <w:color w:val="auto"/>
              </w:rPr>
            </w:pPr>
            <w:r>
              <w:rPr>
                <w:rFonts w:ascii="Arial" w:cs="Arial" w:eastAsia="Arial" w:hAnsi="Arial"/>
                <w:sz w:val="18"/>
                <w:szCs w:val="18"/>
                <w:color w:val="auto"/>
              </w:rPr>
              <w:t>2,678,120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54"/>
        </w:trPr>
        <w:tc>
          <w:tcPr>
            <w:tcW w:w="20" w:type="dxa"/>
            <w:vAlign w:val="bottom"/>
            <w:shd w:val="clear" w:color="auto" w:fill="CCFFCC"/>
          </w:tcPr>
          <w:p>
            <w:pPr>
              <w:spacing w:after="0"/>
              <w:rPr>
                <w:sz w:val="22"/>
                <w:szCs w:val="22"/>
                <w:color w:val="auto"/>
              </w:rPr>
            </w:pPr>
          </w:p>
        </w:tc>
        <w:tc>
          <w:tcPr>
            <w:tcW w:w="5820" w:type="dxa"/>
            <w:vAlign w:val="bottom"/>
            <w:gridSpan w:val="3"/>
            <w:shd w:val="clear" w:color="auto" w:fill="CCFFCC"/>
          </w:tcPr>
          <w:p>
            <w:pPr>
              <w:spacing w:after="0" w:line="253"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(1)</w:t>
            </w:r>
          </w:p>
        </w:tc>
        <w:tc>
          <w:tcPr>
            <w:tcW w:w="1500" w:type="dxa"/>
            <w:vAlign w:val="bottom"/>
            <w:gridSpan w:val="2"/>
            <w:shd w:val="clear" w:color="auto" w:fill="CCFFCC"/>
          </w:tcPr>
          <w:p>
            <w:pPr>
              <w:jc w:val="right"/>
              <w:ind w:right="35"/>
              <w:spacing w:after="0"/>
              <w:rPr>
                <w:sz w:val="20"/>
                <w:szCs w:val="20"/>
                <w:color w:val="auto"/>
              </w:rPr>
            </w:pPr>
            <w:r>
              <w:rPr>
                <w:rFonts w:ascii="Arial" w:cs="Arial" w:eastAsia="Arial" w:hAnsi="Arial"/>
                <w:sz w:val="18"/>
                <w:szCs w:val="18"/>
                <w:color w:val="auto"/>
              </w:rPr>
              <w:t>183,669</w:t>
            </w:r>
          </w:p>
        </w:tc>
        <w:tc>
          <w:tcPr>
            <w:tcW w:w="800" w:type="dxa"/>
            <w:vAlign w:val="bottom"/>
            <w:gridSpan w:val="2"/>
            <w:shd w:val="clear" w:color="auto" w:fill="CCFFCC"/>
          </w:tcPr>
          <w:p>
            <w:pPr>
              <w:jc w:val="right"/>
              <w:ind w:right="149"/>
              <w:spacing w:after="0"/>
              <w:rPr>
                <w:sz w:val="20"/>
                <w:szCs w:val="20"/>
                <w:color w:val="auto"/>
              </w:rPr>
            </w:pPr>
            <w:r>
              <w:rPr>
                <w:rFonts w:ascii="Arial" w:cs="Arial" w:eastAsia="Arial" w:hAnsi="Arial"/>
                <w:sz w:val="18"/>
                <w:szCs w:val="18"/>
                <w:color w:val="auto"/>
              </w:rPr>
              <w:t>*</w:t>
            </w:r>
          </w:p>
        </w:tc>
      </w:tr>
      <w:tr>
        <w:trPr>
          <w:trHeight w:val="254"/>
        </w:trPr>
        <w:tc>
          <w:tcPr>
            <w:tcW w:w="20" w:type="dxa"/>
            <w:vAlign w:val="bottom"/>
          </w:tcPr>
          <w:p>
            <w:pPr>
              <w:spacing w:after="0"/>
              <w:rPr>
                <w:sz w:val="22"/>
                <w:szCs w:val="22"/>
                <w:color w:val="auto"/>
              </w:rPr>
            </w:pPr>
          </w:p>
        </w:tc>
        <w:tc>
          <w:tcPr>
            <w:tcW w:w="5820" w:type="dxa"/>
            <w:vAlign w:val="bottom"/>
            <w:gridSpan w:val="3"/>
          </w:tcPr>
          <w:p>
            <w:pPr>
              <w:spacing w:after="0" w:line="253"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(2)</w:t>
            </w:r>
          </w:p>
        </w:tc>
        <w:tc>
          <w:tcPr>
            <w:tcW w:w="1500" w:type="dxa"/>
            <w:vAlign w:val="bottom"/>
            <w:gridSpan w:val="2"/>
          </w:tcPr>
          <w:p>
            <w:pPr>
              <w:jc w:val="right"/>
              <w:ind w:right="35"/>
              <w:spacing w:after="0"/>
              <w:rPr>
                <w:sz w:val="20"/>
                <w:szCs w:val="20"/>
                <w:color w:val="auto"/>
              </w:rPr>
            </w:pPr>
            <w:r>
              <w:rPr>
                <w:rFonts w:ascii="Arial" w:cs="Arial" w:eastAsia="Arial" w:hAnsi="Arial"/>
                <w:sz w:val="18"/>
                <w:szCs w:val="18"/>
                <w:color w:val="auto"/>
              </w:rPr>
              <w:t>1,083,195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54"/>
        </w:trPr>
        <w:tc>
          <w:tcPr>
            <w:tcW w:w="20" w:type="dxa"/>
            <w:vAlign w:val="bottom"/>
            <w:shd w:val="clear" w:color="auto" w:fill="CCFFCC"/>
          </w:tcPr>
          <w:p>
            <w:pPr>
              <w:spacing w:after="0"/>
              <w:rPr>
                <w:sz w:val="22"/>
                <w:szCs w:val="22"/>
                <w:color w:val="auto"/>
              </w:rPr>
            </w:pPr>
          </w:p>
        </w:tc>
        <w:tc>
          <w:tcPr>
            <w:tcW w:w="5820" w:type="dxa"/>
            <w:vAlign w:val="bottom"/>
            <w:gridSpan w:val="3"/>
            <w:shd w:val="clear" w:color="auto" w:fill="CCFFCC"/>
          </w:tcPr>
          <w:p>
            <w:pPr>
              <w:spacing w:after="0" w:line="253"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(2)</w:t>
            </w:r>
          </w:p>
        </w:tc>
        <w:tc>
          <w:tcPr>
            <w:tcW w:w="1500" w:type="dxa"/>
            <w:vAlign w:val="bottom"/>
            <w:gridSpan w:val="2"/>
            <w:shd w:val="clear" w:color="auto" w:fill="CCFFCC"/>
          </w:tcPr>
          <w:p>
            <w:pPr>
              <w:jc w:val="right"/>
              <w:ind w:right="35"/>
              <w:spacing w:after="0"/>
              <w:rPr>
                <w:sz w:val="20"/>
                <w:szCs w:val="20"/>
                <w:color w:val="auto"/>
              </w:rPr>
            </w:pPr>
            <w:r>
              <w:rPr>
                <w:rFonts w:ascii="Arial" w:cs="Arial" w:eastAsia="Arial" w:hAnsi="Arial"/>
                <w:sz w:val="18"/>
                <w:szCs w:val="18"/>
                <w:color w:val="auto"/>
              </w:rPr>
              <w:t>171,400</w:t>
            </w:r>
          </w:p>
        </w:tc>
        <w:tc>
          <w:tcPr>
            <w:tcW w:w="800" w:type="dxa"/>
            <w:vAlign w:val="bottom"/>
            <w:gridSpan w:val="2"/>
            <w:shd w:val="clear" w:color="auto" w:fill="CCFFCC"/>
          </w:tcPr>
          <w:p>
            <w:pPr>
              <w:jc w:val="right"/>
              <w:ind w:right="149"/>
              <w:spacing w:after="0"/>
              <w:rPr>
                <w:sz w:val="20"/>
                <w:szCs w:val="20"/>
                <w:color w:val="auto"/>
              </w:rPr>
            </w:pPr>
            <w:r>
              <w:rPr>
                <w:rFonts w:ascii="Arial" w:cs="Arial" w:eastAsia="Arial" w:hAnsi="Arial"/>
                <w:sz w:val="18"/>
                <w:szCs w:val="18"/>
                <w:color w:val="auto"/>
              </w:rPr>
              <w:t>*</w:t>
            </w:r>
          </w:p>
        </w:tc>
      </w:tr>
      <w:tr>
        <w:trPr>
          <w:trHeight w:val="254"/>
        </w:trPr>
        <w:tc>
          <w:tcPr>
            <w:tcW w:w="20" w:type="dxa"/>
            <w:vAlign w:val="bottom"/>
          </w:tcPr>
          <w:p>
            <w:pPr>
              <w:spacing w:after="0"/>
              <w:rPr>
                <w:sz w:val="22"/>
                <w:szCs w:val="22"/>
                <w:color w:val="auto"/>
              </w:rPr>
            </w:pPr>
          </w:p>
        </w:tc>
        <w:tc>
          <w:tcPr>
            <w:tcW w:w="5820" w:type="dxa"/>
            <w:vAlign w:val="bottom"/>
            <w:gridSpan w:val="3"/>
          </w:tcPr>
          <w:p>
            <w:pPr>
              <w:spacing w:after="0" w:line="253"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(1)</w:t>
            </w:r>
          </w:p>
        </w:tc>
        <w:tc>
          <w:tcPr>
            <w:tcW w:w="1500" w:type="dxa"/>
            <w:vAlign w:val="bottom"/>
            <w:gridSpan w:val="2"/>
          </w:tcPr>
          <w:p>
            <w:pPr>
              <w:jc w:val="right"/>
              <w:ind w:right="35"/>
              <w:spacing w:after="0"/>
              <w:rPr>
                <w:sz w:val="20"/>
                <w:szCs w:val="20"/>
                <w:color w:val="auto"/>
              </w:rPr>
            </w:pPr>
            <w:r>
              <w:rPr>
                <w:rFonts w:ascii="Arial" w:cs="Arial" w:eastAsia="Arial" w:hAnsi="Arial"/>
                <w:sz w:val="18"/>
                <w:szCs w:val="18"/>
                <w:color w:val="auto"/>
              </w:rPr>
              <w:t>188,854</w:t>
            </w:r>
          </w:p>
        </w:tc>
        <w:tc>
          <w:tcPr>
            <w:tcW w:w="80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shd w:val="clear" w:color="auto" w:fill="CCFFCC"/>
          </w:tcPr>
          <w:p>
            <w:pPr>
              <w:spacing w:after="0"/>
              <w:rPr>
                <w:sz w:val="18"/>
                <w:szCs w:val="18"/>
                <w:color w:val="auto"/>
              </w:rPr>
            </w:pPr>
          </w:p>
        </w:tc>
        <w:tc>
          <w:tcPr>
            <w:tcW w:w="58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i w:val="1"/>
                <w:iCs w:val="1"/>
                <w:color w:val="auto"/>
              </w:rPr>
              <w:t>All executive officers and directors as a group (8 persons)</w:t>
            </w:r>
          </w:p>
        </w:tc>
        <w:tc>
          <w:tcPr>
            <w:tcW w:w="1500" w:type="dxa"/>
            <w:vAlign w:val="bottom"/>
            <w:gridSpan w:val="2"/>
            <w:shd w:val="clear" w:color="auto" w:fill="CCFFCC"/>
          </w:tcPr>
          <w:p>
            <w:pPr>
              <w:jc w:val="right"/>
              <w:ind w:right="35"/>
              <w:spacing w:after="0"/>
              <w:rPr>
                <w:sz w:val="20"/>
                <w:szCs w:val="20"/>
                <w:color w:val="auto"/>
              </w:rPr>
            </w:pPr>
            <w:r>
              <w:rPr>
                <w:rFonts w:ascii="Arial" w:cs="Arial" w:eastAsia="Arial" w:hAnsi="Arial"/>
                <w:sz w:val="18"/>
                <w:szCs w:val="18"/>
                <w:color w:val="auto"/>
              </w:rPr>
              <w:t>13,459,012</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40.60%</w:t>
            </w:r>
          </w:p>
        </w:tc>
      </w:tr>
      <w:tr>
        <w:trPr>
          <w:trHeight w:val="267"/>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-5464810</wp:posOffset>
            </wp:positionV>
            <wp:extent cx="51600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3" w:lineRule="exact"/>
        <w:rPr>
          <w:sz w:val="20"/>
          <w:szCs w:val="20"/>
          <w:color w:val="auto"/>
        </w:rPr>
      </w:pPr>
    </w:p>
    <w:p>
      <w:pPr>
        <w:ind w:left="300" w:hanging="275"/>
        <w:spacing w:after="0"/>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Does not exceed 1% of the class</w:t>
      </w:r>
    </w:p>
    <w:p>
      <w:pPr>
        <w:spacing w:after="0" w:line="114" w:lineRule="exact"/>
        <w:rPr>
          <w:sz w:val="20"/>
          <w:szCs w:val="20"/>
          <w:color w:val="auto"/>
        </w:rPr>
      </w:pPr>
    </w:p>
    <w:p>
      <w:pPr>
        <w:ind w:left="300" w:hanging="275"/>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address of each listed stockholder is c/o Vringo Inc., 44 W. 28th Street New York, New York, 10001.</w:t>
      </w:r>
    </w:p>
    <w:p>
      <w:pPr>
        <w:spacing w:after="0" w:line="113"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address of each listed stockholder is c/o Innovate/Protect, Inc., 380 Madison Avenue, 22nd Floor, New York, New York 10017.</w:t>
      </w:r>
    </w:p>
    <w:p>
      <w:pPr>
        <w:spacing w:after="0" w:line="68"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March 30, 2012.</w:t>
      </w:r>
    </w:p>
    <w:p>
      <w:pPr>
        <w:spacing w:after="0" w:line="68" w:lineRule="exact"/>
        <w:rPr>
          <w:rFonts w:ascii="Arial" w:cs="Arial" w:eastAsia="Arial" w:hAnsi="Arial"/>
          <w:sz w:val="18"/>
          <w:szCs w:val="18"/>
          <w:color w:val="auto"/>
        </w:rPr>
      </w:pPr>
    </w:p>
    <w:p>
      <w:pPr>
        <w:ind w:left="300" w:hanging="275"/>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113" w:lineRule="exact"/>
        <w:rPr>
          <w:rFonts w:ascii="Arial" w:cs="Arial" w:eastAsia="Arial" w:hAnsi="Arial"/>
          <w:sz w:val="18"/>
          <w:szCs w:val="18"/>
          <w:color w:val="auto"/>
        </w:rPr>
      </w:pPr>
    </w:p>
    <w:p>
      <w:pPr>
        <w:ind w:left="300" w:right="639" w:hanging="275"/>
        <w:spacing w:after="0" w:line="270" w:lineRule="auto"/>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addition to any shares of Vringo common stock that Hudson Bay and its affiliates will hold after the Merger, Hudson Bay Master Fund Ltd. will hold warrants exercisable for shares of common stock, and</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1" w:right="1440"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65" w:lineRule="auto"/>
        <w:rPr>
          <w:sz w:val="20"/>
          <w:szCs w:val="20"/>
          <w:color w:val="auto"/>
        </w:rPr>
      </w:pPr>
      <w:r>
        <w:rPr>
          <w:rFonts w:ascii="Arial" w:cs="Arial" w:eastAsia="Arial" w:hAnsi="Arial"/>
          <w:sz w:val="17"/>
          <w:szCs w:val="17"/>
          <w:color w:val="auto"/>
        </w:rPr>
        <w:t>6,474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w:t>
      </w:r>
    </w:p>
    <w:p>
      <w:pPr>
        <w:spacing w:after="0" w:line="81" w:lineRule="exact"/>
        <w:rPr>
          <w:sz w:val="20"/>
          <w:szCs w:val="20"/>
          <w:color w:val="auto"/>
        </w:rPr>
      </w:pPr>
    </w:p>
    <w:p>
      <w:pPr>
        <w:jc w:val="both"/>
        <w:ind w:left="280" w:right="619" w:hanging="275"/>
        <w:spacing w:after="0" w:line="270" w:lineRule="auto"/>
        <w:tabs>
          <w:tab w:leader="none" w:pos="2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DESCRIPTION OF CAPITAL STOCK</w:t>
      </w:r>
    </w:p>
    <w:p>
      <w:pPr>
        <w:spacing w:after="0" w:line="118" w:lineRule="exact"/>
        <w:rPr>
          <w:sz w:val="20"/>
          <w:szCs w:val="20"/>
          <w:color w:val="auto"/>
        </w:rPr>
      </w:pPr>
    </w:p>
    <w:p>
      <w:pPr>
        <w:jc w:val="both"/>
        <w:ind w:left="40" w:right="639" w:firstLine="267"/>
        <w:spacing w:after="0" w:line="251" w:lineRule="auto"/>
        <w:rPr>
          <w:sz w:val="20"/>
          <w:szCs w:val="20"/>
          <w:color w:val="auto"/>
        </w:rPr>
      </w:pPr>
      <w:r>
        <w:rPr>
          <w:rFonts w:ascii="Arial" w:cs="Arial" w:eastAsia="Arial" w:hAnsi="Arial"/>
          <w:sz w:val="18"/>
          <w:szCs w:val="18"/>
          <w:color w:val="auto"/>
        </w:rPr>
        <w:t>The authorized capital stock of Vringo consists of 28,000,000 shares of common stock, par value $0.01 per share, and 5,000,000 shares of preferred stock, par value $0.01 per share. Vringo is seeking stockholder approval pursuant to this proxy statement/prospectus to (i) effect a reverse stock split of Vringo issued and outstanding common stock, pursuant to which any whole number of outstanding shares between and including two and four would be combined and reclassified into one share of Vringo common stock (with the exact reverse stock split ratio within such range to be determined by Vringo prior to the completion of the Merger) and (ii) amend Vringo’s Certificate to increase the number of authorized shares of Vringo common stock from 28,000,000 to up to a maximum of 150,000,000 shares (with the exact amount to be determined by Innovate/Protect prior to the completion of the Merger).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there were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 shares of Vringo common stock outstanding, held of record by ___________ stockholders.</w:t>
      </w:r>
    </w:p>
    <w:p>
      <w:pPr>
        <w:spacing w:after="0" w:line="101"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The Vringo stockholders are entitled to one vote for each share held on matters submitted to a vote of the stockholders and do not have cumulative voting rights. The Vringo stockholders are entitled to receive proportionately any dividends that may be declared by the Vringo board of directors, subject to any preferential dividend rights of Vringo outstanding preferred stock. Upon Vringo’s liquidation, dissolution or winding up, the holders of Vringo’s common stock are entitled to receive proportionately Vringo’s net assets available after the payment of all debts and other liabilities and subject to the prior rights of any outstanding preferred stock. Holders of Vringo common stock have no preemptive, subscription, redemption or conversion rights. Vringo’s outstanding shares of common stock are fully paid and non-assessable. The rights, preferences and privileges of the holders of Vringo common stock are subject to, and may be adversely affected by, the rights of the holders of shares of any series of preferred stock which Vringo has designated and issued or which Vringo may designate and issue in the future.</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The Vringo board of directors has the authority, without action by the Vringo stockholders, to designate and issue up to 5,000,000 shares of Vringo preferred stock in one or more series and to designate the rights, preferences, and limitations of all such series, any or all of which may be superior to the rights of Vringo common stock. It is not possible to state the actual effect of the issuance of any shares of Vringo preferred stock upon the rights of the holders of Vringo common stock until the Vringo board of directors determines the specific rights of the holders of Vringo preferred stock. However, effects of the issuance of Vringo preferred stock include restricting dividends on Vringo common stock, diluting the voting power of Vringo common stock, impairing the liquidation rights of Vringo common stock, and making it more difficult for a third party to acquire Vringo, which could have the effect of discouraging a third party from acquiring, or deterring a third party from paying a premium to acquire, a majority of Vringo outstanding voting stock. Vringo has no present plans to issue any shares of Vringo preferred stock.</w:t>
      </w:r>
    </w:p>
    <w:p>
      <w:pPr>
        <w:spacing w:after="0" w:line="6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Upon completion of the Merger, each share of then-outstanding Innovate/Protect preferred stock (total 6,818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6,818 shares, as of April 5, 2012, shall be initially convertible into an aggregate of 20,573,998 shares of Vringo common stock.</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which is to be filed by Vringo prior to closing, which rights include, among other things, a liquidation preference of $6,818,000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20,573,998 shares of Vringo common stock (subject to a provision that restricts conversion in the event the holder will acquire beneficial ownership of more than 9.99% of 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 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Warrants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___________, 2012, the latest practicable date before the printing of this proxy statement/prospectus, there were warrants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purchase ___________ of Vringo common stock outstanding at a weighted-average exercise price of $___________ per share,</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including ___________ public warrants.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Series 1 and Series 2 Warrants</w:t>
      </w:r>
    </w:p>
    <w:p>
      <w:pPr>
        <w:spacing w:after="0" w:line="114"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 xml:space="preserve">In connection with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including Series 1 Warrants and Series 2 Warrants to purchase and aggregate of ___________</w:t>
      </w:r>
    </w:p>
    <w:p>
      <w:pPr>
        <w:ind w:left="40"/>
        <w:spacing w:after="0"/>
        <w:rPr>
          <w:sz w:val="20"/>
          <w:szCs w:val="20"/>
          <w:color w:val="auto"/>
        </w:rPr>
      </w:pPr>
      <w:r>
        <w:rPr>
          <w:rFonts w:ascii="Arial" w:cs="Arial" w:eastAsia="Arial" w:hAnsi="Arial"/>
          <w:sz w:val="17"/>
          <w:szCs w:val="17"/>
          <w:color w:val="auto"/>
        </w:rPr>
        <w:t>and ___________ shares of Vringo common stock, respectively. In addition, the issued and outstanding warrant to purchase</w:t>
      </w:r>
    </w:p>
    <w:p>
      <w:pPr>
        <w:spacing w:after="0" w:line="18" w:lineRule="exact"/>
        <w:rPr>
          <w:sz w:val="20"/>
          <w:szCs w:val="20"/>
          <w:color w:val="auto"/>
        </w:rPr>
      </w:pPr>
    </w:p>
    <w:p>
      <w:pPr>
        <w:jc w:val="both"/>
        <w:ind w:left="40" w:right="639"/>
        <w:spacing w:after="0" w:line="286" w:lineRule="auto"/>
        <w:rPr>
          <w:sz w:val="20"/>
          <w:szCs w:val="20"/>
          <w:color w:val="auto"/>
        </w:rPr>
      </w:pPr>
      <w:r>
        <w:rPr>
          <w:rFonts w:ascii="Arial" w:cs="Arial" w:eastAsia="Arial" w:hAnsi="Arial"/>
          <w:sz w:val="16"/>
          <w:szCs w:val="16"/>
          <w:color w:val="auto"/>
        </w:rPr>
        <w:t>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58" w:lineRule="exact"/>
        <w:rPr>
          <w:sz w:val="20"/>
          <w:szCs w:val="20"/>
          <w:color w:val="auto"/>
        </w:rPr>
      </w:pPr>
    </w:p>
    <w:p>
      <w:pPr>
        <w:jc w:val="both"/>
        <w:ind w:left="40" w:right="619" w:firstLine="267"/>
        <w:spacing w:after="0" w:line="269" w:lineRule="auto"/>
        <w:rPr>
          <w:sz w:val="20"/>
          <w:szCs w:val="20"/>
          <w:color w:val="auto"/>
        </w:rPr>
      </w:pPr>
      <w:r>
        <w:rPr>
          <w:rFonts w:ascii="Arial" w:cs="Arial" w:eastAsia="Arial" w:hAnsi="Arial"/>
          <w:sz w:val="17"/>
          <w:szCs w:val="17"/>
          <w:color w:val="auto"/>
        </w:rPr>
        <w:t>Each Series 1 Warrant and Series 2 Warrant (collectively, the “</w:t>
      </w:r>
      <w:r>
        <w:rPr>
          <w:rFonts w:ascii="Arial" w:cs="Arial" w:eastAsia="Arial" w:hAnsi="Arial"/>
          <w:sz w:val="17"/>
          <w:szCs w:val="17"/>
          <w:b w:val="1"/>
          <w:bCs w:val="1"/>
          <w:color w:val="auto"/>
        </w:rPr>
        <w:t>Warrants</w:t>
      </w:r>
      <w:r>
        <w:rPr>
          <w:rFonts w:ascii="Arial" w:cs="Arial" w:eastAsia="Arial" w:hAnsi="Arial"/>
          <w:sz w:val="17"/>
          <w:szCs w:val="17"/>
          <w:color w:val="auto"/>
        </w:rPr>
        <w:t>”) has an exercise price of $1.76 per share and is exercisable at any time after the date of issuance (the “</w:t>
      </w:r>
      <w:r>
        <w:rPr>
          <w:rFonts w:ascii="Arial" w:cs="Arial" w:eastAsia="Arial" w:hAnsi="Arial"/>
          <w:sz w:val="17"/>
          <w:szCs w:val="17"/>
          <w:b w:val="1"/>
          <w:bCs w:val="1"/>
          <w:color w:val="auto"/>
        </w:rPr>
        <w:t>Issuance Date</w:t>
      </w:r>
      <w:r>
        <w:rPr>
          <w:rFonts w:ascii="Arial" w:cs="Arial" w:eastAsia="Arial" w:hAnsi="Arial"/>
          <w:sz w:val="17"/>
          <w:szCs w:val="17"/>
          <w:color w:val="auto"/>
        </w:rPr>
        <w:t>”) until the expiration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t>
      </w:r>
      <w:r>
        <w:rPr>
          <w:rFonts w:ascii="Arial" w:cs="Arial" w:eastAsia="Arial" w:hAnsi="Arial"/>
          <w:sz w:val="17"/>
          <w:szCs w:val="17"/>
          <w:b w:val="1"/>
          <w:bCs w:val="1"/>
          <w:color w:val="auto"/>
        </w:rPr>
        <w:t>Warrant Stock</w:t>
      </w:r>
      <w:r>
        <w:rPr>
          <w:rFonts w:ascii="Arial" w:cs="Arial" w:eastAsia="Arial" w:hAnsi="Arial"/>
          <w:sz w:val="17"/>
          <w:szCs w:val="17"/>
          <w:color w:val="auto"/>
        </w:rPr>
        <w:t>”) then the holder may elect to exercise the Warrant, or a portion thereof, and to pay for the Warrant Stock by way of cashless exercise. No holder of either Warrant may exercise such Warrant if such exercise would result in the</w:t>
      </w: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6"/>
          <w:szCs w:val="16"/>
          <w:color w:val="auto"/>
        </w:rPr>
        <w:t>holder beneficially owning in excess of 4.99% of the number of shares of Vringo common stock outstanding immediately after giving effect to the issuance of shares of common stock upon exercise of the Warrant (the “</w:t>
      </w:r>
      <w:r>
        <w:rPr>
          <w:rFonts w:ascii="Arial" w:cs="Arial" w:eastAsia="Arial" w:hAnsi="Arial"/>
          <w:sz w:val="16"/>
          <w:szCs w:val="16"/>
          <w:b w:val="1"/>
          <w:bCs w:val="1"/>
          <w:color w:val="auto"/>
        </w:rPr>
        <w:t>Beneficial Ownership Limitation</w:t>
      </w:r>
      <w:r>
        <w:rPr>
          <w:rFonts w:ascii="Arial" w:cs="Arial" w:eastAsia="Arial" w:hAnsi="Arial"/>
          <w:sz w:val="16"/>
          <w:szCs w:val="16"/>
          <w:color w:val="auto"/>
        </w:rPr>
        <w:t>”).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w:t>
      </w:r>
      <w:r>
        <w:rPr>
          <w:rFonts w:ascii="Arial" w:cs="Arial" w:eastAsia="Arial" w:hAnsi="Arial"/>
          <w:sz w:val="16"/>
          <w:szCs w:val="16"/>
          <w:b w:val="1"/>
          <w:bCs w:val="1"/>
          <w:color w:val="auto"/>
        </w:rPr>
        <w:t>Superior Warrant</w:t>
      </w:r>
      <w:r>
        <w:rPr>
          <w:rFonts w:ascii="Arial" w:cs="Arial" w:eastAsia="Arial" w:hAnsi="Arial"/>
          <w:sz w:val="16"/>
          <w:szCs w:val="16"/>
          <w:color w:val="auto"/>
        </w:rPr>
        <w:t xml:space="preserve">”),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 For a complete description of each of the Series 1 Warrant and the Series 2 Warrant, please refer to </w:t>
      </w:r>
      <w:r>
        <w:rPr>
          <w:rFonts w:ascii="Arial" w:cs="Arial" w:eastAsia="Arial" w:hAnsi="Arial"/>
          <w:sz w:val="16"/>
          <w:szCs w:val="16"/>
          <w:u w:val="single" w:color="auto"/>
          <w:color w:val="auto"/>
        </w:rPr>
        <w:t>Annex 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G</w:t>
      </w:r>
      <w:r>
        <w:rPr>
          <w:rFonts w:ascii="Arial" w:cs="Arial" w:eastAsia="Arial" w:hAnsi="Arial"/>
          <w:sz w:val="16"/>
          <w:szCs w:val="16"/>
          <w:color w:val="auto"/>
        </w:rPr>
        <w:t>, respectively, to this proxy statement/prospectus.</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Delaware Statutory Business Combinations Provision</w:t>
      </w:r>
    </w:p>
    <w:p>
      <w:pPr>
        <w:spacing w:after="0" w:line="118"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Vringo is subject to the provisions of Section 203 of the DGCL which, subject to certain exceptions, prohibits Vringo from engaging in specified business combinations with any interested stockholder for a period of three years following the time that such stockholder became an interested stockholder, unless the business combination or the transaction in which such stockholder became an interested stockholder is approved in a prescribed manner. Generally, a business combination includes a merger, asset or stock sale, or other transaction resulting in a financial benefit to the interested stockholder. For purposes of Section 203 of the DGCL, an interested stockholder is a person who, together with affiliates and associates, owns, or within three years prior to the determination of interested stockholder status did own, 15% or more of the corporation’s voting stock. The application of Section 203 of the DGCL could have the effect of delaying or preventing a change of control of Vringo.</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118"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December 31, 2011, for the purposes of the balance sheet, and was prepared based on the historical financial position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6"/>
          <w:szCs w:val="16"/>
          <w:u w:val="single" w:color="auto"/>
          <w:color w:val="0000EE"/>
        </w:rPr>
        <w:t>166</w:t>
      </w:r>
      <w:r>
        <w:rPr>
          <w:rFonts w:ascii="Arial" w:cs="Arial" w:eastAsia="Arial" w:hAnsi="Arial"/>
          <w:sz w:val="16"/>
          <w:szCs w:val="16"/>
          <w:color w:val="auto"/>
        </w:rPr>
        <w:t xml:space="preserve"> and the audited historical financial statements of Vringo and Innovate/Protect and the notes thereto beginning on pages F-</w:t>
      </w:r>
      <w:r>
        <w:rPr>
          <w:rFonts w:ascii="Arial" w:cs="Arial" w:eastAsia="Arial" w:hAnsi="Arial"/>
          <w:sz w:val="16"/>
          <w:szCs w:val="16"/>
          <w:u w:val="single" w:color="auto"/>
          <w:color w:val="0000EE"/>
        </w:rPr>
        <w:t>1</w:t>
      </w:r>
      <w:r>
        <w:rPr>
          <w:rFonts w:ascii="Arial" w:cs="Arial" w:eastAsia="Arial" w:hAnsi="Arial"/>
          <w:sz w:val="16"/>
          <w:szCs w:val="16"/>
          <w:color w:val="auto"/>
        </w:rPr>
        <w:t xml:space="preserve"> and F-</w:t>
      </w:r>
      <w:r>
        <w:rPr>
          <w:rFonts w:ascii="Arial" w:cs="Arial" w:eastAsia="Arial" w:hAnsi="Arial"/>
          <w:sz w:val="16"/>
          <w:szCs w:val="16"/>
          <w:u w:val="single" w:color="auto"/>
          <w:color w:val="0000EE"/>
        </w:rPr>
        <w:t>40</w:t>
      </w:r>
      <w:r>
        <w:rPr>
          <w:rFonts w:ascii="Arial" w:cs="Arial" w:eastAsia="Arial" w:hAnsi="Arial"/>
          <w:sz w:val="16"/>
          <w:szCs w:val="16"/>
          <w:color w:val="auto"/>
        </w:rPr>
        <w:t xml:space="preserve">, respectively, the sections entitled “Vringo’s Management’s Discussion and Analysis of Financial Condition and Results of Operations” beginning on page </w:t>
      </w:r>
      <w:r>
        <w:rPr>
          <w:rFonts w:ascii="Arial" w:cs="Arial" w:eastAsia="Arial" w:hAnsi="Arial"/>
          <w:sz w:val="16"/>
          <w:szCs w:val="16"/>
          <w:u w:val="single" w:color="auto"/>
          <w:color w:val="0000EE"/>
        </w:rPr>
        <w:t>119</w:t>
      </w:r>
      <w:r>
        <w:rPr>
          <w:rFonts w:ascii="Arial" w:cs="Arial" w:eastAsia="Arial" w:hAnsi="Arial"/>
          <w:sz w:val="16"/>
          <w:szCs w:val="16"/>
          <w:color w:val="auto"/>
        </w:rPr>
        <w:t xml:space="preserve"> and “Innovate/Protect’s Management’s Discussion and Analysis of Financial Condition and Results of Operations” beginning on page </w:t>
      </w:r>
      <w:r>
        <w:rPr>
          <w:rFonts w:ascii="Arial" w:cs="Arial" w:eastAsia="Arial" w:hAnsi="Arial"/>
          <w:sz w:val="16"/>
          <w:szCs w:val="16"/>
          <w:u w:val="single" w:color="auto"/>
          <w:color w:val="0000EE"/>
        </w:rPr>
        <w:t>138</w:t>
      </w:r>
      <w:r>
        <w:rPr>
          <w:rFonts w:ascii="Arial" w:cs="Arial" w:eastAsia="Arial" w:hAnsi="Arial"/>
          <w:sz w:val="16"/>
          <w:szCs w:val="16"/>
          <w:color w:val="000000"/>
        </w:rPr>
        <w:t>, and the other information contained in this proxy statement/prospectus. The following information does not give effect to the</w:t>
      </w:r>
      <w:r>
        <w:rPr>
          <w:rFonts w:ascii="Arial" w:cs="Arial" w:eastAsia="Arial" w:hAnsi="Arial"/>
          <w:sz w:val="16"/>
          <w:szCs w:val="16"/>
          <w:color w:val="0000EE"/>
        </w:rPr>
        <w:t xml:space="preserve"> </w:t>
      </w:r>
      <w:r>
        <w:rPr>
          <w:rFonts w:ascii="Arial" w:cs="Arial" w:eastAsia="Arial" w:hAnsi="Arial"/>
          <w:sz w:val="16"/>
          <w:szCs w:val="16"/>
          <w:color w:val="000000"/>
        </w:rPr>
        <w:t>proposed reverse stock split of Vringo common stock described in Vringo Proposal No. 2.</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Treatment of the Merger</w:t>
      </w:r>
    </w:p>
    <w:p>
      <w:pPr>
        <w:spacing w:after="0" w:line="11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71"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4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unaudited pro forma combined balance sheet as of December 31, 2011, combines the historical balance sheets of Vringo and Innovate/Protect as of December 31, 2011 and gives pro forma effect to the Merger as if it had been completed on December 31, 2011.</w:t>
      </w: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80" w:name="page181"/>
    <w:bookmarkEnd w:id="18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860" w:firstLine="267"/>
        <w:spacing w:after="0" w:line="255" w:lineRule="auto"/>
        <w:rPr>
          <w:sz w:val="20"/>
          <w:szCs w:val="20"/>
          <w:color w:val="auto"/>
        </w:rPr>
      </w:pPr>
      <w:r>
        <w:rPr>
          <w:rFonts w:ascii="Arial" w:cs="Arial" w:eastAsia="Arial" w:hAnsi="Arial"/>
          <w:sz w:val="18"/>
          <w:szCs w:val="18"/>
          <w:color w:val="auto"/>
        </w:rPr>
        <w:t>The unaudited pro forma combined statements of operations for the period from June 8, 2011 through December 31, 2011 combine the historical statements of operations of Vringo for the period from June 8, 2011 to December 31, 2011and of Innovate/Protect from inception (June 8, 2011) to December 31, 2011 and gives pro forma effect to the Merger as if it had been completed on June 8, 2011.</w:t>
      </w:r>
    </w:p>
    <w:p>
      <w:pPr>
        <w:spacing w:after="0" w:line="83" w:lineRule="exact"/>
        <w:rPr>
          <w:sz w:val="20"/>
          <w:szCs w:val="20"/>
          <w:color w:val="auto"/>
        </w:rPr>
      </w:pPr>
    </w:p>
    <w:p>
      <w:pPr>
        <w:jc w:val="both"/>
        <w:ind w:left="60" w:right="860" w:firstLine="267"/>
        <w:spacing w:after="0" w:line="253" w:lineRule="auto"/>
        <w:rPr>
          <w:sz w:val="20"/>
          <w:szCs w:val="20"/>
          <w:color w:val="auto"/>
        </w:rPr>
      </w:pPr>
      <w:r>
        <w:rPr>
          <w:rFonts w:ascii="Arial" w:cs="Arial" w:eastAsia="Arial" w:hAnsi="Arial"/>
          <w:sz w:val="18"/>
          <w:szCs w:val="18"/>
          <w:color w:val="auto"/>
        </w:rPr>
        <w:t>The financial data has been adjusted to give pro forma effect to events that are (i) directly attributable to the Merger, (ii) 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5" w:lineRule="exact"/>
        <w:rPr>
          <w:sz w:val="20"/>
          <w:szCs w:val="20"/>
          <w:color w:val="auto"/>
        </w:rPr>
      </w:pPr>
    </w:p>
    <w:p>
      <w:pPr>
        <w:jc w:val="both"/>
        <w:ind w:left="60" w:right="860" w:firstLine="267"/>
        <w:spacing w:after="0" w:line="288" w:lineRule="auto"/>
        <w:rPr>
          <w:sz w:val="20"/>
          <w:szCs w:val="20"/>
          <w:color w:val="auto"/>
        </w:rPr>
      </w:pPr>
      <w:r>
        <w:rPr>
          <w:rFonts w:ascii="Arial" w:cs="Arial" w:eastAsia="Arial" w:hAnsi="Arial"/>
          <w:sz w:val="16"/>
          <w:szCs w:val="16"/>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Condensed Combined Financial Statements” beginning on page </w:t>
      </w:r>
      <w:r>
        <w:rPr>
          <w:rFonts w:ascii="Arial" w:cs="Arial" w:eastAsia="Arial" w:hAnsi="Arial"/>
          <w:sz w:val="16"/>
          <w:szCs w:val="16"/>
          <w:u w:val="single" w:color="auto"/>
          <w:color w:val="0000EE"/>
        </w:rPr>
        <w:t>166</w:t>
      </w:r>
      <w:r>
        <w:rPr>
          <w:rFonts w:ascii="Arial" w:cs="Arial" w:eastAsia="Arial" w:hAnsi="Arial"/>
          <w:sz w:val="16"/>
          <w:szCs w:val="16"/>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118" w:lineRule="exact"/>
        <w:rPr>
          <w:sz w:val="20"/>
          <w:szCs w:val="20"/>
          <w:color w:val="auto"/>
        </w:rPr>
      </w:pPr>
    </w:p>
    <w:p>
      <w:pPr>
        <w:jc w:val="both"/>
        <w:ind w:left="60" w:right="860" w:firstLine="267"/>
        <w:spacing w:after="0" w:line="253" w:lineRule="auto"/>
        <w:rPr>
          <w:sz w:val="20"/>
          <w:szCs w:val="20"/>
          <w:color w:val="auto"/>
        </w:rPr>
      </w:pPr>
      <w:r>
        <w:rPr>
          <w:rFonts w:ascii="Arial" w:cs="Arial" w:eastAsia="Arial" w:hAnsi="Arial"/>
          <w:sz w:val="18"/>
          <w:szCs w:val="18"/>
          <w:color w:val="auto"/>
        </w:rPr>
        <w:t>The Pro Forma Unaudited Consolidated Financial Information reflects the allocation of the preliminarily estimated purchase price of $58.8 million to the assets acquired and liabilities assumed of Vringo. The fair value of the consideration issued to former shareholders of Innovate/Protect is based on price of Vringo’s share of common stock on April 3, 2012. A preliminary determination of the fair values of some of the acquired assets and assumed liabilities of Vringo was based on a $3.25 share price, as basis for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47015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 in thousands)</w:t>
            </w:r>
          </w:p>
        </w:tc>
        <w:tc>
          <w:tcPr>
            <w:tcW w:w="2920" w:type="dxa"/>
            <w:vAlign w:val="bottom"/>
          </w:tcPr>
          <w:p>
            <w:pPr>
              <w:spacing w:after="0"/>
              <w:rPr>
                <w:sz w:val="15"/>
                <w:szCs w:val="15"/>
                <w:color w:val="auto"/>
              </w:rPr>
            </w:pPr>
          </w:p>
        </w:tc>
      </w:tr>
      <w:tr>
        <w:trPr>
          <w:trHeight w:val="207"/>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Current assets, net of current liabilities</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995</w:t>
            </w:r>
          </w:p>
        </w:tc>
        <w:tc>
          <w:tcPr>
            <w:tcW w:w="2920" w:type="dxa"/>
            <w:vAlign w:val="bottom"/>
          </w:tcPr>
          <w:p>
            <w:pPr>
              <w:spacing w:after="0"/>
              <w:rPr>
                <w:sz w:val="18"/>
                <w:szCs w:val="18"/>
                <w:color w:val="auto"/>
              </w:rPr>
            </w:pPr>
          </w:p>
        </w:tc>
      </w:tr>
      <w:tr>
        <w:trPr>
          <w:trHeight w:val="214"/>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Long-term deposit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920" w:type="dxa"/>
            <w:vAlign w:val="bottom"/>
          </w:tcPr>
          <w:p>
            <w:pPr>
              <w:spacing w:after="0"/>
              <w:rPr>
                <w:sz w:val="18"/>
                <w:szCs w:val="18"/>
                <w:color w:val="auto"/>
              </w:rPr>
            </w:pPr>
          </w:p>
        </w:tc>
      </w:tr>
      <w:tr>
        <w:trPr>
          <w:trHeight w:val="214"/>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Property and equipment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w:t>
            </w:r>
          </w:p>
        </w:tc>
        <w:tc>
          <w:tcPr>
            <w:tcW w:w="2920" w:type="dxa"/>
            <w:vAlign w:val="bottom"/>
          </w:tcPr>
          <w:p>
            <w:pPr>
              <w:spacing w:after="0"/>
              <w:rPr>
                <w:sz w:val="18"/>
                <w:szCs w:val="18"/>
                <w:color w:val="auto"/>
              </w:rPr>
            </w:pPr>
          </w:p>
        </w:tc>
      </w:tr>
      <w:tr>
        <w:trPr>
          <w:trHeight w:val="214"/>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Technology</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11,561</w:t>
            </w:r>
          </w:p>
        </w:tc>
        <w:tc>
          <w:tcPr>
            <w:tcW w:w="2920" w:type="dxa"/>
            <w:vAlign w:val="bottom"/>
          </w:tcPr>
          <w:p>
            <w:pPr>
              <w:spacing w:after="0"/>
              <w:rPr>
                <w:sz w:val="18"/>
                <w:szCs w:val="18"/>
                <w:color w:val="auto"/>
              </w:rPr>
            </w:pPr>
          </w:p>
        </w:tc>
      </w:tr>
      <w:tr>
        <w:trPr>
          <w:trHeight w:val="214"/>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Deferred tax assets – long-term</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2920" w:type="dxa"/>
            <w:vAlign w:val="bottom"/>
          </w:tcPr>
          <w:p>
            <w:pPr>
              <w:spacing w:after="0"/>
              <w:rPr>
                <w:sz w:val="18"/>
                <w:szCs w:val="18"/>
                <w:color w:val="auto"/>
              </w:rPr>
            </w:pPr>
          </w:p>
        </w:tc>
      </w:tr>
      <w:tr>
        <w:trPr>
          <w:trHeight w:val="214"/>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50,486</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7"/>
        </w:trPr>
        <w:tc>
          <w:tcPr>
            <w:tcW w:w="62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63,219</w:t>
            </w:r>
          </w:p>
        </w:tc>
        <w:tc>
          <w:tcPr>
            <w:tcW w:w="120" w:type="dxa"/>
            <w:vAlign w:val="bottom"/>
            <w:tcBorders>
              <w:bottom w:val="single" w:sz="8" w:color="CCFFCC"/>
            </w:tcBorders>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07"/>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Accrued severance pay</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920" w:type="dxa"/>
            <w:vAlign w:val="bottom"/>
          </w:tcPr>
          <w:p>
            <w:pPr>
              <w:spacing w:after="0"/>
              <w:rPr>
                <w:sz w:val="18"/>
                <w:szCs w:val="18"/>
                <w:color w:val="auto"/>
              </w:rPr>
            </w:pPr>
          </w:p>
        </w:tc>
      </w:tr>
      <w:tr>
        <w:trPr>
          <w:trHeight w:val="199"/>
        </w:trPr>
        <w:tc>
          <w:tcPr>
            <w:tcW w:w="6240" w:type="dxa"/>
            <w:vAlign w:val="bottom"/>
            <w:gridSpan w:val="2"/>
            <w:shd w:val="clear" w:color="auto" w:fill="CCFFCC"/>
          </w:tcPr>
          <w:p>
            <w:pPr>
              <w:ind w:left="20"/>
              <w:spacing w:after="0" w:line="200" w:lineRule="exact"/>
              <w:rPr>
                <w:sz w:val="20"/>
                <w:szCs w:val="20"/>
                <w:color w:val="auto"/>
              </w:rPr>
            </w:pPr>
            <w:r>
              <w:rPr>
                <w:rFonts w:ascii="Arial" w:cs="Arial" w:eastAsia="Arial" w:hAnsi="Arial"/>
                <w:sz w:val="18"/>
                <w:szCs w:val="18"/>
                <w:color w:val="auto"/>
                <w:w w:val="94"/>
              </w:rPr>
              <w:t>Fair value of outstanding warrants granted by Vringo prior to the Merger, classified</w:t>
            </w:r>
          </w:p>
        </w:tc>
        <w:tc>
          <w:tcPr>
            <w:tcW w:w="1180" w:type="dxa"/>
            <w:vAlign w:val="bottom"/>
            <w:gridSpan w:val="2"/>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4,293</w:t>
            </w:r>
          </w:p>
        </w:tc>
        <w:tc>
          <w:tcPr>
            <w:tcW w:w="2920" w:type="dxa"/>
            <w:vAlign w:val="bottom"/>
          </w:tcPr>
          <w:p>
            <w:pPr>
              <w:spacing w:after="0"/>
              <w:rPr>
                <w:sz w:val="17"/>
                <w:szCs w:val="17"/>
                <w:color w:val="auto"/>
              </w:rPr>
            </w:pPr>
          </w:p>
        </w:tc>
      </w:tr>
      <w:tr>
        <w:trPr>
          <w:trHeight w:val="214"/>
        </w:trPr>
        <w:tc>
          <w:tcPr>
            <w:tcW w:w="6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as a long term derivative liability, in these consolidated pro forma financial</w:t>
            </w: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62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statements, see note 1</w:t>
            </w:r>
          </w:p>
        </w:tc>
        <w:tc>
          <w:tcPr>
            <w:tcW w:w="106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08"/>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7"/>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58,761</w:t>
            </w:r>
          </w:p>
        </w:tc>
        <w:tc>
          <w:tcPr>
            <w:tcW w:w="2920" w:type="dxa"/>
            <w:vAlign w:val="bottom"/>
          </w:tcPr>
          <w:p>
            <w:pPr>
              <w:spacing w:after="0"/>
              <w:rPr>
                <w:sz w:val="18"/>
                <w:szCs w:val="18"/>
                <w:color w:val="auto"/>
              </w:rPr>
            </w:pPr>
          </w:p>
        </w:tc>
      </w:tr>
      <w:tr>
        <w:trPr>
          <w:trHeight w:val="199"/>
        </w:trPr>
        <w:tc>
          <w:tcPr>
            <w:tcW w:w="624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Fair value of vested stock options granted to employees, management and</w:t>
            </w:r>
          </w:p>
        </w:tc>
        <w:tc>
          <w:tcPr>
            <w:tcW w:w="11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1,289</w:t>
            </w:r>
          </w:p>
        </w:tc>
        <w:tc>
          <w:tcPr>
            <w:tcW w:w="2920" w:type="dxa"/>
            <w:vAlign w:val="bottom"/>
          </w:tcPr>
          <w:p>
            <w:pPr>
              <w:spacing w:after="0"/>
              <w:rPr>
                <w:sz w:val="17"/>
                <w:szCs w:val="17"/>
                <w:color w:val="auto"/>
              </w:rPr>
            </w:pPr>
          </w:p>
        </w:tc>
      </w:tr>
      <w:tr>
        <w:trPr>
          <w:trHeight w:val="214"/>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consultants, classified as equity in these consolidated pro forma financial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statements, see note 1</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0"/>
        </w:trPr>
        <w:tc>
          <w:tcPr>
            <w:tcW w:w="62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4"/>
              </w:rPr>
              <w:t>Fair value of outstanding warrants granted by Vringo prior to the Merger, classified</w:t>
            </w:r>
          </w:p>
        </w:tc>
        <w:tc>
          <w:tcPr>
            <w:tcW w:w="11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9,366</w:t>
            </w:r>
          </w:p>
        </w:tc>
        <w:tc>
          <w:tcPr>
            <w:tcW w:w="2920" w:type="dxa"/>
            <w:vAlign w:val="bottom"/>
          </w:tcPr>
          <w:p>
            <w:pPr>
              <w:spacing w:after="0"/>
              <w:rPr>
                <w:sz w:val="17"/>
                <w:szCs w:val="17"/>
                <w:color w:val="auto"/>
              </w:rPr>
            </w:pPr>
          </w:p>
        </w:tc>
      </w:tr>
      <w:tr>
        <w:trPr>
          <w:trHeight w:val="228"/>
        </w:trPr>
        <w:tc>
          <w:tcPr>
            <w:tcW w:w="6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as equity, in these consolidated pro forma financial statements, see note 1</w:t>
            </w:r>
          </w:p>
        </w:tc>
        <w:tc>
          <w:tcPr>
            <w:tcW w:w="10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199"/>
        </w:trPr>
        <w:tc>
          <w:tcPr>
            <w:tcW w:w="6240" w:type="dxa"/>
            <w:vAlign w:val="bottom"/>
            <w:gridSpan w:val="2"/>
          </w:tcPr>
          <w:p>
            <w:pPr>
              <w:ind w:left="20"/>
              <w:spacing w:after="0" w:line="200" w:lineRule="exact"/>
              <w:rPr>
                <w:sz w:val="20"/>
                <w:szCs w:val="20"/>
                <w:color w:val="auto"/>
              </w:rPr>
            </w:pPr>
            <w:r>
              <w:rPr>
                <w:rFonts w:ascii="Arial" w:cs="Arial" w:eastAsia="Arial" w:hAnsi="Arial"/>
                <w:sz w:val="18"/>
                <w:szCs w:val="18"/>
                <w:color w:val="auto"/>
                <w:w w:val="92"/>
              </w:rPr>
              <w:t>Fair value of Vringo common stock shares and $0.01 options granted to employees,</w:t>
            </w:r>
          </w:p>
        </w:tc>
        <w:tc>
          <w:tcPr>
            <w:tcW w:w="11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48,106</w:t>
            </w:r>
          </w:p>
        </w:tc>
        <w:tc>
          <w:tcPr>
            <w:tcW w:w="2920" w:type="dxa"/>
            <w:vAlign w:val="bottom"/>
          </w:tcPr>
          <w:p>
            <w:pPr>
              <w:spacing w:after="0"/>
              <w:rPr>
                <w:sz w:val="17"/>
                <w:szCs w:val="17"/>
                <w:color w:val="auto"/>
              </w:rPr>
            </w:pPr>
          </w:p>
        </w:tc>
      </w:tr>
      <w:tr>
        <w:trPr>
          <w:trHeight w:val="214"/>
        </w:trPr>
        <w:tc>
          <w:tcPr>
            <w:tcW w:w="6240" w:type="dxa"/>
            <w:vAlign w:val="bottom"/>
            <w:gridSpan w:val="2"/>
          </w:tcPr>
          <w:p>
            <w:pPr>
              <w:ind w:left="180"/>
              <w:spacing w:after="0"/>
              <w:rPr>
                <w:sz w:val="20"/>
                <w:szCs w:val="20"/>
                <w:color w:val="auto"/>
              </w:rPr>
            </w:pPr>
            <w:r>
              <w:rPr>
                <w:rFonts w:ascii="Arial" w:cs="Arial" w:eastAsia="Arial" w:hAnsi="Arial"/>
                <w:sz w:val="18"/>
                <w:szCs w:val="18"/>
                <w:color w:val="auto"/>
                <w:w w:val="92"/>
              </w:rPr>
              <w:t>management and consultants, classified as equity in these consolidated pro forma</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financial statements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15"/>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58,761</w:t>
            </w:r>
          </w:p>
        </w:tc>
        <w:tc>
          <w:tcPr>
            <w:tcW w:w="2920" w:type="dxa"/>
            <w:vAlign w:val="bottom"/>
          </w:tcPr>
          <w:p>
            <w:pPr>
              <w:spacing w:after="0"/>
              <w:rPr>
                <w:sz w:val="18"/>
                <w:szCs w:val="18"/>
                <w:color w:val="auto"/>
              </w:rPr>
            </w:pPr>
          </w:p>
        </w:tc>
      </w:tr>
      <w:tr>
        <w:trPr>
          <w:trHeight w:val="767"/>
        </w:trPr>
        <w:tc>
          <w:tcPr>
            <w:tcW w:w="6240" w:type="dxa"/>
            <w:vAlign w:val="bottom"/>
            <w:tcBorders>
              <w:top w:val="single" w:sz="8" w:color="CCFFCC"/>
            </w:tcBorders>
            <w:gridSpan w:val="2"/>
          </w:tcPr>
          <w:p>
            <w:pPr>
              <w:ind w:left="4480"/>
              <w:spacing w:after="0"/>
              <w:rPr>
                <w:sz w:val="20"/>
                <w:szCs w:val="20"/>
                <w:color w:val="auto"/>
              </w:rPr>
            </w:pPr>
            <w:r>
              <w:rPr>
                <w:rFonts w:ascii="Arial" w:cs="Arial" w:eastAsia="Arial" w:hAnsi="Arial"/>
                <w:sz w:val="18"/>
                <w:szCs w:val="18"/>
                <w:color w:val="auto"/>
              </w:rPr>
              <w:t>167</w:t>
            </w: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54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54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-2698115</wp:posOffset>
            </wp:positionV>
            <wp:extent cx="4701540" cy="144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-2146300</wp:posOffset>
            </wp:positionV>
            <wp:extent cx="4701540" cy="153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0154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-635635</wp:posOffset>
            </wp:positionV>
            <wp:extent cx="47015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01540" cy="82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181" w:name="page182"/>
    <w:bookmarkEnd w:id="18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880" w:firstLine="267"/>
        <w:spacing w:after="0" w:line="255" w:lineRule="auto"/>
        <w:rPr>
          <w:sz w:val="20"/>
          <w:szCs w:val="20"/>
          <w:color w:val="auto"/>
        </w:rPr>
      </w:pPr>
      <w:r>
        <w:rPr>
          <w:rFonts w:ascii="Arial" w:cs="Arial" w:eastAsia="Arial" w:hAnsi="Arial"/>
          <w:sz w:val="18"/>
          <w:szCs w:val="18"/>
          <w:color w:val="auto"/>
        </w:rPr>
        <w:t>As mentioned above, the final fair value of the consideration, acquired assets and assumed liabilities, will depend significantly on our future share price, as it is set on Merger consummation date. Consequently, the final fair value of consideration, and as a result, the final purchase price allocation, might significantly differ from the values presented in these consolidated pro forma statements. Possible changes are reflected in the following sensitivity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47015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w w:val="98"/>
              </w:rPr>
              <w:t>($ — in thousands)</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20" w:type="dxa"/>
            <w:vAlign w:val="bottom"/>
          </w:tcPr>
          <w:p>
            <w:pPr>
              <w:spacing w:after="0"/>
              <w:rPr>
                <w:sz w:val="15"/>
                <w:szCs w:val="15"/>
                <w:color w:val="auto"/>
              </w:rPr>
            </w:pPr>
          </w:p>
        </w:tc>
      </w:tr>
      <w:tr>
        <w:trPr>
          <w:trHeight w:val="207"/>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Vringo share price:</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420" w:type="dxa"/>
            <w:vAlign w:val="bottom"/>
            <w:tcBorders>
              <w:lef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CFFC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5.0</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Current assets, net of current liabilities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995</w:t>
            </w:r>
          </w:p>
        </w:tc>
        <w:tc>
          <w:tcPr>
            <w:tcW w:w="292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w:t>
            </w:r>
          </w:p>
        </w:tc>
        <w:tc>
          <w:tcPr>
            <w:tcW w:w="2920" w:type="dxa"/>
            <w:vAlign w:val="bottom"/>
          </w:tcPr>
          <w:p>
            <w:pPr>
              <w:spacing w:after="0"/>
              <w:rPr>
                <w:sz w:val="18"/>
                <w:szCs w:val="18"/>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92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5,893</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15,023</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18,684</w:t>
            </w:r>
          </w:p>
        </w:tc>
        <w:tc>
          <w:tcPr>
            <w:tcW w:w="2920" w:type="dxa"/>
            <w:vAlign w:val="bottom"/>
          </w:tcPr>
          <w:p>
            <w:pPr>
              <w:spacing w:after="0"/>
              <w:rPr>
                <w:sz w:val="18"/>
                <w:szCs w:val="18"/>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Deferred tax assets — long-term</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92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29,960</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63,137</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81,314</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37,025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79,332</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101,170</w:t>
            </w: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Accrued severance pay</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165</w:t>
            </w:r>
          </w:p>
        </w:tc>
        <w:tc>
          <w:tcPr>
            <w:tcW w:w="2920" w:type="dxa"/>
            <w:vAlign w:val="bottom"/>
          </w:tcPr>
          <w:p>
            <w:pPr>
              <w:spacing w:after="0"/>
              <w:rPr>
                <w:sz w:val="18"/>
                <w:szCs w:val="18"/>
                <w:color w:val="auto"/>
              </w:rPr>
            </w:pPr>
          </w:p>
        </w:tc>
      </w:tr>
      <w:tr>
        <w:trPr>
          <w:trHeight w:val="199"/>
        </w:trPr>
        <w:tc>
          <w:tcPr>
            <w:tcW w:w="4240" w:type="dxa"/>
            <w:vAlign w:val="bottom"/>
            <w:gridSpan w:val="2"/>
          </w:tcPr>
          <w:p>
            <w:pPr>
              <w:ind w:left="20"/>
              <w:spacing w:after="0" w:line="200" w:lineRule="exact"/>
              <w:rPr>
                <w:sz w:val="20"/>
                <w:szCs w:val="20"/>
                <w:color w:val="auto"/>
              </w:rPr>
            </w:pPr>
            <w:r>
              <w:rPr>
                <w:rFonts w:ascii="Arial" w:cs="Arial" w:eastAsia="Arial" w:hAnsi="Arial"/>
                <w:sz w:val="18"/>
                <w:szCs w:val="18"/>
                <w:color w:val="auto"/>
                <w:w w:val="99"/>
              </w:rPr>
              <w:t>Total fair value of all outstanding warrants granted by</w:t>
            </w:r>
          </w:p>
        </w:tc>
        <w:tc>
          <w:tcPr>
            <w:tcW w:w="18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2,088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5,725</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7,734</w:t>
            </w:r>
          </w:p>
        </w:tc>
        <w:tc>
          <w:tcPr>
            <w:tcW w:w="2920" w:type="dxa"/>
            <w:vAlign w:val="bottom"/>
          </w:tcPr>
          <w:p>
            <w:pPr>
              <w:spacing w:after="0"/>
              <w:rPr>
                <w:sz w:val="17"/>
                <w:szCs w:val="17"/>
                <w:color w:val="auto"/>
              </w:rPr>
            </w:pPr>
          </w:p>
        </w:tc>
      </w:tr>
      <w:tr>
        <w:trPr>
          <w:trHeight w:val="22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Vringo prior to the Merger</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8"/>
        </w:trPr>
        <w:tc>
          <w:tcPr>
            <w:tcW w:w="42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2,253</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5,890</w:t>
            </w:r>
          </w:p>
        </w:tc>
        <w:tc>
          <w:tcPr>
            <w:tcW w:w="2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7,899</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34,772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73,442</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93,271</w:t>
            </w: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3"/>
        </w:trPr>
        <w:tc>
          <w:tcPr>
            <w:tcW w:w="4240" w:type="dxa"/>
            <w:vAlign w:val="bottom"/>
            <w:gridSpan w:val="2"/>
            <w:shd w:val="clear" w:color="auto" w:fill="CCFFCC"/>
          </w:tcPr>
          <w:p>
            <w:pPr>
              <w:ind w:left="20"/>
              <w:spacing w:after="0" w:line="193" w:lineRule="exact"/>
              <w:rPr>
                <w:sz w:val="20"/>
                <w:szCs w:val="20"/>
                <w:color w:val="auto"/>
              </w:rPr>
            </w:pPr>
            <w:r>
              <w:rPr>
                <w:rFonts w:ascii="Arial" w:cs="Arial" w:eastAsia="Arial" w:hAnsi="Arial"/>
                <w:sz w:val="18"/>
                <w:szCs w:val="18"/>
                <w:color w:val="auto"/>
              </w:rPr>
              <w:t>Fair value of stock options granted to employees,</w:t>
            </w:r>
          </w:p>
        </w:tc>
        <w:tc>
          <w:tcPr>
            <w:tcW w:w="180" w:type="dxa"/>
            <w:vAlign w:val="bottom"/>
            <w:shd w:val="clear" w:color="auto" w:fill="CCFFCC"/>
          </w:tcPr>
          <w:p>
            <w:pPr>
              <w:spacing w:after="0"/>
              <w:rPr>
                <w:sz w:val="16"/>
                <w:szCs w:val="16"/>
                <w:color w:val="auto"/>
              </w:rPr>
            </w:pPr>
          </w:p>
        </w:tc>
        <w:tc>
          <w:tcPr>
            <w:tcW w:w="72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color w:val="auto"/>
              </w:rPr>
              <w:t>614</w:t>
            </w:r>
          </w:p>
        </w:tc>
        <w:tc>
          <w:tcPr>
            <w:tcW w:w="18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60"/>
              <w:spacing w:after="0" w:line="193" w:lineRule="exact"/>
              <w:rPr>
                <w:sz w:val="20"/>
                <w:szCs w:val="20"/>
                <w:color w:val="auto"/>
              </w:rPr>
            </w:pPr>
            <w:r>
              <w:rPr>
                <w:rFonts w:ascii="Arial" w:cs="Arial" w:eastAsia="Arial" w:hAnsi="Arial"/>
                <w:sz w:val="18"/>
                <w:szCs w:val="18"/>
                <w:color w:val="auto"/>
              </w:rPr>
              <w:t>1,745</w:t>
            </w:r>
          </w:p>
        </w:tc>
        <w:tc>
          <w:tcPr>
            <w:tcW w:w="24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8"/>
                <w:szCs w:val="18"/>
                <w:color w:val="auto"/>
              </w:rPr>
              <w:t>2,389</w:t>
            </w:r>
          </w:p>
        </w:tc>
        <w:tc>
          <w:tcPr>
            <w:tcW w:w="2920" w:type="dxa"/>
            <w:vAlign w:val="bottom"/>
          </w:tcPr>
          <w:p>
            <w:pPr>
              <w:spacing w:after="0"/>
              <w:rPr>
                <w:sz w:val="16"/>
                <w:szCs w:val="16"/>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7"/>
              </w:rPr>
              <w:t>management and consultants, classified as equity in</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28"/>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these consolidated pro forma financial statements</w:t>
            </w:r>
          </w:p>
        </w:tc>
        <w:tc>
          <w:tcPr>
            <w:tcW w:w="1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tcBorders>
              <w:left w:val="single" w:sz="8" w:color="CCFFCC"/>
            </w:tcBorders>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199"/>
        </w:trPr>
        <w:tc>
          <w:tcPr>
            <w:tcW w:w="424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Fair value of outstanding warrants granted by Vringo</w:t>
            </w:r>
          </w:p>
        </w:tc>
        <w:tc>
          <w:tcPr>
            <w:tcW w:w="18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4,554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12,489</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16,872</w:t>
            </w:r>
          </w:p>
        </w:tc>
        <w:tc>
          <w:tcPr>
            <w:tcW w:w="2920" w:type="dxa"/>
            <w:vAlign w:val="bottom"/>
          </w:tcPr>
          <w:p>
            <w:pPr>
              <w:spacing w:after="0"/>
              <w:rPr>
                <w:sz w:val="17"/>
                <w:szCs w:val="17"/>
                <w:color w:val="auto"/>
              </w:rPr>
            </w:pPr>
          </w:p>
        </w:tc>
      </w:tr>
      <w:tr>
        <w:trPr>
          <w:trHeight w:val="214"/>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prior to the Merger, classified as equity, in these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consolidated pro forma financial statements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0"/>
        </w:trPr>
        <w:tc>
          <w:tcPr>
            <w:tcW w:w="42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Fair value of Vringo common stock shares and $0.01</w:t>
            </w:r>
          </w:p>
        </w:tc>
        <w:tc>
          <w:tcPr>
            <w:tcW w:w="18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29,604</w:t>
            </w:r>
          </w:p>
        </w:tc>
        <w:tc>
          <w:tcPr>
            <w:tcW w:w="18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59,208</w:t>
            </w:r>
          </w:p>
        </w:tc>
        <w:tc>
          <w:tcPr>
            <w:tcW w:w="2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74,010</w:t>
            </w:r>
          </w:p>
        </w:tc>
        <w:tc>
          <w:tcPr>
            <w:tcW w:w="2920" w:type="dxa"/>
            <w:vAlign w:val="bottom"/>
          </w:tcPr>
          <w:p>
            <w:pPr>
              <w:spacing w:after="0"/>
              <w:rPr>
                <w:sz w:val="17"/>
                <w:szCs w:val="17"/>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options granted to employees, management and</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14"/>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4"/>
              </w:rPr>
              <w:t>consultants, classified as equity in these consolidated</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20" w:type="dxa"/>
            <w:vAlign w:val="bottom"/>
          </w:tcPr>
          <w:p>
            <w:pPr>
              <w:spacing w:after="0"/>
              <w:rPr>
                <w:sz w:val="18"/>
                <w:szCs w:val="18"/>
                <w:color w:val="auto"/>
              </w:rPr>
            </w:pPr>
          </w:p>
        </w:tc>
      </w:tr>
      <w:tr>
        <w:trPr>
          <w:trHeight w:val="227"/>
        </w:trPr>
        <w:tc>
          <w:tcPr>
            <w:tcW w:w="42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pro forma financial statements</w:t>
            </w:r>
          </w:p>
        </w:tc>
        <w:tc>
          <w:tcPr>
            <w:tcW w:w="18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left w:val="single" w:sz="8" w:color="CCFFCC"/>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08"/>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34,772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73,442</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93,271</w:t>
            </w:r>
          </w:p>
        </w:tc>
        <w:tc>
          <w:tcPr>
            <w:tcW w:w="2920" w:type="dxa"/>
            <w:vAlign w:val="bottom"/>
          </w:tcPr>
          <w:p>
            <w:pPr>
              <w:spacing w:after="0"/>
              <w:rPr>
                <w:sz w:val="18"/>
                <w:szCs w:val="18"/>
                <w:color w:val="auto"/>
              </w:rPr>
            </w:pPr>
          </w:p>
        </w:tc>
      </w:tr>
      <w:tr>
        <w:trPr>
          <w:trHeight w:val="189"/>
        </w:trPr>
        <w:tc>
          <w:tcPr>
            <w:tcW w:w="4240" w:type="dxa"/>
            <w:vAlign w:val="bottom"/>
            <w:gridSpan w:val="2"/>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w w:val="92"/>
              </w:rPr>
              <w:t>Total estimated adjustment to pro forma statement of</w:t>
            </w:r>
          </w:p>
        </w:tc>
        <w:tc>
          <w:tcPr>
            <w:tcW w:w="180" w:type="dxa"/>
            <w:vAlign w:val="bottom"/>
            <w:tcBorders>
              <w:top w:val="single" w:sz="8" w:color="auto"/>
            </w:tcBorders>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80" w:type="dxa"/>
            <w:vAlign w:val="bottom"/>
            <w:tcBorders>
              <w:left w:val="single" w:sz="8" w:color="CCFFCC"/>
            </w:tcBorders>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64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920" w:type="dxa"/>
            <w:vAlign w:val="bottom"/>
          </w:tcPr>
          <w:p>
            <w:pPr>
              <w:spacing w:after="0"/>
              <w:rPr>
                <w:sz w:val="16"/>
                <w:szCs w:val="16"/>
                <w:color w:val="auto"/>
              </w:rPr>
            </w:pPr>
          </w:p>
        </w:tc>
      </w:tr>
      <w:tr>
        <w:trPr>
          <w:trHeight w:val="232"/>
        </w:trPr>
        <w:tc>
          <w:tcPr>
            <w:tcW w:w="424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operations:</w:t>
            </w:r>
          </w:p>
        </w:tc>
        <w:tc>
          <w:tcPr>
            <w:tcW w:w="18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80" w:type="dxa"/>
            <w:vAlign w:val="bottom"/>
            <w:tcBorders>
              <w:left w:val="single" w:sz="8" w:color="CCFFCC"/>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920" w:type="dxa"/>
            <w:vAlign w:val="bottom"/>
          </w:tcPr>
          <w:p>
            <w:pPr>
              <w:spacing w:after="0"/>
              <w:rPr>
                <w:sz w:val="20"/>
                <w:szCs w:val="20"/>
                <w:color w:val="auto"/>
              </w:rPr>
            </w:pPr>
          </w:p>
        </w:tc>
      </w:tr>
      <w:tr>
        <w:trPr>
          <w:trHeight w:val="21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Cost of revenue (see note 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1,757</w:t>
            </w:r>
          </w:p>
        </w:tc>
        <w:tc>
          <w:tcPr>
            <w:tcW w:w="2920" w:type="dxa"/>
            <w:vAlign w:val="bottom"/>
          </w:tcPr>
          <w:p>
            <w:pPr>
              <w:spacing w:after="0"/>
              <w:rPr>
                <w:sz w:val="18"/>
                <w:szCs w:val="18"/>
                <w:color w:val="auto"/>
              </w:rPr>
            </w:pPr>
          </w:p>
        </w:tc>
      </w:tr>
      <w:tr>
        <w:trPr>
          <w:trHeight w:val="754"/>
        </w:trPr>
        <w:tc>
          <w:tcPr>
            <w:tcW w:w="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4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4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-4225925</wp:posOffset>
            </wp:positionV>
            <wp:extent cx="4701540" cy="144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-3402965</wp:posOffset>
            </wp:positionV>
            <wp:extent cx="4701540" cy="153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0154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-2698115</wp:posOffset>
            </wp:positionV>
            <wp:extent cx="4701540" cy="153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0154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-1187450</wp:posOffset>
            </wp:positionV>
            <wp:extent cx="4701540" cy="153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01540" cy="1530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182" w:name="page183"/>
    <w:bookmarkEnd w:id="18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Statement of Operations, for the period from June 8, 2011 (date of inception of</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219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970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58"/>
        </w:trPr>
        <w:tc>
          <w:tcPr>
            <w:tcW w:w="8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60" w:type="dxa"/>
            <w:vAlign w:val="bottom"/>
          </w:tcPr>
          <w:p>
            <w:pPr>
              <w:spacing w:after="0" w:line="158" w:lineRule="exact"/>
              <w:rPr>
                <w:sz w:val="20"/>
                <w:szCs w:val="20"/>
                <w:color w:val="auto"/>
              </w:rPr>
            </w:pPr>
            <w:r>
              <w:rPr>
                <w:rFonts w:ascii="Arial" w:cs="Arial" w:eastAsia="Arial" w:hAnsi="Arial"/>
                <w:sz w:val="14"/>
                <w:szCs w:val="14"/>
                <w:b w:val="1"/>
                <w:bCs w:val="1"/>
                <w:color w:val="auto"/>
                <w:w w:val="83"/>
              </w:rPr>
              <w:t>Innovate/Protect</w:t>
            </w:r>
          </w:p>
        </w:tc>
        <w:tc>
          <w:tcPr>
            <w:tcW w:w="120" w:type="dxa"/>
            <w:vAlign w:val="bottom"/>
          </w:tcPr>
          <w:p>
            <w:pPr>
              <w:spacing w:after="0"/>
              <w:rPr>
                <w:sz w:val="13"/>
                <w:szCs w:val="13"/>
                <w:color w:val="auto"/>
              </w:rPr>
            </w:pPr>
          </w:p>
        </w:tc>
        <w:tc>
          <w:tcPr>
            <w:tcW w:w="780" w:type="dxa"/>
            <w:vAlign w:val="bottom"/>
          </w:tcPr>
          <w:p>
            <w:pPr>
              <w:jc w:val="right"/>
              <w:ind w:right="74"/>
              <w:spacing w:after="0" w:line="158" w:lineRule="exact"/>
              <w:rPr>
                <w:sz w:val="20"/>
                <w:szCs w:val="20"/>
                <w:color w:val="auto"/>
              </w:rPr>
            </w:pPr>
            <w:r>
              <w:rPr>
                <w:rFonts w:ascii="Arial" w:cs="Arial" w:eastAsia="Arial" w:hAnsi="Arial"/>
                <w:sz w:val="14"/>
                <w:szCs w:val="14"/>
                <w:b w:val="1"/>
                <w:bCs w:val="1"/>
                <w:color w:val="auto"/>
              </w:rPr>
              <w:t>Vringo</w:t>
            </w:r>
          </w:p>
        </w:tc>
        <w:tc>
          <w:tcPr>
            <w:tcW w:w="1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3"/>
                <w:szCs w:val="13"/>
                <w:color w:val="auto"/>
              </w:rPr>
            </w:pPr>
          </w:p>
        </w:tc>
        <w:tc>
          <w:tcPr>
            <w:tcW w:w="600" w:type="dxa"/>
            <w:vAlign w:val="bottom"/>
          </w:tcPr>
          <w:p>
            <w:pPr>
              <w:jc w:val="right"/>
              <w:ind w:right="89"/>
              <w:spacing w:after="0" w:line="158" w:lineRule="exact"/>
              <w:rPr>
                <w:sz w:val="20"/>
                <w:szCs w:val="20"/>
                <w:color w:val="auto"/>
              </w:rPr>
            </w:pPr>
            <w:r>
              <w:rPr>
                <w:rFonts w:ascii="Arial" w:cs="Arial" w:eastAsia="Arial" w:hAnsi="Arial"/>
                <w:sz w:val="14"/>
                <w:szCs w:val="14"/>
                <w:b w:val="1"/>
                <w:bCs w:val="1"/>
                <w:color w:val="auto"/>
              </w:rPr>
              <w:t>Notes</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 Forma</w:t>
            </w:r>
          </w:p>
        </w:tc>
        <w:tc>
          <w:tcPr>
            <w:tcW w:w="2120" w:type="dxa"/>
            <w:vAlign w:val="bottom"/>
          </w:tcPr>
          <w:p>
            <w:pPr>
              <w:spacing w:after="0"/>
              <w:rPr>
                <w:sz w:val="13"/>
                <w:szCs w:val="13"/>
                <w:color w:val="auto"/>
              </w:rPr>
            </w:pPr>
          </w:p>
        </w:tc>
      </w:tr>
      <w:tr>
        <w:trPr>
          <w:trHeight w:val="170"/>
        </w:trPr>
        <w:tc>
          <w:tcPr>
            <w:tcW w:w="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consolidated</w:t>
            </w:r>
          </w:p>
        </w:tc>
        <w:tc>
          <w:tcPr>
            <w:tcW w:w="2120" w:type="dxa"/>
            <w:vAlign w:val="bottom"/>
          </w:tcPr>
          <w:p>
            <w:pPr>
              <w:spacing w:after="0"/>
              <w:rPr>
                <w:sz w:val="14"/>
                <w:szCs w:val="14"/>
                <w:color w:val="auto"/>
              </w:rPr>
            </w:pPr>
          </w:p>
        </w:tc>
      </w:tr>
      <w:tr>
        <w:trPr>
          <w:trHeight w:val="201"/>
        </w:trPr>
        <w:tc>
          <w:tcPr>
            <w:tcW w:w="8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360" w:type="dxa"/>
            <w:vAlign w:val="bottom"/>
            <w:gridSpan w:val="8"/>
          </w:tcPr>
          <w:p>
            <w:pPr>
              <w:ind w:left="64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2120" w:type="dxa"/>
            <w:vAlign w:val="bottom"/>
          </w:tcPr>
          <w:p>
            <w:pPr>
              <w:spacing w:after="0"/>
              <w:rPr>
                <w:sz w:val="17"/>
                <w:szCs w:val="17"/>
                <w:color w:val="auto"/>
              </w:rPr>
            </w:pPr>
          </w:p>
        </w:tc>
      </w:tr>
      <w:tr>
        <w:trPr>
          <w:trHeight w:val="220"/>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Borders>
              <w:left w:val="single" w:sz="8" w:color="CCFFCC"/>
            </w:tcBorders>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FFCC"/>
            </w:tcBorders>
            <w:shd w:val="clear" w:color="auto" w:fill="CCFFCC"/>
          </w:tcPr>
          <w:p>
            <w:pPr>
              <w:spacing w:after="0"/>
              <w:rPr>
                <w:sz w:val="19"/>
                <w:szCs w:val="19"/>
                <w:color w:val="auto"/>
              </w:rPr>
            </w:pPr>
          </w:p>
        </w:tc>
        <w:tc>
          <w:tcPr>
            <w:tcW w:w="600" w:type="dxa"/>
            <w:vAlign w:val="bottom"/>
            <w:tcBorders>
              <w:right w:val="single" w:sz="8" w:color="CCFFCC"/>
            </w:tcBorders>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2120" w:type="dxa"/>
            <w:vAlign w:val="bottom"/>
            <w:tcBorders>
              <w:left w:val="single" w:sz="8" w:color="CCFFCC"/>
            </w:tcBorders>
          </w:tcPr>
          <w:p>
            <w:pPr>
              <w:spacing w:after="0"/>
              <w:rPr>
                <w:sz w:val="19"/>
                <w:szCs w:val="19"/>
                <w:color w:val="auto"/>
              </w:rPr>
            </w:pPr>
          </w:p>
        </w:tc>
      </w:tr>
      <w:tr>
        <w:trPr>
          <w:trHeight w:val="214"/>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4"/>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1,087</w:t>
            </w:r>
          </w:p>
        </w:tc>
        <w:tc>
          <w:tcPr>
            <w:tcW w:w="700" w:type="dxa"/>
            <w:vAlign w:val="bottom"/>
            <w:tcBorders>
              <w:left w:val="single" w:sz="8" w:color="CCFFCC"/>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1,193</w:t>
            </w:r>
          </w:p>
        </w:tc>
        <w:tc>
          <w:tcPr>
            <w:tcW w:w="2120" w:type="dxa"/>
            <w:vAlign w:val="bottom"/>
            <w:tcBorders>
              <w:left w:val="single" w:sz="8" w:color="CCFFCC"/>
            </w:tcBorders>
          </w:tcPr>
          <w:p>
            <w:pPr>
              <w:spacing w:after="0"/>
              <w:rPr>
                <w:sz w:val="18"/>
                <w:szCs w:val="18"/>
                <w:color w:val="auto"/>
              </w:rPr>
            </w:pPr>
          </w:p>
        </w:tc>
      </w:tr>
      <w:tr>
        <w:trPr>
          <w:trHeight w:val="214"/>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1,102</w:t>
            </w:r>
          </w:p>
        </w:tc>
        <w:tc>
          <w:tcPr>
            <w:tcW w:w="2120" w:type="dxa"/>
            <w:vAlign w:val="bottom"/>
          </w:tcPr>
          <w:p>
            <w:pPr>
              <w:spacing w:after="0"/>
              <w:rPr>
                <w:sz w:val="18"/>
                <w:szCs w:val="18"/>
                <w:color w:val="auto"/>
              </w:rPr>
            </w:pPr>
          </w:p>
        </w:tc>
      </w:tr>
      <w:tr>
        <w:trPr>
          <w:trHeight w:val="214"/>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997</w:t>
            </w:r>
          </w:p>
        </w:tc>
        <w:tc>
          <w:tcPr>
            <w:tcW w:w="120" w:type="dxa"/>
            <w:vAlign w:val="bottom"/>
            <w:tcBorders>
              <w:left w:val="single" w:sz="8" w:color="CCFFCC"/>
            </w:tcBorders>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(997)</w:t>
            </w:r>
          </w:p>
        </w:tc>
        <w:tc>
          <w:tcPr>
            <w:tcW w:w="700" w:type="dxa"/>
            <w:vAlign w:val="bottom"/>
            <w:tcBorders>
              <w:left w:val="single" w:sz="8" w:color="CCFFCC"/>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120" w:type="dxa"/>
            <w:vAlign w:val="bottom"/>
            <w:tcBorders>
              <w:left w:val="single" w:sz="8" w:color="CCFFCC"/>
            </w:tcBorders>
          </w:tcPr>
          <w:p>
            <w:pPr>
              <w:spacing w:after="0"/>
              <w:rPr>
                <w:sz w:val="18"/>
                <w:szCs w:val="18"/>
                <w:color w:val="auto"/>
              </w:rPr>
            </w:pPr>
          </w:p>
        </w:tc>
      </w:tr>
      <w:tr>
        <w:trPr>
          <w:trHeight w:val="214"/>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(328)</w:t>
            </w:r>
          </w:p>
        </w:tc>
        <w:tc>
          <w:tcPr>
            <w:tcW w:w="700" w:type="dxa"/>
            <w:vAlign w:val="bottom"/>
            <w:gridSpan w:val="2"/>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spacing w:after="0"/>
              <w:rPr>
                <w:sz w:val="18"/>
                <w:szCs w:val="18"/>
                <w:color w:val="auto"/>
              </w:rPr>
            </w:pPr>
          </w:p>
        </w:tc>
      </w:tr>
      <w:tr>
        <w:trPr>
          <w:trHeight w:val="214"/>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left w:val="single" w:sz="8" w:color="CCFFCC"/>
            </w:tcBorders>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700" w:type="dxa"/>
            <w:vAlign w:val="bottom"/>
            <w:tcBorders>
              <w:left w:val="single" w:sz="8" w:color="CCFFCC"/>
              <w:right w:val="single" w:sz="8" w:color="CCFFCC"/>
            </w:tcBorders>
            <w:gridSpan w:val="2"/>
            <w:shd w:val="clear" w:color="auto" w:fill="CCFFCC"/>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120" w:type="dxa"/>
            <w:vAlign w:val="bottom"/>
            <w:tcBorders>
              <w:left w:val="single" w:sz="8" w:color="CCFFCC"/>
            </w:tcBorders>
          </w:tcPr>
          <w:p>
            <w:pPr>
              <w:spacing w:after="0"/>
              <w:rPr>
                <w:sz w:val="18"/>
                <w:szCs w:val="18"/>
                <w:color w:val="auto"/>
              </w:rPr>
            </w:pPr>
          </w:p>
        </w:tc>
      </w:tr>
      <w:tr>
        <w:trPr>
          <w:trHeight w:val="214"/>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1,171</w:t>
            </w:r>
          </w:p>
        </w:tc>
        <w:tc>
          <w:tcPr>
            <w:tcW w:w="2120" w:type="dxa"/>
            <w:vAlign w:val="bottom"/>
          </w:tcPr>
          <w:p>
            <w:pPr>
              <w:spacing w:after="0"/>
              <w:rPr>
                <w:sz w:val="18"/>
                <w:szCs w:val="18"/>
                <w:color w:val="auto"/>
              </w:rPr>
            </w:pPr>
          </w:p>
        </w:tc>
      </w:tr>
      <w:tr>
        <w:trPr>
          <w:trHeight w:val="214"/>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00" w:type="dxa"/>
            <w:vAlign w:val="bottom"/>
            <w:tcBorders>
              <w:lef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FFCC"/>
            </w:tcBorders>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2120" w:type="dxa"/>
            <w:vAlign w:val="bottom"/>
            <w:tcBorders>
              <w:left w:val="single" w:sz="8" w:color="CCFFCC"/>
            </w:tcBorders>
          </w:tcPr>
          <w:p>
            <w:pPr>
              <w:spacing w:after="0"/>
              <w:rPr>
                <w:sz w:val="18"/>
                <w:szCs w:val="18"/>
                <w:color w:val="auto"/>
              </w:rPr>
            </w:pPr>
          </w:p>
        </w:tc>
      </w:tr>
      <w:tr>
        <w:trPr>
          <w:trHeight w:val="214"/>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1,610</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1,431</w:t>
            </w:r>
          </w:p>
        </w:tc>
        <w:tc>
          <w:tcPr>
            <w:tcW w:w="700" w:type="dxa"/>
            <w:vAlign w:val="bottom"/>
            <w:gridSpan w:val="2"/>
          </w:tcPr>
          <w:p>
            <w:pPr>
              <w:jc w:val="right"/>
              <w:ind w:right="169"/>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3,254</w:t>
            </w:r>
          </w:p>
        </w:tc>
        <w:tc>
          <w:tcPr>
            <w:tcW w:w="21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7"/>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2,746</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3,971</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1,087</w:t>
            </w:r>
          </w:p>
        </w:tc>
        <w:tc>
          <w:tcPr>
            <w:tcW w:w="100" w:type="dxa"/>
            <w:vAlign w:val="bottom"/>
            <w:tcBorders>
              <w:left w:val="single" w:sz="8" w:color="CCFFCC"/>
            </w:tcBorders>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7,804</w:t>
            </w:r>
          </w:p>
        </w:tc>
        <w:tc>
          <w:tcPr>
            <w:tcW w:w="2120" w:type="dxa"/>
            <w:vAlign w:val="bottom"/>
            <w:tcBorders>
              <w:left w:val="single" w:sz="8" w:color="CCFFCC"/>
            </w:tcBorders>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0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0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Borders>
              <w:left w:val="single" w:sz="8" w:color="CCFFCC"/>
            </w:tcBorders>
          </w:tcPr>
          <w:p>
            <w:pPr>
              <w:spacing w:after="0" w:line="20" w:lineRule="exact"/>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(3,556)</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(7,389)</w:t>
            </w:r>
          </w:p>
        </w:tc>
        <w:tc>
          <w:tcPr>
            <w:tcW w:w="21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7"/>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Non-operating income (expense)</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lef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FFCC"/>
            </w:tcBorders>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2120" w:type="dxa"/>
            <w:vAlign w:val="bottom"/>
            <w:tcBorders>
              <w:left w:val="single" w:sz="8" w:color="CCFFCC"/>
            </w:tcBorders>
          </w:tcPr>
          <w:p>
            <w:pPr>
              <w:spacing w:after="0"/>
              <w:rPr>
                <w:sz w:val="18"/>
                <w:szCs w:val="18"/>
                <w:color w:val="auto"/>
              </w:rPr>
            </w:pPr>
          </w:p>
        </w:tc>
      </w:tr>
      <w:tr>
        <w:trPr>
          <w:trHeight w:val="214"/>
        </w:trPr>
        <w:tc>
          <w:tcPr>
            <w:tcW w:w="3860" w:type="dxa"/>
            <w:vAlign w:val="bottom"/>
            <w:gridSpan w:val="2"/>
          </w:tcPr>
          <w:p>
            <w:pPr>
              <w:ind w:left="20"/>
              <w:spacing w:after="0"/>
              <w:rPr>
                <w:sz w:val="20"/>
                <w:szCs w:val="20"/>
                <w:color w:val="auto"/>
              </w:rPr>
            </w:pPr>
            <w:r>
              <w:rPr>
                <w:rFonts w:ascii="Arial" w:cs="Arial" w:eastAsia="Arial" w:hAnsi="Arial"/>
                <w:sz w:val="18"/>
                <w:szCs w:val="18"/>
                <w:color w:val="auto"/>
                <w:w w:val="94"/>
              </w:rPr>
              <w:t>Interest and amortization of debt discount expense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2120" w:type="dxa"/>
            <w:vAlign w:val="bottom"/>
          </w:tcPr>
          <w:p>
            <w:pPr>
              <w:spacing w:after="0"/>
              <w:rPr>
                <w:sz w:val="18"/>
                <w:szCs w:val="18"/>
                <w:color w:val="auto"/>
              </w:rPr>
            </w:pPr>
          </w:p>
        </w:tc>
      </w:tr>
      <w:tr>
        <w:trPr>
          <w:trHeight w:val="214"/>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Gain (loss) on revaluation of warrants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00" w:type="dxa"/>
            <w:vAlign w:val="bottom"/>
            <w:tcBorders>
              <w:lef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FFCC"/>
            </w:tcBorders>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2120" w:type="dxa"/>
            <w:vAlign w:val="bottom"/>
            <w:tcBorders>
              <w:left w:val="single" w:sz="8" w:color="CCFFCC"/>
            </w:tcBorders>
          </w:tcPr>
          <w:p>
            <w:pPr>
              <w:spacing w:after="0"/>
              <w:rPr>
                <w:sz w:val="18"/>
                <w:szCs w:val="18"/>
                <w:color w:val="auto"/>
              </w:rPr>
            </w:pPr>
          </w:p>
        </w:tc>
      </w:tr>
      <w:tr>
        <w:trPr>
          <w:trHeight w:val="214"/>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Gain on restructuring of venture loan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963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21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07"/>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(4,838)</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(1,087)</w:t>
            </w:r>
          </w:p>
        </w:tc>
        <w:tc>
          <w:tcPr>
            <w:tcW w:w="100" w:type="dxa"/>
            <w:vAlign w:val="bottom"/>
            <w:tcBorders>
              <w:left w:val="single" w:sz="8" w:color="CCFFCC"/>
            </w:tcBorders>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(8,679)</w:t>
            </w:r>
          </w:p>
        </w:tc>
        <w:tc>
          <w:tcPr>
            <w:tcW w:w="2120" w:type="dxa"/>
            <w:vAlign w:val="bottom"/>
            <w:tcBorders>
              <w:left w:val="single" w:sz="8" w:color="CCFFCC"/>
            </w:tcBorders>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0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00" w:type="dxa"/>
            <w:vAlign w:val="bottom"/>
            <w:tcBorders>
              <w:right w:val="single" w:sz="8" w:color="CCFFCC"/>
            </w:tcBorders>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Borders>
              <w:left w:val="single" w:sz="8" w:color="CCFFCC"/>
            </w:tcBorders>
          </w:tcPr>
          <w:p>
            <w:pPr>
              <w:spacing w:after="0" w:line="20" w:lineRule="exact"/>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1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7"/>
        </w:trPr>
        <w:tc>
          <w:tcPr>
            <w:tcW w:w="38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(4,899)</w:t>
            </w:r>
          </w:p>
        </w:tc>
        <w:tc>
          <w:tcPr>
            <w:tcW w:w="96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(1,087)</w:t>
            </w:r>
          </w:p>
        </w:tc>
        <w:tc>
          <w:tcPr>
            <w:tcW w:w="100" w:type="dxa"/>
            <w:vAlign w:val="bottom"/>
            <w:tcBorders>
              <w:left w:val="single" w:sz="8" w:color="CCFFCC"/>
            </w:tcBorders>
            <w:shd w:val="clear" w:color="auto" w:fill="CCFFCC"/>
          </w:tcPr>
          <w:p>
            <w:pPr>
              <w:spacing w:after="0"/>
              <w:rPr>
                <w:sz w:val="19"/>
                <w:szCs w:val="19"/>
                <w:color w:val="auto"/>
              </w:rPr>
            </w:pPr>
          </w:p>
        </w:tc>
        <w:tc>
          <w:tcPr>
            <w:tcW w:w="600" w:type="dxa"/>
            <w:vAlign w:val="bottom"/>
            <w:tcBorders>
              <w:right w:val="single" w:sz="8" w:color="CCFFCC"/>
            </w:tcBorders>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(8,740)</w:t>
            </w:r>
          </w:p>
        </w:tc>
        <w:tc>
          <w:tcPr>
            <w:tcW w:w="2120" w:type="dxa"/>
            <w:vAlign w:val="bottom"/>
            <w:tcBorders>
              <w:left w:val="single" w:sz="8" w:color="CCFFCC"/>
            </w:tcBorders>
          </w:tcPr>
          <w:p>
            <w:pPr>
              <w:spacing w:after="0"/>
              <w:rPr>
                <w:sz w:val="19"/>
                <w:szCs w:val="19"/>
                <w:color w:val="auto"/>
              </w:rPr>
            </w:pPr>
          </w:p>
        </w:tc>
      </w:tr>
      <w:tr>
        <w:trPr>
          <w:trHeight w:val="20"/>
        </w:trPr>
        <w:tc>
          <w:tcPr>
            <w:tcW w:w="840" w:type="dxa"/>
            <w:vAlign w:val="bottom"/>
            <w:tcBorders>
              <w:top w:val="single" w:sz="8" w:color="CCFFCC"/>
            </w:tcBorders>
            <w:shd w:val="clear" w:color="auto" w:fill="CCFFCC"/>
          </w:tcPr>
          <w:p>
            <w:pPr>
              <w:spacing w:after="0" w:line="20" w:lineRule="exact"/>
              <w:rPr>
                <w:sz w:val="1"/>
                <w:szCs w:val="1"/>
                <w:color w:val="auto"/>
              </w:rPr>
            </w:pPr>
          </w:p>
        </w:tc>
        <w:tc>
          <w:tcPr>
            <w:tcW w:w="30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120" w:type="dxa"/>
            <w:vAlign w:val="bottom"/>
            <w:tcBorders>
              <w:left w:val="single" w:sz="8" w:color="CCFFCC"/>
            </w:tcBorders>
          </w:tcPr>
          <w:p>
            <w:pPr>
              <w:spacing w:after="0" w:line="20" w:lineRule="exact"/>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70)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69"/>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21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3"/>
        </w:trPr>
        <w:tc>
          <w:tcPr>
            <w:tcW w:w="3860" w:type="dxa"/>
            <w:vAlign w:val="bottom"/>
            <w:gridSpan w:val="2"/>
            <w:shd w:val="clear" w:color="auto" w:fill="CCFFCC"/>
          </w:tcPr>
          <w:p>
            <w:pPr>
              <w:ind w:left="20"/>
              <w:spacing w:after="0" w:line="193" w:lineRule="exact"/>
              <w:rPr>
                <w:sz w:val="20"/>
                <w:szCs w:val="20"/>
                <w:color w:val="auto"/>
              </w:rPr>
            </w:pPr>
            <w:r>
              <w:rPr>
                <w:rFonts w:ascii="Arial" w:cs="Arial" w:eastAsia="Arial" w:hAnsi="Arial"/>
                <w:sz w:val="18"/>
                <w:szCs w:val="18"/>
                <w:color w:val="auto"/>
                <w:w w:val="94"/>
              </w:rPr>
              <w:t>Weighted average shares used in computing basic</w:t>
            </w:r>
          </w:p>
        </w:tc>
        <w:tc>
          <w:tcPr>
            <w:tcW w:w="96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2,802,100</w:t>
            </w:r>
          </w:p>
        </w:tc>
        <w:tc>
          <w:tcPr>
            <w:tcW w:w="90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6,965,927</w:t>
            </w:r>
          </w:p>
        </w:tc>
        <w:tc>
          <w:tcPr>
            <w:tcW w:w="96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rPr>
              <w:t>17,675,617</w:t>
            </w:r>
          </w:p>
        </w:tc>
        <w:tc>
          <w:tcPr>
            <w:tcW w:w="700" w:type="dxa"/>
            <w:vAlign w:val="bottom"/>
            <w:tcBorders>
              <w:left w:val="single" w:sz="8" w:color="CCFFCC"/>
              <w:right w:val="single" w:sz="8" w:color="CCFFCC"/>
            </w:tcBorders>
            <w:gridSpan w:val="2"/>
            <w:shd w:val="clear" w:color="auto" w:fill="CCFFCC"/>
          </w:tcPr>
          <w:p>
            <w:pPr>
              <w:jc w:val="right"/>
              <w:ind w:right="169"/>
              <w:spacing w:after="0" w:line="193" w:lineRule="exact"/>
              <w:rPr>
                <w:sz w:val="20"/>
                <w:szCs w:val="20"/>
                <w:color w:val="auto"/>
              </w:rPr>
            </w:pPr>
            <w:r>
              <w:rPr>
                <w:rFonts w:ascii="Arial" w:cs="Arial" w:eastAsia="Arial" w:hAnsi="Arial"/>
                <w:sz w:val="18"/>
                <w:szCs w:val="18"/>
                <w:color w:val="auto"/>
              </w:rPr>
              <w:t>3</w:t>
            </w: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w w:val="93"/>
              </w:rPr>
              <w:t>24,641,544</w:t>
            </w:r>
          </w:p>
        </w:tc>
        <w:tc>
          <w:tcPr>
            <w:tcW w:w="2120" w:type="dxa"/>
            <w:vAlign w:val="bottom"/>
            <w:tcBorders>
              <w:left w:val="single" w:sz="8" w:color="CCFFCC"/>
            </w:tcBorders>
          </w:tcPr>
          <w:p>
            <w:pPr>
              <w:spacing w:after="0"/>
              <w:rPr>
                <w:sz w:val="16"/>
                <w:szCs w:val="16"/>
                <w:color w:val="auto"/>
              </w:rPr>
            </w:pPr>
          </w:p>
        </w:tc>
      </w:tr>
      <w:tr>
        <w:trPr>
          <w:trHeight w:val="268"/>
        </w:trPr>
        <w:tc>
          <w:tcPr>
            <w:tcW w:w="386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and diluted net loss per common share</w:t>
            </w:r>
          </w:p>
        </w:tc>
        <w:tc>
          <w:tcPr>
            <w:tcW w:w="9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left w:val="single" w:sz="8" w:color="CCFFCC"/>
              <w:bottom w:val="single" w:sz="8" w:color="CCFFCC"/>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c>
          <w:tcPr>
            <w:tcW w:w="100" w:type="dxa"/>
            <w:vAlign w:val="bottom"/>
            <w:tcBorders>
              <w:left w:val="single" w:sz="8" w:color="CCFFCC"/>
              <w:bottom w:val="single" w:sz="8" w:color="CCFFCC"/>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left w:val="single" w:sz="8" w:color="CCFFCC"/>
              <w:bottom w:val="single" w:sz="8" w:color="CCFFCC"/>
            </w:tcBorders>
            <w:shd w:val="clear" w:color="auto" w:fill="CCFFCC"/>
          </w:tcPr>
          <w:p>
            <w:pPr>
              <w:spacing w:after="0"/>
              <w:rPr>
                <w:sz w:val="23"/>
                <w:szCs w:val="23"/>
                <w:color w:val="auto"/>
              </w:rPr>
            </w:pPr>
          </w:p>
        </w:tc>
        <w:tc>
          <w:tcPr>
            <w:tcW w:w="600" w:type="dxa"/>
            <w:vAlign w:val="bottom"/>
            <w:tcBorders>
              <w:bottom w:val="single" w:sz="8" w:color="CCFFCC"/>
              <w:right w:val="single" w:sz="8" w:color="CCFFCC"/>
            </w:tcBorders>
            <w:shd w:val="clear" w:color="auto" w:fill="CCFFCC"/>
          </w:tcPr>
          <w:p>
            <w:pPr>
              <w:spacing w:after="0"/>
              <w:rPr>
                <w:sz w:val="23"/>
                <w:szCs w:val="23"/>
                <w:color w:val="auto"/>
              </w:rPr>
            </w:pPr>
          </w:p>
        </w:tc>
        <w:tc>
          <w:tcPr>
            <w:tcW w:w="840" w:type="dxa"/>
            <w:vAlign w:val="bottom"/>
            <w:tcBorders>
              <w:bottom w:val="single" w:sz="8" w:color="auto"/>
            </w:tcBorders>
            <w:shd w:val="clear" w:color="auto" w:fill="CCFFCC"/>
          </w:tcPr>
          <w:p>
            <w:pPr>
              <w:spacing w:after="0"/>
              <w:rPr>
                <w:sz w:val="23"/>
                <w:szCs w:val="23"/>
                <w:color w:val="auto"/>
              </w:rPr>
            </w:pPr>
          </w:p>
        </w:tc>
        <w:tc>
          <w:tcPr>
            <w:tcW w:w="2120" w:type="dxa"/>
            <w:vAlign w:val="bottom"/>
            <w:tcBorders>
              <w:left w:val="single" w:sz="8" w:color="CCFFCC"/>
            </w:tcBorders>
          </w:tcPr>
          <w:p>
            <w:pPr>
              <w:spacing w:after="0"/>
              <w:rPr>
                <w:sz w:val="23"/>
                <w:szCs w:val="23"/>
                <w:color w:val="auto"/>
              </w:rPr>
            </w:pPr>
          </w:p>
        </w:tc>
      </w:tr>
      <w:tr>
        <w:trPr>
          <w:trHeight w:val="754"/>
        </w:trPr>
        <w:tc>
          <w:tcPr>
            <w:tcW w:w="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0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1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-2256790</wp:posOffset>
            </wp:positionV>
            <wp:extent cx="5253355" cy="153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53355"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-1416685</wp:posOffset>
            </wp:positionV>
            <wp:extent cx="5253355" cy="153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53355"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-1128395</wp:posOffset>
            </wp:positionV>
            <wp:extent cx="5253355" cy="2038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53355" cy="2038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5253355" cy="336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53355"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183" w:name="page184"/>
    <w:bookmarkEnd w:id="18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Balance Sheets,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8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1"/>
              </w:rPr>
              <w:t>Innovate/Protect</w:t>
            </w:r>
          </w:p>
        </w:tc>
        <w:tc>
          <w:tcPr>
            <w:tcW w:w="8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Vringo</w:t>
            </w: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3"/>
                <w:szCs w:val="13"/>
                <w:color w:val="auto"/>
              </w:rPr>
            </w:pPr>
          </w:p>
        </w:tc>
        <w:tc>
          <w:tcPr>
            <w:tcW w:w="600" w:type="dxa"/>
            <w:vAlign w:val="bottom"/>
          </w:tcPr>
          <w:p>
            <w:pPr>
              <w:jc w:val="right"/>
              <w:ind w:right="89"/>
              <w:spacing w:after="0" w:line="158" w:lineRule="exact"/>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rPr>
              <w:t>Pro Forma</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adjustments</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consolidated</w:t>
            </w:r>
          </w:p>
        </w:tc>
      </w:tr>
      <w:tr>
        <w:trPr>
          <w:trHeight w:val="201"/>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 — in thousands)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FFCC"/>
          </w:tcPr>
          <w:p>
            <w:pPr>
              <w:spacing w:after="0"/>
              <w:rPr>
                <w:sz w:val="19"/>
                <w:szCs w:val="19"/>
                <w:color w:val="auto"/>
              </w:rPr>
            </w:pPr>
          </w:p>
        </w:tc>
        <w:tc>
          <w:tcPr>
            <w:tcW w:w="240" w:type="dxa"/>
            <w:vAlign w:val="bottom"/>
            <w:tcBorders>
              <w:right w:val="single" w:sz="8" w:color="CCFFCC"/>
            </w:tcBorders>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80" w:type="dxa"/>
            <w:vAlign w:val="bottom"/>
            <w:tcBorders>
              <w:right w:val="single" w:sz="8" w:color="CCFFCC"/>
            </w:tcBorders>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0" w:type="dxa"/>
            <w:vAlign w:val="bottom"/>
            <w:tcBorders>
              <w:right w:val="single" w:sz="8" w:color="CCFFCC"/>
            </w:tcBorders>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14"/>
        </w:trPr>
        <w:tc>
          <w:tcPr>
            <w:tcW w:w="386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38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5,212</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1,190</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6,402</w:t>
            </w:r>
          </w:p>
        </w:tc>
      </w:tr>
      <w:tr>
        <w:trPr>
          <w:trHeight w:val="214"/>
        </w:trPr>
        <w:tc>
          <w:tcPr>
            <w:tcW w:w="2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341</w:t>
            </w:r>
          </w:p>
        </w:tc>
      </w:tr>
      <w:tr>
        <w:trPr>
          <w:trHeight w:val="214"/>
        </w:trPr>
        <w:tc>
          <w:tcPr>
            <w:tcW w:w="20" w:type="dxa"/>
            <w:vAlign w:val="bottom"/>
            <w:shd w:val="clear" w:color="auto" w:fill="CCFFCC"/>
          </w:tcPr>
          <w:p>
            <w:pPr>
              <w:spacing w:after="0"/>
              <w:rPr>
                <w:sz w:val="18"/>
                <w:szCs w:val="18"/>
                <w:color w:val="auto"/>
              </w:rPr>
            </w:pPr>
          </w:p>
        </w:tc>
        <w:tc>
          <w:tcPr>
            <w:tcW w:w="38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26</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187</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213</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38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5,238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1,718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6,956</w:t>
            </w: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w:t>
            </w:r>
          </w:p>
        </w:tc>
      </w:tr>
      <w:tr>
        <w:trPr>
          <w:trHeight w:val="214"/>
        </w:trPr>
        <w:tc>
          <w:tcPr>
            <w:tcW w:w="386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assets — long-term</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w:t>
            </w:r>
          </w:p>
        </w:tc>
      </w:tr>
      <w:tr>
        <w:trPr>
          <w:trHeight w:val="214"/>
        </w:trPr>
        <w:tc>
          <w:tcPr>
            <w:tcW w:w="386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3,068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3,068</w:t>
            </w: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11,561</w:t>
            </w:r>
          </w:p>
        </w:tc>
        <w:tc>
          <w:tcPr>
            <w:tcW w:w="680" w:type="dxa"/>
            <w:vAlign w:val="bottom"/>
            <w:tcBorders>
              <w:right w:val="single" w:sz="8" w:color="CCFFCC"/>
            </w:tcBorders>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11,561</w:t>
            </w:r>
          </w:p>
        </w:tc>
      </w:tr>
      <w:tr>
        <w:trPr>
          <w:trHeight w:val="214"/>
        </w:trPr>
        <w:tc>
          <w:tcPr>
            <w:tcW w:w="386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50,486</w:t>
            </w:r>
          </w:p>
        </w:tc>
        <w:tc>
          <w:tcPr>
            <w:tcW w:w="6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50,486</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8,314</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1,895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62,047</w:t>
            </w:r>
          </w:p>
        </w:tc>
        <w:tc>
          <w:tcPr>
            <w:tcW w:w="80" w:type="dxa"/>
            <w:vAlign w:val="bottom"/>
            <w:shd w:val="clear" w:color="auto" w:fill="CCFFCC"/>
          </w:tcPr>
          <w:p>
            <w:pPr>
              <w:spacing w:after="0"/>
              <w:rPr>
                <w:sz w:val="21"/>
                <w:szCs w:val="21"/>
                <w:color w:val="auto"/>
              </w:rPr>
            </w:pPr>
          </w:p>
        </w:tc>
        <w:tc>
          <w:tcPr>
            <w:tcW w:w="600" w:type="dxa"/>
            <w:vAlign w:val="bottom"/>
            <w:tcBorders>
              <w:right w:val="single" w:sz="8" w:color="CCFFCC"/>
            </w:tcBorders>
            <w:shd w:val="clear" w:color="auto" w:fill="CCFFCC"/>
          </w:tcPr>
          <w:p>
            <w:pPr>
              <w:spacing w:after="0"/>
              <w:rPr>
                <w:sz w:val="21"/>
                <w:szCs w:val="21"/>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72,256</w:t>
            </w:r>
          </w:p>
        </w:tc>
      </w:tr>
      <w:tr>
        <w:trPr>
          <w:trHeight w:val="207"/>
        </w:trPr>
        <w:tc>
          <w:tcPr>
            <w:tcW w:w="386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84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Deferred tax liabilities, net — short-term</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r>
      <w:tr>
        <w:trPr>
          <w:trHeight w:val="214"/>
        </w:trPr>
        <w:tc>
          <w:tcPr>
            <w:tcW w:w="20" w:type="dxa"/>
            <w:vAlign w:val="bottom"/>
            <w:shd w:val="clear" w:color="auto" w:fill="CCFFCC"/>
          </w:tcPr>
          <w:p>
            <w:pPr>
              <w:spacing w:after="0"/>
              <w:rPr>
                <w:sz w:val="18"/>
                <w:szCs w:val="18"/>
                <w:color w:val="auto"/>
              </w:rPr>
            </w:pPr>
          </w:p>
        </w:tc>
        <w:tc>
          <w:tcPr>
            <w:tcW w:w="38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449</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428</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852</w:t>
            </w:r>
          </w:p>
        </w:tc>
        <w:tc>
          <w:tcPr>
            <w:tcW w:w="680" w:type="dxa"/>
            <w:vAlign w:val="bottom"/>
            <w:tcBorders>
              <w:right w:val="single" w:sz="8" w:color="CCFFCC"/>
            </w:tcBorders>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1,729</w:t>
            </w:r>
          </w:p>
        </w:tc>
      </w:tr>
      <w:tr>
        <w:trPr>
          <w:trHeight w:val="214"/>
        </w:trPr>
        <w:tc>
          <w:tcPr>
            <w:tcW w:w="2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Accrued employee compensation</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portion, note payable — related party</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2,000</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2,000</w:t>
            </w: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38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2,449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723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4,024</w:t>
            </w: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84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3860" w:type="dxa"/>
            <w:vAlign w:val="bottom"/>
            <w:gridSpan w:val="3"/>
          </w:tcPr>
          <w:p>
            <w:pPr>
              <w:ind w:left="20"/>
              <w:spacing w:after="0"/>
              <w:rPr>
                <w:sz w:val="20"/>
                <w:szCs w:val="20"/>
                <w:color w:val="auto"/>
              </w:rPr>
            </w:pPr>
            <w:r>
              <w:rPr>
                <w:rFonts w:ascii="Arial" w:cs="Arial" w:eastAsia="Arial" w:hAnsi="Arial"/>
                <w:sz w:val="18"/>
                <w:szCs w:val="18"/>
                <w:color w:val="auto"/>
              </w:rPr>
              <w:t>Note payable — related party</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severance pay</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165</w:t>
            </w:r>
          </w:p>
        </w:tc>
      </w:tr>
      <w:tr>
        <w:trPr>
          <w:trHeight w:val="214"/>
        </w:trPr>
        <w:tc>
          <w:tcPr>
            <w:tcW w:w="3860" w:type="dxa"/>
            <w:vAlign w:val="bottom"/>
            <w:gridSpan w:val="3"/>
          </w:tcPr>
          <w:p>
            <w:pPr>
              <w:ind w:left="20"/>
              <w:spacing w:after="0"/>
              <w:rPr>
                <w:sz w:val="20"/>
                <w:szCs w:val="20"/>
                <w:color w:val="auto"/>
              </w:rPr>
            </w:pPr>
            <w:r>
              <w:rPr>
                <w:rFonts w:ascii="Arial" w:cs="Arial" w:eastAsia="Arial" w:hAnsi="Arial"/>
                <w:sz w:val="18"/>
                <w:szCs w:val="18"/>
                <w:color w:val="auto"/>
              </w:rPr>
              <w:t>Fair value of other stock options and warrants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4,293</w:t>
            </w:r>
          </w:p>
        </w:tc>
        <w:tc>
          <w:tcPr>
            <w:tcW w:w="680" w:type="dxa"/>
            <w:vAlign w:val="bottom"/>
            <w:gridSpan w:val="2"/>
          </w:tcPr>
          <w:p>
            <w:pPr>
              <w:jc w:val="right"/>
              <w:ind w:right="89"/>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4,293</w:t>
            </w: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2,172</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20,171</w:t>
            </w:r>
          </w:p>
        </w:tc>
        <w:tc>
          <w:tcPr>
            <w:tcW w:w="680" w:type="dxa"/>
            <w:vAlign w:val="bottom"/>
            <w:tcBorders>
              <w:right w:val="single" w:sz="8" w:color="CCFFCC"/>
            </w:tcBorders>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20,171</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(2,172)</w:t>
            </w:r>
          </w:p>
        </w:tc>
        <w:tc>
          <w:tcPr>
            <w:tcW w:w="680" w:type="dxa"/>
            <w:vAlign w:val="bottom"/>
            <w:gridSpan w:val="2"/>
          </w:tcPr>
          <w:p>
            <w:pPr>
              <w:jc w:val="right"/>
              <w:ind w:right="89"/>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1,200</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2,337</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22,292</w:t>
            </w: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25,829</w:t>
            </w:r>
          </w:p>
        </w:tc>
      </w:tr>
      <w:tr>
        <w:trPr>
          <w:trHeight w:val="199"/>
        </w:trPr>
        <w:tc>
          <w:tcPr>
            <w:tcW w:w="386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4"/>
              </w:rPr>
              <w:t>Preferred stock, Series A Convertible, $0.0001 par</w:t>
            </w:r>
          </w:p>
        </w:tc>
        <w:tc>
          <w:tcPr>
            <w:tcW w:w="10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1,800</w:t>
            </w:r>
          </w:p>
        </w:tc>
        <w:tc>
          <w:tcPr>
            <w:tcW w:w="8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(1,800)</w:t>
            </w:r>
          </w:p>
        </w:tc>
        <w:tc>
          <w:tcPr>
            <w:tcW w:w="680" w:type="dxa"/>
            <w:vAlign w:val="bottom"/>
            <w:gridSpan w:val="2"/>
          </w:tcPr>
          <w:p>
            <w:pPr>
              <w:jc w:val="right"/>
              <w:ind w:right="89"/>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r>
      <w:tr>
        <w:trPr>
          <w:trHeight w:val="227"/>
        </w:trPr>
        <w:tc>
          <w:tcPr>
            <w:tcW w:w="20" w:type="dxa"/>
            <w:vAlign w:val="bottom"/>
          </w:tcPr>
          <w:p>
            <w:pPr>
              <w:spacing w:after="0"/>
              <w:rPr>
                <w:sz w:val="19"/>
                <w:szCs w:val="19"/>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w w:val="95"/>
              </w:rPr>
              <w:t>value; 6,818 authorized, issued and outstanding</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5"/>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84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199"/>
        </w:trPr>
        <w:tc>
          <w:tcPr>
            <w:tcW w:w="386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9"/>
              </w:rPr>
              <w:t>Preferred stock, Series A Convertible, $0.01 par</w:t>
            </w:r>
          </w:p>
        </w:tc>
        <w:tc>
          <w:tcPr>
            <w:tcW w:w="10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9"/>
              <w:spacing w:after="0" w:line="200" w:lineRule="exact"/>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value per share; 6,818 authorized, issued and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0"/>
        </w:trPr>
        <w:tc>
          <w:tcPr>
            <w:tcW w:w="38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$0.01 par value per share,</w:t>
            </w:r>
          </w:p>
        </w:tc>
        <w:tc>
          <w:tcPr>
            <w:tcW w:w="1080" w:type="dxa"/>
            <w:vAlign w:val="bottom"/>
            <w:tcBorders>
              <w:right w:val="single" w:sz="8" w:color="CCFFCC"/>
            </w:tcBorders>
            <w:gridSpan w:val="2"/>
            <w:shd w:val="clear" w:color="auto" w:fill="CCFFCC"/>
          </w:tcPr>
          <w:p>
            <w:pPr>
              <w:jc w:val="right"/>
              <w:ind w:right="240"/>
              <w:spacing w:after="0" w:line="201" w:lineRule="exact"/>
              <w:rPr>
                <w:sz w:val="20"/>
                <w:szCs w:val="20"/>
                <w:color w:val="auto"/>
              </w:rPr>
            </w:pPr>
            <w:r>
              <w:rPr>
                <w:rFonts w:ascii="Arial" w:cs="Arial" w:eastAsia="Arial" w:hAnsi="Arial"/>
                <w:sz w:val="18"/>
                <w:szCs w:val="18"/>
                <w:color w:val="auto"/>
              </w:rPr>
              <w:t>1</w:t>
            </w:r>
          </w:p>
        </w:tc>
        <w:tc>
          <w:tcPr>
            <w:tcW w:w="860" w:type="dxa"/>
            <w:vAlign w:val="bottom"/>
            <w:tcBorders>
              <w:right w:val="single" w:sz="8" w:color="CCFFCC"/>
            </w:tcBorders>
            <w:gridSpan w:val="2"/>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680" w:type="dxa"/>
            <w:vAlign w:val="bottom"/>
            <w:tcBorders>
              <w:right w:val="single" w:sz="8" w:color="CCFFCC"/>
            </w:tcBorders>
            <w:gridSpan w:val="2"/>
            <w:shd w:val="clear" w:color="auto" w:fill="CCFFCC"/>
          </w:tcPr>
          <w:p>
            <w:pPr>
              <w:jc w:val="right"/>
              <w:ind w:right="89"/>
              <w:spacing w:after="0" w:line="201" w:lineRule="exact"/>
              <w:rPr>
                <w:sz w:val="20"/>
                <w:szCs w:val="20"/>
                <w:color w:val="auto"/>
              </w:rPr>
            </w:pPr>
            <w:r>
              <w:rPr>
                <w:rFonts w:ascii="Arial" w:cs="Arial" w:eastAsia="Arial" w:hAnsi="Arial"/>
                <w:sz w:val="18"/>
                <w:szCs w:val="18"/>
                <w:color w:val="auto"/>
              </w:rPr>
              <w:t>7</w:t>
            </w:r>
          </w:p>
        </w:tc>
        <w:tc>
          <w:tcPr>
            <w:tcW w:w="86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315</w:t>
            </w:r>
          </w:p>
        </w:tc>
      </w:tr>
      <w:tr>
        <w:trPr>
          <w:trHeight w:val="214"/>
        </w:trPr>
        <w:tc>
          <w:tcPr>
            <w:tcW w:w="20" w:type="dxa"/>
            <w:vAlign w:val="bottom"/>
            <w:shd w:val="clear" w:color="auto" w:fill="CCFFCC"/>
          </w:tcPr>
          <w:p>
            <w:pPr>
              <w:spacing w:after="0"/>
              <w:rPr>
                <w:sz w:val="18"/>
                <w:szCs w:val="18"/>
                <w:color w:val="auto"/>
              </w:rPr>
            </w:pPr>
          </w:p>
        </w:tc>
        <w:tc>
          <w:tcPr>
            <w:tcW w:w="38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5"/>
              </w:rPr>
              <w:t>150,000,000 authorized, 31,537,400 issued and</w:t>
            </w:r>
          </w:p>
        </w:tc>
        <w:tc>
          <w:tcPr>
            <w:tcW w:w="84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28"/>
        </w:trPr>
        <w:tc>
          <w:tcPr>
            <w:tcW w:w="20" w:type="dxa"/>
            <w:vAlign w:val="bottom"/>
            <w:shd w:val="clear" w:color="auto" w:fill="CCFFCC"/>
          </w:tcPr>
          <w:p>
            <w:pPr>
              <w:spacing w:after="0"/>
              <w:rPr>
                <w:sz w:val="19"/>
                <w:szCs w:val="19"/>
                <w:color w:val="auto"/>
              </w:rPr>
            </w:pPr>
          </w:p>
        </w:tc>
        <w:tc>
          <w:tcPr>
            <w:tcW w:w="38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outstanding</w:t>
            </w:r>
          </w:p>
        </w:tc>
        <w:tc>
          <w:tcPr>
            <w:tcW w:w="840" w:type="dxa"/>
            <w:vAlign w:val="bottom"/>
            <w:shd w:val="clear" w:color="auto" w:fill="CCFFCC"/>
          </w:tcPr>
          <w:p>
            <w:pPr>
              <w:spacing w:after="0"/>
              <w:rPr>
                <w:sz w:val="19"/>
                <w:szCs w:val="19"/>
                <w:color w:val="auto"/>
              </w:rPr>
            </w:pPr>
          </w:p>
        </w:tc>
        <w:tc>
          <w:tcPr>
            <w:tcW w:w="240" w:type="dxa"/>
            <w:vAlign w:val="bottom"/>
            <w:tcBorders>
              <w:right w:val="single" w:sz="8" w:color="CCFFCC"/>
            </w:tcBorders>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80" w:type="dxa"/>
            <w:vAlign w:val="bottom"/>
            <w:tcBorders>
              <w:right w:val="single" w:sz="8" w:color="CCFFCC"/>
            </w:tcBorders>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00" w:type="dxa"/>
            <w:vAlign w:val="bottom"/>
            <w:tcBorders>
              <w:right w:val="single" w:sz="8" w:color="CCFFCC"/>
            </w:tcBorders>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680" w:type="dxa"/>
            <w:vAlign w:val="bottom"/>
            <w:gridSpan w:val="2"/>
          </w:tcPr>
          <w:p>
            <w:pPr>
              <w:jc w:val="right"/>
              <w:ind w:right="89"/>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Additional paid-in capital</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5,618</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36,281</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(6,860)</w:t>
            </w:r>
          </w:p>
        </w:tc>
        <w:tc>
          <w:tcPr>
            <w:tcW w:w="680" w:type="dxa"/>
            <w:vAlign w:val="bottom"/>
            <w:tcBorders>
              <w:right w:val="single" w:sz="8" w:color="CCFFCC"/>
            </w:tcBorders>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47,379</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1,685</w:t>
            </w:r>
          </w:p>
        </w:tc>
        <w:tc>
          <w:tcPr>
            <w:tcW w:w="680" w:type="dxa"/>
            <w:vAlign w:val="bottom"/>
            <w:gridSpan w:val="2"/>
          </w:tcPr>
          <w:p>
            <w:pPr>
              <w:jc w:val="right"/>
              <w:ind w:right="89"/>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8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1,289</w:t>
            </w:r>
          </w:p>
        </w:tc>
        <w:tc>
          <w:tcPr>
            <w:tcW w:w="680" w:type="dxa"/>
            <w:vAlign w:val="bottom"/>
            <w:tcBorders>
              <w:right w:val="single" w:sz="8" w:color="CCFFCC"/>
            </w:tcBorders>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9,366</w:t>
            </w:r>
          </w:p>
        </w:tc>
        <w:tc>
          <w:tcPr>
            <w:tcW w:w="680" w:type="dxa"/>
            <w:vAlign w:val="bottom"/>
            <w:gridSpan w:val="2"/>
          </w:tcPr>
          <w:p>
            <w:pPr>
              <w:jc w:val="right"/>
              <w:ind w:right="89"/>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Accumulated deficit</w:t>
            </w:r>
          </w:p>
        </w:tc>
        <w:tc>
          <w:tcPr>
            <w:tcW w:w="10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(2,754</w:t>
            </w:r>
            <w:r>
              <w:rPr>
                <w:rFonts w:ascii="Arial" w:cs="Arial" w:eastAsia="Arial" w:hAnsi="Arial"/>
                <w:sz w:val="18"/>
                <w:szCs w:val="18"/>
                <w:color w:val="auto"/>
              </w:rPr>
              <w:t>)</w:t>
            </w:r>
          </w:p>
        </w:tc>
        <w:tc>
          <w:tcPr>
            <w:tcW w:w="8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(37,546)</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(852)</w:t>
            </w:r>
          </w:p>
        </w:tc>
        <w:tc>
          <w:tcPr>
            <w:tcW w:w="680" w:type="dxa"/>
            <w:vAlign w:val="bottom"/>
            <w:tcBorders>
              <w:right w:val="single" w:sz="8" w:color="CCFFCC"/>
            </w:tcBorders>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(5,291)</w:t>
            </w: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37,546</w:t>
            </w:r>
          </w:p>
        </w:tc>
        <w:tc>
          <w:tcPr>
            <w:tcW w:w="680" w:type="dxa"/>
            <w:vAlign w:val="bottom"/>
            <w:gridSpan w:val="2"/>
          </w:tcPr>
          <w:p>
            <w:pPr>
              <w:jc w:val="right"/>
              <w:ind w:right="89"/>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8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(1,685)</w:t>
            </w:r>
          </w:p>
        </w:tc>
        <w:tc>
          <w:tcPr>
            <w:tcW w:w="680" w:type="dxa"/>
            <w:vAlign w:val="bottom"/>
            <w:tcBorders>
              <w:right w:val="single" w:sz="8" w:color="CCFFCC"/>
            </w:tcBorders>
            <w:gridSpan w:val="2"/>
            <w:shd w:val="clear" w:color="auto" w:fill="CCFFCC"/>
          </w:tcPr>
          <w:p>
            <w:pPr>
              <w:jc w:val="right"/>
              <w:ind w:right="89"/>
              <w:spacing w:after="0"/>
              <w:rPr>
                <w:sz w:val="20"/>
                <w:szCs w:val="20"/>
                <w:color w:val="auto"/>
              </w:rPr>
            </w:pPr>
            <w:r>
              <w:rPr>
                <w:rFonts w:ascii="Arial" w:cs="Arial" w:eastAsia="Arial" w:hAnsi="Arial"/>
                <w:sz w:val="18"/>
                <w:szCs w:val="18"/>
                <w:color w:val="auto"/>
              </w:rPr>
              <w:t>9</w:t>
            </w: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38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shareholders’ equity (deficit)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2,865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(1,165)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40,703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42,403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38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8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8,314</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1,895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62,047</w:t>
            </w:r>
          </w:p>
        </w:tc>
        <w:tc>
          <w:tcPr>
            <w:tcW w:w="80" w:type="dxa"/>
            <w:vAlign w:val="bottom"/>
            <w:shd w:val="clear" w:color="auto" w:fill="CCFFCC"/>
          </w:tcPr>
          <w:p>
            <w:pPr>
              <w:spacing w:after="0"/>
              <w:rPr>
                <w:sz w:val="21"/>
                <w:szCs w:val="21"/>
                <w:color w:val="auto"/>
              </w:rPr>
            </w:pPr>
          </w:p>
        </w:tc>
        <w:tc>
          <w:tcPr>
            <w:tcW w:w="600" w:type="dxa"/>
            <w:vAlign w:val="bottom"/>
            <w:tcBorders>
              <w:right w:val="single" w:sz="8" w:color="CCFFCC"/>
            </w:tcBorders>
            <w:shd w:val="clear" w:color="auto" w:fill="CCFFCC"/>
          </w:tcPr>
          <w:p>
            <w:pPr>
              <w:spacing w:after="0"/>
              <w:rPr>
                <w:sz w:val="21"/>
                <w:szCs w:val="21"/>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72,256</w:t>
            </w:r>
          </w:p>
        </w:tc>
      </w:tr>
      <w:tr>
        <w:trPr>
          <w:trHeight w:val="261"/>
        </w:trPr>
        <w:tc>
          <w:tcPr>
            <w:tcW w:w="20" w:type="dxa"/>
            <w:vAlign w:val="bottom"/>
            <w:tcBorders>
              <w:top w:val="single" w:sz="8" w:color="CCFFCC"/>
            </w:tcBorders>
          </w:tcPr>
          <w:p>
            <w:pPr>
              <w:spacing w:after="0"/>
              <w:rPr>
                <w:sz w:val="22"/>
                <w:szCs w:val="22"/>
                <w:color w:val="auto"/>
              </w:rPr>
            </w:pPr>
          </w:p>
        </w:tc>
        <w:tc>
          <w:tcPr>
            <w:tcW w:w="960" w:type="dxa"/>
            <w:vAlign w:val="bottom"/>
            <w:tcBorders>
              <w:top w:val="single" w:sz="8" w:color="CCFFCC"/>
              <w:bottom w:val="single" w:sz="8" w:color="auto"/>
            </w:tcBorders>
          </w:tcPr>
          <w:p>
            <w:pPr>
              <w:spacing w:after="0"/>
              <w:rPr>
                <w:sz w:val="22"/>
                <w:szCs w:val="22"/>
                <w:color w:val="auto"/>
              </w:rPr>
            </w:pPr>
          </w:p>
        </w:tc>
        <w:tc>
          <w:tcPr>
            <w:tcW w:w="2880" w:type="dxa"/>
            <w:vAlign w:val="bottom"/>
            <w:tcBorders>
              <w:top w:val="single" w:sz="8" w:color="CCFFCC"/>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40" w:type="dxa"/>
            <w:vAlign w:val="bottom"/>
            <w:tcBorders>
              <w:top w:val="single" w:sz="8" w:color="CCFFCC"/>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60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-5872480</wp:posOffset>
            </wp:positionV>
            <wp:extent cx="5160010" cy="144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-4768850</wp:posOffset>
            </wp:positionV>
            <wp:extent cx="5160010" cy="169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-3920490</wp:posOffset>
            </wp:positionV>
            <wp:extent cx="5160010" cy="144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-499745</wp:posOffset>
            </wp:positionV>
            <wp:extent cx="5160010" cy="153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42" w:lineRule="exact"/>
        <w:rPr>
          <w:sz w:val="20"/>
          <w:szCs w:val="20"/>
          <w:color w:val="auto"/>
        </w:rPr>
      </w:pPr>
    </w:p>
    <w:p>
      <w:pPr>
        <w:ind w:left="300" w:hanging="275"/>
        <w:spacing w:after="0"/>
        <w:tabs>
          <w:tab w:leader="none" w:pos="3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Refer to preliminary Purchase Price Allocation table on page </w:t>
      </w:r>
      <w:r>
        <w:rPr>
          <w:rFonts w:ascii="Arial" w:cs="Arial" w:eastAsia="Arial" w:hAnsi="Arial"/>
          <w:sz w:val="14"/>
          <w:szCs w:val="14"/>
          <w:u w:val="single" w:color="auto"/>
          <w:color w:val="0000EE"/>
        </w:rPr>
        <w:t>167</w:t>
      </w:r>
    </w:p>
    <w:p>
      <w:pPr>
        <w:spacing w:after="0" w:line="200" w:lineRule="exact"/>
        <w:rPr>
          <w:sz w:val="20"/>
          <w:szCs w:val="20"/>
          <w:color w:val="auto"/>
        </w:rPr>
      </w:pPr>
    </w:p>
    <w:p>
      <w:pPr>
        <w:spacing w:after="0" w:line="35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84" w:name="page185"/>
    <w:bookmarkEnd w:id="18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18" w:lineRule="exact"/>
        <w:rPr>
          <w:sz w:val="20"/>
          <w:szCs w:val="20"/>
          <w:color w:val="auto"/>
        </w:rPr>
      </w:pPr>
    </w:p>
    <w:p>
      <w:pPr>
        <w:ind w:left="300" w:right="860" w:hanging="275"/>
        <w:spacing w:after="0" w:line="266" w:lineRule="auto"/>
        <w:tabs>
          <w:tab w:leader="none" w:pos="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5999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5999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2180" w:type="dxa"/>
            <w:vAlign w:val="bottom"/>
            <w:gridSpan w:val="3"/>
          </w:tcPr>
          <w:p>
            <w:pPr>
              <w:jc w:val="center"/>
              <w:ind w:right="700"/>
              <w:spacing w:after="0" w:line="148" w:lineRule="exact"/>
              <w:rPr>
                <w:sz w:val="20"/>
                <w:szCs w:val="20"/>
                <w:color w:val="auto"/>
              </w:rPr>
            </w:pPr>
            <w:r>
              <w:rPr>
                <w:rFonts w:ascii="Arial" w:cs="Arial" w:eastAsia="Arial" w:hAnsi="Arial"/>
                <w:sz w:val="14"/>
                <w:szCs w:val="14"/>
                <w:b w:val="1"/>
                <w:bCs w:val="1"/>
                <w:color w:val="auto"/>
                <w:w w:val="91"/>
              </w:rPr>
              <w:t>Period from June 8,</w:t>
            </w: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3"/>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2011 through</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400" w:type="dxa"/>
            <w:vAlign w:val="bottom"/>
          </w:tcPr>
          <w:p>
            <w:pPr>
              <w:spacing w:after="0"/>
              <w:rPr>
                <w:sz w:val="17"/>
                <w:szCs w:val="17"/>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16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7"/>
                <w:szCs w:val="17"/>
                <w:color w:val="auto"/>
              </w:rPr>
            </w:pPr>
          </w:p>
        </w:tc>
        <w:tc>
          <w:tcPr>
            <w:tcW w:w="2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5"/>
        </w:trPr>
        <w:tc>
          <w:tcPr>
            <w:tcW w:w="36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400" w:type="dxa"/>
            <w:vAlign w:val="bottom"/>
            <w:tcBorders>
              <w:bottom w:val="single" w:sz="8" w:color="CCFFCC"/>
            </w:tcBorders>
            <w:shd w:val="clear" w:color="auto" w:fill="CCFFCC"/>
          </w:tcPr>
          <w:p>
            <w:pPr>
              <w:spacing w:after="0"/>
              <w:rPr>
                <w:sz w:val="18"/>
                <w:szCs w:val="18"/>
                <w:color w:val="auto"/>
              </w:rPr>
            </w:pPr>
          </w:p>
        </w:tc>
        <w:tc>
          <w:tcPr>
            <w:tcW w:w="560" w:type="dxa"/>
            <w:vAlign w:val="bottom"/>
            <w:tcBorders>
              <w:bottom w:val="single" w:sz="8" w:color="CCFFCC"/>
            </w:tcBorders>
            <w:shd w:val="clear" w:color="auto" w:fill="CCFFCC"/>
          </w:tcPr>
          <w:p>
            <w:pPr>
              <w:spacing w:after="0"/>
              <w:rPr>
                <w:sz w:val="18"/>
                <w:szCs w:val="18"/>
                <w:color w:val="auto"/>
              </w:rPr>
            </w:pPr>
          </w:p>
        </w:tc>
        <w:tc>
          <w:tcPr>
            <w:tcW w:w="620" w:type="dxa"/>
            <w:vAlign w:val="bottom"/>
            <w:tcBorders>
              <w:bottom w:val="single" w:sz="8" w:color="CCFFCC"/>
            </w:tcBorders>
            <w:gridSpan w:val="2"/>
            <w:shd w:val="clear" w:color="auto" w:fill="CCFFCC"/>
          </w:tcPr>
          <w:p>
            <w:pPr>
              <w:jc w:val="right"/>
              <w:ind w:right="32"/>
              <w:spacing w:after="0"/>
              <w:rPr>
                <w:sz w:val="20"/>
                <w:szCs w:val="20"/>
                <w:color w:val="auto"/>
              </w:rPr>
            </w:pPr>
            <w:r>
              <w:rPr>
                <w:rFonts w:ascii="Arial" w:cs="Arial" w:eastAsia="Arial" w:hAnsi="Arial"/>
                <w:sz w:val="18"/>
                <w:szCs w:val="18"/>
                <w:color w:val="auto"/>
                <w:w w:val="87"/>
              </w:rPr>
              <w:t>11,561</w:t>
            </w:r>
          </w:p>
        </w:tc>
        <w:tc>
          <w:tcPr>
            <w:tcW w:w="580" w:type="dxa"/>
            <w:vAlign w:val="bottom"/>
            <w:tcBorders>
              <w:bottom w:val="single" w:sz="8" w:color="CCFFCC"/>
            </w:tcBorders>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FFCC"/>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1,087</w:t>
            </w:r>
          </w:p>
        </w:tc>
        <w:tc>
          <w:tcPr>
            <w:tcW w:w="180" w:type="dxa"/>
            <w:vAlign w:val="bottom"/>
            <w:tcBorders>
              <w:bottom w:val="single" w:sz="8" w:color="CCFFCC"/>
            </w:tcBorders>
            <w:shd w:val="clear" w:color="auto" w:fill="CCFFCC"/>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Gross carrying</w:t>
            </w:r>
          </w:p>
        </w:tc>
        <w:tc>
          <w:tcPr>
            <w:tcW w:w="160" w:type="dxa"/>
            <w:vAlign w:val="bottom"/>
          </w:tcPr>
          <w:p>
            <w:pPr>
              <w:spacing w:after="0"/>
              <w:rPr>
                <w:sz w:val="13"/>
                <w:szCs w:val="13"/>
                <w:color w:val="auto"/>
              </w:rPr>
            </w:pPr>
          </w:p>
        </w:tc>
        <w:tc>
          <w:tcPr>
            <w:tcW w:w="3380" w:type="dxa"/>
            <w:vAlign w:val="bottom"/>
            <w:gridSpan w:val="7"/>
          </w:tcPr>
          <w:p>
            <w:pPr>
              <w:ind w:left="260"/>
              <w:spacing w:after="0" w:line="158" w:lineRule="exact"/>
              <w:rPr>
                <w:sz w:val="20"/>
                <w:szCs w:val="20"/>
                <w:color w:val="auto"/>
              </w:rPr>
            </w:pPr>
            <w:r>
              <w:rPr>
                <w:rFonts w:ascii="Arial" w:cs="Arial" w:eastAsia="Arial" w:hAnsi="Arial"/>
                <w:sz w:val="14"/>
                <w:szCs w:val="14"/>
                <w:b w:val="1"/>
                <w:bCs w:val="1"/>
                <w:color w:val="auto"/>
                <w:w w:val="99"/>
              </w:rPr>
              <w:t>Amortization of intangible assets and liabilities</w:t>
            </w: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gridSpan w:val="6"/>
          </w:tcPr>
          <w:p>
            <w:pPr>
              <w:ind w:left="100"/>
              <w:spacing w:after="0"/>
              <w:rPr>
                <w:sz w:val="20"/>
                <w:szCs w:val="20"/>
                <w:color w:val="auto"/>
              </w:rPr>
            </w:pPr>
            <w:r>
              <w:rPr>
                <w:rFonts w:ascii="Arial" w:cs="Arial" w:eastAsia="Arial" w:hAnsi="Arial"/>
                <w:sz w:val="14"/>
                <w:szCs w:val="14"/>
                <w:b w:val="1"/>
                <w:bCs w:val="1"/>
                <w:color w:val="auto"/>
              </w:rPr>
              <w:t>($ — in thousands)</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50,486</w:t>
            </w: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6"/>
              </w:rPr>
              <w:t>Goodwill is reviewed for impairment at least</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4"/>
              </w:rPr>
              <w:t>annually in accordance with the provisions of</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8"/>
              </w:rPr>
              <w:t>ACS 350 “Intangibles, Goodwill and Other”</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Fair value of vested stock options granted to</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1,289</w:t>
            </w: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8"/>
              </w:rPr>
              <w:t>Original fair value allocated to vested stock</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employees, management and consultants,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2"/>
              </w:rPr>
              <w:t>options will be adjusted for options exercised,</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classified as equity in these consolidated pro</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8"/>
              </w:rPr>
              <w:t>forfeited or expired. This adjustment will be</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forma financial statements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recorded as internal reclassification in</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9"/>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4,293</w:t>
            </w: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Original fair value allocated to warrants</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8"/>
              </w:rPr>
              <w:t>Vringo prior to the Merger, classified as a long</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classified as a derivative liability will be</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7"/>
              </w:rPr>
              <w:t>term derivative liability, as these warrants bear</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5"/>
              </w:rPr>
              <w:t>adjusted at the end of each reporting period.</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certain down-round protection clauses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9"/>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9,366</w:t>
            </w: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Original fair value allocated to warrants</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w w:val="96"/>
              </w:rPr>
              <w:t>Vringo prior to the Merger, classified as equity,</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classified as equity will be adjusted for</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in these consolidated pro forma financial</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0"/>
              </w:rPr>
              <w:t>warrants exercised or expired. This adjustment</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8"/>
                <w:szCs w:val="18"/>
                <w:color w:val="auto"/>
              </w:rPr>
              <w:t>statements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w w:val="94"/>
              </w:rPr>
              <w:t>will be recorded as internal reclassification in</w:t>
            </w:r>
          </w:p>
        </w:tc>
        <w:tc>
          <w:tcPr>
            <w:tcW w:w="0" w:type="dxa"/>
            <w:vAlign w:val="bottom"/>
          </w:tcPr>
          <w:p>
            <w:pPr>
              <w:spacing w:after="0"/>
              <w:rPr>
                <w:sz w:val="1"/>
                <w:szCs w:val="1"/>
                <w:color w:val="auto"/>
              </w:rPr>
            </w:pPr>
          </w:p>
        </w:tc>
      </w:tr>
      <w:tr>
        <w:trPr>
          <w:trHeight w:val="227"/>
        </w:trPr>
        <w:tc>
          <w:tcPr>
            <w:tcW w:w="3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7"/>
          </w:tcPr>
          <w:p>
            <w:pPr>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-2816225</wp:posOffset>
            </wp:positionV>
            <wp:extent cx="5160010" cy="153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60010" cy="153035"/>
                    </a:xfrm>
                    <a:prstGeom prst="rect">
                      <a:avLst/>
                    </a:prstGeom>
                    <a:noFill/>
                  </pic:spPr>
                </pic:pic>
              </a:graphicData>
            </a:graphic>
          </wp:anchor>
        </w:drawing>
      </w:r>
    </w:p>
    <w:p>
      <w:pPr>
        <w:spacing w:after="0" w:line="74" w:lineRule="exact"/>
        <w:rPr>
          <w:sz w:val="20"/>
          <w:szCs w:val="20"/>
          <w:color w:val="auto"/>
        </w:rPr>
      </w:pPr>
    </w:p>
    <w:p>
      <w:pPr>
        <w:jc w:val="both"/>
        <w:ind w:left="60" w:right="860" w:firstLine="267"/>
        <w:spacing w:after="0" w:line="255"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vested stock options granted to employees and management, and the purchase price allocated fair value of outstanding warrants granted by Vringo prior to the Merger, did not change over the presented period.</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Amortization and depreciation, startup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678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66788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Period from June 8,</w:t>
            </w:r>
          </w:p>
        </w:tc>
        <w:tc>
          <w:tcPr>
            <w:tcW w:w="2920" w:type="dxa"/>
            <w:vAlign w:val="bottom"/>
          </w:tcPr>
          <w:p>
            <w:pPr>
              <w:spacing w:after="0"/>
              <w:rPr>
                <w:sz w:val="14"/>
                <w:szCs w:val="14"/>
                <w:color w:val="auto"/>
              </w:rPr>
            </w:pPr>
          </w:p>
        </w:tc>
      </w:tr>
      <w:tr>
        <w:trPr>
          <w:trHeight w:val="147"/>
        </w:trPr>
        <w:tc>
          <w:tcPr>
            <w:tcW w:w="8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2011 through</w:t>
            </w:r>
          </w:p>
        </w:tc>
        <w:tc>
          <w:tcPr>
            <w:tcW w:w="2920" w:type="dxa"/>
            <w:vAlign w:val="bottom"/>
          </w:tcPr>
          <w:p>
            <w:pPr>
              <w:spacing w:after="0"/>
              <w:rPr>
                <w:sz w:val="12"/>
                <w:szCs w:val="12"/>
                <w:color w:val="auto"/>
              </w:rPr>
            </w:pPr>
          </w:p>
        </w:tc>
      </w:tr>
      <w:tr>
        <w:trPr>
          <w:trHeight w:val="170"/>
        </w:trPr>
        <w:tc>
          <w:tcPr>
            <w:tcW w:w="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2920" w:type="dxa"/>
            <w:vAlign w:val="bottom"/>
          </w:tcPr>
          <w:p>
            <w:pPr>
              <w:spacing w:after="0"/>
              <w:rPr>
                <w:sz w:val="14"/>
                <w:szCs w:val="14"/>
                <w:color w:val="auto"/>
              </w:rPr>
            </w:pPr>
          </w:p>
        </w:tc>
      </w:tr>
      <w:tr>
        <w:trPr>
          <w:trHeight w:val="193"/>
        </w:trPr>
        <w:tc>
          <w:tcPr>
            <w:tcW w:w="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 — in thousands)</w:t>
            </w:r>
          </w:p>
        </w:tc>
        <w:tc>
          <w:tcPr>
            <w:tcW w:w="2920" w:type="dxa"/>
            <w:vAlign w:val="bottom"/>
          </w:tcPr>
          <w:p>
            <w:pPr>
              <w:spacing w:after="0"/>
              <w:rPr>
                <w:sz w:val="16"/>
                <w:szCs w:val="16"/>
                <w:color w:val="auto"/>
              </w:rPr>
            </w:pPr>
          </w:p>
        </w:tc>
      </w:tr>
      <w:tr>
        <w:trPr>
          <w:trHeight w:val="227"/>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900" w:type="dxa"/>
            <w:vAlign w:val="bottom"/>
            <w:gridSpan w:val="3"/>
          </w:tcPr>
          <w:p>
            <w:pPr>
              <w:jc w:val="right"/>
              <w:ind w:right="280"/>
              <w:spacing w:after="0"/>
              <w:rPr>
                <w:sz w:val="20"/>
                <w:szCs w:val="20"/>
                <w:color w:val="auto"/>
              </w:rPr>
            </w:pPr>
            <w:r>
              <w:rPr>
                <w:rFonts w:ascii="Arial" w:cs="Arial" w:eastAsia="Arial" w:hAnsi="Arial"/>
                <w:sz w:val="18"/>
                <w:szCs w:val="18"/>
                <w:color w:val="auto"/>
              </w:rPr>
              <w:t>1,431</w:t>
            </w:r>
          </w:p>
        </w:tc>
        <w:tc>
          <w:tcPr>
            <w:tcW w:w="2920" w:type="dxa"/>
            <w:vAlign w:val="bottom"/>
          </w:tcPr>
          <w:p>
            <w:pPr>
              <w:spacing w:after="0"/>
              <w:rPr>
                <w:sz w:val="19"/>
                <w:szCs w:val="19"/>
                <w:color w:val="auto"/>
              </w:rPr>
            </w:pPr>
          </w:p>
        </w:tc>
      </w:tr>
      <w:tr>
        <w:trPr>
          <w:trHeight w:val="215"/>
        </w:trPr>
        <w:tc>
          <w:tcPr>
            <w:tcW w:w="3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39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(997)</w:t>
            </w:r>
          </w:p>
        </w:tc>
        <w:tc>
          <w:tcPr>
            <w:tcW w:w="2920" w:type="dxa"/>
            <w:vAlign w:val="bottom"/>
          </w:tcPr>
          <w:p>
            <w:pPr>
              <w:spacing w:after="0"/>
              <w:rPr>
                <w:sz w:val="18"/>
                <w:szCs w:val="18"/>
                <w:color w:val="auto"/>
              </w:rPr>
            </w:pPr>
          </w:p>
        </w:tc>
      </w:tr>
      <w:tr>
        <w:trPr>
          <w:trHeight w:val="214"/>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3900" w:type="dxa"/>
            <w:vAlign w:val="bottom"/>
            <w:gridSpan w:val="3"/>
          </w:tcPr>
          <w:p>
            <w:pPr>
              <w:jc w:val="right"/>
              <w:ind w:right="220"/>
              <w:spacing w:after="0"/>
              <w:rPr>
                <w:sz w:val="20"/>
                <w:szCs w:val="20"/>
                <w:color w:val="auto"/>
              </w:rPr>
            </w:pPr>
            <w:r>
              <w:rPr>
                <w:rFonts w:ascii="Arial" w:cs="Arial" w:eastAsia="Arial" w:hAnsi="Arial"/>
                <w:sz w:val="18"/>
                <w:szCs w:val="18"/>
                <w:color w:val="auto"/>
              </w:rPr>
              <w:t>(328)</w:t>
            </w:r>
          </w:p>
        </w:tc>
        <w:tc>
          <w:tcPr>
            <w:tcW w:w="2920" w:type="dxa"/>
            <w:vAlign w:val="bottom"/>
          </w:tcPr>
          <w:p>
            <w:pPr>
              <w:spacing w:after="0"/>
              <w:rPr>
                <w:sz w:val="18"/>
                <w:szCs w:val="18"/>
                <w:color w:val="auto"/>
              </w:rPr>
            </w:pPr>
          </w:p>
        </w:tc>
      </w:tr>
      <w:tr>
        <w:trPr>
          <w:trHeight w:val="214"/>
        </w:trPr>
        <w:tc>
          <w:tcPr>
            <w:tcW w:w="3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25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2680" w:type="dxa"/>
            <w:vAlign w:val="bottom"/>
            <w:shd w:val="clear" w:color="auto" w:fill="CCFFCC"/>
          </w:tcPr>
          <w:p>
            <w:pPr>
              <w:spacing w:after="0" w:line="20" w:lineRule="exact"/>
              <w:rPr>
                <w:sz w:val="1"/>
                <w:szCs w:val="1"/>
                <w:color w:val="auto"/>
              </w:rPr>
            </w:pPr>
          </w:p>
        </w:tc>
        <w:tc>
          <w:tcPr>
            <w:tcW w:w="256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8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r>
      <w:tr>
        <w:trPr>
          <w:trHeight w:val="767"/>
        </w:trPr>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60" w:type="dxa"/>
            <w:vAlign w:val="bottom"/>
          </w:tcPr>
          <w:p>
            <w:pPr>
              <w:jc w:val="right"/>
              <w:ind w:right="1231"/>
              <w:spacing w:after="0"/>
              <w:rPr>
                <w:sz w:val="20"/>
                <w:szCs w:val="20"/>
                <w:color w:val="auto"/>
              </w:rPr>
            </w:pPr>
            <w:r>
              <w:rPr>
                <w:rFonts w:ascii="Arial" w:cs="Arial" w:eastAsia="Arial" w:hAnsi="Arial"/>
                <w:sz w:val="18"/>
                <w:szCs w:val="18"/>
                <w:color w:val="auto"/>
              </w:rPr>
              <w:t>171</w:t>
            </w: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680" w:type="dxa"/>
            <w:vAlign w:val="bottom"/>
            <w:tcBorders>
              <w:bottom w:val="single" w:sz="8" w:color="9A9A9A"/>
            </w:tcBorders>
          </w:tcPr>
          <w:p>
            <w:pPr>
              <w:spacing w:after="0"/>
              <w:rPr>
                <w:sz w:val="14"/>
                <w:szCs w:val="14"/>
                <w:color w:val="auto"/>
              </w:rPr>
            </w:pPr>
          </w:p>
        </w:tc>
        <w:tc>
          <w:tcPr>
            <w:tcW w:w="25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680" w:type="dxa"/>
            <w:vAlign w:val="bottom"/>
            <w:tcBorders>
              <w:bottom w:val="single" w:sz="8" w:color="EEEEEE"/>
            </w:tcBorders>
          </w:tcPr>
          <w:p>
            <w:pPr>
              <w:spacing w:after="0" w:line="20" w:lineRule="exact"/>
              <w:rPr>
                <w:sz w:val="1"/>
                <w:szCs w:val="1"/>
                <w:color w:val="auto"/>
              </w:rPr>
            </w:pPr>
          </w:p>
        </w:tc>
        <w:tc>
          <w:tcPr>
            <w:tcW w:w="25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-780415</wp:posOffset>
            </wp:positionV>
            <wp:extent cx="4701540" cy="153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01540" cy="1530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185" w:name="page186"/>
    <w:bookmarkEnd w:id="18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00" w:right="639" w:hanging="275"/>
        <w:spacing w:after="0" w:line="255" w:lineRule="auto"/>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According to the Merger Agreement, Vringo will issue to former shareholders of Innovate/Protect 17,675,617 shares of its common stock, at $0.01 par value, 6,818 shares of Series A Convertible Preferred Stock, at $0.01 par value (convertible into 20,573,997 shares of Vringo common stock), 16,809,838 warrants, at an exercise price of $1.76, and 41,178 options to consultant at an exercise price of $0.994.</w:t>
      </w:r>
    </w:p>
    <w:p>
      <w:pPr>
        <w:spacing w:after="0" w:line="83" w:lineRule="exact"/>
        <w:rPr>
          <w:sz w:val="20"/>
          <w:szCs w:val="20"/>
          <w:color w:val="auto"/>
        </w:rPr>
      </w:pPr>
    </w:p>
    <w:p>
      <w:pPr>
        <w:jc w:val="both"/>
        <w:ind w:left="340" w:right="619"/>
        <w:spacing w:after="0" w:line="285" w:lineRule="auto"/>
        <w:rPr>
          <w:sz w:val="20"/>
          <w:szCs w:val="20"/>
          <w:color w:val="auto"/>
        </w:rPr>
      </w:pPr>
      <w:r>
        <w:rPr>
          <w:rFonts w:ascii="Arial" w:cs="Arial" w:eastAsia="Arial" w:hAnsi="Arial"/>
          <w:sz w:val="16"/>
          <w:szCs w:val="16"/>
          <w:color w:val="auto"/>
        </w:rPr>
        <w:t>According to GAAP, the consolidated pro forma equity will reflect Vringo’s common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51263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6680" w:type="dxa"/>
            <w:vAlign w:val="bottom"/>
          </w:tcPr>
          <w:p>
            <w:pPr>
              <w:spacing w:after="0"/>
              <w:rPr>
                <w:sz w:val="13"/>
                <w:szCs w:val="13"/>
                <w:color w:val="auto"/>
              </w:rPr>
            </w:pPr>
          </w:p>
        </w:tc>
        <w:tc>
          <w:tcPr>
            <w:tcW w:w="146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1"/>
              </w:rPr>
              <w:t>Period from June 8,</w:t>
            </w: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14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2011 through</w:t>
            </w:r>
          </w:p>
        </w:tc>
        <w:tc>
          <w:tcPr>
            <w:tcW w:w="0" w:type="dxa"/>
            <w:vAlign w:val="bottom"/>
          </w:tcPr>
          <w:p>
            <w:pPr>
              <w:spacing w:after="0"/>
              <w:rPr>
                <w:sz w:val="1"/>
                <w:szCs w:val="1"/>
                <w:color w:val="auto"/>
              </w:rPr>
            </w:pPr>
          </w:p>
        </w:tc>
      </w:tr>
      <w:tr>
        <w:trPr>
          <w:trHeight w:val="170"/>
        </w:trPr>
        <w:tc>
          <w:tcPr>
            <w:tcW w:w="6680" w:type="dxa"/>
            <w:vAlign w:val="bottom"/>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58"/>
        </w:trPr>
        <w:tc>
          <w:tcPr>
            <w:tcW w:w="6680" w:type="dxa"/>
            <w:vAlign w:val="bottom"/>
          </w:tcPr>
          <w:p>
            <w:pPr>
              <w:spacing w:after="0"/>
              <w:rPr>
                <w:sz w:val="13"/>
                <w:szCs w:val="13"/>
                <w:color w:val="auto"/>
              </w:rPr>
            </w:pPr>
          </w:p>
        </w:tc>
        <w:tc>
          <w:tcPr>
            <w:tcW w:w="14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 — in thousands,</w:t>
            </w: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14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except share and per</w:t>
            </w:r>
          </w:p>
        </w:tc>
        <w:tc>
          <w:tcPr>
            <w:tcW w:w="0" w:type="dxa"/>
            <w:vAlign w:val="bottom"/>
          </w:tcPr>
          <w:p>
            <w:pPr>
              <w:spacing w:after="0"/>
              <w:rPr>
                <w:sz w:val="1"/>
                <w:szCs w:val="1"/>
                <w:color w:val="auto"/>
              </w:rPr>
            </w:pPr>
          </w:p>
        </w:tc>
      </w:tr>
      <w:tr>
        <w:trPr>
          <w:trHeight w:val="185"/>
        </w:trPr>
        <w:tc>
          <w:tcPr>
            <w:tcW w:w="6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share data)</w:t>
            </w: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14"/>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6,965,927</w:t>
            </w:r>
          </w:p>
        </w:tc>
        <w:tc>
          <w:tcPr>
            <w:tcW w:w="0" w:type="dxa"/>
            <w:vAlign w:val="bottom"/>
          </w:tcPr>
          <w:p>
            <w:pPr>
              <w:spacing w:after="0"/>
              <w:rPr>
                <w:sz w:val="1"/>
                <w:szCs w:val="1"/>
                <w:color w:val="auto"/>
              </w:rPr>
            </w:pPr>
          </w:p>
        </w:tc>
      </w:tr>
      <w:tr>
        <w:trPr>
          <w:trHeight w:val="199"/>
        </w:trPr>
        <w:tc>
          <w:tcPr>
            <w:tcW w:w="6680" w:type="dxa"/>
            <w:vAlign w:val="bottom"/>
          </w:tcPr>
          <w:p>
            <w:pPr>
              <w:ind w:left="20"/>
              <w:spacing w:after="0" w:line="200" w:lineRule="exact"/>
              <w:rPr>
                <w:sz w:val="20"/>
                <w:szCs w:val="20"/>
                <w:color w:val="auto"/>
              </w:rPr>
            </w:pPr>
            <w:r>
              <w:rPr>
                <w:rFonts w:ascii="Arial" w:cs="Arial" w:eastAsia="Arial" w:hAnsi="Arial"/>
                <w:sz w:val="18"/>
                <w:szCs w:val="18"/>
                <w:color w:val="auto"/>
                <w:w w:val="98"/>
              </w:rPr>
              <w:t>Weighted average of Vringo common stock shares issued to former Innovate/Protect</w:t>
            </w:r>
          </w:p>
        </w:tc>
        <w:tc>
          <w:tcPr>
            <w:tcW w:w="14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17,675,617</w:t>
            </w:r>
          </w:p>
        </w:tc>
        <w:tc>
          <w:tcPr>
            <w:tcW w:w="0" w:type="dxa"/>
            <w:vAlign w:val="bottom"/>
          </w:tcPr>
          <w:p>
            <w:pPr>
              <w:spacing w:after="0"/>
              <w:rPr>
                <w:sz w:val="1"/>
                <w:szCs w:val="1"/>
                <w:color w:val="auto"/>
              </w:rPr>
            </w:pPr>
          </w:p>
        </w:tc>
      </w:tr>
      <w:tr>
        <w:trPr>
          <w:trHeight w:val="227"/>
        </w:trPr>
        <w:tc>
          <w:tcPr>
            <w:tcW w:w="6680" w:type="dxa"/>
            <w:vAlign w:val="bottom"/>
          </w:tcPr>
          <w:p>
            <w:pPr>
              <w:ind w:left="180"/>
              <w:spacing w:after="0"/>
              <w:rPr>
                <w:sz w:val="20"/>
                <w:szCs w:val="20"/>
                <w:color w:val="auto"/>
              </w:rPr>
            </w:pPr>
            <w:r>
              <w:rPr>
                <w:rFonts w:ascii="Arial" w:cs="Arial" w:eastAsia="Arial" w:hAnsi="Arial"/>
                <w:sz w:val="18"/>
                <w:szCs w:val="18"/>
                <w:color w:val="auto"/>
              </w:rPr>
              <w:t>stockholders’, outstanding for the period:</w:t>
            </w:r>
          </w:p>
        </w:tc>
        <w:tc>
          <w:tcPr>
            <w:tcW w:w="1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24,641,544</w:t>
            </w:r>
          </w:p>
        </w:tc>
        <w:tc>
          <w:tcPr>
            <w:tcW w:w="0" w:type="dxa"/>
            <w:vAlign w:val="bottom"/>
          </w:tcPr>
          <w:p>
            <w:pPr>
              <w:spacing w:after="0"/>
              <w:rPr>
                <w:sz w:val="1"/>
                <w:szCs w:val="1"/>
                <w:color w:val="auto"/>
              </w:rPr>
            </w:pPr>
          </w:p>
        </w:tc>
      </w:tr>
      <w:tr>
        <w:trPr>
          <w:trHeight w:val="20"/>
        </w:trPr>
        <w:tc>
          <w:tcPr>
            <w:tcW w:w="668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80" w:type="dxa"/>
            <w:vAlign w:val="bottom"/>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5160010" cy="153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60010" cy="153035"/>
                    </a:xfrm>
                    <a:prstGeom prst="rect">
                      <a:avLst/>
                    </a:prstGeom>
                    <a:noFill/>
                  </pic:spPr>
                </pic:pic>
              </a:graphicData>
            </a:graphic>
          </wp:anchor>
        </w:drawing>
      </w:r>
    </w:p>
    <w:p>
      <w:pPr>
        <w:spacing w:after="0" w:line="73" w:lineRule="exact"/>
        <w:rPr>
          <w:sz w:val="20"/>
          <w:szCs w:val="20"/>
          <w:color w:val="auto"/>
        </w:rPr>
      </w:pPr>
    </w:p>
    <w:p>
      <w:pPr>
        <w:ind w:left="300" w:right="639" w:hanging="275"/>
        <w:spacing w:after="0" w:line="270" w:lineRule="auto"/>
        <w:tabs>
          <w:tab w:leader="none" w:pos="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68" w:lineRule="exact"/>
        <w:rPr>
          <w:rFonts w:ascii="Arial" w:cs="Arial" w:eastAsia="Arial" w:hAnsi="Arial"/>
          <w:sz w:val="18"/>
          <w:szCs w:val="18"/>
          <w:color w:val="auto"/>
        </w:rPr>
      </w:pPr>
    </w:p>
    <w:p>
      <w:pPr>
        <w:jc w:val="both"/>
        <w:ind w:left="300" w:right="619" w:hanging="275"/>
        <w:spacing w:after="0" w:line="285" w:lineRule="auto"/>
        <w:tabs>
          <w:tab w:leader="none" w:pos="3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According to the Merger Agreement, Vringo will grant former Innovate/Protect stockholders’ 16,809,838 warrants, at an exercise price of $1.76. 8,707,116 of these warrants bear down-round protection clauses; as a result, they will be classified as a long term derivative liability and recorded at fair value. Fair value, in the total amount of $20.2 million, was calculated using the Black-Scholes-Merton and the Monte-Carlo models, using the following assumptions: 73.13% expected volatility, a risk-free interest rate of 1.05%, estimated life of 5 years and no dividend yield. The fair value of our common stock, used for this valuation, was $3.25. We estimate there is a 30% probability that the down-round protection will be activated in September 2012.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5" w:lineRule="exact"/>
        <w:rPr>
          <w:rFonts w:ascii="Arial" w:cs="Arial" w:eastAsia="Arial" w:hAnsi="Arial"/>
          <w:sz w:val="16"/>
          <w:szCs w:val="16"/>
          <w:color w:val="auto"/>
        </w:rPr>
      </w:pPr>
    </w:p>
    <w:p>
      <w:pPr>
        <w:jc w:val="both"/>
        <w:ind w:left="300" w:right="619" w:hanging="275"/>
        <w:spacing w:after="0" w:line="253" w:lineRule="auto"/>
        <w:tabs>
          <w:tab w:leader="none" w:pos="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5" w:lineRule="exact"/>
        <w:rPr>
          <w:sz w:val="20"/>
          <w:szCs w:val="20"/>
          <w:color w:val="auto"/>
        </w:rPr>
      </w:pPr>
    </w:p>
    <w:p>
      <w:pPr>
        <w:jc w:val="both"/>
        <w:ind w:left="340" w:right="639"/>
        <w:spacing w:after="0" w:line="253" w:lineRule="auto"/>
        <w:rPr>
          <w:sz w:val="20"/>
          <w:szCs w:val="20"/>
          <w:color w:val="auto"/>
        </w:rPr>
      </w:pPr>
      <w:r>
        <w:rPr>
          <w:rFonts w:ascii="Arial" w:cs="Arial" w:eastAsia="Arial" w:hAnsi="Arial"/>
          <w:sz w:val="18"/>
          <w:szCs w:val="18"/>
          <w:color w:val="auto"/>
        </w:rPr>
        <w:t>The 6,818 Series A Convertible Preferred Stock shares, $0.0001 par value, originally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shareholders’ of Innovate/Protect, as part of this Merger, were classified as equity, as cash based</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86" w:name="page187"/>
    <w:bookmarkEnd w:id="18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40" w:right="619"/>
        <w:spacing w:after="0" w:line="255" w:lineRule="auto"/>
        <w:rPr>
          <w:sz w:val="20"/>
          <w:szCs w:val="20"/>
          <w:color w:val="auto"/>
        </w:rPr>
      </w:pPr>
      <w:r>
        <w:rPr>
          <w:rFonts w:ascii="Arial" w:cs="Arial" w:eastAsia="Arial" w:hAnsi="Arial"/>
          <w:sz w:val="18"/>
          <w:szCs w:val="18"/>
          <w:color w:val="auto"/>
        </w:rPr>
        <w:t>redemption event is only triggered by events fully controlled by the company. As a result, in these pro forma consolidated financial statements, Innovate/Protect’s mezzanine equity, in the total amount of $1,800 thousand, was cancelled, as, according to GAAP, these pro forma consolidated financial statements will only include the 6,818 Series A Convertible Preferred stock, presented at par value.</w:t>
      </w:r>
    </w:p>
    <w:p>
      <w:pPr>
        <w:spacing w:after="0" w:line="83" w:lineRule="exact"/>
        <w:rPr>
          <w:sz w:val="20"/>
          <w:szCs w:val="20"/>
          <w:color w:val="auto"/>
        </w:rPr>
      </w:pPr>
    </w:p>
    <w:p>
      <w:pPr>
        <w:jc w:val="both"/>
        <w:ind w:left="300" w:right="619" w:hanging="275"/>
        <w:spacing w:after="0" w:line="259" w:lineRule="auto"/>
        <w:tabs>
          <w:tab w:leader="none" w:pos="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46678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6678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5960" w:type="dxa"/>
            <w:vAlign w:val="bottom"/>
          </w:tcPr>
          <w:p>
            <w:pPr>
              <w:spacing w:after="0"/>
              <w:rPr>
                <w:sz w:val="13"/>
                <w:szCs w:val="13"/>
                <w:color w:val="auto"/>
              </w:rPr>
            </w:pPr>
          </w:p>
        </w:tc>
        <w:tc>
          <w:tcPr>
            <w:tcW w:w="146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1"/>
              </w:rPr>
              <w:t>Period from June 8,</w:t>
            </w:r>
          </w:p>
        </w:tc>
      </w:tr>
      <w:tr>
        <w:trPr>
          <w:trHeight w:val="147"/>
        </w:trPr>
        <w:tc>
          <w:tcPr>
            <w:tcW w:w="5960" w:type="dxa"/>
            <w:vAlign w:val="bottom"/>
          </w:tcPr>
          <w:p>
            <w:pPr>
              <w:spacing w:after="0"/>
              <w:rPr>
                <w:sz w:val="12"/>
                <w:szCs w:val="12"/>
                <w:color w:val="auto"/>
              </w:rPr>
            </w:pPr>
          </w:p>
        </w:tc>
        <w:tc>
          <w:tcPr>
            <w:tcW w:w="14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2011 through</w:t>
            </w:r>
          </w:p>
        </w:tc>
      </w:tr>
      <w:tr>
        <w:trPr>
          <w:trHeight w:val="170"/>
        </w:trPr>
        <w:tc>
          <w:tcPr>
            <w:tcW w:w="5960" w:type="dxa"/>
            <w:vAlign w:val="bottom"/>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r>
      <w:tr>
        <w:trPr>
          <w:trHeight w:val="207"/>
        </w:trPr>
        <w:tc>
          <w:tcPr>
            <w:tcW w:w="5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Vringo common stock outstanding prior to the Merger</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13,861,423</w:t>
            </w:r>
          </w:p>
        </w:tc>
      </w:tr>
      <w:tr>
        <w:trPr>
          <w:trHeight w:val="214"/>
        </w:trPr>
        <w:tc>
          <w:tcPr>
            <w:tcW w:w="5960" w:type="dxa"/>
            <w:vAlign w:val="bottom"/>
          </w:tcPr>
          <w:p>
            <w:pPr>
              <w:ind w:left="20"/>
              <w:spacing w:after="0"/>
              <w:rPr>
                <w:sz w:val="20"/>
                <w:szCs w:val="20"/>
                <w:color w:val="auto"/>
              </w:rPr>
            </w:pPr>
            <w:r>
              <w:rPr>
                <w:rFonts w:ascii="Arial" w:cs="Arial" w:eastAsia="Arial" w:hAnsi="Arial"/>
                <w:sz w:val="18"/>
                <w:szCs w:val="18"/>
                <w:color w:val="auto"/>
              </w:rPr>
              <w:t>Vringo common stock issued to former Innovate/Protect stockholders’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17,675,617</w:t>
            </w:r>
          </w:p>
        </w:tc>
      </w:tr>
      <w:tr>
        <w:trPr>
          <w:trHeight w:val="20"/>
        </w:trPr>
        <w:tc>
          <w:tcPr>
            <w:tcW w:w="59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5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outstanding, pursuant to the Merger</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31,537,040</w:t>
            </w:r>
          </w:p>
        </w:tc>
      </w:tr>
      <w:tr>
        <w:trPr>
          <w:trHeight w:val="20"/>
        </w:trPr>
        <w:tc>
          <w:tcPr>
            <w:tcW w:w="596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47015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73" w:lineRule="exact"/>
        <w:rPr>
          <w:sz w:val="20"/>
          <w:szCs w:val="20"/>
          <w:color w:val="auto"/>
        </w:rPr>
      </w:pPr>
    </w:p>
    <w:p>
      <w:pPr>
        <w:jc w:val="both"/>
        <w:ind w:left="300" w:right="619" w:hanging="275"/>
        <w:spacing w:after="0" w:line="268" w:lineRule="auto"/>
        <w:tabs>
          <w:tab w:leader="none" w:pos="3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$2,754 thousand, plus adjustments reflected in notes 4 and 9. Vringo’s historical deficit, in the total amount of $37,546 thousand, will be cancelled upon consolidation. Finally, an adjustment to additional paid-in capital, in the total amount of $6,860 thousand was recorded, in order to adjust the total consolidated equity, as per the abovementioned GAAP requirements.</w:t>
      </w:r>
    </w:p>
    <w:p>
      <w:pPr>
        <w:spacing w:after="0" w:line="75" w:lineRule="exact"/>
        <w:rPr>
          <w:rFonts w:ascii="Arial" w:cs="Arial" w:eastAsia="Arial" w:hAnsi="Arial"/>
          <w:sz w:val="17"/>
          <w:szCs w:val="17"/>
          <w:color w:val="auto"/>
        </w:rPr>
      </w:pPr>
    </w:p>
    <w:p>
      <w:pPr>
        <w:jc w:val="both"/>
        <w:ind w:left="300" w:right="619" w:hanging="275"/>
        <w:spacing w:after="0" w:line="270" w:lineRule="auto"/>
        <w:tabs>
          <w:tab w:leader="none" w:pos="3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adjustment of $1,685 thousand to the consolidated pro forma equity was recorded to reflect the impact of partial acceleration of vesting of outstanding options granted to employees, management and consultants of Vringo (according to the schedule of each optionee). This is a nonrecurring material event triggered directly by the Merger. As a result, the impact, as described it the table below, was not included in pro forma statements of operations. Based on the assumption that the Merger occurred on June 8, 2011, the accelerated vesting of options would have been recorded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46678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667885" cy="82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4701540" cy="135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01540" cy="135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General and administrative</w:t>
      </w:r>
    </w:p>
    <w:p>
      <w:pPr>
        <w:spacing w:after="0" w:line="7" w:lineRule="exact"/>
        <w:rPr>
          <w:sz w:val="20"/>
          <w:szCs w:val="20"/>
          <w:color w:val="auto"/>
        </w:rPr>
      </w:pPr>
    </w:p>
    <w:p>
      <w:pPr>
        <w:ind w:left="180" w:right="120" w:hanging="177"/>
        <w:spacing w:after="0" w:line="270" w:lineRule="auto"/>
        <w:rPr>
          <w:sz w:val="20"/>
          <w:szCs w:val="20"/>
          <w:color w:val="auto"/>
        </w:rPr>
      </w:pPr>
      <w:r>
        <w:rPr>
          <w:rFonts w:ascii="Arial" w:cs="Arial" w:eastAsia="Arial" w:hAnsi="Arial"/>
          <w:sz w:val="18"/>
          <w:szCs w:val="18"/>
          <w:color w:val="auto"/>
        </w:rPr>
        <w:t>Total share based compensation expense related to acceleration of vesting triggered by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4701540" cy="280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01540" cy="280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99"/>
        <w:spacing w:after="0"/>
        <w:rPr>
          <w:sz w:val="20"/>
          <w:szCs w:val="20"/>
          <w:color w:val="auto"/>
        </w:rPr>
      </w:pPr>
      <w:r>
        <w:rPr>
          <w:rFonts w:ascii="Arial" w:cs="Arial" w:eastAsia="Arial" w:hAnsi="Arial"/>
          <w:sz w:val="12"/>
          <w:szCs w:val="12"/>
          <w:b w:val="1"/>
          <w:bCs w:val="1"/>
          <w:color w:val="auto"/>
        </w:rPr>
        <w:t>Period from June 8,</w:t>
      </w:r>
    </w:p>
    <w:p>
      <w:pPr>
        <w:spacing w:after="0" w:line="11" w:lineRule="exact"/>
        <w:rPr>
          <w:sz w:val="20"/>
          <w:szCs w:val="20"/>
          <w:color w:val="auto"/>
        </w:rPr>
      </w:pPr>
    </w:p>
    <w:p>
      <w:pPr>
        <w:jc w:val="center"/>
        <w:ind w:right="2799"/>
        <w:spacing w:after="0"/>
        <w:rPr>
          <w:sz w:val="20"/>
          <w:szCs w:val="20"/>
          <w:color w:val="auto"/>
        </w:rPr>
      </w:pPr>
      <w:r>
        <w:rPr>
          <w:rFonts w:ascii="Arial" w:cs="Arial" w:eastAsia="Arial" w:hAnsi="Arial"/>
          <w:sz w:val="14"/>
          <w:szCs w:val="14"/>
          <w:b w:val="1"/>
          <w:bCs w:val="1"/>
          <w:color w:val="auto"/>
        </w:rPr>
        <w:t>2011 through</w:t>
      </w:r>
    </w:p>
    <w:p>
      <w:pPr>
        <w:jc w:val="center"/>
        <w:ind w:right="2799"/>
        <w:spacing w:after="0"/>
        <w:rPr>
          <w:sz w:val="20"/>
          <w:szCs w:val="20"/>
          <w:color w:val="auto"/>
        </w:rPr>
      </w:pPr>
      <w:r>
        <w:rPr>
          <w:rFonts w:ascii="Arial" w:cs="Arial" w:eastAsia="Arial" w:hAnsi="Arial"/>
          <w:sz w:val="13"/>
          <w:szCs w:val="13"/>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2540</wp:posOffset>
            </wp:positionV>
            <wp:extent cx="9163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1630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 in thousands)</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165</w:t>
      </w:r>
    </w:p>
    <w:p>
      <w:pPr>
        <w:spacing w:after="0" w:line="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539</w:t>
      </w:r>
    </w:p>
    <w:p>
      <w:pPr>
        <w:spacing w:after="0" w:line="7"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981</w:t>
      </w:r>
    </w:p>
    <w:p>
      <w:pPr>
        <w:spacing w:after="0" w:line="7"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1,685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-130175</wp:posOffset>
            </wp:positionV>
            <wp:extent cx="8064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458" w:lineRule="exact"/>
        <w:rPr>
          <w:sz w:val="20"/>
          <w:szCs w:val="20"/>
          <w:color w:val="auto"/>
        </w:rPr>
      </w:pPr>
    </w:p>
    <w:p>
      <w:pPr>
        <w:sectPr>
          <w:pgSz w:w="11900" w:h="16838" w:orient="portrait"/>
          <w:cols w:equalWidth="0" w:num="2">
            <w:col w:w="5380" w:space="720"/>
            <w:col w:w="3999"/>
          </w:cols>
          <w:pgMar w:left="360" w:top="785" w:right="1440" w:bottom="1440" w:gutter="0" w:footer="0" w:header="0"/>
          <w:type w:val="continuous"/>
        </w:sect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117475</wp:posOffset>
            </wp:positionV>
            <wp:extent cx="6051550" cy="590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type w:val="continuous"/>
        </w:sectPr>
      </w:pPr>
    </w:p>
    <w:bookmarkStart w:id="187" w:name="page188"/>
    <w:bookmarkEnd w:id="18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COMPARISON OF RIGHTS OF</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STOCKHOLDERS AND INNOVATE/PROTECT STOCKHOLDERS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Vringo and Innovate/Protect are both organized under the laws of the State of Delaware and, accordingly, the rights of holders of Vringo stock and Innovate/Protect stock are currently, and will continue to be, governed by the DGCL. Any differences, therefore, in the rights of holders of Vringo stock and Innovate/Protect stock arise primarily from differences in the companies’ respective certificates of incorporation and bylaws. Upon completion of the Merger, holders of Innovate/Protect capital stock and warrants will receive shares of Vringo common stock and preferred stock and warrants in exchange for their respective shares of Innovate/Protect stock and warrants. As a result, upon completion of the Merger, the rights of holders of Innovate/Protect capital stock and warrants who become holders of Vringo common stock and preferred stock and warrants in connection with the Merger will be governed by the DGCL, Vringo’s Certificate and Vringo’s Bylaws.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Differences Between the Rights of Vringo Stockholders and Innovate/Protect Stockholders</w:t>
      </w:r>
    </w:p>
    <w:p>
      <w:pPr>
        <w:spacing w:after="0" w:line="118" w:lineRule="exact"/>
        <w:rPr>
          <w:sz w:val="20"/>
          <w:szCs w:val="20"/>
          <w:color w:val="auto"/>
        </w:rPr>
      </w:pPr>
    </w:p>
    <w:p>
      <w:pPr>
        <w:jc w:val="both"/>
        <w:ind w:left="60" w:right="619" w:firstLine="267"/>
        <w:spacing w:after="0" w:line="282" w:lineRule="auto"/>
        <w:rPr>
          <w:sz w:val="20"/>
          <w:szCs w:val="20"/>
          <w:color w:val="auto"/>
        </w:rPr>
      </w:pPr>
      <w:r>
        <w:rPr>
          <w:rFonts w:ascii="Arial" w:cs="Arial" w:eastAsia="Arial" w:hAnsi="Arial"/>
          <w:sz w:val="16"/>
          <w:szCs w:val="16"/>
          <w:color w:val="auto"/>
        </w:rPr>
        <w:t xml:space="preserve">The following is a summary of the material differences between the current rights of Vringo stockholders and the current rights of Innovate/Protect stockholders. Although Vringo and Innovate/Protect believe that this summary covers the material differences between the two companies’ stockholder rights, this summary may not contain all of the information that is important to you. This summary is not intended to be a complete discussion of the respective rights of Vringo stockholders and Innovate/Protect stockholders, and it is qualified in its entirety by reference to the DGCL and the various documents of Vringo and Innovate/Protect referred to in this summary. In addition, the characterization of some of the differences in the rights of Vringo stockholders and Innovate/Protect stockholders as material is not intended to indicate that other differences do not exist or are not important. Vringo and Innovate/Protect urge you to carefully read this entire proxy statement/prospectus, the relevant provisions of the DGCL and the other documents referred to in this proxy statement/prospectus for a more complete understanding of the differences between the rights of a Vringo stockholder and the rights of an Innovate/Protect stockholder. Vringo has filed with the SEC its documents referenced in this comparison of stockholder rights and will send copies of these documents to you, without charge, upon your request. See the section entitled “Where You Can Find Additional Information” beginning on page </w:t>
      </w:r>
      <w:r>
        <w:rPr>
          <w:rFonts w:ascii="Arial" w:cs="Arial" w:eastAsia="Arial" w:hAnsi="Arial"/>
          <w:sz w:val="16"/>
          <w:szCs w:val="16"/>
          <w:u w:val="single" w:color="auto"/>
          <w:color w:val="0000EE"/>
        </w:rPr>
        <w:t>180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52279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Vringo</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Innovate/Protect</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3900" w:type="dxa"/>
            <w:vAlign w:val="bottom"/>
          </w:tcPr>
          <w:p>
            <w:pPr>
              <w:ind w:left="2940"/>
              <w:spacing w:after="0" w:line="193" w:lineRule="exact"/>
              <w:rPr>
                <w:sz w:val="20"/>
                <w:szCs w:val="20"/>
                <w:color w:val="auto"/>
              </w:rPr>
            </w:pPr>
            <w:r>
              <w:rPr>
                <w:rFonts w:ascii="Arial" w:cs="Arial" w:eastAsia="Arial" w:hAnsi="Arial"/>
                <w:sz w:val="18"/>
                <w:szCs w:val="18"/>
                <w:b w:val="1"/>
                <w:bCs w:val="1"/>
                <w:color w:val="auto"/>
                <w:w w:val="99"/>
              </w:rPr>
              <w:t>Authorized</w:t>
            </w:r>
          </w:p>
        </w:tc>
        <w:tc>
          <w:tcPr>
            <w:tcW w:w="4120" w:type="dxa"/>
            <w:vAlign w:val="bottom"/>
            <w:gridSpan w:val="3"/>
          </w:tcPr>
          <w:p>
            <w:pPr>
              <w:spacing w:after="0" w:line="193" w:lineRule="exact"/>
              <w:rPr>
                <w:sz w:val="20"/>
                <w:szCs w:val="20"/>
                <w:color w:val="auto"/>
              </w:rPr>
            </w:pPr>
            <w:r>
              <w:rPr>
                <w:rFonts w:ascii="Arial" w:cs="Arial" w:eastAsia="Arial" w:hAnsi="Arial"/>
                <w:sz w:val="18"/>
                <w:szCs w:val="18"/>
                <w:b w:val="1"/>
                <w:bCs w:val="1"/>
                <w:color w:val="auto"/>
              </w:rPr>
              <w:t>Capital Stock</w:t>
            </w:r>
          </w:p>
        </w:tc>
        <w:tc>
          <w:tcPr>
            <w:tcW w:w="0" w:type="dxa"/>
            <w:vAlign w:val="bottom"/>
          </w:tcPr>
          <w:p>
            <w:pPr>
              <w:spacing w:after="0"/>
              <w:rPr>
                <w:sz w:val="1"/>
                <w:szCs w:val="1"/>
                <w:color w:val="auto"/>
              </w:rPr>
            </w:pPr>
          </w:p>
        </w:tc>
      </w:tr>
      <w:tr>
        <w:trPr>
          <w:trHeight w:val="214"/>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900" w:type="dxa"/>
            <w:vAlign w:val="bottom"/>
          </w:tcPr>
          <w:p>
            <w:pPr>
              <w:ind w:left="140"/>
              <w:spacing w:after="0"/>
              <w:rPr>
                <w:sz w:val="20"/>
                <w:szCs w:val="20"/>
                <w:color w:val="auto"/>
              </w:rPr>
            </w:pPr>
            <w:r>
              <w:rPr>
                <w:rFonts w:ascii="Arial" w:cs="Arial" w:eastAsia="Arial" w:hAnsi="Arial"/>
                <w:sz w:val="18"/>
                <w:szCs w:val="18"/>
                <w:color w:val="auto"/>
                <w:w w:val="96"/>
              </w:rPr>
              <w:t>The Vringo Certificate authorizes Vringo to issue</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140"/>
              <w:spacing w:after="0"/>
              <w:rPr>
                <w:sz w:val="20"/>
                <w:szCs w:val="20"/>
                <w:color w:val="auto"/>
              </w:rPr>
            </w:pPr>
            <w:r>
              <w:rPr>
                <w:rFonts w:ascii="Arial" w:cs="Arial" w:eastAsia="Arial" w:hAnsi="Arial"/>
                <w:sz w:val="18"/>
                <w:szCs w:val="18"/>
                <w:color w:val="auto"/>
              </w:rPr>
              <w:t>The Innovate/Protect Certificate authorizes</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w w:val="95"/>
              </w:rPr>
              <w:t>33,000,000 shares of its capital stock divided into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88"/>
              </w:rPr>
              <w:t>Innovate/Protect to issue 110,000,000 shares of its</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w w:val="93"/>
              </w:rPr>
              <w:t>two classes: 28,000,000 shares of 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capital stock divided into two classes:</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w w:val="92"/>
              </w:rPr>
              <w:t>par value $0.01 per share and 5,000,000 shares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3"/>
              </w:rPr>
              <w:t>100,000,000 shares of common stock, par value</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w w:val="91"/>
              </w:rPr>
              <w:t>preferred stock, par value $0.01 per share. In order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9"/>
              </w:rPr>
              <w:t>$0.0001 per share, and 10,000,000 shares of</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to complete the Merger, Vringo is seeking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9"/>
              </w:rPr>
              <w:t>preferred stock, par value $0.0001 per share.</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stockholder approval pursuant to this proxy</w:t>
            </w:r>
          </w:p>
        </w:tc>
        <w:tc>
          <w:tcPr>
            <w:tcW w:w="16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rPr>
              <w:t>The Innovate/Protect Certificate also allows</w:t>
            </w: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3900" w:type="dxa"/>
            <w:vAlign w:val="bottom"/>
            <w:vMerge w:val="restart"/>
          </w:tcPr>
          <w:p>
            <w:pPr>
              <w:ind w:left="140"/>
              <w:spacing w:after="0"/>
              <w:rPr>
                <w:sz w:val="20"/>
                <w:szCs w:val="20"/>
                <w:color w:val="auto"/>
              </w:rPr>
            </w:pPr>
            <w:r>
              <w:rPr>
                <w:rFonts w:ascii="Arial" w:cs="Arial" w:eastAsia="Arial" w:hAnsi="Arial"/>
                <w:sz w:val="18"/>
                <w:szCs w:val="18"/>
                <w:color w:val="auto"/>
              </w:rPr>
              <w:t>statement/prospectus to amend the Vringo</w:t>
            </w:r>
          </w:p>
        </w:tc>
        <w:tc>
          <w:tcPr>
            <w:tcW w:w="1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20" w:type="dxa"/>
            <w:vAlign w:val="bottom"/>
          </w:tcPr>
          <w:p>
            <w:pPr>
              <w:spacing w:after="0"/>
              <w:rPr>
                <w:sz w:val="10"/>
                <w:szCs w:val="10"/>
                <w:color w:val="auto"/>
              </w:rPr>
            </w:pPr>
          </w:p>
        </w:tc>
        <w:tc>
          <w:tcPr>
            <w:tcW w:w="3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40" w:type="dxa"/>
            <w:vAlign w:val="bottom"/>
          </w:tcPr>
          <w:p>
            <w:pPr>
              <w:ind w:left="140"/>
              <w:spacing w:after="0" w:line="123" w:lineRule="exact"/>
              <w:rPr>
                <w:sz w:val="20"/>
                <w:szCs w:val="20"/>
                <w:color w:val="auto"/>
              </w:rPr>
            </w:pPr>
            <w:r>
              <w:rPr>
                <w:rFonts w:ascii="Arial" w:cs="Arial" w:eastAsia="Arial" w:hAnsi="Arial"/>
                <w:sz w:val="14"/>
                <w:szCs w:val="14"/>
                <w:color w:val="auto"/>
              </w:rPr>
              <w:t>Innovate/Protect to issue any class of its preferred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4000" w:type="dxa"/>
            <w:vAlign w:val="bottom"/>
          </w:tcPr>
          <w:p>
            <w:pPr>
              <w:spacing w:after="0" w:line="198" w:lineRule="exact"/>
              <w:rPr>
                <w:sz w:val="20"/>
                <w:szCs w:val="20"/>
                <w:color w:val="auto"/>
              </w:rPr>
            </w:pPr>
            <w:r>
              <w:rPr>
                <w:rFonts w:ascii="Arial" w:cs="Arial" w:eastAsia="Arial" w:hAnsi="Arial"/>
                <w:sz w:val="18"/>
                <w:szCs w:val="18"/>
                <w:color w:val="auto"/>
              </w:rPr>
              <w:t>Certificate to implement a reverse stock split of</w:t>
            </w:r>
          </w:p>
        </w:tc>
        <w:tc>
          <w:tcPr>
            <w:tcW w:w="1640" w:type="dxa"/>
            <w:vAlign w:val="bottom"/>
            <w:vMerge w:val="restart"/>
          </w:tcPr>
          <w:p>
            <w:pPr>
              <w:ind w:left="280"/>
              <w:spacing w:after="0"/>
              <w:rPr>
                <w:sz w:val="20"/>
                <w:szCs w:val="20"/>
                <w:color w:val="auto"/>
              </w:rPr>
            </w:pPr>
            <w:r>
              <w:rPr>
                <w:rFonts w:ascii="Arial" w:cs="Arial" w:eastAsia="Arial" w:hAnsi="Arial"/>
                <w:sz w:val="18"/>
                <w:szCs w:val="18"/>
                <w:color w:val="auto"/>
                <w:w w:val="87"/>
              </w:rPr>
              <w:t>stock in any series.</w:t>
            </w:r>
          </w:p>
        </w:tc>
        <w:tc>
          <w:tcPr>
            <w:tcW w:w="0" w:type="dxa"/>
            <w:vAlign w:val="bottom"/>
          </w:tcPr>
          <w:p>
            <w:pPr>
              <w:spacing w:after="0"/>
              <w:rPr>
                <w:sz w:val="1"/>
                <w:szCs w:val="1"/>
                <w:color w:val="auto"/>
              </w:rPr>
            </w:pPr>
          </w:p>
        </w:tc>
      </w:tr>
      <w:tr>
        <w:trPr>
          <w:trHeight w:val="120"/>
        </w:trPr>
        <w:tc>
          <w:tcPr>
            <w:tcW w:w="4000" w:type="dxa"/>
            <w:vAlign w:val="bottom"/>
            <w:vMerge w:val="restart"/>
          </w:tcPr>
          <w:p>
            <w:pPr>
              <w:spacing w:after="0"/>
              <w:rPr>
                <w:sz w:val="20"/>
                <w:szCs w:val="20"/>
                <w:color w:val="auto"/>
              </w:rPr>
            </w:pPr>
            <w:r>
              <w:rPr>
                <w:rFonts w:ascii="Arial" w:cs="Arial" w:eastAsia="Arial" w:hAnsi="Arial"/>
                <w:sz w:val="18"/>
                <w:szCs w:val="18"/>
                <w:color w:val="auto"/>
                <w:w w:val="96"/>
              </w:rPr>
              <w:t>Vringo’s outstanding common stock and to increase</w:t>
            </w: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0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w w:val="97"/>
              </w:rPr>
              <w:t>the number of authorized shares of Vringo common</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rPr>
              <w:t>stock from 28,000,000 to up to a maximum of</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00" w:type="dxa"/>
            <w:vAlign w:val="bottom"/>
          </w:tcPr>
          <w:p>
            <w:pPr>
              <w:spacing w:after="0"/>
              <w:rPr>
                <w:sz w:val="20"/>
                <w:szCs w:val="20"/>
                <w:color w:val="auto"/>
              </w:rPr>
            </w:pPr>
            <w:r>
              <w:rPr>
                <w:rFonts w:ascii="Arial" w:cs="Arial" w:eastAsia="Arial" w:hAnsi="Arial"/>
                <w:sz w:val="18"/>
                <w:szCs w:val="18"/>
                <w:color w:val="auto"/>
              </w:rPr>
              <w:t>150,000,000 shares.</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080" w:right="5979" w:hanging="712"/>
        <w:spacing w:after="0" w:line="250"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shares of preferred stock are issued and outstanding. The preferred stock may be issued from time to time in one or more series.</w:t>
      </w:r>
    </w:p>
    <w:p>
      <w:pPr>
        <w:spacing w:after="0" w:line="200" w:lineRule="exact"/>
        <w:rPr>
          <w:sz w:val="20"/>
          <w:szCs w:val="20"/>
          <w:color w:val="auto"/>
        </w:rPr>
      </w:pPr>
    </w:p>
    <w:p>
      <w:pPr>
        <w:spacing w:after="0" w:line="32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820" w:type="dxa"/>
            <w:vAlign w:val="bottom"/>
            <w:tcBorders>
              <w:top w:val="single" w:sz="8" w:color="0000EE"/>
              <w:bottom w:val="single" w:sz="8" w:color="auto"/>
            </w:tcBorders>
          </w:tcPr>
          <w:p>
            <w:pPr>
              <w:spacing w:after="0"/>
              <w:rPr>
                <w:sz w:val="15"/>
                <w:szCs w:val="15"/>
                <w:color w:val="auto"/>
              </w:rPr>
            </w:pPr>
          </w:p>
        </w:tc>
        <w:tc>
          <w:tcPr>
            <w:tcW w:w="700" w:type="dxa"/>
            <w:vAlign w:val="bottom"/>
            <w:tcBorders>
              <w:top w:val="single" w:sz="8" w:color="0000EE"/>
              <w:bottom w:val="single" w:sz="8" w:color="auto"/>
            </w:tcBorders>
          </w:tcPr>
          <w:p>
            <w:pPr>
              <w:spacing w:after="0"/>
              <w:rPr>
                <w:sz w:val="15"/>
                <w:szCs w:val="15"/>
                <w:color w:val="auto"/>
              </w:rPr>
            </w:pPr>
          </w:p>
        </w:tc>
        <w:tc>
          <w:tcPr>
            <w:tcW w:w="24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Vringo</w:t>
            </w:r>
          </w:p>
        </w:tc>
        <w:tc>
          <w:tcPr>
            <w:tcW w:w="160" w:type="dxa"/>
            <w:vAlign w:val="bottom"/>
          </w:tcPr>
          <w:p>
            <w:pPr>
              <w:spacing w:after="0"/>
              <w:rPr>
                <w:sz w:val="15"/>
                <w:szCs w:val="15"/>
                <w:color w:val="auto"/>
              </w:rPr>
            </w:pPr>
          </w:p>
        </w:tc>
        <w:tc>
          <w:tcPr>
            <w:tcW w:w="41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Innovate/Protect</w:t>
            </w:r>
          </w:p>
        </w:tc>
        <w:tc>
          <w:tcPr>
            <w:tcW w:w="210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0" w:type="dxa"/>
            <w:vAlign w:val="bottom"/>
            <w:gridSpan w:val="4"/>
          </w:tcPr>
          <w:p>
            <w:pPr>
              <w:jc w:val="center"/>
              <w:ind w:right="3620"/>
              <w:spacing w:after="0" w:line="193" w:lineRule="exact"/>
              <w:rPr>
                <w:sz w:val="20"/>
                <w:szCs w:val="20"/>
                <w:color w:val="auto"/>
              </w:rPr>
            </w:pPr>
            <w:r>
              <w:rPr>
                <w:rFonts w:ascii="Arial" w:cs="Arial" w:eastAsia="Arial" w:hAnsi="Arial"/>
                <w:sz w:val="18"/>
                <w:szCs w:val="18"/>
                <w:b w:val="1"/>
                <w:bCs w:val="1"/>
                <w:color w:val="auto"/>
                <w:w w:val="90"/>
              </w:rPr>
              <w:t>Stockholder Action by Written Consent</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The Vringo Bylaws allow stockholders to act by</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The Innovate/Protect Bylaws allow Innovate/Protect</w:t>
            </w:r>
          </w:p>
        </w:tc>
      </w:tr>
      <w:tr>
        <w:trPr>
          <w:trHeight w:val="210"/>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written consent.</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stockholders to act by written consent.</w:t>
            </w: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88"/>
              </w:rPr>
              <w:t>Dividends</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The Vringo Certificate sets forth what dividends may</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The Innovate/Protect Certificate provides that</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0"/>
              </w:rPr>
              <w:t>be paid on common stock from legally available funds,</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Innovate/Protect’s board of directors shall have authority</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when and if determined by the Vringo board of</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to establish and designate series, and to fix the number of</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1"/>
              </w:rPr>
              <w:t>directors and subject to any preferential dividend right</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shares included in each such series and the variations in</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on any then outstanding preferred stock. The Vringo</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the relative rights, preferences and limitations as between</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Certificate also sets forth that the Vringo board of</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series, provided that, if the stated dividends and amounts</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directors may designate preferred stock and in</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payable on liquidation are not paid in full, the shares of</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connection with such designation fix dividend rights.</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all series of the same class shall share ratably in the</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payment of dividends including accumulations, if any, in</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accordance with the sums which would be payable on</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such shares if all dividends were declared and paid in</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full, and in any distribution of assets other than by way of</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dividends in accordance with the sums which would be</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payable on such distribution if all sums payable were</w:t>
            </w: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discharged in full.</w:t>
            </w: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89"/>
              </w:rPr>
              <w:t>Rights on Liquidation</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3"/>
              </w:rPr>
              <w:t>The Vringo Certificate provides that upon a voluntary</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The Innovate/Protect Certificate and bylaws do not</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or involuntary liquidation or dissolution, holders of</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provide guidelines for liquidation rights.</w:t>
            </w: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common stock are entitled to receive all assets of</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Vringo available for distribution subject to any</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4"/>
              </w:rPr>
              <w:t>preferential liquidation right on any then outstanding</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3"/>
              </w:rPr>
              <w:t>preferred stock. The Vringo Certificate also sets forth</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that the Vringo board of directors may designate</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preferred stock and in connection with such</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designation fix liquidation rights.</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90"/>
              </w:rPr>
              <w:t>Supermajority Vote Requirements</w:t>
            </w:r>
          </w:p>
        </w:tc>
      </w:tr>
      <w:tr>
        <w:trPr>
          <w:trHeight w:val="214"/>
        </w:trPr>
        <w:tc>
          <w:tcPr>
            <w:tcW w:w="2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93"/>
              </w:rPr>
              <w:t>The Vringo Certificate provides that no</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The Innovate/Protect Certificate and bylaws do not</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91"/>
              </w:rPr>
              <w:t>director (other than directors elected by</w:t>
            </w:r>
          </w:p>
        </w:tc>
        <w:tc>
          <w:tcPr>
            <w:tcW w:w="1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describe any supermajority vote requirements.</w:t>
            </w: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89"/>
              </w:rPr>
              <w:t>one or more series of Vringo’s preferred</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95"/>
              </w:rPr>
              <w:t>stock) may be removed from office by</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92"/>
              </w:rPr>
              <w:t>the stockholders except for cause and,</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90"/>
              </w:rPr>
              <w:t>in addition to any other vote required by</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rPr>
              <w:t>law, upon the affirmative vote of not</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rPr>
              <w:t>less than 66 2/3% of the total voting</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98"/>
              </w:rPr>
              <w:t>power of all outstanding securities of</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91"/>
              </w:rPr>
              <w:t>Vringo then entitled to vote generally in</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w w:val="90"/>
              </w:rPr>
              <w:t>the election of directors, voting together</w:t>
            </w:r>
          </w:p>
        </w:tc>
        <w:tc>
          <w:tcPr>
            <w:tcW w:w="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120" w:type="dxa"/>
            <w:vAlign w:val="bottom"/>
            <w:gridSpan w:val="2"/>
          </w:tcPr>
          <w:p>
            <w:pPr>
              <w:ind w:left="240"/>
              <w:spacing w:after="0"/>
              <w:rPr>
                <w:sz w:val="20"/>
                <w:szCs w:val="20"/>
                <w:color w:val="auto"/>
              </w:rPr>
            </w:pPr>
            <w:r>
              <w:rPr>
                <w:rFonts w:ascii="Arial" w:cs="Arial" w:eastAsia="Arial" w:hAnsi="Arial"/>
                <w:sz w:val="18"/>
                <w:szCs w:val="18"/>
                <w:color w:val="auto"/>
              </w:rPr>
              <w:t>as a single class.</w:t>
            </w:r>
          </w:p>
        </w:tc>
        <w:tc>
          <w:tcPr>
            <w:tcW w:w="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76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80" w:type="dxa"/>
            <w:vAlign w:val="bottom"/>
            <w:gridSpan w:val="2"/>
          </w:tcPr>
          <w:p>
            <w:pPr>
              <w:jc w:val="right"/>
              <w:ind w:right="3392"/>
              <w:spacing w:after="0"/>
              <w:rPr>
                <w:sz w:val="20"/>
                <w:szCs w:val="20"/>
                <w:color w:val="auto"/>
              </w:rPr>
            </w:pPr>
            <w:r>
              <w:rPr>
                <w:rFonts w:ascii="Arial" w:cs="Arial" w:eastAsia="Arial" w:hAnsi="Arial"/>
                <w:sz w:val="18"/>
                <w:szCs w:val="18"/>
                <w:color w:val="auto"/>
              </w:rPr>
              <w:t>175</w:t>
            </w:r>
          </w:p>
        </w:tc>
        <w:tc>
          <w:tcPr>
            <w:tcW w:w="21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4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120" w:type="dxa"/>
            <w:vAlign w:val="bottom"/>
            <w:tcBorders>
              <w:bottom w:val="single" w:sz="8" w:color="9A9A9A"/>
            </w:tcBorders>
          </w:tcPr>
          <w:p>
            <w:pPr>
              <w:spacing w:after="0"/>
              <w:rPr>
                <w:sz w:val="14"/>
                <w:szCs w:val="14"/>
                <w:color w:val="auto"/>
              </w:rPr>
            </w:pPr>
          </w:p>
        </w:tc>
        <w:tc>
          <w:tcPr>
            <w:tcW w:w="21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12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-6534150</wp:posOffset>
            </wp:positionV>
            <wp:extent cx="51263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ectPr>
          <w:pgSz w:w="11900" w:h="16838" w:orient="portrait"/>
          <w:cols w:equalWidth="0" w:num="1">
            <w:col w:w="10340"/>
          </w:cols>
          <w:pgMar w:left="360" w:top="781" w:right="119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51263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4" w:lineRule="exact"/>
        <w:rPr>
          <w:sz w:val="20"/>
          <w:szCs w:val="20"/>
          <w:color w:val="auto"/>
        </w:rPr>
      </w:pPr>
    </w:p>
    <w:p>
      <w:pPr>
        <w:ind w:left="1760"/>
        <w:spacing w:after="0"/>
        <w:tabs>
          <w:tab w:leader="none" w:pos="5640" w:val="left"/>
        </w:tabs>
        <w:rPr>
          <w:sz w:val="20"/>
          <w:szCs w:val="20"/>
          <w:color w:val="auto"/>
        </w:rPr>
      </w:pPr>
      <w:r>
        <w:rPr>
          <w:rFonts w:ascii="Arial" w:cs="Arial" w:eastAsia="Arial" w:hAnsi="Arial"/>
          <w:sz w:val="14"/>
          <w:szCs w:val="14"/>
          <w:b w:val="1"/>
          <w:bCs w:val="1"/>
          <w:color w:val="auto"/>
        </w:rPr>
        <w:t>Vringo</w:t>
      </w:r>
      <w:r>
        <w:rPr>
          <w:sz w:val="20"/>
          <w:szCs w:val="20"/>
          <w:color w:val="auto"/>
        </w:rPr>
        <w:tab/>
      </w:r>
      <w:r>
        <w:rPr>
          <w:rFonts w:ascii="Arial" w:cs="Arial" w:eastAsia="Arial" w:hAnsi="Arial"/>
          <w:sz w:val="14"/>
          <w:szCs w:val="14"/>
          <w:b w:val="1"/>
          <w:bCs w:val="1"/>
          <w:color w:val="auto"/>
        </w:rPr>
        <w:t>Innovate/Protect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52279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p>
      <w:pPr>
        <w:ind w:left="1060" w:right="6159" w:hanging="712"/>
        <w:spacing w:after="0" w:line="279" w:lineRule="auto"/>
        <w:tabs>
          <w:tab w:leader="none" w:pos="10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Vringo Certificate also provides that though Vringo’s board of directors is expressly authorized to make, adopt, amend, alter, rescind or repeal Vringo’s Bylaws, Vringo’s stockholders may adopt, amend, alter, rescind or repeal Vringo’s Bylaws with, in addition to any other vote required by law, the affirmative vote of the holders of not less than 66 2/3% of the total voting power of all outstanding securities of Vringo then entitled to vote generally in the election of directors, voting together as a single class.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080" w:type="dxa"/>
            <w:vAlign w:val="bottom"/>
            <w:gridSpan w:val="2"/>
          </w:tcPr>
          <w:p>
            <w:pPr>
              <w:ind w:left="2660"/>
              <w:spacing w:after="0"/>
              <w:rPr>
                <w:sz w:val="20"/>
                <w:szCs w:val="20"/>
                <w:color w:val="auto"/>
              </w:rPr>
            </w:pPr>
            <w:r>
              <w:rPr>
                <w:rFonts w:ascii="Arial" w:cs="Arial" w:eastAsia="Arial" w:hAnsi="Arial"/>
                <w:sz w:val="18"/>
                <w:szCs w:val="18"/>
                <w:b w:val="1"/>
                <w:bCs w:val="1"/>
                <w:color w:val="auto"/>
                <w:w w:val="87"/>
              </w:rPr>
              <w:t>Conversion Rights</w:t>
            </w:r>
          </w:p>
        </w:tc>
        <w:tc>
          <w:tcPr>
            <w:tcW w:w="3400" w:type="dxa"/>
            <w:vAlign w:val="bottom"/>
          </w:tcPr>
          <w:p>
            <w:pPr>
              <w:spacing w:after="0"/>
              <w:rPr>
                <w:sz w:val="17"/>
                <w:szCs w:val="17"/>
                <w:color w:val="auto"/>
              </w:rPr>
            </w:pPr>
          </w:p>
        </w:tc>
      </w:tr>
      <w:tr>
        <w:trPr>
          <w:trHeight w:val="214"/>
        </w:trPr>
        <w:tc>
          <w:tcPr>
            <w:tcW w:w="4020" w:type="dxa"/>
            <w:vAlign w:val="bottom"/>
            <w:gridSpan w:val="2"/>
          </w:tcPr>
          <w:p>
            <w:pPr>
              <w:spacing w:after="0"/>
              <w:rPr>
                <w:sz w:val="20"/>
                <w:szCs w:val="20"/>
                <w:color w:val="auto"/>
              </w:rPr>
            </w:pPr>
            <w:r>
              <w:rPr>
                <w:rFonts w:ascii="Arial" w:cs="Arial" w:eastAsia="Arial" w:hAnsi="Arial"/>
                <w:sz w:val="18"/>
                <w:szCs w:val="18"/>
                <w:color w:val="auto"/>
                <w:w w:val="93"/>
              </w:rPr>
              <w:t>The Vringo Certificate sets forth that the Vringo board</w:t>
            </w:r>
          </w:p>
        </w:tc>
        <w:tc>
          <w:tcPr>
            <w:tcW w:w="4200" w:type="dxa"/>
            <w:vAlign w:val="bottom"/>
            <w:gridSpan w:val="2"/>
          </w:tcPr>
          <w:p>
            <w:pPr>
              <w:ind w:left="80"/>
              <w:spacing w:after="0"/>
              <w:rPr>
                <w:sz w:val="20"/>
                <w:szCs w:val="20"/>
                <w:color w:val="auto"/>
              </w:rPr>
            </w:pPr>
            <w:r>
              <w:rPr>
                <w:rFonts w:ascii="Arial" w:cs="Arial" w:eastAsia="Arial" w:hAnsi="Arial"/>
                <w:sz w:val="18"/>
                <w:szCs w:val="18"/>
                <w:color w:val="auto"/>
              </w:rPr>
              <w:t>The Innovate/Protect Certificate sets forth that the</w:t>
            </w:r>
          </w:p>
        </w:tc>
      </w:tr>
      <w:tr>
        <w:trPr>
          <w:trHeight w:val="214"/>
        </w:trPr>
        <w:tc>
          <w:tcPr>
            <w:tcW w:w="4020" w:type="dxa"/>
            <w:vAlign w:val="bottom"/>
            <w:gridSpan w:val="2"/>
          </w:tcPr>
          <w:p>
            <w:pPr>
              <w:spacing w:after="0"/>
              <w:rPr>
                <w:sz w:val="20"/>
                <w:szCs w:val="20"/>
                <w:color w:val="auto"/>
              </w:rPr>
            </w:pPr>
            <w:r>
              <w:rPr>
                <w:rFonts w:ascii="Arial" w:cs="Arial" w:eastAsia="Arial" w:hAnsi="Arial"/>
                <w:sz w:val="18"/>
                <w:szCs w:val="18"/>
                <w:color w:val="auto"/>
              </w:rPr>
              <w:t>of directors may designate preferred stock and in</w:t>
            </w:r>
          </w:p>
        </w:tc>
        <w:tc>
          <w:tcPr>
            <w:tcW w:w="4200" w:type="dxa"/>
            <w:vAlign w:val="bottom"/>
            <w:gridSpan w:val="2"/>
          </w:tcPr>
          <w:p>
            <w:pPr>
              <w:ind w:left="80"/>
              <w:spacing w:after="0"/>
              <w:rPr>
                <w:sz w:val="20"/>
                <w:szCs w:val="20"/>
                <w:color w:val="auto"/>
              </w:rPr>
            </w:pPr>
            <w:r>
              <w:rPr>
                <w:rFonts w:ascii="Arial" w:cs="Arial" w:eastAsia="Arial" w:hAnsi="Arial"/>
                <w:sz w:val="18"/>
                <w:szCs w:val="18"/>
                <w:color w:val="auto"/>
              </w:rPr>
              <w:t>Innovate/Protect board of directors may designate</w:t>
            </w:r>
          </w:p>
        </w:tc>
      </w:tr>
      <w:tr>
        <w:trPr>
          <w:trHeight w:val="214"/>
        </w:trPr>
        <w:tc>
          <w:tcPr>
            <w:tcW w:w="8220" w:type="dxa"/>
            <w:vAlign w:val="bottom"/>
            <w:gridSpan w:val="4"/>
          </w:tcPr>
          <w:p>
            <w:pPr>
              <w:spacing w:after="0"/>
              <w:rPr>
                <w:sz w:val="20"/>
                <w:szCs w:val="20"/>
                <w:color w:val="auto"/>
              </w:rPr>
            </w:pPr>
            <w:r>
              <w:rPr>
                <w:rFonts w:ascii="Arial" w:cs="Arial" w:eastAsia="Arial" w:hAnsi="Arial"/>
                <w:sz w:val="18"/>
                <w:szCs w:val="18"/>
                <w:color w:val="auto"/>
                <w:w w:val="96"/>
              </w:rPr>
              <w:t>connection with such designation fix conversion rights.  preferred stock and fix the variations in the relative</w:t>
            </w:r>
          </w:p>
        </w:tc>
      </w:tr>
      <w:tr>
        <w:trPr>
          <w:trHeight w:val="210"/>
        </w:trPr>
        <w:tc>
          <w:tcPr>
            <w:tcW w:w="7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8"/>
                <w:szCs w:val="18"/>
                <w:color w:val="auto"/>
                <w:w w:val="96"/>
              </w:rPr>
              <w:t>rights, preferences and limitations as between series.</w:t>
            </w:r>
          </w:p>
        </w:tc>
      </w:tr>
      <w:tr>
        <w:trPr>
          <w:trHeight w:val="218"/>
        </w:trPr>
        <w:tc>
          <w:tcPr>
            <w:tcW w:w="740" w:type="dxa"/>
            <w:vAlign w:val="bottom"/>
          </w:tcPr>
          <w:p>
            <w:pPr>
              <w:spacing w:after="0"/>
              <w:rPr>
                <w:sz w:val="18"/>
                <w:szCs w:val="18"/>
                <w:color w:val="auto"/>
              </w:rPr>
            </w:pPr>
          </w:p>
        </w:tc>
        <w:tc>
          <w:tcPr>
            <w:tcW w:w="7480" w:type="dxa"/>
            <w:vAlign w:val="bottom"/>
            <w:gridSpan w:val="3"/>
          </w:tcPr>
          <w:p>
            <w:pPr>
              <w:ind w:left="2040"/>
              <w:spacing w:after="0"/>
              <w:rPr>
                <w:sz w:val="20"/>
                <w:szCs w:val="20"/>
                <w:color w:val="auto"/>
              </w:rPr>
            </w:pPr>
            <w:r>
              <w:rPr>
                <w:rFonts w:ascii="Arial" w:cs="Arial" w:eastAsia="Arial" w:hAnsi="Arial"/>
                <w:sz w:val="18"/>
                <w:szCs w:val="18"/>
                <w:b w:val="1"/>
                <w:bCs w:val="1"/>
                <w:color w:val="auto"/>
              </w:rPr>
              <w:t>Number of Directors and Elections</w:t>
            </w:r>
          </w:p>
        </w:tc>
      </w:tr>
      <w:tr>
        <w:trPr>
          <w:trHeight w:val="214"/>
        </w:trPr>
        <w:tc>
          <w:tcPr>
            <w:tcW w:w="740" w:type="dxa"/>
            <w:vAlign w:val="bottom"/>
          </w:tcPr>
          <w:p>
            <w:pPr>
              <w:ind w:left="340"/>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w w:val="94"/>
              </w:rPr>
              <w:t>The Vringo Certificate provides that the</w:t>
            </w: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0"/>
                <w:szCs w:val="20"/>
                <w:color w:val="auto"/>
              </w:rPr>
            </w:pPr>
            <w:r>
              <w:rPr>
                <w:rFonts w:ascii="Arial" w:cs="Arial" w:eastAsia="Arial" w:hAnsi="Arial"/>
                <w:sz w:val="18"/>
                <w:szCs w:val="18"/>
                <w:color w:val="auto"/>
                <w:w w:val="94"/>
              </w:rPr>
              <w:t>The Innovate/Protect bylaws provide that the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3"/>
              </w:rPr>
              <w:t>board of directors will consist of no less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number of directors constituting the entire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1"/>
              </w:rPr>
              <w:t>than one member with the exact number</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0"/>
              </w:rPr>
              <w:t>board of directors shall be the number, not less</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to be determined as provided in the</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1"/>
              </w:rPr>
              <w:t>than one nor more than fifteen, fixed from time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5"/>
              </w:rPr>
              <w:t>Vringo bylaws or as set forth from time</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 time by a majority of the total number of</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7"/>
              </w:rPr>
              <w:t>to time by a duly adopted amendment</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4"/>
              </w:rPr>
              <w:t>directors which Innovate/Protect would have,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2"/>
              </w:rPr>
              <w:t>thereto by Vringo’s board of directors or</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0"/>
              </w:rPr>
              <w:t>prior to any increase or decrease, if there were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stockholders. The Vringo Bylaws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 vacancies, provided, however, that no</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provide that the exact number of</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87"/>
              </w:rPr>
              <w:t>decrease shall shorten the term of an incumbent</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5"/>
              </w:rPr>
              <w:t>members of the board of directors is to</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director. The number of directors may be</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be determined by a resolution of the</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increased or decreased by the action of</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Vringo board of directors.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Innovate/Protect’s stockholders or of</w:t>
            </w:r>
          </w:p>
        </w:tc>
      </w:tr>
      <w:tr>
        <w:trPr>
          <w:trHeight w:val="214"/>
        </w:trPr>
        <w:tc>
          <w:tcPr>
            <w:tcW w:w="740" w:type="dxa"/>
            <w:vAlign w:val="bottom"/>
          </w:tcPr>
          <w:p>
            <w:pPr>
              <w:ind w:left="340"/>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w w:val="92"/>
              </w:rPr>
              <w:t>The Vringo Certificate provides that any</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Innovate/Protect’s directors.</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vacancy of the board of directors of</w:t>
            </w:r>
          </w:p>
        </w:tc>
        <w:tc>
          <w:tcPr>
            <w:tcW w:w="8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9"/>
              </w:rPr>
              <w:t>Vringo will be filled by a majority vote</w:t>
            </w:r>
          </w:p>
        </w:tc>
        <w:tc>
          <w:tcPr>
            <w:tcW w:w="8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of the directors then in office.</w:t>
            </w:r>
          </w:p>
        </w:tc>
        <w:tc>
          <w:tcPr>
            <w:tcW w:w="8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4"/>
        </w:trPr>
        <w:tc>
          <w:tcPr>
            <w:tcW w:w="740" w:type="dxa"/>
            <w:vAlign w:val="bottom"/>
          </w:tcPr>
          <w:p>
            <w:pPr>
              <w:ind w:left="340"/>
              <w:spacing w:after="0"/>
              <w:rPr>
                <w:sz w:val="20"/>
                <w:szCs w:val="20"/>
                <w:color w:val="auto"/>
              </w:rPr>
            </w:pPr>
            <w:r>
              <w:rPr>
                <w:rFonts w:ascii="Arial" w:cs="Arial" w:eastAsia="Arial" w:hAnsi="Arial"/>
                <w:sz w:val="18"/>
                <w:szCs w:val="18"/>
                <w:color w:val="auto"/>
              </w:rPr>
              <w:t>•</w:t>
            </w:r>
          </w:p>
        </w:tc>
        <w:tc>
          <w:tcPr>
            <w:tcW w:w="3280" w:type="dxa"/>
            <w:vAlign w:val="bottom"/>
          </w:tcPr>
          <w:p>
            <w:pPr>
              <w:ind w:left="320"/>
              <w:spacing w:after="0"/>
              <w:rPr>
                <w:sz w:val="20"/>
                <w:szCs w:val="20"/>
                <w:color w:val="auto"/>
              </w:rPr>
            </w:pPr>
            <w:r>
              <w:rPr>
                <w:rFonts w:ascii="Arial" w:cs="Arial" w:eastAsia="Arial" w:hAnsi="Arial"/>
                <w:sz w:val="18"/>
                <w:szCs w:val="18"/>
                <w:color w:val="auto"/>
              </w:rPr>
              <w:t>The Vringo bylaws provide that</w:t>
            </w: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0"/>
                <w:szCs w:val="20"/>
                <w:color w:val="auto"/>
              </w:rPr>
            </w:pPr>
            <w:r>
              <w:rPr>
                <w:rFonts w:ascii="Arial" w:cs="Arial" w:eastAsia="Arial" w:hAnsi="Arial"/>
                <w:sz w:val="18"/>
                <w:szCs w:val="18"/>
                <w:color w:val="auto"/>
              </w:rPr>
              <w:t>The Innovate/Protect Bylaws provide that</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6"/>
              </w:rPr>
              <w:t>directors shall be elected by a plurality</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4"/>
              </w:rPr>
              <w:t>directors are elected at an annual meeting of</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of the voting power of the shares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2"/>
              </w:rPr>
              <w:t>stockholders, and directors who are elected in</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present in person or represented by</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3"/>
              </w:rPr>
              <w:t>the interim to fill vacancies and newly created</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w w:val="91"/>
              </w:rPr>
              <w:t>proxy at the meeting and entitled to vote</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8"/>
              </w:rPr>
              <w:t>directorships, shall hold office until the next</w:t>
            </w:r>
          </w:p>
        </w:tc>
      </w:tr>
      <w:tr>
        <w:trPr>
          <w:trHeight w:val="214"/>
        </w:trPr>
        <w:tc>
          <w:tcPr>
            <w:tcW w:w="7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on the election of directors.</w:t>
            </w: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3"/>
              </w:rPr>
              <w:t>annual meeting of stockholders and until their</w:t>
            </w:r>
          </w:p>
        </w:tc>
      </w:tr>
      <w:tr>
        <w:trPr>
          <w:trHeight w:val="214"/>
        </w:trPr>
        <w:tc>
          <w:tcPr>
            <w:tcW w:w="7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1"/>
              </w:rPr>
              <w:t>successors have been elected and qualified or</w:t>
            </w:r>
          </w:p>
        </w:tc>
      </w:tr>
      <w:tr>
        <w:trPr>
          <w:trHeight w:val="227"/>
        </w:trPr>
        <w:tc>
          <w:tcPr>
            <w:tcW w:w="7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until their earlier resignation or removal.</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0000EE"/>
              </w:rPr>
              <w:t>TABLE OF CONTENTS</w:t>
            </w:r>
          </w:p>
        </w:tc>
        <w:tc>
          <w:tcPr>
            <w:tcW w:w="16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520" w:type="dxa"/>
            <w:vAlign w:val="bottom"/>
            <w:tcBorders>
              <w:top w:val="single" w:sz="8" w:color="0000EE"/>
              <w:bottom w:val="single" w:sz="8" w:color="auto"/>
            </w:tcBorders>
          </w:tcPr>
          <w:p>
            <w:pPr>
              <w:spacing w:after="0"/>
              <w:rPr>
                <w:sz w:val="15"/>
                <w:szCs w:val="15"/>
                <w:color w:val="auto"/>
              </w:rPr>
            </w:pPr>
          </w:p>
        </w:tc>
        <w:tc>
          <w:tcPr>
            <w:tcW w:w="2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Vringo</w:t>
            </w:r>
          </w:p>
        </w:tc>
        <w:tc>
          <w:tcPr>
            <w:tcW w:w="160" w:type="dxa"/>
            <w:vAlign w:val="bottom"/>
          </w:tcPr>
          <w:p>
            <w:pPr>
              <w:spacing w:after="0"/>
              <w:rPr>
                <w:sz w:val="15"/>
                <w:szCs w:val="15"/>
                <w:color w:val="auto"/>
              </w:rPr>
            </w:pPr>
          </w:p>
        </w:tc>
        <w:tc>
          <w:tcPr>
            <w:tcW w:w="39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Innovate/Protect</w:t>
            </w:r>
          </w:p>
        </w:tc>
      </w:tr>
      <w:tr>
        <w:trPr>
          <w:trHeight w:val="193"/>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80" w:type="dxa"/>
            <w:vAlign w:val="bottom"/>
          </w:tcPr>
          <w:p>
            <w:pPr>
              <w:ind w:left="2060"/>
              <w:spacing w:after="0" w:line="193" w:lineRule="exact"/>
              <w:rPr>
                <w:sz w:val="20"/>
                <w:szCs w:val="20"/>
                <w:color w:val="auto"/>
              </w:rPr>
            </w:pPr>
            <w:r>
              <w:rPr>
                <w:rFonts w:ascii="Arial" w:cs="Arial" w:eastAsia="Arial" w:hAnsi="Arial"/>
                <w:sz w:val="18"/>
                <w:szCs w:val="18"/>
                <w:b w:val="1"/>
                <w:bCs w:val="1"/>
                <w:color w:val="auto"/>
                <w:w w:val="89"/>
              </w:rPr>
              <w:t>Voting</w:t>
            </w:r>
          </w:p>
        </w:tc>
        <w:tc>
          <w:tcPr>
            <w:tcW w:w="4120" w:type="dxa"/>
            <w:vAlign w:val="bottom"/>
            <w:gridSpan w:val="2"/>
          </w:tcPr>
          <w:p>
            <w:pPr>
              <w:ind w:left="40"/>
              <w:spacing w:after="0" w:line="193" w:lineRule="exact"/>
              <w:rPr>
                <w:sz w:val="20"/>
                <w:szCs w:val="20"/>
                <w:color w:val="auto"/>
              </w:rPr>
            </w:pPr>
            <w:r>
              <w:rPr>
                <w:rFonts w:ascii="Arial" w:cs="Arial" w:eastAsia="Arial" w:hAnsi="Arial"/>
                <w:sz w:val="18"/>
                <w:szCs w:val="18"/>
                <w:b w:val="1"/>
                <w:bCs w:val="1"/>
                <w:color w:val="auto"/>
              </w:rPr>
              <w:t>Rights</w:t>
            </w:r>
          </w:p>
        </w:tc>
      </w:tr>
      <w:tr>
        <w:trPr>
          <w:trHeight w:val="214"/>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The Vringo Certificate provides that each holder of</w:t>
            </w: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The Innovate/Protect Certificate provides that the</w:t>
            </w:r>
          </w:p>
        </w:tc>
      </w:tr>
      <w:tr>
        <w:trPr>
          <w:trHeight w:val="214"/>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0"/>
              </w:rPr>
              <w:t>common stock is entitled to one vote for each share held</w:t>
            </w: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9"/>
              </w:rPr>
              <w:t>Vringo board of directors may designate preferred</w:t>
            </w:r>
          </w:p>
        </w:tc>
      </w:tr>
      <w:tr>
        <w:trPr>
          <w:trHeight w:val="214"/>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5"/>
              </w:rPr>
              <w:t>at all meetings of stockholders. The Vringo Certificate</w:t>
            </w: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stock and in connection with such designation fix</w:t>
            </w:r>
          </w:p>
        </w:tc>
      </w:tr>
      <w:tr>
        <w:trPr>
          <w:trHeight w:val="214"/>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7"/>
              </w:rPr>
              <w:t>also sets forth that the Vringo board of directors may</w:t>
            </w: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voting rights.</w:t>
            </w:r>
          </w:p>
        </w:tc>
      </w:tr>
      <w:tr>
        <w:trPr>
          <w:trHeight w:val="214"/>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5"/>
              </w:rPr>
              <w:t>designate preferred stock and in connection with such</w:t>
            </w:r>
          </w:p>
        </w:tc>
        <w:tc>
          <w:tcPr>
            <w:tcW w:w="16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designation fix voting rights.</w:t>
            </w:r>
          </w:p>
        </w:tc>
        <w:tc>
          <w:tcPr>
            <w:tcW w:w="160" w:type="dxa"/>
            <w:vAlign w:val="bottom"/>
          </w:tcPr>
          <w:p>
            <w:pPr>
              <w:spacing w:after="0"/>
              <w:rPr>
                <w:sz w:val="19"/>
                <w:szCs w:val="19"/>
                <w:color w:val="auto"/>
              </w:rPr>
            </w:pPr>
          </w:p>
        </w:tc>
        <w:tc>
          <w:tcPr>
            <w:tcW w:w="3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-1161415</wp:posOffset>
            </wp:positionV>
            <wp:extent cx="52279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p>
      <w:pPr>
        <w:spacing w:after="0" w:line="181"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18"/>
          <w:szCs w:val="18"/>
          <w:color w:val="auto"/>
        </w:rPr>
        <w:t>The Vringo bylaws do not provide guidelines for the</w:t>
      </w:r>
      <w:r>
        <w:rPr>
          <w:sz w:val="20"/>
          <w:szCs w:val="20"/>
          <w:color w:val="auto"/>
        </w:rPr>
        <w:tab/>
      </w:r>
      <w:r>
        <w:rPr>
          <w:rFonts w:ascii="Arial" w:cs="Arial" w:eastAsia="Arial" w:hAnsi="Arial"/>
          <w:sz w:val="16"/>
          <w:szCs w:val="16"/>
          <w:color w:val="auto"/>
        </w:rPr>
        <w:t>The Innovate/Protect bylaws provide that a stockholder</w:t>
      </w:r>
    </w:p>
    <w:p>
      <w:pPr>
        <w:spacing w:after="0" w:line="20"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18"/>
          <w:szCs w:val="18"/>
          <w:color w:val="auto"/>
        </w:rPr>
        <w:t>submission of stockholder nominations and proposals by</w:t>
      </w:r>
      <w:r>
        <w:rPr>
          <w:sz w:val="20"/>
          <w:szCs w:val="20"/>
          <w:color w:val="auto"/>
        </w:rPr>
        <w:tab/>
      </w:r>
      <w:r>
        <w:rPr>
          <w:rFonts w:ascii="Arial" w:cs="Arial" w:eastAsia="Arial" w:hAnsi="Arial"/>
          <w:sz w:val="16"/>
          <w:szCs w:val="16"/>
          <w:color w:val="auto"/>
        </w:rPr>
        <w:t>of Innovate/Protect may bring a matter before a</w:t>
      </w:r>
    </w:p>
    <w:p>
      <w:pPr>
        <w:spacing w:after="0" w:line="7"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18"/>
          <w:szCs w:val="18"/>
          <w:color w:val="auto"/>
        </w:rPr>
        <w:t>Vringo stockholders.</w:t>
      </w:r>
      <w:r>
        <w:rPr>
          <w:sz w:val="20"/>
          <w:szCs w:val="20"/>
          <w:color w:val="auto"/>
        </w:rPr>
        <w:tab/>
      </w:r>
      <w:r>
        <w:rPr>
          <w:rFonts w:ascii="Arial" w:cs="Arial" w:eastAsia="Arial" w:hAnsi="Arial"/>
          <w:sz w:val="16"/>
          <w:szCs w:val="16"/>
          <w:color w:val="auto"/>
        </w:rPr>
        <w:t>meeting of stockholders or for action by written</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consent without a meeting only if such stockholder</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matter is a proper matter for stockholder action and</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such stockholder shall have provided notice in writing</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to Innovate/Protect’s board of directors.</w:t>
      </w:r>
    </w:p>
    <w:p>
      <w:pPr>
        <w:spacing w:after="0" w:line="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Adjournment of a Stockholder Meeting</w:t>
      </w:r>
    </w:p>
    <w:p>
      <w:pPr>
        <w:spacing w:after="0" w:line="7"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18"/>
          <w:szCs w:val="18"/>
          <w:color w:val="auto"/>
        </w:rPr>
        <w:t>The Vringo Bylaws provide that any meeting of</w:t>
      </w:r>
      <w:r>
        <w:rPr>
          <w:sz w:val="20"/>
          <w:szCs w:val="20"/>
          <w:color w:val="auto"/>
        </w:rPr>
        <w:tab/>
      </w:r>
      <w:r>
        <w:rPr>
          <w:rFonts w:ascii="Arial" w:cs="Arial" w:eastAsia="Arial" w:hAnsi="Arial"/>
          <w:sz w:val="16"/>
          <w:szCs w:val="16"/>
          <w:color w:val="auto"/>
        </w:rPr>
        <w:t>The Innovate/Protect Bylaws provide a meeting of</w:t>
      </w:r>
    </w:p>
    <w:p>
      <w:pPr>
        <w:spacing w:after="0" w:line="7"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18"/>
          <w:szCs w:val="18"/>
          <w:color w:val="auto"/>
        </w:rPr>
        <w:t>stockholders, annual or special, may adjourn from time to</w:t>
      </w:r>
      <w:r>
        <w:rPr>
          <w:sz w:val="20"/>
          <w:szCs w:val="20"/>
          <w:color w:val="auto"/>
        </w:rPr>
        <w:tab/>
      </w:r>
      <w:r>
        <w:rPr>
          <w:rFonts w:ascii="Arial" w:cs="Arial" w:eastAsia="Arial" w:hAnsi="Arial"/>
          <w:sz w:val="16"/>
          <w:szCs w:val="16"/>
          <w:color w:val="auto"/>
        </w:rPr>
        <w:t>stockholders may be adjourned by a majority of</w:t>
      </w:r>
    </w:p>
    <w:p>
      <w:pPr>
        <w:spacing w:after="0" w:line="7"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18"/>
          <w:szCs w:val="18"/>
          <w:color w:val="auto"/>
        </w:rPr>
        <w:t>time to reconvene at the same or some other place, and</w:t>
      </w:r>
      <w:r>
        <w:rPr>
          <w:sz w:val="20"/>
          <w:szCs w:val="20"/>
          <w:color w:val="auto"/>
        </w:rPr>
        <w:tab/>
      </w:r>
      <w:r>
        <w:rPr>
          <w:rFonts w:ascii="Arial" w:cs="Arial" w:eastAsia="Arial" w:hAnsi="Arial"/>
          <w:sz w:val="16"/>
          <w:szCs w:val="16"/>
          <w:color w:val="auto"/>
        </w:rPr>
        <w:t>Innovate/Protect’s stockholders or directors to another</w:t>
      </w:r>
    </w:p>
    <w:p>
      <w:pPr>
        <w:spacing w:after="0" w:line="7"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18"/>
          <w:szCs w:val="18"/>
          <w:color w:val="auto"/>
        </w:rPr>
        <w:t>notice need not be given of the adjourned meeting if the</w:t>
      </w:r>
      <w:r>
        <w:rPr>
          <w:sz w:val="20"/>
          <w:szCs w:val="20"/>
          <w:color w:val="auto"/>
        </w:rPr>
        <w:tab/>
      </w:r>
      <w:r>
        <w:rPr>
          <w:rFonts w:ascii="Arial" w:cs="Arial" w:eastAsia="Arial" w:hAnsi="Arial"/>
          <w:sz w:val="14"/>
          <w:szCs w:val="14"/>
          <w:color w:val="auto"/>
        </w:rPr>
        <w:t>place, date or time.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time, place, if any, thereof, and the means of remote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communications, if any, by which stockholders and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proxy holders may be deemed to be present in person and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vote at such adjourned meeting are announced at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 at which the adjournment is taken. At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adjourned meeting, Vringo may transact any business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which might have been transacted at the original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 If the adjournment is for more than 30 days, or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after the adjournment a new record date is fixed for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adjourned meeting, a notice of the adjourned meeting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shall be given to each stockholder of record entitled to</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vote at the meeting.</w:t>
      </w:r>
    </w:p>
    <w:p>
      <w:pPr>
        <w:spacing w:after="0" w:line="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Removal of Directors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Arial" w:cs="Arial" w:eastAsia="Arial" w:hAnsi="Arial"/>
                <w:sz w:val="18"/>
                <w:szCs w:val="18"/>
                <w:color w:val="auto"/>
                <w:w w:val="97"/>
              </w:rPr>
              <w:t>The Vringo Certificate provides that no director (other</w:t>
            </w:r>
          </w:p>
        </w:tc>
        <w:tc>
          <w:tcPr>
            <w:tcW w:w="6160" w:type="dxa"/>
            <w:vAlign w:val="bottom"/>
          </w:tcPr>
          <w:p>
            <w:pPr>
              <w:ind w:left="100"/>
              <w:spacing w:after="0"/>
              <w:rPr>
                <w:sz w:val="20"/>
                <w:szCs w:val="20"/>
                <w:color w:val="auto"/>
              </w:rPr>
            </w:pPr>
            <w:r>
              <w:rPr>
                <w:rFonts w:ascii="Arial" w:cs="Arial" w:eastAsia="Arial" w:hAnsi="Arial"/>
                <w:sz w:val="18"/>
                <w:szCs w:val="18"/>
                <w:color w:val="auto"/>
              </w:rPr>
              <w:t>The Innovate/Protect bylaws provide that any or all of</w:t>
            </w: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3"/>
              </w:rPr>
              <w:t>than directors elected by one or more series of Vringo’s</w:t>
            </w:r>
          </w:p>
        </w:tc>
        <w:tc>
          <w:tcPr>
            <w:tcW w:w="6160" w:type="dxa"/>
            <w:vAlign w:val="bottom"/>
          </w:tcPr>
          <w:p>
            <w:pPr>
              <w:ind w:left="100"/>
              <w:spacing w:after="0"/>
              <w:rPr>
                <w:sz w:val="20"/>
                <w:szCs w:val="20"/>
                <w:color w:val="auto"/>
              </w:rPr>
            </w:pPr>
            <w:r>
              <w:rPr>
                <w:rFonts w:ascii="Arial" w:cs="Arial" w:eastAsia="Arial" w:hAnsi="Arial"/>
                <w:sz w:val="18"/>
                <w:szCs w:val="18"/>
                <w:color w:val="auto"/>
              </w:rPr>
              <w:t>the directors may be removed for cause or without</w:t>
            </w: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preferred stock) may be removed from office by the</w:t>
            </w:r>
          </w:p>
        </w:tc>
        <w:tc>
          <w:tcPr>
            <w:tcW w:w="6160" w:type="dxa"/>
            <w:vAlign w:val="bottom"/>
          </w:tcPr>
          <w:p>
            <w:pPr>
              <w:ind w:left="100"/>
              <w:spacing w:after="0"/>
              <w:rPr>
                <w:sz w:val="20"/>
                <w:szCs w:val="20"/>
                <w:color w:val="auto"/>
              </w:rPr>
            </w:pPr>
            <w:r>
              <w:rPr>
                <w:rFonts w:ascii="Arial" w:cs="Arial" w:eastAsia="Arial" w:hAnsi="Arial"/>
                <w:sz w:val="18"/>
                <w:szCs w:val="18"/>
                <w:color w:val="auto"/>
              </w:rPr>
              <w:t>cause by the stockholders.</w:t>
            </w: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8"/>
              </w:rPr>
              <w:t>stockholders except for cause and, in addition to any</w:t>
            </w:r>
          </w:p>
        </w:tc>
        <w:tc>
          <w:tcPr>
            <w:tcW w:w="6160" w:type="dxa"/>
            <w:vAlign w:val="bottom"/>
          </w:tcPr>
          <w:p>
            <w:pPr>
              <w:spacing w:after="0"/>
              <w:rPr>
                <w:sz w:val="18"/>
                <w:szCs w:val="18"/>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5"/>
              </w:rPr>
              <w:t>other vote required by law, upon the affirmative vote of</w:t>
            </w:r>
          </w:p>
        </w:tc>
        <w:tc>
          <w:tcPr>
            <w:tcW w:w="6160" w:type="dxa"/>
            <w:vAlign w:val="bottom"/>
          </w:tcPr>
          <w:p>
            <w:pPr>
              <w:spacing w:after="0"/>
              <w:rPr>
                <w:sz w:val="18"/>
                <w:szCs w:val="18"/>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not less than 66 2/3% of the total voting power of all</w:t>
            </w:r>
          </w:p>
        </w:tc>
        <w:tc>
          <w:tcPr>
            <w:tcW w:w="6160" w:type="dxa"/>
            <w:vAlign w:val="bottom"/>
          </w:tcPr>
          <w:p>
            <w:pPr>
              <w:spacing w:after="0"/>
              <w:rPr>
                <w:sz w:val="18"/>
                <w:szCs w:val="18"/>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outstanding securities of Vringo then entitled to vote</w:t>
            </w:r>
          </w:p>
        </w:tc>
        <w:tc>
          <w:tcPr>
            <w:tcW w:w="6160" w:type="dxa"/>
            <w:vAlign w:val="bottom"/>
          </w:tcPr>
          <w:p>
            <w:pPr>
              <w:spacing w:after="0"/>
              <w:rPr>
                <w:sz w:val="18"/>
                <w:szCs w:val="18"/>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1"/>
              </w:rPr>
              <w:t>generally in the election of directors, voting together as a</w:t>
            </w:r>
          </w:p>
        </w:tc>
        <w:tc>
          <w:tcPr>
            <w:tcW w:w="6160" w:type="dxa"/>
            <w:vAlign w:val="bottom"/>
          </w:tcPr>
          <w:p>
            <w:pPr>
              <w:spacing w:after="0"/>
              <w:rPr>
                <w:sz w:val="18"/>
                <w:szCs w:val="18"/>
                <w:color w:val="auto"/>
              </w:rPr>
            </w:pPr>
          </w:p>
        </w:tc>
      </w:tr>
      <w:tr>
        <w:trPr>
          <w:trHeight w:val="227"/>
        </w:trPr>
        <w:tc>
          <w:tcPr>
            <w:tcW w:w="4160" w:type="dxa"/>
            <w:vAlign w:val="bottom"/>
            <w:gridSpan w:val="2"/>
          </w:tcPr>
          <w:p>
            <w:pPr>
              <w:spacing w:after="0"/>
              <w:rPr>
                <w:sz w:val="20"/>
                <w:szCs w:val="20"/>
                <w:color w:val="auto"/>
              </w:rPr>
            </w:pPr>
            <w:r>
              <w:rPr>
                <w:rFonts w:ascii="Arial" w:cs="Arial" w:eastAsia="Arial" w:hAnsi="Arial"/>
                <w:sz w:val="18"/>
                <w:szCs w:val="18"/>
                <w:color w:val="auto"/>
              </w:rPr>
              <w:t>single class.</w:t>
            </w:r>
          </w:p>
        </w:tc>
        <w:tc>
          <w:tcPr>
            <w:tcW w:w="6160" w:type="dxa"/>
            <w:vAlign w:val="bottom"/>
          </w:tcPr>
          <w:p>
            <w:pPr>
              <w:spacing w:after="0"/>
              <w:rPr>
                <w:sz w:val="19"/>
                <w:szCs w:val="19"/>
                <w:color w:val="auto"/>
              </w:rPr>
            </w:pPr>
          </w:p>
        </w:tc>
      </w:tr>
      <w:tr>
        <w:trPr>
          <w:trHeight w:val="762"/>
        </w:trPr>
        <w:tc>
          <w:tcPr>
            <w:tcW w:w="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160" w:type="dxa"/>
            <w:vAlign w:val="bottom"/>
          </w:tcPr>
          <w:p>
            <w:pPr>
              <w:jc w:val="right"/>
              <w:ind w:right="5491"/>
              <w:spacing w:after="0"/>
              <w:rPr>
                <w:sz w:val="20"/>
                <w:szCs w:val="20"/>
                <w:color w:val="auto"/>
              </w:rPr>
            </w:pPr>
            <w:r>
              <w:rPr>
                <w:rFonts w:ascii="Arial" w:cs="Arial" w:eastAsia="Arial" w:hAnsi="Arial"/>
                <w:sz w:val="18"/>
                <w:szCs w:val="18"/>
                <w:color w:val="auto"/>
              </w:rPr>
              <w:t>177</w:t>
            </w:r>
          </w:p>
        </w:tc>
      </w:tr>
      <w:tr>
        <w:trPr>
          <w:trHeight w:val="162"/>
        </w:trPr>
        <w:tc>
          <w:tcPr>
            <w:tcW w:w="820" w:type="dxa"/>
            <w:vAlign w:val="bottom"/>
          </w:tcPr>
          <w:p>
            <w:pPr>
              <w:spacing w:after="0"/>
              <w:rPr>
                <w:sz w:val="14"/>
                <w:szCs w:val="14"/>
                <w:color w:val="auto"/>
              </w:rPr>
            </w:pPr>
          </w:p>
        </w:tc>
        <w:tc>
          <w:tcPr>
            <w:tcW w:w="3340" w:type="dxa"/>
            <w:vAlign w:val="bottom"/>
            <w:tcBorders>
              <w:bottom w:val="single" w:sz="8" w:color="9A9A9A"/>
            </w:tcBorders>
          </w:tcPr>
          <w:p>
            <w:pPr>
              <w:spacing w:after="0"/>
              <w:rPr>
                <w:sz w:val="14"/>
                <w:szCs w:val="14"/>
                <w:color w:val="auto"/>
              </w:rPr>
            </w:pPr>
          </w:p>
        </w:tc>
        <w:tc>
          <w:tcPr>
            <w:tcW w:w="6160" w:type="dxa"/>
            <w:vAlign w:val="bottom"/>
            <w:tcBorders>
              <w:bottom w:val="single" w:sz="8" w:color="9A9A9A"/>
            </w:tcBorders>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61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1" w:right="119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200" w:type="dxa"/>
            <w:vAlign w:val="bottom"/>
            <w:tcBorders>
              <w:top w:val="single" w:sz="8" w:color="0000EE"/>
              <w:bottom w:val="single" w:sz="8" w:color="auto"/>
            </w:tcBorders>
          </w:tcPr>
          <w:p>
            <w:pPr>
              <w:spacing w:after="0"/>
              <w:rPr>
                <w:sz w:val="15"/>
                <w:szCs w:val="15"/>
                <w:color w:val="auto"/>
              </w:rPr>
            </w:pPr>
          </w:p>
        </w:tc>
        <w:tc>
          <w:tcPr>
            <w:tcW w:w="1320" w:type="dxa"/>
            <w:vAlign w:val="bottom"/>
            <w:tcBorders>
              <w:top w:val="single" w:sz="8" w:color="0000EE"/>
              <w:bottom w:val="single" w:sz="8" w:color="auto"/>
            </w:tcBorders>
          </w:tcPr>
          <w:p>
            <w:pPr>
              <w:spacing w:after="0"/>
              <w:rPr>
                <w:sz w:val="15"/>
                <w:szCs w:val="15"/>
                <w:color w:val="auto"/>
              </w:rPr>
            </w:pPr>
          </w:p>
        </w:tc>
        <w:tc>
          <w:tcPr>
            <w:tcW w:w="2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Vringo</w:t>
            </w:r>
          </w:p>
        </w:tc>
        <w:tc>
          <w:tcPr>
            <w:tcW w:w="160" w:type="dxa"/>
            <w:vAlign w:val="bottom"/>
            <w:vMerge w:val="restart"/>
          </w:tcPr>
          <w:p>
            <w:pPr>
              <w:spacing w:after="0"/>
              <w:rPr>
                <w:sz w:val="20"/>
                <w:szCs w:val="20"/>
                <w:color w:val="auto"/>
              </w:rPr>
            </w:pPr>
            <w:r>
              <w:rPr>
                <w:rFonts w:ascii="Arial" w:cs="Arial" w:eastAsia="Arial" w:hAnsi="Arial"/>
                <w:sz w:val="16"/>
                <w:szCs w:val="16"/>
                <w:b w:val="1"/>
                <w:bCs w:val="1"/>
                <w:color w:val="auto"/>
                <w:w w:val="71"/>
              </w:rPr>
              <w:t>on</w:t>
            </w:r>
          </w:p>
        </w:tc>
        <w:tc>
          <w:tcPr>
            <w:tcW w:w="2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Innovate/Protect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80" w:type="dxa"/>
            <w:vAlign w:val="bottom"/>
          </w:tcPr>
          <w:p>
            <w:pPr>
              <w:ind w:left="1640"/>
              <w:spacing w:after="0" w:line="193" w:lineRule="exact"/>
              <w:rPr>
                <w:sz w:val="20"/>
                <w:szCs w:val="20"/>
                <w:color w:val="auto"/>
              </w:rPr>
            </w:pPr>
            <w:r>
              <w:rPr>
                <w:rFonts w:ascii="Arial" w:cs="Arial" w:eastAsia="Arial" w:hAnsi="Arial"/>
                <w:sz w:val="18"/>
                <w:szCs w:val="18"/>
                <w:b w:val="1"/>
                <w:bCs w:val="1"/>
                <w:color w:val="auto"/>
                <w:w w:val="88"/>
              </w:rPr>
              <w:t>Restrictions</w:t>
            </w:r>
          </w:p>
        </w:tc>
        <w:tc>
          <w:tcPr>
            <w:tcW w:w="160" w:type="dxa"/>
            <w:vAlign w:val="bottom"/>
            <w:vMerge w:val="continue"/>
          </w:tcPr>
          <w:p>
            <w:pPr>
              <w:spacing w:after="0"/>
              <w:rPr>
                <w:sz w:val="16"/>
                <w:szCs w:val="16"/>
                <w:color w:val="auto"/>
              </w:rPr>
            </w:pPr>
          </w:p>
        </w:tc>
        <w:tc>
          <w:tcPr>
            <w:tcW w:w="3960" w:type="dxa"/>
            <w:vAlign w:val="bottom"/>
            <w:gridSpan w:val="2"/>
          </w:tcPr>
          <w:p>
            <w:pPr>
              <w:ind w:left="80"/>
              <w:spacing w:after="0" w:line="193" w:lineRule="exact"/>
              <w:rPr>
                <w:sz w:val="20"/>
                <w:szCs w:val="20"/>
                <w:color w:val="auto"/>
              </w:rPr>
            </w:pPr>
            <w:r>
              <w:rPr>
                <w:rFonts w:ascii="Arial" w:cs="Arial" w:eastAsia="Arial" w:hAnsi="Arial"/>
                <w:sz w:val="18"/>
                <w:szCs w:val="18"/>
                <w:b w:val="1"/>
                <w:bCs w:val="1"/>
                <w:color w:val="auto"/>
              </w:rPr>
              <w:t>Transfers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7"/>
              </w:rPr>
              <w:t>The Vringo bylaws provide that Vringo shall have the</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 Innovate/Protect bylaws provide that upon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5"/>
              </w:rPr>
              <w:t>power to enter into and perform any lawful agreement</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5"/>
              </w:rPr>
              <w:t>compliance with provisions restricting the transfer 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8"/>
              </w:rPr>
              <w:t>with any number of stockholders of any one or more</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registration of transfer of shares of stock, if any,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89"/>
              </w:rPr>
              <w:t>classes of stock of Vringo to restrict the transfer of shares</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8"/>
              </w:rPr>
              <w:t>transfers or registration of transfer of shares of the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2"/>
              </w:rPr>
              <w:t>of stock of Vringo of any one or more classes owned by</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6"/>
              </w:rPr>
              <w:t>stock of Innovate/Protect shall be made only on the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such stockholders.</w:t>
            </w: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0"/>
              </w:rPr>
              <w:t>stock ledger of the corporation by the registered holder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thereof or an authorized representative.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700" w:type="dxa"/>
            <w:vAlign w:val="bottom"/>
            <w:gridSpan w:val="4"/>
          </w:tcPr>
          <w:p>
            <w:pPr>
              <w:ind w:left="1240"/>
              <w:spacing w:after="0"/>
              <w:rPr>
                <w:sz w:val="20"/>
                <w:szCs w:val="20"/>
                <w:color w:val="auto"/>
              </w:rPr>
            </w:pPr>
            <w:r>
              <w:rPr>
                <w:rFonts w:ascii="Arial" w:cs="Arial" w:eastAsia="Arial" w:hAnsi="Arial"/>
                <w:sz w:val="18"/>
                <w:szCs w:val="18"/>
                <w:b w:val="1"/>
                <w:bCs w:val="1"/>
                <w:color w:val="auto"/>
              </w:rPr>
              <w:t>Amendment of Charter and Bylaws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2"/>
              </w:rPr>
              <w:t>The Vringo Certificate provides that Vringo’s board</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140"/>
              <w:spacing w:after="0"/>
              <w:rPr>
                <w:sz w:val="20"/>
                <w:szCs w:val="20"/>
                <w:color w:val="auto"/>
              </w:rPr>
            </w:pPr>
            <w:r>
              <w:rPr>
                <w:rFonts w:ascii="Arial" w:cs="Arial" w:eastAsia="Arial" w:hAnsi="Arial"/>
                <w:sz w:val="18"/>
                <w:szCs w:val="18"/>
                <w:color w:val="auto"/>
              </w:rPr>
              <w:t>The Innovate/Protect bylaws provide that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2"/>
              </w:rPr>
              <w:t>of directors is expressly authorized to make, adopt,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Innovate/Protect’s bylaws may be amended,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8"/>
              </w:rPr>
              <w:t>amend, alter, rescind or repeal Vringo’s Bylaws.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0"/>
              </w:rPr>
              <w:t>added to, rescinded or repealed at any meeting of</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Notwithstanding the foregoing, Vringo’s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Innovate/Protect’s board of directors 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6"/>
              </w:rPr>
              <w:t>stockholders may adopt, amend, alter, rescind or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89"/>
              </w:rPr>
              <w:t>stockholders, provided that notice of the proposed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repeal Vringo’s Bylaws with, in addition to any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w w:val="96"/>
              </w:rPr>
              <w:t>change was given in the notice of the meeting.</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6"/>
              </w:rPr>
              <w:t>other vote required by law, the affirmative vote of</w:t>
            </w:r>
          </w:p>
        </w:tc>
        <w:tc>
          <w:tcPr>
            <w:tcW w:w="16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w w:val="91"/>
              </w:rPr>
              <w:t>The Innovate/Protect Certificate provides that the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0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the holders of not less than 66 2/3% of the total</w:t>
            </w:r>
          </w:p>
        </w:tc>
        <w:tc>
          <w:tcPr>
            <w:tcW w:w="1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w w:val="90"/>
              </w:rPr>
              <w:t>power to make, alter, or repeal the bylaws, and to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00" w:type="dxa"/>
            <w:vAlign w:val="bottom"/>
            <w:gridSpan w:val="2"/>
            <w:vMerge w:val="restart"/>
          </w:tcPr>
          <w:p>
            <w:pPr>
              <w:ind w:left="140"/>
              <w:spacing w:after="0"/>
              <w:rPr>
                <w:sz w:val="20"/>
                <w:szCs w:val="20"/>
                <w:color w:val="auto"/>
              </w:rPr>
            </w:pPr>
            <w:r>
              <w:rPr>
                <w:rFonts w:ascii="Arial" w:cs="Arial" w:eastAsia="Arial" w:hAnsi="Arial"/>
                <w:sz w:val="18"/>
                <w:szCs w:val="18"/>
                <w:color w:val="auto"/>
                <w:w w:val="93"/>
              </w:rPr>
              <w:t>voting power of all outstanding securities of Vringo</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rPr>
              <w:t>adopt any new bylaw, shall be vested in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00" w:type="dxa"/>
            <w:vAlign w:val="bottom"/>
            <w:gridSpan w:val="2"/>
            <w:vMerge w:val="restart"/>
          </w:tcPr>
          <w:p>
            <w:pPr>
              <w:ind w:left="140"/>
              <w:spacing w:after="0"/>
              <w:rPr>
                <w:sz w:val="20"/>
                <w:szCs w:val="20"/>
                <w:color w:val="auto"/>
              </w:rPr>
            </w:pPr>
            <w:r>
              <w:rPr>
                <w:rFonts w:ascii="Arial" w:cs="Arial" w:eastAsia="Arial" w:hAnsi="Arial"/>
                <w:sz w:val="18"/>
                <w:szCs w:val="18"/>
                <w:color w:val="auto"/>
              </w:rPr>
              <w:t>then entitled to vote generally in the election of</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vMerge w:val="restart"/>
          </w:tcPr>
          <w:p>
            <w:pPr>
              <w:ind w:left="140"/>
              <w:spacing w:after="0"/>
              <w:rPr>
                <w:sz w:val="20"/>
                <w:szCs w:val="20"/>
                <w:color w:val="auto"/>
              </w:rPr>
            </w:pPr>
            <w:r>
              <w:rPr>
                <w:rFonts w:ascii="Arial" w:cs="Arial" w:eastAsia="Arial" w:hAnsi="Arial"/>
                <w:sz w:val="18"/>
                <w:szCs w:val="18"/>
                <w:color w:val="auto"/>
              </w:rPr>
              <w:t>Innovate/Protect’s board of directors.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900" w:type="dxa"/>
            <w:vAlign w:val="bottom"/>
            <w:gridSpan w:val="2"/>
            <w:vMerge w:val="restart"/>
          </w:tcPr>
          <w:p>
            <w:pPr>
              <w:ind w:left="140"/>
              <w:spacing w:after="0"/>
              <w:rPr>
                <w:sz w:val="20"/>
                <w:szCs w:val="20"/>
                <w:color w:val="auto"/>
              </w:rPr>
            </w:pPr>
            <w:r>
              <w:rPr>
                <w:rFonts w:ascii="Arial" w:cs="Arial" w:eastAsia="Arial" w:hAnsi="Arial"/>
                <w:sz w:val="18"/>
                <w:szCs w:val="18"/>
                <w:color w:val="auto"/>
              </w:rPr>
              <w:t>directors, voting together as a single class.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The Vringo Certificate may be amended by the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96"/>
              </w:rPr>
              <w:t>affirmative vote of the holders of a majority of the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w w:val="89"/>
              </w:rPr>
              <w:t>shares of the issued and outstanding stock of Vringo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entitled to vote.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-3469640</wp:posOffset>
            </wp:positionV>
            <wp:extent cx="52279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2795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1" w:right="1440"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LEGAL MATTERS</w:t>
      </w:r>
    </w:p>
    <w:p>
      <w:pPr>
        <w:spacing w:after="0" w:line="11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 validity of the shares of common stock offered hereby will be passed upon for Vringo by Mintz, Levin, Cohn, Ferris, Glovsky and Popeo, P.C., New York, New York.</w:t>
      </w:r>
    </w:p>
    <w:p>
      <w:pPr>
        <w:spacing w:after="0" w:line="172"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EXPERTS</w:t>
      </w:r>
    </w:p>
    <w:p>
      <w:pPr>
        <w:spacing w:after="0" w:line="118"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included in this proxy statement/prospectus included herein in reliance upon the report of Somekh Chaikin, a member firm of KPMG International, an independent registered public accounting firm, appearing elsewhere herein, and are included in reliance upon the authority of such firm as experts in accounting and auditing.</w:t>
      </w:r>
    </w:p>
    <w:p>
      <w:pPr>
        <w:spacing w:after="0" w:line="57"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83"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consolidated financial statements of Innovate/Protect, Inc. (a development stage company) as of December 31, 2011 and for the period from June 8, 2011 (inception) to December 31, 2011, included in this proxy statement/prospectus and elsewhere in the registration statement have been so included herein in reliance upon the report of Grant Thornton LLP, an independent registered public accounting firm, upon the authority of such firm as experts in accounting and auditing.</w:t>
      </w: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FUTURE STOCKHOLDER PROPOSALS</w:t>
      </w:r>
    </w:p>
    <w:p>
      <w:pPr>
        <w:spacing w:after="0" w:line="118"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Stockholder proposals that are intended to be included in the proxy materials for Vringo next annual meeting of stockholders must comply with all of the requirements of Rule 14a-8 of the Exchange. Under this rule, stockholder proposals that are intended to be presented at Vringo next annual meeting of stockholders, but which are not submitted for inclusion in Vringo’s proxy statement for the applicable annual meeting of stockholders, must be received by Vringo on or before _________, 2012 so that they may be</w:t>
      </w:r>
    </w:p>
    <w:p>
      <w:pPr>
        <w:jc w:val="both"/>
        <w:ind w:left="40" w:right="639"/>
        <w:spacing w:after="0" w:line="251" w:lineRule="auto"/>
        <w:rPr>
          <w:sz w:val="20"/>
          <w:szCs w:val="20"/>
          <w:color w:val="auto"/>
        </w:rPr>
      </w:pPr>
      <w:r>
        <w:rPr>
          <w:rFonts w:ascii="Arial" w:cs="Arial" w:eastAsia="Arial" w:hAnsi="Arial"/>
          <w:sz w:val="18"/>
          <w:szCs w:val="18"/>
          <w:color w:val="auto"/>
        </w:rPr>
        <w:t>considered by Vringo for inclusion in its proxy statement relating to that meeting. Vringo stockholder proposals must be submitted in writing to the Secretary of Vringo (Attn: Corporate Secretary, Vringo, Inc., 44 W. 28th Street, Suite 1414, New York, New York 10001).</w:t>
      </w:r>
    </w:p>
    <w:p>
      <w:pPr>
        <w:spacing w:after="0" w:line="18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1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Vringo files annual, quarterly and current reports, proxy statements and other information with the SEC. You may read and copy any of this information at the SEC’s public reference room at 100 F Street, N.E., Washington, D.C. 20549. Please call the SEC at 1-800-SEC-0330 or 202-942-8090 for further information on the public reference room. Vringo’s SEC filings are also available to the public on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The reports and other information filed by Vringo with the SEC are also available at Vringo’s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contained on the SEC website and the Vringo’s website is specifically not incorporated by reference into this proxy statement/prospectus, and should not be considered to be a part of this proxy statement/prospectus.</w:t>
      </w:r>
    </w:p>
    <w:p>
      <w:pPr>
        <w:spacing w:after="0" w:line="89"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Vringo has filed with the SEC a Registration Statement on Form S-4 of which this proxy statement/prospectus forms a part. The registration statement registers the shares of Vringo common stock to be issued to Innovate/Protect stockholders in connection with the Merger. The registration statement, including the exhibits and annexes attached thereto, contains additional relevant information about the common stock of Vringo. The rules and regulations of the SEC allow Vringo and Innovate/Protect to omit certain information included in the registration statement from this proxy statement/prospectus.</w:t>
      </w:r>
    </w:p>
    <w:p>
      <w:pPr>
        <w:spacing w:after="0" w:line="68"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This document is a prospectus and a proxy statement Vringo for the Vringo annual meeting. You should rely only on the information contained in this proxy statement/prospectus to vote your shares at the Vringo annual meeting. Vringo has not authorized anyone to give any information or make any representation about the Merger or Vringo that is different from, or in addition to, the information or representations contained in this proxy statement/prospectus. Therefore, if anyone does give you information or representations of this sort, you should not rely on it or them. The information contained in this proxy statement/prospectus speaks only as of the date of this document unless the information specifically indicates that another date applies.</w:t>
      </w:r>
    </w:p>
    <w:p>
      <w:pPr>
        <w:spacing w:after="0" w:line="89" w:lineRule="exact"/>
        <w:rPr>
          <w:sz w:val="20"/>
          <w:szCs w:val="20"/>
          <w:color w:val="auto"/>
        </w:rPr>
      </w:pPr>
    </w:p>
    <w:p>
      <w:pPr>
        <w:jc w:val="center"/>
        <w:ind w:right="599"/>
        <w:spacing w:after="0"/>
        <w:rPr>
          <w:sz w:val="20"/>
          <w:szCs w:val="20"/>
          <w:color w:val="auto"/>
        </w:rPr>
      </w:pPr>
      <w:r>
        <w:rPr>
          <w:rFonts w:ascii="Arial" w:cs="Arial" w:eastAsia="Arial" w:hAnsi="Arial"/>
          <w:sz w:val="17"/>
          <w:szCs w:val="17"/>
          <w:color w:val="auto"/>
        </w:rPr>
        <w:t>You can obtain documents from Vringo by requesting them in writing or by telephone from Vringo at the following address:</w:t>
      </w:r>
    </w:p>
    <w:p>
      <w:pPr>
        <w:spacing w:after="0" w:line="12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44 W. 28th Street, Suite 1414</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Attn: Corporate Secretary</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(646) 525-4319</w:t>
      </w:r>
    </w:p>
    <w:p>
      <w:pPr>
        <w:spacing w:after="0" w:line="101"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If you are a Vringo stockholder, you may also obtain the documents referred to in this proxy statement/prospectus by requesting them in writing or by telephone from Clifford Weinstein, Chief Communications Officer, Vringo, Inc. at telephone number 646-532-6777 or via email address cliff@vringo.com.</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This proxy statement/prospectus, a form of proxy card and Vringo’s Annual Report to Stockholders for 2011 are available on the Internet at </w:t>
      </w:r>
      <w:r>
        <w:rPr>
          <w:rFonts w:ascii="Arial" w:cs="Arial" w:eastAsia="Arial" w:hAnsi="Arial"/>
          <w:sz w:val="18"/>
          <w:szCs w:val="18"/>
          <w:i w:val="1"/>
          <w:iCs w:val="1"/>
          <w:color w:val="auto"/>
        </w:rPr>
        <w:t>https://materials.proxyvote.com/92911N</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4" w:name="page195"/>
    <w:bookmarkEnd w:id="19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346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3"/>
              </w:rPr>
              <w:t>Page</w:t>
            </w:r>
          </w:p>
        </w:tc>
        <w:tc>
          <w:tcPr>
            <w:tcW w:w="2200" w:type="dxa"/>
            <w:vAlign w:val="bottom"/>
          </w:tcPr>
          <w:p>
            <w:pPr>
              <w:spacing w:after="0"/>
              <w:rPr>
                <w:sz w:val="15"/>
                <w:szCs w:val="15"/>
                <w:color w:val="auto"/>
              </w:rPr>
            </w:pPr>
          </w:p>
        </w:tc>
      </w:tr>
      <w:tr>
        <w:trPr>
          <w:trHeight w:val="167"/>
        </w:trPr>
        <w:tc>
          <w:tcPr>
            <w:tcW w:w="20" w:type="dxa"/>
            <w:vAlign w:val="bottom"/>
            <w:shd w:val="clear" w:color="auto" w:fill="CCFFCC"/>
          </w:tcPr>
          <w:p>
            <w:pPr>
              <w:spacing w:after="0"/>
              <w:rPr>
                <w:sz w:val="14"/>
                <w:szCs w:val="14"/>
                <w:color w:val="auto"/>
              </w:rPr>
            </w:pPr>
          </w:p>
        </w:tc>
        <w:tc>
          <w:tcPr>
            <w:tcW w:w="4320" w:type="dxa"/>
            <w:vAlign w:val="bottom"/>
            <w:gridSpan w:val="8"/>
            <w:shd w:val="clear" w:color="auto" w:fill="CCFFCC"/>
          </w:tcPr>
          <w:p>
            <w:pPr>
              <w:spacing w:after="0" w:line="167" w:lineRule="exact"/>
              <w:rPr>
                <w:sz w:val="20"/>
                <w:szCs w:val="20"/>
                <w:color w:val="auto"/>
              </w:rPr>
            </w:pPr>
            <w:r>
              <w:rPr>
                <w:rFonts w:ascii="Arial" w:cs="Arial" w:eastAsia="Arial" w:hAnsi="Arial"/>
                <w:sz w:val="18"/>
                <w:szCs w:val="18"/>
                <w:color w:val="0000EE"/>
                <w:w w:val="93"/>
              </w:rPr>
              <w:t>Report of Independent Registered Public Accounting Firm</w:t>
            </w:r>
          </w:p>
        </w:tc>
        <w:tc>
          <w:tcPr>
            <w:tcW w:w="28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40" w:type="dxa"/>
            <w:vAlign w:val="bottom"/>
            <w:gridSpan w:val="6"/>
            <w:shd w:val="clear" w:color="auto" w:fill="CCFFCC"/>
          </w:tcPr>
          <w:p>
            <w:pPr>
              <w:jc w:val="center"/>
              <w:ind w:right="160"/>
              <w:spacing w:after="0" w:line="167" w:lineRule="exact"/>
              <w:rPr>
                <w:sz w:val="20"/>
                <w:szCs w:val="20"/>
                <w:color w:val="auto"/>
              </w:rPr>
            </w:pPr>
            <w:r>
              <w:rPr>
                <w:rFonts w:ascii="Arial" w:cs="Arial" w:eastAsia="Arial" w:hAnsi="Arial"/>
                <w:sz w:val="18"/>
                <w:szCs w:val="18"/>
                <w:color w:val="0000EE"/>
                <w:w w:val="88"/>
              </w:rPr>
              <w:t>F-2</w:t>
            </w:r>
          </w:p>
        </w:tc>
        <w:tc>
          <w:tcPr>
            <w:tcW w:w="2200" w:type="dxa"/>
            <w:vAlign w:val="bottom"/>
          </w:tcPr>
          <w:p>
            <w:pPr>
              <w:spacing w:after="0"/>
              <w:rPr>
                <w:sz w:val="14"/>
                <w:szCs w:val="14"/>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12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gridSpan w:val="7"/>
          </w:tcPr>
          <w:p>
            <w:pPr>
              <w:spacing w:after="0" w:line="174" w:lineRule="exact"/>
              <w:rPr>
                <w:sz w:val="20"/>
                <w:szCs w:val="20"/>
                <w:color w:val="auto"/>
              </w:rPr>
            </w:pPr>
            <w:r>
              <w:rPr>
                <w:rFonts w:ascii="Arial" w:cs="Arial" w:eastAsia="Arial" w:hAnsi="Arial"/>
                <w:sz w:val="18"/>
                <w:szCs w:val="18"/>
                <w:color w:val="0000EE"/>
              </w:rPr>
              <w:t>Consolidated Balance Sheets</w:t>
            </w:r>
          </w:p>
        </w:tc>
        <w:tc>
          <w:tcPr>
            <w:tcW w:w="1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3"/>
          </w:tcPr>
          <w:p>
            <w:pPr>
              <w:jc w:val="right"/>
              <w:ind w:right="20"/>
              <w:spacing w:after="0" w:line="174" w:lineRule="exact"/>
              <w:rPr>
                <w:sz w:val="20"/>
                <w:szCs w:val="20"/>
                <w:color w:val="auto"/>
              </w:rPr>
            </w:pPr>
            <w:r>
              <w:rPr>
                <w:rFonts w:ascii="Arial" w:cs="Arial" w:eastAsia="Arial" w:hAnsi="Arial"/>
                <w:sz w:val="18"/>
                <w:szCs w:val="18"/>
                <w:color w:val="0000EE"/>
              </w:rPr>
              <w:t>F-3</w:t>
            </w:r>
          </w:p>
        </w:tc>
        <w:tc>
          <w:tcPr>
            <w:tcW w:w="560" w:type="dxa"/>
            <w:vAlign w:val="bottom"/>
            <w:gridSpan w:val="4"/>
          </w:tcPr>
          <w:p>
            <w:pPr>
              <w:ind w:left="20"/>
              <w:spacing w:after="0" w:line="174" w:lineRule="exact"/>
              <w:rPr>
                <w:sz w:val="20"/>
                <w:szCs w:val="20"/>
                <w:color w:val="auto"/>
              </w:rPr>
            </w:pPr>
            <w:r>
              <w:rPr>
                <w:rFonts w:ascii="Arial" w:cs="Arial" w:eastAsia="Arial" w:hAnsi="Arial"/>
                <w:sz w:val="18"/>
                <w:szCs w:val="18"/>
                <w:color w:val="0000EE"/>
              </w:rPr>
              <w:t>– F-4</w:t>
            </w: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2780" w:type="dxa"/>
            <w:vAlign w:val="bottom"/>
            <w:gridSpan w:val="3"/>
            <w:shd w:val="clear" w:color="auto" w:fill="CCFFCC"/>
          </w:tcPr>
          <w:p>
            <w:pPr>
              <w:spacing w:after="0" w:line="174" w:lineRule="exact"/>
              <w:rPr>
                <w:sz w:val="20"/>
                <w:szCs w:val="20"/>
                <w:color w:val="auto"/>
              </w:rPr>
            </w:pPr>
            <w:r>
              <w:rPr>
                <w:rFonts w:ascii="Arial" w:cs="Arial" w:eastAsia="Arial" w:hAnsi="Arial"/>
                <w:sz w:val="18"/>
                <w:szCs w:val="18"/>
                <w:color w:val="0000EE"/>
                <w:w w:val="87"/>
              </w:rPr>
              <w:t>Consolidated Statements of Operations</w:t>
            </w:r>
          </w:p>
        </w:tc>
        <w:tc>
          <w:tcPr>
            <w:tcW w:w="1540" w:type="dxa"/>
            <w:vAlign w:val="bottom"/>
            <w:gridSpan w:val="5"/>
            <w:shd w:val="clear" w:color="auto" w:fill="CCFFCC"/>
          </w:tcPr>
          <w:p>
            <w:pPr>
              <w:spacing w:after="0"/>
              <w:rPr>
                <w:sz w:val="15"/>
                <w:szCs w:val="15"/>
                <w:color w:val="auto"/>
              </w:rPr>
            </w:pPr>
          </w:p>
        </w:tc>
        <w:tc>
          <w:tcPr>
            <w:tcW w:w="28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40" w:type="dxa"/>
            <w:vAlign w:val="bottom"/>
            <w:gridSpan w:val="6"/>
            <w:shd w:val="clear" w:color="auto" w:fill="CCFFCC"/>
          </w:tcPr>
          <w:p>
            <w:pPr>
              <w:jc w:val="center"/>
              <w:ind w:right="160"/>
              <w:spacing w:after="0" w:line="174" w:lineRule="exact"/>
              <w:rPr>
                <w:sz w:val="20"/>
                <w:szCs w:val="20"/>
                <w:color w:val="auto"/>
              </w:rPr>
            </w:pPr>
            <w:r>
              <w:rPr>
                <w:rFonts w:ascii="Arial" w:cs="Arial" w:eastAsia="Arial" w:hAnsi="Arial"/>
                <w:sz w:val="18"/>
                <w:szCs w:val="18"/>
                <w:color w:val="0000EE"/>
                <w:w w:val="88"/>
              </w:rPr>
              <w:t>F-5</w:t>
            </w:r>
          </w:p>
        </w:tc>
        <w:tc>
          <w:tcPr>
            <w:tcW w:w="2200" w:type="dxa"/>
            <w:vAlign w:val="bottom"/>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12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gridSpan w:val="8"/>
          </w:tcPr>
          <w:p>
            <w:pPr>
              <w:spacing w:after="0" w:line="174" w:lineRule="exact"/>
              <w:rPr>
                <w:sz w:val="20"/>
                <w:szCs w:val="20"/>
                <w:color w:val="auto"/>
              </w:rPr>
            </w:pPr>
            <w:r>
              <w:rPr>
                <w:rFonts w:ascii="Arial" w:cs="Arial" w:eastAsia="Arial" w:hAnsi="Arial"/>
                <w:sz w:val="18"/>
                <w:szCs w:val="18"/>
                <w:color w:val="0000EE"/>
                <w:w w:val="97"/>
              </w:rPr>
              <w:t>Statements of Changes in Stockholders’ Equity (Deficit)</w:t>
            </w: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3"/>
          </w:tcPr>
          <w:p>
            <w:pPr>
              <w:jc w:val="right"/>
              <w:ind w:right="20"/>
              <w:spacing w:after="0" w:line="174" w:lineRule="exact"/>
              <w:rPr>
                <w:sz w:val="20"/>
                <w:szCs w:val="20"/>
                <w:color w:val="auto"/>
              </w:rPr>
            </w:pPr>
            <w:r>
              <w:rPr>
                <w:rFonts w:ascii="Arial" w:cs="Arial" w:eastAsia="Arial" w:hAnsi="Arial"/>
                <w:sz w:val="18"/>
                <w:szCs w:val="18"/>
                <w:color w:val="0000EE"/>
              </w:rPr>
              <w:t>F-6</w:t>
            </w:r>
          </w:p>
        </w:tc>
        <w:tc>
          <w:tcPr>
            <w:tcW w:w="560" w:type="dxa"/>
            <w:vAlign w:val="bottom"/>
            <w:gridSpan w:val="4"/>
          </w:tcPr>
          <w:p>
            <w:pPr>
              <w:ind w:left="20"/>
              <w:spacing w:after="0" w:line="174" w:lineRule="exact"/>
              <w:rPr>
                <w:sz w:val="20"/>
                <w:szCs w:val="20"/>
                <w:color w:val="auto"/>
              </w:rPr>
            </w:pPr>
            <w:r>
              <w:rPr>
                <w:rFonts w:ascii="Arial" w:cs="Arial" w:eastAsia="Arial" w:hAnsi="Arial"/>
                <w:sz w:val="18"/>
                <w:szCs w:val="18"/>
                <w:color w:val="0000EE"/>
              </w:rPr>
              <w:t>– F-7</w:t>
            </w: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4"/>
        </w:trPr>
        <w:tc>
          <w:tcPr>
            <w:tcW w:w="20" w:type="dxa"/>
            <w:vAlign w:val="bottom"/>
            <w:tcBorders>
              <w:bottom w:val="single" w:sz="8" w:color="CCFFCC"/>
            </w:tcBorders>
            <w:shd w:val="clear" w:color="auto" w:fill="CCFFCC"/>
          </w:tcPr>
          <w:p>
            <w:pPr>
              <w:spacing w:after="0"/>
              <w:rPr>
                <w:sz w:val="16"/>
                <w:szCs w:val="16"/>
                <w:color w:val="auto"/>
              </w:rPr>
            </w:pPr>
          </w:p>
        </w:tc>
        <w:tc>
          <w:tcPr>
            <w:tcW w:w="2840" w:type="dxa"/>
            <w:vAlign w:val="bottom"/>
            <w:tcBorders>
              <w:bottom w:val="single" w:sz="8" w:color="0000EE"/>
            </w:tcBorders>
            <w:gridSpan w:val="4"/>
            <w:shd w:val="clear" w:color="auto" w:fill="CCFFCC"/>
          </w:tcPr>
          <w:p>
            <w:pPr>
              <w:spacing w:after="0" w:line="174" w:lineRule="exact"/>
              <w:rPr>
                <w:sz w:val="20"/>
                <w:szCs w:val="20"/>
                <w:color w:val="auto"/>
              </w:rPr>
            </w:pPr>
            <w:r>
              <w:rPr>
                <w:rFonts w:ascii="Arial" w:cs="Arial" w:eastAsia="Arial" w:hAnsi="Arial"/>
                <w:sz w:val="18"/>
                <w:szCs w:val="18"/>
                <w:color w:val="0000EE"/>
                <w:w w:val="88"/>
              </w:rPr>
              <w:t>Consolidated Statements of Cash Flows</w:t>
            </w:r>
          </w:p>
        </w:tc>
        <w:tc>
          <w:tcPr>
            <w:tcW w:w="1480" w:type="dxa"/>
            <w:vAlign w:val="bottom"/>
            <w:tcBorders>
              <w:bottom w:val="single" w:sz="8" w:color="CCFFCC"/>
            </w:tcBorders>
            <w:gridSpan w:val="4"/>
            <w:shd w:val="clear" w:color="auto" w:fill="CCFFCC"/>
          </w:tcPr>
          <w:p>
            <w:pPr>
              <w:spacing w:after="0"/>
              <w:rPr>
                <w:sz w:val="16"/>
                <w:szCs w:val="16"/>
                <w:color w:val="auto"/>
              </w:rPr>
            </w:pPr>
          </w:p>
        </w:tc>
        <w:tc>
          <w:tcPr>
            <w:tcW w:w="280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280" w:type="dxa"/>
            <w:vAlign w:val="bottom"/>
            <w:tcBorders>
              <w:bottom w:val="single" w:sz="8" w:color="0000EE"/>
            </w:tcBorders>
            <w:gridSpan w:val="2"/>
            <w:shd w:val="clear" w:color="auto" w:fill="CCFFCC"/>
          </w:tcPr>
          <w:p>
            <w:pPr>
              <w:jc w:val="right"/>
              <w:ind w:right="20"/>
              <w:spacing w:after="0" w:line="174" w:lineRule="exact"/>
              <w:rPr>
                <w:sz w:val="20"/>
                <w:szCs w:val="20"/>
                <w:color w:val="auto"/>
              </w:rPr>
            </w:pPr>
            <w:r>
              <w:rPr>
                <w:rFonts w:ascii="Arial" w:cs="Arial" w:eastAsia="Arial" w:hAnsi="Arial"/>
                <w:sz w:val="18"/>
                <w:szCs w:val="18"/>
                <w:color w:val="0000EE"/>
                <w:w w:val="88"/>
              </w:rPr>
              <w:t>F-8</w:t>
            </w:r>
          </w:p>
        </w:tc>
        <w:tc>
          <w:tcPr>
            <w:tcW w:w="400" w:type="dxa"/>
            <w:vAlign w:val="bottom"/>
            <w:tcBorders>
              <w:bottom w:val="single" w:sz="8" w:color="0000EE"/>
            </w:tcBorders>
            <w:gridSpan w:val="2"/>
            <w:shd w:val="clear" w:color="auto" w:fill="CCFFCC"/>
          </w:tcPr>
          <w:p>
            <w:pPr>
              <w:ind w:left="20"/>
              <w:spacing w:after="0" w:line="174" w:lineRule="exact"/>
              <w:rPr>
                <w:sz w:val="20"/>
                <w:szCs w:val="20"/>
                <w:color w:val="auto"/>
              </w:rPr>
            </w:pPr>
            <w:r>
              <w:rPr>
                <w:rFonts w:ascii="Arial" w:cs="Arial" w:eastAsia="Arial" w:hAnsi="Arial"/>
                <w:sz w:val="18"/>
                <w:szCs w:val="18"/>
                <w:color w:val="0000EE"/>
                <w:w w:val="85"/>
              </w:rPr>
              <w:t>– F-9</w:t>
            </w:r>
          </w:p>
        </w:tc>
        <w:tc>
          <w:tcPr>
            <w:tcW w:w="160" w:type="dxa"/>
            <w:vAlign w:val="bottom"/>
            <w:tcBorders>
              <w:bottom w:val="single" w:sz="8" w:color="CCFFCC"/>
            </w:tcBorders>
            <w:gridSpan w:val="2"/>
            <w:shd w:val="clear" w:color="auto" w:fill="CCFFCC"/>
          </w:tcPr>
          <w:p>
            <w:pPr>
              <w:spacing w:after="0"/>
              <w:rPr>
                <w:sz w:val="16"/>
                <w:szCs w:val="16"/>
                <w:color w:val="auto"/>
              </w:rPr>
            </w:pPr>
          </w:p>
        </w:tc>
        <w:tc>
          <w:tcPr>
            <w:tcW w:w="220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380" w:type="dxa"/>
            <w:vAlign w:val="bottom"/>
            <w:gridSpan w:val="5"/>
          </w:tcPr>
          <w:p>
            <w:pPr>
              <w:spacing w:after="0" w:line="174" w:lineRule="exact"/>
              <w:rPr>
                <w:sz w:val="20"/>
                <w:szCs w:val="20"/>
                <w:color w:val="auto"/>
              </w:rPr>
            </w:pPr>
            <w:r>
              <w:rPr>
                <w:rFonts w:ascii="Arial" w:cs="Arial" w:eastAsia="Arial" w:hAnsi="Arial"/>
                <w:sz w:val="18"/>
                <w:szCs w:val="18"/>
                <w:color w:val="0000EE"/>
                <w:w w:val="88"/>
              </w:rPr>
              <w:t>Notes to the Consolidated Financial Statements</w:t>
            </w:r>
          </w:p>
        </w:tc>
        <w:tc>
          <w:tcPr>
            <w:tcW w:w="940" w:type="dxa"/>
            <w:vAlign w:val="bottom"/>
            <w:gridSpan w:val="3"/>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3"/>
          </w:tcPr>
          <w:p>
            <w:pPr>
              <w:jc w:val="right"/>
              <w:ind w:right="20"/>
              <w:spacing w:after="0" w:line="174" w:lineRule="exact"/>
              <w:rPr>
                <w:sz w:val="20"/>
                <w:szCs w:val="20"/>
                <w:color w:val="auto"/>
              </w:rPr>
            </w:pPr>
            <w:r>
              <w:rPr>
                <w:rFonts w:ascii="Arial" w:cs="Arial" w:eastAsia="Arial" w:hAnsi="Arial"/>
                <w:sz w:val="18"/>
                <w:szCs w:val="18"/>
                <w:color w:val="0000EE"/>
                <w:w w:val="86"/>
              </w:rPr>
              <w:t>F-10</w:t>
            </w:r>
          </w:p>
        </w:tc>
        <w:tc>
          <w:tcPr>
            <w:tcW w:w="560" w:type="dxa"/>
            <w:vAlign w:val="bottom"/>
            <w:gridSpan w:val="4"/>
          </w:tcPr>
          <w:p>
            <w:pPr>
              <w:ind w:left="20"/>
              <w:spacing w:after="0" w:line="174" w:lineRule="exact"/>
              <w:rPr>
                <w:sz w:val="20"/>
                <w:szCs w:val="20"/>
                <w:color w:val="auto"/>
              </w:rPr>
            </w:pPr>
            <w:r>
              <w:rPr>
                <w:rFonts w:ascii="Arial" w:cs="Arial" w:eastAsia="Arial" w:hAnsi="Arial"/>
                <w:sz w:val="18"/>
                <w:szCs w:val="18"/>
                <w:color w:val="0000EE"/>
                <w:w w:val="99"/>
              </w:rPr>
              <w:t>– F-33</w:t>
            </w:r>
          </w:p>
        </w:tc>
        <w:tc>
          <w:tcPr>
            <w:tcW w:w="2200" w:type="dxa"/>
            <w:vAlign w:val="bottom"/>
          </w:tcPr>
          <w:p>
            <w:pPr>
              <w:spacing w:after="0"/>
              <w:rPr>
                <w:sz w:val="15"/>
                <w:szCs w:val="15"/>
                <w:color w:val="auto"/>
              </w:rPr>
            </w:pPr>
          </w:p>
        </w:tc>
      </w:tr>
      <w:tr>
        <w:trPr>
          <w:trHeight w:val="78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F-1</w:t>
            </w:r>
          </w:p>
        </w:tc>
        <w:tc>
          <w:tcPr>
            <w:tcW w:w="360" w:type="dxa"/>
            <w:vAlign w:val="bottom"/>
            <w:tcBorders>
              <w:top w:val="single" w:sz="8" w:color="0000EE"/>
            </w:tcBorders>
            <w:gridSpan w:val="3"/>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8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195" w:name="page196"/>
    <w:bookmarkEnd w:id="1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101"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We have audited the accompanying consolidated balance sheets of Vringo, Inc. (a Development Stage Company) and Subsidiary (collectively “the Company”) as of December 31, 2011 and 2010 and the related consolidated statements of operations, changes in stockholders’ equity (deficit) and cash flows for each of the years in the two-year period ended December 31, 2011, and for the cumulative period from January 9, 2006 (inception of operations) through December 31, 2011. These consolidated financial statements are the responsibility of the Company’s management. Our responsibility is to express an opinion on these consolidated financial statements based on our audits.</w:t>
      </w:r>
    </w:p>
    <w:p>
      <w:pPr>
        <w:spacing w:after="0" w:line="71"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8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2011 and 2010 and the results of their operations and their cash flows for each of the years in the two-year period ended December 31, 2011, and for the cumulative period from January 9, 2006 (inception of operations) through December 31, 2011, in conformity with U.S. generally accepted accounting principles.</w:t>
      </w:r>
    </w:p>
    <w:p>
      <w:pPr>
        <w:spacing w:after="0" w:line="85" w:lineRule="exact"/>
        <w:rPr>
          <w:sz w:val="20"/>
          <w:szCs w:val="20"/>
          <w:color w:val="auto"/>
        </w:rPr>
      </w:pPr>
    </w:p>
    <w:p>
      <w:pPr>
        <w:ind w:right="619" w:firstLine="321"/>
        <w:spacing w:after="0" w:line="252"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deficit in stockholders’ equity that raise substantial doubt about its ability to continue as a going concern. Management’s plans in regard to these matters are described in Note 1. The consolidated financial statements do not include any adjustments that might result from the outcome of this uncertainty. /s/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-215900</wp:posOffset>
            </wp:positionV>
            <wp:extent cx="51435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wp:posOffset>
            </wp:positionV>
            <wp:extent cx="280098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0098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Somekh Chaikin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Jerusalem, Israel</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pacing w:after="0" w:line="35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196" w:name="page197"/>
    <w:bookmarkEnd w:id="19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5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left="1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100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w:t>
            </w:r>
          </w:p>
        </w:tc>
        <w:tc>
          <w:tcPr>
            <w:tcW w:w="8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6"/>
        </w:trPr>
        <w:tc>
          <w:tcPr>
            <w:tcW w:w="5460" w:type="dxa"/>
            <w:vAlign w:val="bottom"/>
            <w:vMerge w:val="continue"/>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1,190</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4"/>
        </w:trPr>
        <w:tc>
          <w:tcPr>
            <w:tcW w:w="5460" w:type="dxa"/>
            <w:vAlign w:val="bottom"/>
          </w:tcPr>
          <w:p>
            <w:pPr>
              <w:ind w:left="20"/>
              <w:spacing w:after="0"/>
              <w:rPr>
                <w:sz w:val="20"/>
                <w:szCs w:val="20"/>
                <w:color w:val="auto"/>
              </w:rPr>
            </w:pPr>
            <w:r>
              <w:rPr>
                <w:rFonts w:ascii="Arial" w:cs="Arial" w:eastAsia="Arial" w:hAnsi="Arial"/>
                <w:sz w:val="18"/>
                <w:szCs w:val="18"/>
                <w:color w:val="auto"/>
              </w:rPr>
              <w:t>Short-term deposit (restricted)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341</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4"/>
        </w:trPr>
        <w:tc>
          <w:tcPr>
            <w:tcW w:w="54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1,718</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0"/>
        </w:trPr>
        <w:tc>
          <w:tcPr>
            <w:tcW w:w="5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Long-term deposit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54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46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 long-term</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4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1,895</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54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-610235</wp:posOffset>
            </wp:positionV>
            <wp:extent cx="5160010" cy="153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-321945</wp:posOffset>
            </wp:positionV>
            <wp:extent cx="5160010" cy="153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97" w:name="page198"/>
    <w:bookmarkEnd w:id="19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4"/>
                <w:szCs w:val="14"/>
                <w:color w:val="auto"/>
              </w:rPr>
            </w:pPr>
          </w:p>
        </w:tc>
        <w:tc>
          <w:tcPr>
            <w:tcW w:w="96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4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w:t>
            </w:r>
          </w:p>
        </w:tc>
        <w:tc>
          <w:tcPr>
            <w:tcW w:w="8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6"/>
        </w:trPr>
        <w:tc>
          <w:tcPr>
            <w:tcW w:w="5460" w:type="dxa"/>
            <w:vAlign w:val="bottom"/>
            <w:gridSpan w:val="3"/>
            <w:vMerge w:val="continue"/>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liabilities, net – short-term</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428</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4"/>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employee compensation</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228</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Accrued short-term severance pay</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Current maturities of venture loan</w:t>
            </w: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723</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7"/>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Accrued severance pay</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4"/>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Venture loan</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2,337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7"/>
        </w:trPr>
        <w:tc>
          <w:tcPr>
            <w:tcW w:w="546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54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Deficit in stockholders’ equity</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6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5"/>
              </w:rPr>
              <w:t>Preferred stock, $0.01 par value per share; 5,000,000 authorized; none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w w:val="91"/>
              </w:rPr>
              <w:t>issued and outstanding as of December 31, 2011 and 2010, respectively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4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$0.01 par value per share 28,000,000 authorized;</w:t>
            </w:r>
          </w:p>
        </w:tc>
        <w:tc>
          <w:tcPr>
            <w:tcW w:w="5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100</w:t>
            </w:r>
          </w:p>
        </w:tc>
        <w:tc>
          <w:tcPr>
            <w:tcW w:w="112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54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5"/>
              </w:rPr>
              <w:t>9,954,516 and 5,405,080 issued and outstanding as of December 31,</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54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2011 and 2010, respectively</w:t>
            </w:r>
          </w:p>
        </w:tc>
        <w:tc>
          <w:tcPr>
            <w:tcW w:w="5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36,281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29,774</w:t>
            </w:r>
          </w:p>
        </w:tc>
        <w:tc>
          <w:tcPr>
            <w:tcW w:w="0" w:type="dxa"/>
            <w:vAlign w:val="bottom"/>
          </w:tcPr>
          <w:p>
            <w:pPr>
              <w:spacing w:after="0"/>
              <w:rPr>
                <w:sz w:val="1"/>
                <w:szCs w:val="1"/>
                <w:color w:val="auto"/>
              </w:rPr>
            </w:pPr>
          </w:p>
        </w:tc>
      </w:tr>
      <w:tr>
        <w:trPr>
          <w:trHeight w:val="214"/>
        </w:trPr>
        <w:tc>
          <w:tcPr>
            <w:tcW w:w="5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Deficit accumulated during the development stage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(37,546)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448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deficit in stockholders’ equity</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5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1,895</w:t>
            </w: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5,889</w:t>
            </w:r>
          </w:p>
        </w:tc>
        <w:tc>
          <w:tcPr>
            <w:tcW w:w="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-2571115</wp:posOffset>
            </wp:positionV>
            <wp:extent cx="5160010" cy="153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-1730375</wp:posOffset>
            </wp:positionV>
            <wp:extent cx="5160010" cy="144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-499745</wp:posOffset>
            </wp:positionV>
            <wp:extent cx="5160010" cy="153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33" w:lineRule="exact"/>
        <w:rPr>
          <w:sz w:val="20"/>
          <w:szCs w:val="20"/>
          <w:color w:val="auto"/>
        </w:rPr>
      </w:pPr>
    </w:p>
    <w:p>
      <w:pPr>
        <w:ind w:left="1600" w:right="2159" w:hanging="1575"/>
        <w:spacing w:after="0" w:line="985" w:lineRule="auto"/>
        <w:tabs>
          <w:tab w:leader="none" w:pos="29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Amounts recorded as of December 31, 2011 and 2010 include $10 and $20 to a related party, respectively. The accompanying notes form an integral part of these consolidated financial statements.</w:t>
      </w:r>
    </w:p>
    <w:p>
      <w:pPr>
        <w:ind w:left="4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98" w:name="page199"/>
    <w:bookmarkEnd w:id="19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tcPr>
          <w:p>
            <w:pPr>
              <w:jc w:val="right"/>
              <w:ind w:right="56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gridSpan w:val="2"/>
            <w:vMerge w:val="restart"/>
          </w:tcPr>
          <w:p>
            <w:pPr>
              <w:jc w:val="center"/>
              <w:ind w:left="192"/>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vMerge w:val="restart"/>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w:t>
            </w:r>
          </w:p>
        </w:tc>
        <w:tc>
          <w:tcPr>
            <w:tcW w:w="220" w:type="dxa"/>
            <w:vAlign w:val="bottom"/>
          </w:tcPr>
          <w:p>
            <w:pPr>
              <w:spacing w:after="0"/>
              <w:rPr>
                <w:sz w:val="16"/>
                <w:szCs w:val="16"/>
                <w:color w:val="auto"/>
              </w:rPr>
            </w:pPr>
          </w:p>
        </w:tc>
        <w:tc>
          <w:tcPr>
            <w:tcW w:w="92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0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718</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211</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7"/>
        </w:trPr>
        <w:tc>
          <w:tcPr>
            <w:tcW w:w="440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Costs and Expenses*</w:t>
            </w:r>
          </w:p>
        </w:tc>
        <w:tc>
          <w:tcPr>
            <w:tcW w:w="5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155</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180</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2,503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13,371</w:t>
            </w:r>
          </w:p>
        </w:tc>
        <w:tc>
          <w:tcPr>
            <w:tcW w:w="0" w:type="dxa"/>
            <w:vAlign w:val="bottom"/>
          </w:tcPr>
          <w:p>
            <w:pPr>
              <w:spacing w:after="0"/>
              <w:rPr>
                <w:sz w:val="1"/>
                <w:szCs w:val="1"/>
                <w:color w:val="auto"/>
              </w:rPr>
            </w:pPr>
          </w:p>
        </w:tc>
      </w:tr>
      <w:tr>
        <w:trPr>
          <w:trHeight w:val="214"/>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2,193</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2,183</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2,777</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1,840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7,142</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6,706</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342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loss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(6,424)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(6,495)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(32,268)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Non-operating income</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Non-operating expenses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4"/>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and amortization of debt discount expense</w:t>
            </w:r>
          </w:p>
        </w:tc>
        <w:tc>
          <w:tcPr>
            <w:tcW w:w="52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(1,525)</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(4,304)</w:t>
            </w:r>
          </w:p>
        </w:tc>
        <w:tc>
          <w:tcPr>
            <w:tcW w:w="11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Gain (loss) on revaluation of warrants</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952</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4"/>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52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963</w:t>
            </w:r>
          </w:p>
        </w:tc>
        <w:tc>
          <w:tcPr>
            <w:tcW w:w="22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4"/>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(7,389)</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(9,907)</w:t>
            </w:r>
          </w:p>
        </w:tc>
        <w:tc>
          <w:tcPr>
            <w:tcW w:w="11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342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4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5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(7,479)</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(9,942)</w:t>
            </w:r>
          </w:p>
        </w:tc>
        <w:tc>
          <w:tcPr>
            <w:tcW w:w="11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34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400" w:type="dxa"/>
            <w:vAlign w:val="bottom"/>
            <w:gridSpan w:val="3"/>
            <w:shd w:val="clear" w:color="auto" w:fill="CCFFCC"/>
          </w:tcPr>
          <w:p>
            <w:pPr>
              <w:ind w:left="20"/>
              <w:spacing w:after="0" w:line="193" w:lineRule="exact"/>
              <w:rPr>
                <w:sz w:val="20"/>
                <w:szCs w:val="20"/>
                <w:color w:val="auto"/>
              </w:rPr>
            </w:pPr>
            <w:r>
              <w:rPr>
                <w:rFonts w:ascii="Arial" w:cs="Arial" w:eastAsia="Arial" w:hAnsi="Arial"/>
                <w:sz w:val="18"/>
                <w:szCs w:val="18"/>
                <w:color w:val="auto"/>
                <w:w w:val="98"/>
              </w:rPr>
              <w:t>Weighted average number of shares used in computing</w:t>
            </w:r>
          </w:p>
        </w:tc>
        <w:tc>
          <w:tcPr>
            <w:tcW w:w="5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8"/>
                <w:szCs w:val="18"/>
                <w:b w:val="1"/>
                <w:bCs w:val="1"/>
                <w:color w:val="auto"/>
                <w:w w:val="99"/>
              </w:rPr>
              <w:t>6,372,659</w:t>
            </w:r>
          </w:p>
        </w:tc>
        <w:tc>
          <w:tcPr>
            <w:tcW w:w="1140" w:type="dxa"/>
            <w:vAlign w:val="bottom"/>
            <w:tcBorders>
              <w:left w:val="single" w:sz="8" w:color="CCFFCC"/>
            </w:tcBorders>
            <w:gridSpan w:val="3"/>
            <w:shd w:val="clear" w:color="auto" w:fill="CCFFCC"/>
          </w:tcPr>
          <w:p>
            <w:pPr>
              <w:jc w:val="right"/>
              <w:ind w:right="120"/>
              <w:spacing w:after="0" w:line="193" w:lineRule="exact"/>
              <w:rPr>
                <w:sz w:val="20"/>
                <w:szCs w:val="20"/>
                <w:color w:val="auto"/>
              </w:rPr>
            </w:pPr>
            <w:r>
              <w:rPr>
                <w:rFonts w:ascii="Arial" w:cs="Arial" w:eastAsia="Arial" w:hAnsi="Arial"/>
                <w:sz w:val="18"/>
                <w:szCs w:val="18"/>
                <w:color w:val="auto"/>
              </w:rPr>
              <w:t>3,154,489</w:t>
            </w:r>
          </w:p>
        </w:tc>
        <w:tc>
          <w:tcPr>
            <w:tcW w:w="112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8"/>
                <w:szCs w:val="18"/>
                <w:color w:val="auto"/>
              </w:rPr>
              <w:t>1,853,077</w:t>
            </w:r>
          </w:p>
        </w:tc>
        <w:tc>
          <w:tcPr>
            <w:tcW w:w="0" w:type="dxa"/>
            <w:vAlign w:val="bottom"/>
          </w:tcPr>
          <w:p>
            <w:pPr>
              <w:spacing w:after="0"/>
              <w:rPr>
                <w:sz w:val="1"/>
                <w:szCs w:val="1"/>
                <w:color w:val="auto"/>
              </w:rPr>
            </w:pPr>
          </w:p>
        </w:tc>
      </w:tr>
      <w:tr>
        <w:trPr>
          <w:trHeight w:val="268"/>
        </w:trPr>
        <w:tc>
          <w:tcPr>
            <w:tcW w:w="20" w:type="dxa"/>
            <w:vAlign w:val="bottom"/>
            <w:tcBorders>
              <w:bottom w:val="single" w:sz="8" w:color="CCFFCC"/>
            </w:tcBorders>
            <w:shd w:val="clear" w:color="auto" w:fill="CCFFCC"/>
          </w:tcPr>
          <w:p>
            <w:pPr>
              <w:spacing w:after="0"/>
              <w:rPr>
                <w:sz w:val="23"/>
                <w:szCs w:val="23"/>
                <w:color w:val="auto"/>
              </w:rPr>
            </w:pPr>
          </w:p>
        </w:tc>
        <w:tc>
          <w:tcPr>
            <w:tcW w:w="43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basic and dilutive net loss per common share</w:t>
            </w:r>
          </w:p>
        </w:tc>
        <w:tc>
          <w:tcPr>
            <w:tcW w:w="5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220" w:type="dxa"/>
            <w:vAlign w:val="bottom"/>
            <w:tcBorders>
              <w:left w:val="single" w:sz="8" w:color="CCFFCC"/>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-2919095</wp:posOffset>
            </wp:positionV>
            <wp:extent cx="5160010" cy="144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-2087245</wp:posOffset>
            </wp:positionV>
            <wp:extent cx="5160010" cy="153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-975360</wp:posOffset>
            </wp:positionV>
            <wp:extent cx="5160010" cy="153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-687070</wp:posOffset>
            </wp:positionV>
            <wp:extent cx="5160010" cy="2038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60010" cy="2038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33" w:lineRule="exact"/>
        <w:rPr>
          <w:sz w:val="20"/>
          <w:szCs w:val="20"/>
          <w:color w:val="auto"/>
        </w:rPr>
      </w:pPr>
    </w:p>
    <w:p>
      <w:pPr>
        <w:ind w:left="300" w:right="639" w:hanging="275"/>
        <w:spacing w:after="0" w:line="270" w:lineRule="auto"/>
        <w:tabs>
          <w:tab w:leader="none" w:pos="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Includes expenses in the total amount of $53, $450 and $1,103 to related parties for the years ended 2011 and 2010 and for the cumulative period from inception until December 31, 2011, respectively.</w:t>
      </w:r>
    </w:p>
    <w:p>
      <w:pPr>
        <w:spacing w:after="0" w:line="200" w:lineRule="exact"/>
        <w:rPr>
          <w:sz w:val="20"/>
          <w:szCs w:val="20"/>
          <w:color w:val="auto"/>
        </w:rPr>
      </w:pPr>
    </w:p>
    <w:p>
      <w:pPr>
        <w:spacing w:after="0" w:line="29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199" w:name="page200"/>
    <w:bookmarkEnd w:id="19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convertible</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paid-in</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preferred</w:t>
            </w: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8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stage</w:t>
            </w: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as of January 9, 2006</w:t>
            </w: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6"/>
                <w:szCs w:val="16"/>
                <w:color w:val="auto"/>
              </w:rPr>
            </w:pPr>
          </w:p>
        </w:tc>
        <w:tc>
          <w:tcPr>
            <w:tcW w:w="8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89"/>
        </w:trPr>
        <w:tc>
          <w:tcPr>
            <w:tcW w:w="3100" w:type="dxa"/>
            <w:vAlign w:val="bottom"/>
            <w:gridSpan w:val="3"/>
            <w:vMerge w:val="continue"/>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(inception)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Issuance of series A convertible</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2,321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w w:val="97"/>
              </w:rPr>
              <w:t>preferred stock, net of issuance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of $33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Stock dividend</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00" w:type="dxa"/>
            <w:vAlign w:val="bottom"/>
            <w:gridSpan w:val="3"/>
          </w:tcPr>
          <w:p>
            <w:pPr>
              <w:ind w:left="20"/>
              <w:spacing w:after="0"/>
              <w:rPr>
                <w:sz w:val="20"/>
                <w:szCs w:val="20"/>
                <w:color w:val="auto"/>
              </w:rPr>
            </w:pPr>
            <w:r>
              <w:rPr>
                <w:rFonts w:ascii="Arial" w:cs="Arial" w:eastAsia="Arial" w:hAnsi="Arial"/>
                <w:sz w:val="18"/>
                <w:szCs w:val="18"/>
                <w:color w:val="auto"/>
              </w:rPr>
              <w:t>Net loss for the period</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(1,481)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2006</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2,288</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(1,481)</w:t>
            </w:r>
          </w:p>
        </w:tc>
        <w:tc>
          <w:tcPr>
            <w:tcW w:w="11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100" w:type="dxa"/>
            <w:vAlign w:val="bottom"/>
            <w:gridSpan w:val="3"/>
          </w:tcPr>
          <w:p>
            <w:pPr>
              <w:ind w:left="20"/>
              <w:spacing w:after="0" w:line="193" w:lineRule="exact"/>
              <w:rPr>
                <w:sz w:val="20"/>
                <w:szCs w:val="20"/>
                <w:color w:val="auto"/>
              </w:rPr>
            </w:pPr>
            <w:r>
              <w:rPr>
                <w:rFonts w:ascii="Arial" w:cs="Arial" w:eastAsia="Arial" w:hAnsi="Arial"/>
                <w:sz w:val="18"/>
                <w:szCs w:val="18"/>
                <w:color w:val="auto"/>
              </w:rPr>
              <w:t>Issuance of common stock as part of</w:t>
            </w:r>
          </w:p>
        </w:tc>
        <w:tc>
          <w:tcPr>
            <w:tcW w:w="860" w:type="dxa"/>
            <w:vAlign w:val="bottom"/>
            <w:gridSpan w:val="2"/>
          </w:tcPr>
          <w:p>
            <w:pPr>
              <w:jc w:val="right"/>
              <w:ind w:right="120"/>
              <w:spacing w:after="0" w:line="193"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line="193"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193" w:lineRule="exact"/>
              <w:rPr>
                <w:sz w:val="20"/>
                <w:szCs w:val="20"/>
                <w:color w:val="auto"/>
              </w:rPr>
            </w:pPr>
            <w:r>
              <w:rPr>
                <w:rFonts w:ascii="Arial" w:cs="Arial" w:eastAsia="Arial" w:hAnsi="Arial"/>
                <w:sz w:val="18"/>
                <w:szCs w:val="18"/>
                <w:color w:val="auto"/>
              </w:rPr>
              <w:t>138</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93"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193"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conversion of convertible loan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Discounts to temporary equity</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9"/>
              </w:rPr>
              <w:t>Amortization of discounts to temporary</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(5,163)</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0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as of December 31, 2007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2,578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(6,644)</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w w:val="99"/>
              </w:rPr>
              <w:t>Amortization of discounts to temporary</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20" w:type="dxa"/>
            <w:vAlign w:val="bottom"/>
            <w:shd w:val="clear" w:color="auto" w:fill="CCFFCC"/>
          </w:tcPr>
          <w:p>
            <w:pPr>
              <w:spacing w:after="0"/>
              <w:rPr>
                <w:sz w:val="19"/>
                <w:szCs w:val="19"/>
                <w:color w:val="auto"/>
              </w:rPr>
            </w:pPr>
          </w:p>
        </w:tc>
        <w:tc>
          <w:tcPr>
            <w:tcW w:w="30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forfeitures – employees</w:t>
            </w: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100" w:type="dxa"/>
            <w:vAlign w:val="bottom"/>
            <w:gridSpan w:val="3"/>
          </w:tcPr>
          <w:p>
            <w:pPr>
              <w:ind w:left="20"/>
              <w:spacing w:after="0" w:line="200"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forfeitures – non employees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(7,332)</w:t>
            </w:r>
          </w:p>
        </w:tc>
        <w:tc>
          <w:tcPr>
            <w:tcW w:w="11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61"/>
        </w:trPr>
        <w:tc>
          <w:tcPr>
            <w:tcW w:w="20" w:type="dxa"/>
            <w:vAlign w:val="bottom"/>
            <w:tcBorders>
              <w:top w:val="single" w:sz="8" w:color="CCFFCC"/>
            </w:tcBorders>
          </w:tcPr>
          <w:p>
            <w:pPr>
              <w:spacing w:after="0"/>
              <w:rPr>
                <w:sz w:val="22"/>
                <w:szCs w:val="22"/>
                <w:color w:val="auto"/>
              </w:rPr>
            </w:pPr>
          </w:p>
        </w:tc>
        <w:tc>
          <w:tcPr>
            <w:tcW w:w="960" w:type="dxa"/>
            <w:vAlign w:val="bottom"/>
            <w:tcBorders>
              <w:top w:val="single" w:sz="8" w:color="CCFFCC"/>
              <w:bottom w:val="single" w:sz="8" w:color="auto"/>
            </w:tcBorders>
          </w:tcPr>
          <w:p>
            <w:pPr>
              <w:spacing w:after="0"/>
              <w:rPr>
                <w:sz w:val="22"/>
                <w:szCs w:val="22"/>
                <w:color w:val="auto"/>
              </w:rPr>
            </w:pPr>
          </w:p>
        </w:tc>
        <w:tc>
          <w:tcPr>
            <w:tcW w:w="212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-2791460</wp:posOffset>
            </wp:positionV>
            <wp:extent cx="5160010" cy="280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60010" cy="280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-1424940</wp:posOffset>
            </wp:positionV>
            <wp:extent cx="5160010" cy="153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-186055</wp:posOffset>
            </wp:positionV>
            <wp:extent cx="51600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3"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00" w:lineRule="exact"/>
        <w:rPr>
          <w:sz w:val="20"/>
          <w:szCs w:val="20"/>
          <w:color w:val="auto"/>
        </w:rPr>
      </w:pPr>
    </w:p>
    <w:p>
      <w:pPr>
        <w:spacing w:after="0" w:line="34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00" w:name="page201"/>
    <w:bookmarkEnd w:id="20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60" w:type="dxa"/>
            <w:vAlign w:val="bottom"/>
            <w:gridSpan w:val="2"/>
          </w:tcPr>
          <w:p>
            <w:pPr>
              <w:jc w:val="right"/>
              <w:ind w:right="100"/>
              <w:spacing w:after="0" w:line="146"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7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89"/>
              </w:rPr>
              <w:t>Series A</w:t>
            </w:r>
          </w:p>
        </w:tc>
        <w:tc>
          <w:tcPr>
            <w:tcW w:w="160" w:type="dxa"/>
            <w:vAlign w:val="bottom"/>
          </w:tcPr>
          <w:p>
            <w:pPr>
              <w:spacing w:after="0"/>
              <w:rPr>
                <w:sz w:val="12"/>
                <w:szCs w:val="12"/>
                <w:color w:val="auto"/>
              </w:rPr>
            </w:pPr>
          </w:p>
        </w:tc>
        <w:tc>
          <w:tcPr>
            <w:tcW w:w="7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8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2"/>
                <w:szCs w:val="12"/>
                <w:color w:val="auto"/>
              </w:rPr>
            </w:pPr>
          </w:p>
        </w:tc>
        <w:tc>
          <w:tcPr>
            <w:tcW w:w="860" w:type="dxa"/>
            <w:vAlign w:val="bottom"/>
            <w:gridSpan w:val="2"/>
          </w:tcPr>
          <w:p>
            <w:pPr>
              <w:jc w:val="right"/>
              <w:ind w:right="280"/>
              <w:spacing w:after="0" w:line="14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convertible</w:t>
            </w: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preferred</w:t>
            </w: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stage</w:t>
            </w: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Balance as of December 31, 2008</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94"/>
        </w:trPr>
        <w:tc>
          <w:tcPr>
            <w:tcW w:w="3600" w:type="dxa"/>
            <w:vAlign w:val="bottom"/>
            <w:gridSpan w:val="3"/>
            <w:vMerge w:val="continue"/>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2,960</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(13,976)</w:t>
            </w:r>
          </w:p>
        </w:tc>
        <w:tc>
          <w:tcPr>
            <w:tcW w:w="16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Issuance of warrants</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Loan modification</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Amortization of discounts to temporary equity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forfeiture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(6,149)</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2009</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24</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3,701</w:t>
            </w:r>
          </w:p>
        </w:tc>
        <w:tc>
          <w:tcPr>
            <w:tcW w:w="9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(20,125)</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(16,378)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00" w:type="dxa"/>
            <w:vAlign w:val="bottom"/>
            <w:gridSpan w:val="3"/>
          </w:tcPr>
          <w:p>
            <w:pPr>
              <w:ind w:left="20"/>
              <w:spacing w:after="0"/>
              <w:rPr>
                <w:sz w:val="20"/>
                <w:szCs w:val="20"/>
                <w:color w:val="auto"/>
              </w:rPr>
            </w:pPr>
            <w:r>
              <w:rPr>
                <w:rFonts w:ascii="Arial" w:cs="Arial" w:eastAsia="Arial" w:hAnsi="Arial"/>
                <w:sz w:val="16"/>
                <w:szCs w:val="16"/>
                <w:color w:val="auto"/>
                <w:w w:val="97"/>
              </w:rPr>
              <w:t>Issuance of common stock, net of issuance costs of</w:t>
            </w: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9,239</w:t>
            </w: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9,263</w:t>
            </w:r>
          </w:p>
        </w:tc>
        <w:tc>
          <w:tcPr>
            <w:tcW w:w="0" w:type="dxa"/>
            <w:vAlign w:val="bottom"/>
          </w:tcPr>
          <w:p>
            <w:pPr>
              <w:spacing w:after="0"/>
              <w:rPr>
                <w:sz w:val="1"/>
                <w:szCs w:val="1"/>
                <w:color w:val="auto"/>
              </w:rPr>
            </w:pPr>
          </w:p>
        </w:tc>
      </w:tr>
      <w:tr>
        <w:trPr>
          <w:trHeight w:val="208"/>
        </w:trPr>
        <w:tc>
          <w:tcPr>
            <w:tcW w:w="980" w:type="dxa"/>
            <w:vAlign w:val="bottom"/>
            <w:gridSpan w:val="2"/>
          </w:tcPr>
          <w:p>
            <w:pPr>
              <w:ind w:left="180"/>
              <w:spacing w:after="0"/>
              <w:rPr>
                <w:sz w:val="20"/>
                <w:szCs w:val="20"/>
                <w:color w:val="auto"/>
              </w:rPr>
            </w:pPr>
            <w:r>
              <w:rPr>
                <w:rFonts w:ascii="Arial" w:cs="Arial" w:eastAsia="Arial" w:hAnsi="Arial"/>
                <w:sz w:val="16"/>
                <w:szCs w:val="16"/>
                <w:color w:val="auto"/>
              </w:rPr>
              <w:t>$1,768</w:t>
            </w: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6"/>
              </w:rPr>
              <w:t>Exchange of series A convertible preferred stock for</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24</w:t>
            </w:r>
          </w:p>
        </w:tc>
        <w:tc>
          <w:tcPr>
            <w:tcW w:w="90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Conversion of Bridge notes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2,536</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Amortization of discounts to temporary equity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883</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forfeitures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Exercise of warrants to charity</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warrants to lead investors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1,342</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Grants of warrants to charity</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Exercise of stock options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Exercise of warrants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Stock dividend</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Reverse stock split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6"/>
              </w:rPr>
              <w:t>Exchange of series B convertible preferred stock for</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11,925</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11,971</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(9,942)</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(9,942)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2010</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54</w:t>
            </w:r>
          </w:p>
        </w:tc>
        <w:tc>
          <w:tcPr>
            <w:tcW w:w="2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29,774</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(30,067)</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(239)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1,300</w:t>
            </w: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1,300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20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131</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forfeitures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Exercise of warrants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5"/>
              </w:rPr>
              <w:t>Conversion of convertible notes and accrued interest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27</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2,484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2,511</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Issuance of shares, net of issuance costs of $65</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777</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785</w:t>
            </w:r>
          </w:p>
        </w:tc>
        <w:tc>
          <w:tcPr>
            <w:tcW w:w="0" w:type="dxa"/>
            <w:vAlign w:val="bottom"/>
          </w:tcPr>
          <w:p>
            <w:pPr>
              <w:spacing w:after="0"/>
              <w:rPr>
                <w:sz w:val="1"/>
                <w:szCs w:val="1"/>
                <w:color w:val="auto"/>
              </w:rPr>
            </w:pPr>
          </w:p>
        </w:tc>
      </w:tr>
      <w:tr>
        <w:trPr>
          <w:trHeight w:val="200"/>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Issuance of shares to a consultant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293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295</w:t>
            </w:r>
          </w:p>
        </w:tc>
        <w:tc>
          <w:tcPr>
            <w:tcW w:w="0" w:type="dxa"/>
            <w:vAlign w:val="bottom"/>
          </w:tcPr>
          <w:p>
            <w:pPr>
              <w:spacing w:after="0"/>
              <w:rPr>
                <w:sz w:val="1"/>
                <w:szCs w:val="1"/>
                <w:color w:val="auto"/>
              </w:rPr>
            </w:pPr>
          </w:p>
        </w:tc>
      </w:tr>
      <w:tr>
        <w:trPr>
          <w:trHeight w:val="191"/>
        </w:trPr>
        <w:tc>
          <w:tcPr>
            <w:tcW w:w="3600" w:type="dxa"/>
            <w:vAlign w:val="bottom"/>
            <w:gridSpan w:val="3"/>
          </w:tcPr>
          <w:p>
            <w:pPr>
              <w:ind w:left="20"/>
              <w:spacing w:after="0"/>
              <w:rPr>
                <w:sz w:val="20"/>
                <w:szCs w:val="20"/>
                <w:color w:val="auto"/>
              </w:rPr>
            </w:pPr>
            <w:r>
              <w:rPr>
                <w:rFonts w:ascii="Arial" w:cs="Arial" w:eastAsia="Arial" w:hAnsi="Arial"/>
                <w:sz w:val="16"/>
                <w:szCs w:val="16"/>
                <w:color w:val="auto"/>
                <w:w w:val="94"/>
              </w:rPr>
              <w:t>Issuance of shares in connection with restructuring of</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210</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6"/>
                <w:szCs w:val="16"/>
                <w:color w:val="auto"/>
              </w:rPr>
              <w:t>venture loan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warrants to charity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43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91"/>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5"/>
              </w:rPr>
              <w:t>Beneficial conversion feature recorded in connection</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1,269</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1,269</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3580" w:type="dxa"/>
            <w:vAlign w:val="bottom"/>
            <w:gridSpan w:val="2"/>
            <w:shd w:val="clear" w:color="auto" w:fill="CCFFCC"/>
          </w:tcPr>
          <w:p>
            <w:pPr>
              <w:ind w:left="160"/>
              <w:spacing w:after="0"/>
              <w:rPr>
                <w:sz w:val="20"/>
                <w:szCs w:val="20"/>
                <w:color w:val="auto"/>
              </w:rPr>
            </w:pPr>
            <w:r>
              <w:rPr>
                <w:rFonts w:ascii="Arial" w:cs="Arial" w:eastAsia="Arial" w:hAnsi="Arial"/>
                <w:sz w:val="16"/>
                <w:szCs w:val="16"/>
                <w:color w:val="auto"/>
              </w:rPr>
              <w:t>with convertible notes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0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(7,479)</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60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2011</w:t>
            </w:r>
          </w:p>
        </w:tc>
        <w:tc>
          <w:tcPr>
            <w:tcW w:w="5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100</w:t>
            </w:r>
          </w:p>
        </w:tc>
        <w:tc>
          <w:tcPr>
            <w:tcW w:w="2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36,281</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(37,546)</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(1,165)</w:t>
            </w:r>
          </w:p>
        </w:tc>
        <w:tc>
          <w:tcPr>
            <w:tcW w:w="0" w:type="dxa"/>
            <w:vAlign w:val="bottom"/>
          </w:tcPr>
          <w:p>
            <w:pPr>
              <w:spacing w:after="0"/>
              <w:rPr>
                <w:sz w:val="1"/>
                <w:szCs w:val="1"/>
                <w:color w:val="auto"/>
              </w:rPr>
            </w:pPr>
          </w:p>
        </w:tc>
      </w:tr>
      <w:tr>
        <w:trPr>
          <w:trHeight w:val="261"/>
        </w:trPr>
        <w:tc>
          <w:tcPr>
            <w:tcW w:w="20" w:type="dxa"/>
            <w:vAlign w:val="bottom"/>
            <w:tcBorders>
              <w:top w:val="single" w:sz="8" w:color="CCFFCC"/>
            </w:tcBorders>
          </w:tcPr>
          <w:p>
            <w:pPr>
              <w:spacing w:after="0"/>
              <w:rPr>
                <w:sz w:val="22"/>
                <w:szCs w:val="22"/>
                <w:color w:val="auto"/>
              </w:rPr>
            </w:pPr>
          </w:p>
        </w:tc>
        <w:tc>
          <w:tcPr>
            <w:tcW w:w="960" w:type="dxa"/>
            <w:vAlign w:val="bottom"/>
            <w:tcBorders>
              <w:top w:val="single" w:sz="8" w:color="CCFFCC"/>
              <w:bottom w:val="single" w:sz="8" w:color="auto"/>
            </w:tcBorders>
          </w:tcPr>
          <w:p>
            <w:pPr>
              <w:spacing w:after="0"/>
              <w:rPr>
                <w:sz w:val="22"/>
                <w:szCs w:val="22"/>
                <w:color w:val="auto"/>
              </w:rPr>
            </w:pPr>
          </w:p>
        </w:tc>
        <w:tc>
          <w:tcPr>
            <w:tcW w:w="2620" w:type="dxa"/>
            <w:vAlign w:val="bottom"/>
            <w:tcBorders>
              <w:top w:val="single" w:sz="8" w:color="CCFFCC"/>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-4955540</wp:posOffset>
            </wp:positionV>
            <wp:extent cx="5160010" cy="262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60010" cy="262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-2265680</wp:posOffset>
            </wp:positionV>
            <wp:extent cx="5160010" cy="262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60010" cy="262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5160010" cy="336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233" w:lineRule="exact"/>
        <w:rPr>
          <w:sz w:val="20"/>
          <w:szCs w:val="20"/>
          <w:color w:val="auto"/>
        </w:rPr>
      </w:pPr>
    </w:p>
    <w:p>
      <w:pPr>
        <w:ind w:left="300" w:hanging="275"/>
        <w:spacing w:after="0"/>
        <w:tabs>
          <w:tab w:leader="none" w:pos="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Consideration for less than $1.</w:t>
      </w:r>
    </w:p>
    <w:p>
      <w:pPr>
        <w:spacing w:after="0" w:line="200" w:lineRule="exact"/>
        <w:rPr>
          <w:sz w:val="20"/>
          <w:szCs w:val="20"/>
          <w:color w:val="auto"/>
        </w:rPr>
      </w:pPr>
    </w:p>
    <w:p>
      <w:pPr>
        <w:spacing w:after="0" w:line="34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01" w:name="page202"/>
    <w:bookmarkEnd w:id="20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47"/>
        </w:trPr>
        <w:tc>
          <w:tcPr>
            <w:tcW w:w="5140" w:type="dxa"/>
            <w:vAlign w:val="bottom"/>
          </w:tcPr>
          <w:p>
            <w:pPr>
              <w:spacing w:after="0"/>
              <w:rPr>
                <w:sz w:val="12"/>
                <w:szCs w:val="12"/>
                <w:color w:val="auto"/>
              </w:rPr>
            </w:pPr>
          </w:p>
        </w:tc>
        <w:tc>
          <w:tcPr>
            <w:tcW w:w="1880" w:type="dxa"/>
            <w:vAlign w:val="bottom"/>
            <w:gridSpan w:val="5"/>
          </w:tcPr>
          <w:p>
            <w:pPr>
              <w:jc w:val="right"/>
              <w:ind w:right="52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r>
      <w:tr>
        <w:trPr>
          <w:trHeight w:val="147"/>
        </w:trPr>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r>
      <w:tr>
        <w:trPr>
          <w:trHeight w:val="170"/>
        </w:trPr>
        <w:tc>
          <w:tcPr>
            <w:tcW w:w="5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4"/>
        </w:trPr>
        <w:tc>
          <w:tcPr>
            <w:tcW w:w="5140" w:type="dxa"/>
            <w:vAlign w:val="bottom"/>
          </w:tcPr>
          <w:p>
            <w:pPr>
              <w:spacing w:after="0"/>
              <w:rPr>
                <w:sz w:val="16"/>
                <w:szCs w:val="16"/>
                <w:color w:val="auto"/>
              </w:rPr>
            </w:pPr>
          </w:p>
        </w:tc>
        <w:tc>
          <w:tcPr>
            <w:tcW w:w="7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6"/>
                <w:szCs w:val="16"/>
                <w:color w:val="auto"/>
              </w:rPr>
            </w:pPr>
          </w:p>
        </w:tc>
        <w:tc>
          <w:tcPr>
            <w:tcW w:w="86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6"/>
                <w:szCs w:val="16"/>
                <w:color w:val="auto"/>
              </w:rPr>
            </w:pPr>
          </w:p>
        </w:tc>
        <w:tc>
          <w:tcPr>
            <w:tcW w:w="9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r>
      <w:tr>
        <w:trPr>
          <w:trHeight w:val="194"/>
        </w:trPr>
        <w:tc>
          <w:tcPr>
            <w:tcW w:w="514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(7,479)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(9,942)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(37,546)</w:t>
            </w:r>
          </w:p>
        </w:tc>
      </w:tr>
      <w:tr>
        <w:trPr>
          <w:trHeight w:val="195"/>
        </w:trPr>
        <w:tc>
          <w:tcPr>
            <w:tcW w:w="5140" w:type="dxa"/>
            <w:vAlign w:val="bottom"/>
            <w:shd w:val="clear" w:color="auto" w:fill="CCFFCC"/>
          </w:tcPr>
          <w:p>
            <w:pPr>
              <w:ind w:left="20"/>
              <w:spacing w:after="0" w:line="195" w:lineRule="exact"/>
              <w:rPr>
                <w:sz w:val="20"/>
                <w:szCs w:val="20"/>
                <w:color w:val="auto"/>
              </w:rPr>
            </w:pPr>
            <w:r>
              <w:rPr>
                <w:rFonts w:ascii="Arial" w:cs="Arial" w:eastAsia="Arial" w:hAnsi="Arial"/>
                <w:sz w:val="18"/>
                <w:szCs w:val="18"/>
                <w:b w:val="1"/>
                <w:bCs w:val="1"/>
                <w:color w:val="auto"/>
              </w:rPr>
              <w:t>Adjustments to reconcile net cash flows used in operating</w:t>
            </w: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2"/>
        </w:trPr>
        <w:tc>
          <w:tcPr>
            <w:tcW w:w="51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activities:</w:t>
            </w: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Items not affecting cash flows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61</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454</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Change in deferred tax assets and liabilities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132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accrued severance pay</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(177)</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Share-based payment expenses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1,769</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2,291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4,462</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interest expense</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98</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2,512</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2,855</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Loss (gain) on revaluation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(952)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(550)</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(963)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(963)</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r>
      <w:tr>
        <w:trPr>
          <w:trHeight w:val="199"/>
        </w:trPr>
        <w:tc>
          <w:tcPr>
            <w:tcW w:w="514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w w:val="96"/>
              </w:rPr>
              <w:t>Interest and amortization of discount in connection with convertible</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b w:val="1"/>
                <w:bCs w:val="1"/>
                <w:color w:val="auto"/>
              </w:rPr>
              <w:t>1,280</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1,280</w:t>
            </w:r>
          </w:p>
        </w:tc>
      </w:tr>
      <w:tr>
        <w:trPr>
          <w:trHeight w:val="228"/>
        </w:trPr>
        <w:tc>
          <w:tcPr>
            <w:tcW w:w="51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Exchange rate (gains) losses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Changes in current assets and liabilities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199"/>
        </w:trPr>
        <w:tc>
          <w:tcPr>
            <w:tcW w:w="5140" w:type="dxa"/>
            <w:vAlign w:val="bottom"/>
          </w:tcPr>
          <w:p>
            <w:pPr>
              <w:ind w:left="20"/>
              <w:spacing w:after="0" w:line="200" w:lineRule="exact"/>
              <w:rPr>
                <w:sz w:val="20"/>
                <w:szCs w:val="20"/>
                <w:color w:val="auto"/>
              </w:rPr>
            </w:pPr>
            <w:r>
              <w:rPr>
                <w:rFonts w:ascii="Arial" w:cs="Arial" w:eastAsia="Arial" w:hAnsi="Arial"/>
                <w:sz w:val="18"/>
                <w:szCs w:val="18"/>
                <w:color w:val="auto"/>
                <w:w w:val="93"/>
              </w:rPr>
              <w:t>Increase in accounts receivable, prepaid expenses and other current</w:t>
            </w:r>
          </w:p>
        </w:tc>
        <w:tc>
          <w:tcPr>
            <w:tcW w:w="860" w:type="dxa"/>
            <w:vAlign w:val="bottom"/>
            <w:gridSpan w:val="2"/>
          </w:tcPr>
          <w:p>
            <w:pPr>
              <w:jc w:val="right"/>
              <w:ind w:right="80"/>
              <w:spacing w:after="0" w:line="200" w:lineRule="exact"/>
              <w:rPr>
                <w:sz w:val="20"/>
                <w:szCs w:val="20"/>
                <w:color w:val="auto"/>
              </w:rPr>
            </w:pPr>
            <w:r>
              <w:rPr>
                <w:rFonts w:ascii="Arial" w:cs="Arial" w:eastAsia="Arial" w:hAnsi="Arial"/>
                <w:sz w:val="18"/>
                <w:szCs w:val="18"/>
                <w:b w:val="1"/>
                <w:bCs w:val="1"/>
                <w:color w:val="auto"/>
              </w:rPr>
              <w:t>(283)</w:t>
            </w:r>
          </w:p>
        </w:tc>
        <w:tc>
          <w:tcPr>
            <w:tcW w:w="102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(98)</w:t>
            </w:r>
          </w:p>
        </w:tc>
        <w:tc>
          <w:tcPr>
            <w:tcW w:w="112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(532)</w:t>
            </w:r>
          </w:p>
        </w:tc>
      </w:tr>
      <w:tr>
        <w:trPr>
          <w:trHeight w:val="227"/>
        </w:trPr>
        <w:tc>
          <w:tcPr>
            <w:tcW w:w="5140" w:type="dxa"/>
            <w:vAlign w:val="bottom"/>
          </w:tcPr>
          <w:p>
            <w:pPr>
              <w:ind w:left="180"/>
              <w:spacing w:after="0"/>
              <w:rPr>
                <w:sz w:val="20"/>
                <w:szCs w:val="20"/>
                <w:color w:val="auto"/>
              </w:rPr>
            </w:pPr>
            <w:r>
              <w:rPr>
                <w:rFonts w:ascii="Arial" w:cs="Arial" w:eastAsia="Arial" w:hAnsi="Arial"/>
                <w:sz w:val="18"/>
                <w:szCs w:val="18"/>
                <w:color w:val="auto"/>
              </w:rPr>
              <w:t>assets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5"/>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payables and accruals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(141)</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633</w:t>
            </w:r>
          </w:p>
        </w:tc>
      </w:tr>
      <w:tr>
        <w:trPr>
          <w:trHeight w:val="20"/>
        </w:trPr>
        <w:tc>
          <w:tcPr>
            <w:tcW w:w="5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51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(6,361)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(29,303)</w:t>
            </w: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Acquisition of property and equipment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(598)</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Decrease (increase) in lease deposits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Proceeds from investment in restricted short-term deposits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2,582</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2,499</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(606)</w:t>
            </w:r>
          </w:p>
        </w:tc>
      </w:tr>
      <w:tr>
        <w:trPr>
          <w:trHeight w:val="20"/>
        </w:trPr>
        <w:tc>
          <w:tcPr>
            <w:tcW w:w="5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-848360</wp:posOffset>
            </wp:positionV>
            <wp:extent cx="5160010" cy="153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wp:posOffset>
            </wp:positionV>
            <wp:extent cx="51600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02" w:name="page203"/>
    <w:bookmarkEnd w:id="20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600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47"/>
        </w:trPr>
        <w:tc>
          <w:tcPr>
            <w:tcW w:w="5140" w:type="dxa"/>
            <w:vAlign w:val="bottom"/>
          </w:tcPr>
          <w:p>
            <w:pPr>
              <w:spacing w:after="0"/>
              <w:rPr>
                <w:sz w:val="12"/>
                <w:szCs w:val="12"/>
                <w:color w:val="auto"/>
              </w:rPr>
            </w:pPr>
          </w:p>
        </w:tc>
        <w:tc>
          <w:tcPr>
            <w:tcW w:w="1880" w:type="dxa"/>
            <w:vAlign w:val="bottom"/>
            <w:gridSpan w:val="5"/>
          </w:tcPr>
          <w:p>
            <w:pPr>
              <w:jc w:val="right"/>
              <w:ind w:right="520"/>
              <w:spacing w:after="0" w:line="147"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6"/>
              </w:rPr>
              <w:t>from</w:t>
            </w:r>
          </w:p>
        </w:tc>
      </w:tr>
      <w:tr>
        <w:trPr>
          <w:trHeight w:val="147"/>
        </w:trPr>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r>
      <w:tr>
        <w:trPr>
          <w:trHeight w:val="170"/>
        </w:trPr>
        <w:tc>
          <w:tcPr>
            <w:tcW w:w="5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4"/>
        </w:trPr>
        <w:tc>
          <w:tcPr>
            <w:tcW w:w="5140" w:type="dxa"/>
            <w:vAlign w:val="bottom"/>
          </w:tcPr>
          <w:p>
            <w:pPr>
              <w:spacing w:after="0"/>
              <w:rPr>
                <w:sz w:val="16"/>
                <w:szCs w:val="16"/>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6"/>
                <w:szCs w:val="16"/>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6"/>
                <w:szCs w:val="16"/>
                <w:color w:val="auto"/>
              </w:rPr>
            </w:pPr>
          </w:p>
        </w:tc>
        <w:tc>
          <w:tcPr>
            <w:tcW w:w="9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r>
      <w:tr>
        <w:trPr>
          <w:trHeight w:val="194"/>
        </w:trPr>
        <w:tc>
          <w:tcPr>
            <w:tcW w:w="514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6"/>
                <w:szCs w:val="16"/>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Receipt of venture loan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5,000</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Repayment on account of venture loan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(2,095)</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(757)</w:t>
            </w:r>
          </w:p>
        </w:tc>
        <w:tc>
          <w:tcPr>
            <w:tcW w:w="1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(3,651)</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Receipt of convertible notes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2,500</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2,500</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common stock and warrants, net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9,263</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9,263</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1,070</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Receipt of convertible loans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3,976</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Issuance of convertible preferred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12,195</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common stock options and warrants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Issuance of common stock, net of issuance expenses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785</w:t>
            </w:r>
          </w:p>
        </w:tc>
      </w:tr>
      <w:tr>
        <w:trPr>
          <w:trHeight w:val="20"/>
        </w:trPr>
        <w:tc>
          <w:tcPr>
            <w:tcW w:w="5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1,198</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8,520</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31,160</w:t>
            </w:r>
          </w:p>
        </w:tc>
      </w:tr>
      <w:tr>
        <w:trPr>
          <w:trHeight w:val="20"/>
        </w:trPr>
        <w:tc>
          <w:tcPr>
            <w:tcW w:w="5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07"/>
        </w:trPr>
        <w:tc>
          <w:tcPr>
            <w:tcW w:w="51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(4,217)</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4,663</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1,190</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1,190</w:t>
            </w: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5,407</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1,190</w:t>
            </w:r>
          </w:p>
        </w:tc>
      </w:tr>
      <w:tr>
        <w:trPr>
          <w:trHeight w:val="207"/>
        </w:trPr>
        <w:tc>
          <w:tcPr>
            <w:tcW w:w="51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paid</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151</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386</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1,137</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transactions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convertible loan into convertible preferred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1,964</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Extinguishment of debt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Discount to the series B convertible preferred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43</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Allocation of fair value of loan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334</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Allocation of fair value of conversion warrants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1,564</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1,564</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w w:val="95"/>
              </w:rPr>
              <w:t>Exchange of series B convertible preferred stock for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11,971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11,971</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Exchange of series A convertible preferred stock for common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Conversion of bridge notes into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2,545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2,545</w:t>
            </w:r>
          </w:p>
        </w:tc>
      </w:tr>
      <w:tr>
        <w:trPr>
          <w:trHeight w:val="214"/>
        </w:trPr>
        <w:tc>
          <w:tcPr>
            <w:tcW w:w="5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discounts to temporary equity</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w w:val="95"/>
              </w:rPr>
              <w:t>Issuance of shares in consideration of restructuring of venture loan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213</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213</w:t>
            </w:r>
          </w:p>
        </w:tc>
      </w:tr>
      <w:tr>
        <w:trPr>
          <w:trHeight w:val="199"/>
        </w:trPr>
        <w:tc>
          <w:tcPr>
            <w:tcW w:w="514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Beneficial conversion feature recorded in connection with</w:t>
            </w:r>
          </w:p>
        </w:tc>
        <w:tc>
          <w:tcPr>
            <w:tcW w:w="8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b w:val="1"/>
                <w:bCs w:val="1"/>
                <w:color w:val="auto"/>
              </w:rPr>
              <w:t>1,269</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1,269</w:t>
            </w:r>
          </w:p>
        </w:tc>
      </w:tr>
      <w:tr>
        <w:trPr>
          <w:trHeight w:val="228"/>
        </w:trPr>
        <w:tc>
          <w:tcPr>
            <w:tcW w:w="51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convertible notes</w:t>
            </w: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31"/>
        </w:trPr>
        <w:tc>
          <w:tcPr>
            <w:tcW w:w="5140" w:type="dxa"/>
            <w:vAlign w:val="bottom"/>
          </w:tcPr>
          <w:p>
            <w:pPr>
              <w:ind w:left="20"/>
              <w:spacing w:after="0"/>
              <w:rPr>
                <w:sz w:val="20"/>
                <w:szCs w:val="20"/>
                <w:color w:val="auto"/>
              </w:rPr>
            </w:pPr>
            <w:r>
              <w:rPr>
                <w:rFonts w:ascii="Arial" w:cs="Arial" w:eastAsia="Arial" w:hAnsi="Arial"/>
                <w:sz w:val="18"/>
                <w:szCs w:val="18"/>
                <w:color w:val="auto"/>
              </w:rPr>
              <w:t>Conversion of convertible notes into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2,511</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-2776855</wp:posOffset>
            </wp:positionV>
            <wp:extent cx="5160010" cy="144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-2216785</wp:posOffset>
            </wp:positionV>
            <wp:extent cx="5160010" cy="169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60010" cy="1695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03" w:name="page204"/>
    <w:bookmarkEnd w:id="2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8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83"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65"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year ended December 31, 2011 and for the cumulative period from inception until December 31, 2011, the Company incurred net losses of $7.5 million and $37.4 million, respectively.</w:t>
      </w:r>
    </w:p>
    <w:p>
      <w:pPr>
        <w:spacing w:after="0" w:line="66" w:lineRule="exact"/>
        <w:rPr>
          <w:sz w:val="20"/>
          <w:szCs w:val="20"/>
          <w:color w:val="auto"/>
        </w:rPr>
      </w:pPr>
    </w:p>
    <w:p>
      <w:pPr>
        <w:jc w:val="both"/>
        <w:ind w:left="40" w:right="619" w:firstLine="267"/>
        <w:spacing w:after="0" w:line="250" w:lineRule="auto"/>
        <w:rPr>
          <w:sz w:val="20"/>
          <w:szCs w:val="20"/>
          <w:color w:val="auto"/>
        </w:rPr>
      </w:pPr>
      <w:r>
        <w:rPr>
          <w:rFonts w:ascii="Arial" w:cs="Arial" w:eastAsia="Arial" w:hAnsi="Arial"/>
          <w:sz w:val="18"/>
          <w:szCs w:val="18"/>
          <w:color w:val="auto"/>
        </w:rPr>
        <w:t>In July 2011, the Company raised an aggregate amount of $2.5 million through the issuance of convertible notes (“Convertible Notes”) in a private placement. On December 1, 2011, the Company raised additional $0.85 million through the issuance of 817,303 additional shares of common stock (“December 2011 financing”). In connection with the December 2011 financing, all Convertible Notes (and accrued interest) were converted into 2,671,026 shares of common stock. In February 2012, the Company entered into agreements with holders (the “Holders”) of certain of its outstanding Special Bridge and Conversion Warrants, pursuant to which the Holders exercised warrants to purchase 3,828,993 shares of our common stock for aggregate proceeds of $3.6 million (“February 2012 warrant exercise”). In addition, certain Holders were granted additional warrants to purchase 2,660,922 shares of common stock of the Company, at an exercise price of $1.76 per share. The total issuance costs were $65 thousand. See also Note 17.</w:t>
      </w:r>
    </w:p>
    <w:p>
      <w:pPr>
        <w:spacing w:after="0" w:line="200" w:lineRule="exact"/>
        <w:rPr>
          <w:sz w:val="20"/>
          <w:szCs w:val="20"/>
          <w:color w:val="auto"/>
        </w:rPr>
      </w:pPr>
    </w:p>
    <w:p>
      <w:pPr>
        <w:spacing w:after="0" w:line="34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04" w:name="page205"/>
    <w:bookmarkEnd w:id="2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 — General – (continued)</w:t>
      </w:r>
    </w:p>
    <w:p>
      <w:pPr>
        <w:spacing w:after="0" w:line="1"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Company believes that following the February 2012 warrant exercise, its current cash levels will be sufficient to support its activity into the fourth quarter of 2012. On March 13, 2012, the Company entered into an agreement and Plan of Merger Agreement (“Merger Agreement”), pursuant to which Innovate/Protect, Inc. (“I/P”) will merge with and into VIP Merger Sub, Inc.,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See description in Note 17.</w:t>
      </w:r>
    </w:p>
    <w:p>
      <w:pPr>
        <w:spacing w:after="0" w:line="6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2011, approximately $303 thousand of the Company’s net assets were located outside of the United States.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or “$”). Therefore, the dollar has been determined to be the Company’s functional currency. 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 At December 31, 2011, the exchange rate was $1 = NIS 3.821 (December 31, 2010 — $1 = NIS 3.549). The average exchange rate for the year ended December 31, 2011 was $1 = 3.578 NIS (December 31, 2010 — $1 = NIS 3.733).</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reporting period. Actual results may differ from such estimates. Significant items subject to such estimates and assumptions include timing and realization of deferred tax assets and liabilities, allowances for doubtful accounts, valuation of convertible preferred and common stock, warrants and</w:t>
      </w:r>
    </w:p>
    <w:p>
      <w:pPr>
        <w:spacing w:after="0" w:line="200" w:lineRule="exact"/>
        <w:rPr>
          <w:sz w:val="20"/>
          <w:szCs w:val="20"/>
          <w:color w:val="auto"/>
        </w:rPr>
      </w:pPr>
    </w:p>
    <w:p>
      <w:pPr>
        <w:spacing w:after="0" w:line="2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05" w:name="page206"/>
    <w:bookmarkEnd w:id="20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60" w:right="619"/>
        <w:spacing w:after="0" w:line="270" w:lineRule="auto"/>
        <w:rPr>
          <w:sz w:val="20"/>
          <w:szCs w:val="20"/>
          <w:color w:val="auto"/>
        </w:rPr>
      </w:pPr>
      <w:r>
        <w:rPr>
          <w:rFonts w:ascii="Arial" w:cs="Arial" w:eastAsia="Arial" w:hAnsi="Arial"/>
          <w:sz w:val="18"/>
          <w:szCs w:val="18"/>
          <w:color w:val="auto"/>
        </w:rPr>
        <w:t>derivative instruments, share-based payments, warrants, income tax uncertainties and other contingencies. The current economic environment has increased the degree of uncertainty inherent in those estimates and assumptions.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114"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For the purpose of these financial statements, all highly liquid investments with original maturities of three months or less are considered cash equivalents.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 Accounts receivables and allowance for doubtful accounts</w:t>
      </w:r>
    </w:p>
    <w:p>
      <w:pPr>
        <w:spacing w:after="0" w:line="114"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December 31, 2011 neither write-offs, nor provision for doubtful accounts for was created. The Company does not have any significant off-balance-sheet credit exposure related to its customers.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 Derivative instruments</w:t>
      </w:r>
    </w:p>
    <w:p>
      <w:pPr>
        <w:spacing w:after="0" w:line="114"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The Company recognizes all derivative instruments as either assets or liabilities in the balance sheet at their respective fair values. The Company’s derivative instruments include a Special Bridge Warrant and a Conversion Warrant which have been recorded as a liability, at fair value, and are revalued at each reporting date, with changes in the fair value of the instruments included in the statement of operations as non-operating income or expense.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114" w:lineRule="exact"/>
        <w:rPr>
          <w:sz w:val="20"/>
          <w:szCs w:val="20"/>
          <w:color w:val="auto"/>
        </w:rPr>
      </w:pPr>
    </w:p>
    <w:p>
      <w:pPr>
        <w:jc w:val="both"/>
        <w:ind w:left="60" w:right="619" w:firstLine="267"/>
        <w:spacing w:after="0" w:line="282" w:lineRule="auto"/>
        <w:rPr>
          <w:sz w:val="20"/>
          <w:szCs w:val="20"/>
          <w:color w:val="auto"/>
        </w:rPr>
      </w:pPr>
      <w:r>
        <w:rPr>
          <w:rFonts w:ascii="Arial" w:cs="Arial" w:eastAsia="Arial" w:hAnsi="Arial"/>
          <w:sz w:val="17"/>
          <w:szCs w:val="17"/>
          <w:color w:val="auto"/>
        </w:rPr>
        <w:t>Property and equipment is stated at historical cost, net of accumulated depreciation. Depreciation is calculated according to the straight-line method over the estimated useful lives of the assets. Annual depreciation rates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47015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r>
      <w:tr>
        <w:trPr>
          <w:trHeight w:val="207"/>
        </w:trPr>
        <w:tc>
          <w:tcPr>
            <w:tcW w:w="6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Office furniture and equipment</w:t>
            </w:r>
          </w:p>
        </w:tc>
        <w:tc>
          <w:tcPr>
            <w:tcW w:w="98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7 – 33</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Computers and related equipment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33</w:t>
            </w: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114"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Revenue from subscription services and software development and licenses is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SAB Topic 13.A.3.f. As these up-front fees relate to the hosting of the service over a period of the contract, the Company recognizes these up-front fees over the life time of the contract. According to ASU 2009-13, Revenue Recognition (Topic 605), which was early-adopted by the Company in 2009, the Company uses management’s best estimate of selling price for individual elements in multiple-element arrangements, where other sources of evidence are unavailable.</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06" w:name="page207"/>
    <w:bookmarkEnd w:id="2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99" w:lineRule="auto"/>
        <w:rPr>
          <w:sz w:val="20"/>
          <w:szCs w:val="20"/>
          <w:color w:val="auto"/>
        </w:rPr>
      </w:pPr>
      <w:r>
        <w:rPr>
          <w:rFonts w:ascii="Arial" w:cs="Arial" w:eastAsia="Arial" w:hAnsi="Arial"/>
          <w:sz w:val="18"/>
          <w:szCs w:val="18"/>
          <w:b w:val="1"/>
          <w:bCs w:val="1"/>
          <w:color w:val="auto"/>
        </w:rPr>
        <w:t xml:space="preserve">NOTES TO CONSOLIDATED FINANCIAL STATEMENTS Note 2 — Significant Accounting and Reporting Policies – (continued) </w:t>
      </w:r>
      <w:r>
        <w:rPr>
          <w:rFonts w:ascii="Arial" w:cs="Arial" w:eastAsia="Arial" w:hAnsi="Arial"/>
          <w:sz w:val="18"/>
          <w:szCs w:val="18"/>
          <w:b w:val="1"/>
          <w:bCs w:val="1"/>
          <w:i w:val="1"/>
          <w:iCs w:val="1"/>
          <w:color w:val="auto"/>
        </w:rPr>
        <w:t>(j) Cost of revenue</w:t>
      </w:r>
    </w:p>
    <w:p>
      <w:pPr>
        <w:spacing w:after="0" w:line="1"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Cost of revenue consists primarily of direct costs that the Company pays to third parties in order to operate its products in launched markets. These expenses include the costs associated with production servers serving the end-users, royalty fees for content sales, amortization of prepaid content licenses.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 Research and development</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Research and development expenses are expensed as incurred and consist primarily of payroll and facilities charges associated with the research, development and integration of our current and future products.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 Advertising and Promotional costs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We expense advertising and promotional costs in the period in which they are incurred. For the years ended December 31, 2011, 2010, and cumulative from inception till December 31, 2011, advertising and promotional expenses totaled approximately $271 thousand, $141 thousand, and $923 thousand, respectively.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 Accounting for share-based payments</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Share-based payment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 Income taxes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76" w:lineRule="exact"/>
        <w:rPr>
          <w:sz w:val="20"/>
          <w:szCs w:val="20"/>
          <w:color w:val="auto"/>
        </w:rPr>
      </w:pPr>
    </w:p>
    <w:p>
      <w:pPr>
        <w:jc w:val="both"/>
        <w:ind w:left="40" w:right="639" w:firstLine="267"/>
        <w:spacing w:after="0" w:line="252"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86"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200" w:lineRule="exact"/>
        <w:rPr>
          <w:sz w:val="20"/>
          <w:szCs w:val="20"/>
          <w:color w:val="auto"/>
        </w:rPr>
      </w:pPr>
    </w:p>
    <w:p>
      <w:pPr>
        <w:spacing w:after="0" w:line="31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07" w:name="page208"/>
    <w:bookmarkEnd w:id="20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 Reverse stock split</w:t>
      </w:r>
    </w:p>
    <w:p>
      <w:pPr>
        <w:spacing w:after="0" w:line="114"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On June 21, 2010, immediately prior to the closing of the IPO,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 share amounts retroactively reflect the reverse stock split, unless otherwise indicated.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 Net loss per share data</w:t>
      </w:r>
    </w:p>
    <w:p>
      <w:pPr>
        <w:spacing w:after="0" w:line="114"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the effect of such shares is anti-dilutive.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Cumulative</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9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from inception</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to December 31,</w:t>
            </w:r>
          </w:p>
        </w:tc>
        <w:tc>
          <w:tcPr>
            <w:tcW w:w="0" w:type="dxa"/>
            <w:vAlign w:val="bottom"/>
          </w:tcPr>
          <w:p>
            <w:pPr>
              <w:spacing w:after="0"/>
              <w:rPr>
                <w:sz w:val="1"/>
                <w:szCs w:val="1"/>
                <w:color w:val="auto"/>
              </w:rPr>
            </w:pPr>
          </w:p>
        </w:tc>
      </w:tr>
      <w:tr>
        <w:trPr>
          <w:trHeight w:val="23"/>
        </w:trPr>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gridSpan w:val="2"/>
            <w:vMerge w:val="restart"/>
          </w:tcPr>
          <w:p>
            <w:pPr>
              <w:jc w:val="center"/>
              <w:ind w:left="194"/>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0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8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320" w:type="dxa"/>
            <w:vAlign w:val="bottom"/>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rPr>
                <w:sz w:val="17"/>
                <w:szCs w:val="17"/>
                <w:color w:val="auto"/>
              </w:rPr>
            </w:pPr>
          </w:p>
        </w:tc>
        <w:tc>
          <w:tcPr>
            <w:tcW w:w="3100" w:type="dxa"/>
            <w:vAlign w:val="bottom"/>
            <w:gridSpan w:val="8"/>
          </w:tcPr>
          <w:p>
            <w:pPr>
              <w:jc w:val="right"/>
              <w:ind w:right="220"/>
              <w:spacing w:after="0"/>
              <w:rPr>
                <w:sz w:val="20"/>
                <w:szCs w:val="20"/>
                <w:color w:val="auto"/>
              </w:rPr>
            </w:pPr>
            <w:r>
              <w:rPr>
                <w:rFonts w:ascii="Arial" w:cs="Arial" w:eastAsia="Arial" w:hAnsi="Arial"/>
                <w:sz w:val="14"/>
                <w:szCs w:val="14"/>
                <w:color w:val="auto"/>
                <w:w w:val="95"/>
              </w:rPr>
              <w:t>(in thousands, except share and per share data)</w:t>
            </w:r>
          </w:p>
        </w:tc>
        <w:tc>
          <w:tcPr>
            <w:tcW w:w="0" w:type="dxa"/>
            <w:vAlign w:val="bottom"/>
          </w:tcPr>
          <w:p>
            <w:pPr>
              <w:spacing w:after="0"/>
              <w:rPr>
                <w:sz w:val="1"/>
                <w:szCs w:val="1"/>
                <w:color w:val="auto"/>
              </w:rPr>
            </w:pPr>
          </w:p>
        </w:tc>
      </w:tr>
      <w:tr>
        <w:trPr>
          <w:trHeight w:val="220"/>
        </w:trPr>
        <w:tc>
          <w:tcPr>
            <w:tcW w:w="43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Numerator:</w:t>
            </w:r>
          </w:p>
        </w:tc>
        <w:tc>
          <w:tcPr>
            <w:tcW w:w="80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line="200" w:lineRule="exact"/>
              <w:rPr>
                <w:sz w:val="20"/>
                <w:szCs w:val="20"/>
                <w:color w:val="auto"/>
              </w:rPr>
            </w:pPr>
            <w:r>
              <w:rPr>
                <w:rFonts w:ascii="Arial" w:cs="Arial" w:eastAsia="Arial" w:hAnsi="Arial"/>
                <w:sz w:val="18"/>
                <w:szCs w:val="18"/>
                <w:color w:val="auto"/>
              </w:rPr>
              <w:t>Net loss attributable to common stock shares</w:t>
            </w:r>
          </w:p>
        </w:tc>
        <w:tc>
          <w:tcPr>
            <w:tcW w:w="840" w:type="dxa"/>
            <w:vAlign w:val="bottom"/>
            <w:gridSpan w:val="2"/>
          </w:tcPr>
          <w:p>
            <w:pPr>
              <w:jc w:val="right"/>
              <w:ind w:right="40"/>
              <w:spacing w:after="0" w:line="200" w:lineRule="exact"/>
              <w:rPr>
                <w:sz w:val="20"/>
                <w:szCs w:val="20"/>
                <w:color w:val="auto"/>
              </w:rPr>
            </w:pPr>
            <w:r>
              <w:rPr>
                <w:rFonts w:ascii="Arial" w:cs="Arial" w:eastAsia="Arial" w:hAnsi="Arial"/>
                <w:sz w:val="18"/>
                <w:szCs w:val="18"/>
                <w:b w:val="1"/>
                <w:bCs w:val="1"/>
                <w:color w:val="auto"/>
              </w:rPr>
              <w:t>(7,479)</w:t>
            </w:r>
          </w:p>
        </w:tc>
        <w:tc>
          <w:tcPr>
            <w:tcW w:w="1080" w:type="dxa"/>
            <w:vAlign w:val="bottom"/>
            <w:gridSpan w:val="3"/>
          </w:tcPr>
          <w:p>
            <w:pPr>
              <w:jc w:val="right"/>
              <w:ind w:right="40"/>
              <w:spacing w:after="0" w:line="200" w:lineRule="exact"/>
              <w:rPr>
                <w:sz w:val="20"/>
                <w:szCs w:val="20"/>
                <w:color w:val="auto"/>
              </w:rPr>
            </w:pPr>
            <w:r>
              <w:rPr>
                <w:rFonts w:ascii="Arial" w:cs="Arial" w:eastAsia="Arial" w:hAnsi="Arial"/>
                <w:sz w:val="18"/>
                <w:szCs w:val="18"/>
                <w:color w:val="auto"/>
              </w:rPr>
              <w:t>(9,942)</w:t>
            </w:r>
          </w:p>
        </w:tc>
        <w:tc>
          <w:tcPr>
            <w:tcW w:w="1180" w:type="dxa"/>
            <w:vAlign w:val="bottom"/>
            <w:gridSpan w:val="3"/>
          </w:tcPr>
          <w:p>
            <w:pPr>
              <w:jc w:val="right"/>
              <w:ind w:right="80"/>
              <w:spacing w:after="0" w:line="200" w:lineRule="exact"/>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Denominator:</w:t>
            </w: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20" w:type="dxa"/>
            <w:vAlign w:val="bottom"/>
          </w:tcPr>
          <w:p>
            <w:pPr>
              <w:ind w:left="20"/>
              <w:spacing w:after="0" w:line="200" w:lineRule="exact"/>
              <w:rPr>
                <w:sz w:val="20"/>
                <w:szCs w:val="20"/>
                <w:color w:val="auto"/>
              </w:rPr>
            </w:pPr>
            <w:r>
              <w:rPr>
                <w:rFonts w:ascii="Arial" w:cs="Arial" w:eastAsia="Arial" w:hAnsi="Arial"/>
                <w:sz w:val="18"/>
                <w:szCs w:val="18"/>
                <w:color w:val="auto"/>
              </w:rPr>
              <w:t>Weighted average number of common stock shares</w:t>
            </w:r>
          </w:p>
        </w:tc>
        <w:tc>
          <w:tcPr>
            <w:tcW w:w="840" w:type="dxa"/>
            <w:vAlign w:val="bottom"/>
            <w:gridSpan w:val="2"/>
          </w:tcPr>
          <w:p>
            <w:pPr>
              <w:jc w:val="right"/>
              <w:ind w:right="40"/>
              <w:spacing w:after="0" w:line="200" w:lineRule="exact"/>
              <w:rPr>
                <w:sz w:val="20"/>
                <w:szCs w:val="20"/>
                <w:color w:val="auto"/>
              </w:rPr>
            </w:pPr>
            <w:r>
              <w:rPr>
                <w:rFonts w:ascii="Arial" w:cs="Arial" w:eastAsia="Arial" w:hAnsi="Arial"/>
                <w:sz w:val="18"/>
                <w:szCs w:val="18"/>
                <w:b w:val="1"/>
                <w:bCs w:val="1"/>
                <w:color w:val="auto"/>
                <w:w w:val="97"/>
              </w:rPr>
              <w:t>6,241,048</w:t>
            </w:r>
          </w:p>
        </w:tc>
        <w:tc>
          <w:tcPr>
            <w:tcW w:w="108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2,958,568</w:t>
            </w:r>
          </w:p>
        </w:tc>
        <w:tc>
          <w:tcPr>
            <w:tcW w:w="118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1,797,582</w:t>
            </w:r>
          </w:p>
        </w:tc>
        <w:tc>
          <w:tcPr>
            <w:tcW w:w="0" w:type="dxa"/>
            <w:vAlign w:val="bottom"/>
          </w:tcPr>
          <w:p>
            <w:pPr>
              <w:spacing w:after="0"/>
              <w:rPr>
                <w:sz w:val="1"/>
                <w:szCs w:val="1"/>
                <w:color w:val="auto"/>
              </w:rPr>
            </w:pPr>
          </w:p>
        </w:tc>
      </w:tr>
      <w:tr>
        <w:trPr>
          <w:trHeight w:val="227"/>
        </w:trPr>
        <w:tc>
          <w:tcPr>
            <w:tcW w:w="4320" w:type="dxa"/>
            <w:vAlign w:val="bottom"/>
          </w:tcPr>
          <w:p>
            <w:pPr>
              <w:ind w:left="180"/>
              <w:spacing w:after="0"/>
              <w:rPr>
                <w:sz w:val="20"/>
                <w:szCs w:val="20"/>
                <w:color w:val="auto"/>
              </w:rPr>
            </w:pPr>
            <w:r>
              <w:rPr>
                <w:rFonts w:ascii="Arial" w:cs="Arial" w:eastAsia="Arial" w:hAnsi="Arial"/>
                <w:sz w:val="18"/>
                <w:szCs w:val="18"/>
                <w:color w:val="auto"/>
              </w:rPr>
              <w:t>outstanding during the period (basic and diluted)</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Weighted average number of penny stock options and</w:t>
            </w:r>
          </w:p>
        </w:tc>
        <w:tc>
          <w:tcPr>
            <w:tcW w:w="84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b w:val="1"/>
                <w:bCs w:val="1"/>
                <w:color w:val="auto"/>
              </w:rPr>
              <w:t>131,611</w:t>
            </w:r>
          </w:p>
        </w:tc>
        <w:tc>
          <w:tcPr>
            <w:tcW w:w="108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195,921</w:t>
            </w:r>
          </w:p>
        </w:tc>
        <w:tc>
          <w:tcPr>
            <w:tcW w:w="1180" w:type="dxa"/>
            <w:vAlign w:val="bottom"/>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55,495</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warrants (basic and diluted)</w:t>
            </w:r>
          </w:p>
        </w:tc>
        <w:tc>
          <w:tcPr>
            <w:tcW w:w="800" w:type="dxa"/>
            <w:vAlign w:val="bottom"/>
            <w:tcBorders>
              <w:bottom w:val="single" w:sz="8" w:color="auto"/>
            </w:tcBorders>
            <w:shd w:val="clear" w:color="auto" w:fill="CCFFCC"/>
          </w:tcPr>
          <w:p>
            <w:pPr>
              <w:spacing w:after="0"/>
              <w:rPr>
                <w:sz w:val="19"/>
                <w:szCs w:val="19"/>
                <w:color w:val="auto"/>
              </w:rPr>
            </w:pPr>
          </w:p>
        </w:tc>
        <w:tc>
          <w:tcPr>
            <w:tcW w:w="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highlight w:val="white"/>
                <w:w w:val="90"/>
              </w:rPr>
              <w:t>Basic and diluted shares of common stock outstanding</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6,372,659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3,154,489</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1,853,077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20" w:type="dxa"/>
            <w:vAlign w:val="bottom"/>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rPr>
              <w:t>Basic and diluted net losses per share of</w:t>
            </w:r>
          </w:p>
        </w:tc>
        <w:tc>
          <w:tcPr>
            <w:tcW w:w="800" w:type="dxa"/>
            <w:vAlign w:val="bottom"/>
            <w:shd w:val="clear" w:color="auto" w:fill="CCFFCC"/>
          </w:tcPr>
          <w:p>
            <w:pPr>
              <w:jc w:val="right"/>
              <w:spacing w:after="0" w:line="189" w:lineRule="exact"/>
              <w:rPr>
                <w:sz w:val="20"/>
                <w:szCs w:val="20"/>
                <w:color w:val="auto"/>
              </w:rPr>
            </w:pPr>
            <w:r>
              <w:rPr>
                <w:rFonts w:ascii="Arial" w:cs="Arial" w:eastAsia="Arial" w:hAnsi="Arial"/>
                <w:sz w:val="18"/>
                <w:szCs w:val="18"/>
                <w:b w:val="1"/>
                <w:bCs w:val="1"/>
                <w:color w:val="auto"/>
              </w:rPr>
              <w:t>(1.17)</w:t>
            </w:r>
          </w:p>
        </w:tc>
        <w:tc>
          <w:tcPr>
            <w:tcW w:w="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40"/>
              <w:spacing w:after="0" w:line="189" w:lineRule="exact"/>
              <w:rPr>
                <w:sz w:val="20"/>
                <w:szCs w:val="20"/>
                <w:color w:val="auto"/>
              </w:rPr>
            </w:pPr>
            <w:r>
              <w:rPr>
                <w:rFonts w:ascii="Arial" w:cs="Arial" w:eastAsia="Arial" w:hAnsi="Arial"/>
                <w:sz w:val="18"/>
                <w:szCs w:val="18"/>
                <w:color w:val="auto"/>
              </w:rPr>
              <w:t>(3.15)</w:t>
            </w:r>
          </w:p>
        </w:tc>
        <w:tc>
          <w:tcPr>
            <w:tcW w:w="1180" w:type="dxa"/>
            <w:vAlign w:val="bottom"/>
            <w:gridSpan w:val="3"/>
            <w:shd w:val="clear" w:color="auto" w:fill="CCFFCC"/>
          </w:tcPr>
          <w:p>
            <w:pPr>
              <w:jc w:val="right"/>
              <w:ind w:right="80"/>
              <w:spacing w:after="0" w:line="189" w:lineRule="exact"/>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2"/>
        </w:trPr>
        <w:tc>
          <w:tcPr>
            <w:tcW w:w="43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Borders>
              <w:bottom w:val="single" w:sz="8" w:color="auto"/>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-457835</wp:posOffset>
            </wp:positionV>
            <wp:extent cx="1016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-457835</wp:posOffset>
            </wp:positionV>
            <wp:extent cx="135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-457835</wp:posOffset>
            </wp:positionV>
            <wp:extent cx="16954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69545" cy="8255"/>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-457835</wp:posOffset>
            </wp:positionV>
            <wp:extent cx="850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 Long lived assets</w:t>
      </w:r>
    </w:p>
    <w:p>
      <w:pPr>
        <w:spacing w:after="0" w:line="114"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08" w:name="page209"/>
    <w:bookmarkEnd w:id="2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the carrying value exceeds its fair value. Fair value is to be determined through various valuation techniques including discounted cash flow models, quoted market values and third-party independent appraisals, as considered necessary.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 Commitments and Contingencies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Liabilities for loss contingencies arising from assessments, estimates or other sources are to be recorded when it is probable that a liability has been incurred and the amount can be reasonably estimated.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Fair value measurements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2" w:lineRule="exact"/>
        <w:rPr>
          <w:sz w:val="20"/>
          <w:szCs w:val="20"/>
          <w:color w:val="auto"/>
        </w:rPr>
      </w:pPr>
    </w:p>
    <w:p>
      <w:pPr>
        <w:jc w:val="both"/>
        <w:ind w:left="320" w:right="639" w:firstLine="267"/>
        <w:spacing w:after="0" w:line="275"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Unadjusted quoted prices in active markets for identical assets or liabilities accessible to the reporting entity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60" w:lineRule="exact"/>
        <w:rPr>
          <w:sz w:val="20"/>
          <w:szCs w:val="20"/>
          <w:color w:val="auto"/>
        </w:rPr>
      </w:pPr>
    </w:p>
    <w:p>
      <w:pPr>
        <w:jc w:val="both"/>
        <w:ind w:left="320" w:right="639" w:firstLine="267"/>
        <w:spacing w:after="0" w:line="275"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Other than quoted prices included in Level 1 inputs that are observable for the asset or liability,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for substantially the full term of the asset or liability.</w:t>
      </w:r>
    </w:p>
    <w:p>
      <w:pPr>
        <w:spacing w:after="0" w:line="60" w:lineRule="exact"/>
        <w:rPr>
          <w:sz w:val="20"/>
          <w:szCs w:val="20"/>
          <w:color w:val="auto"/>
        </w:rPr>
      </w:pPr>
    </w:p>
    <w:p>
      <w:pPr>
        <w:jc w:val="both"/>
        <w:ind w:left="320" w:right="639" w:firstLine="267"/>
        <w:spacing w:after="0" w:line="261"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Unobservable inputs for the asset or liability used to measure fair value to the extent that observable inputs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available, thereby allowing for situations in which there is little, if any, market activity for the asset or liability at measurement date.</w:t>
      </w:r>
    </w:p>
    <w:p>
      <w:pPr>
        <w:spacing w:after="0" w:line="77"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 Recently issued and adopted accounting standards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will implement the provisions of ASU 2011-11 as of January 1, 2013. The impact on our financial statements is believed to be immaterial.</w:t>
      </w:r>
    </w:p>
    <w:p>
      <w:pPr>
        <w:spacing w:after="0" w:line="103" w:lineRule="exact"/>
        <w:rPr>
          <w:sz w:val="20"/>
          <w:szCs w:val="20"/>
          <w:color w:val="auto"/>
        </w:rPr>
      </w:pPr>
    </w:p>
    <w:p>
      <w:pPr>
        <w:ind w:left="300" w:hanging="255"/>
        <w:spacing w:after="0"/>
        <w:tabs>
          <w:tab w:leader="none" w:pos="30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w:t>
      </w:r>
    </w:p>
    <w:p>
      <w:pPr>
        <w:spacing w:after="0" w:line="113" w:lineRule="exact"/>
        <w:rPr>
          <w:rFonts w:ascii="Arial" w:cs="Arial" w:eastAsia="Arial" w:hAnsi="Arial"/>
          <w:sz w:val="18"/>
          <w:szCs w:val="18"/>
          <w:b w:val="1"/>
          <w:bCs w:val="1"/>
          <w:i w:val="1"/>
          <w:iCs w:val="1"/>
          <w:color w:val="auto"/>
        </w:rPr>
      </w:pPr>
    </w:p>
    <w:p>
      <w:pPr>
        <w:ind w:left="3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Certain balances have been reclassified to conform to current year presentation.</w:t>
      </w:r>
    </w:p>
    <w:p>
      <w:pPr>
        <w:spacing w:after="0" w:line="200" w:lineRule="exact"/>
        <w:rPr>
          <w:sz w:val="20"/>
          <w:szCs w:val="20"/>
          <w:color w:val="auto"/>
        </w:rPr>
      </w:pPr>
    </w:p>
    <w:p>
      <w:pPr>
        <w:spacing w:after="0" w:line="36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09" w:name="page210"/>
    <w:bookmarkEnd w:id="20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46" w:lineRule="auto"/>
        <w:rPr>
          <w:sz w:val="20"/>
          <w:szCs w:val="20"/>
          <w:color w:val="auto"/>
        </w:rPr>
      </w:pPr>
      <w:r>
        <w:rPr>
          <w:rFonts w:ascii="Arial" w:cs="Arial" w:eastAsia="Arial" w:hAnsi="Arial"/>
          <w:sz w:val="18"/>
          <w:szCs w:val="18"/>
          <w:b w:val="1"/>
          <w:bCs w:val="1"/>
          <w:color w:val="auto"/>
        </w:rPr>
        <w:t>NOTES TO CONSOLIDATED FINANCIAL STATEMENTS Note 3 —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24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4"/>
        </w:trPr>
        <w:tc>
          <w:tcPr>
            <w:tcW w:w="5720" w:type="dxa"/>
            <w:vAlign w:val="bottom"/>
          </w:tcPr>
          <w:p>
            <w:pPr>
              <w:spacing w:after="0"/>
              <w:rPr>
                <w:sz w:val="16"/>
                <w:szCs w:val="16"/>
                <w:color w:val="auto"/>
              </w:rPr>
            </w:pPr>
          </w:p>
        </w:tc>
        <w:tc>
          <w:tcPr>
            <w:tcW w:w="920" w:type="dxa"/>
            <w:vAlign w:val="bottom"/>
          </w:tcPr>
          <w:p>
            <w:pPr>
              <w:jc w:val="center"/>
              <w:ind w:left="78"/>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c>
          <w:tcPr>
            <w:tcW w:w="106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779</w:t>
            </w:r>
          </w:p>
        </w:tc>
        <w:tc>
          <w:tcPr>
            <w:tcW w:w="160" w:type="dxa"/>
            <w:vAlign w:val="bottom"/>
            <w:tcBorders>
              <w:left w:val="single" w:sz="8" w:color="CCFFCC"/>
            </w:tcBorders>
            <w:shd w:val="clear" w:color="auto" w:fill="CCFFCC"/>
          </w:tcPr>
          <w:p>
            <w:pPr>
              <w:spacing w:after="0"/>
              <w:rPr>
                <w:sz w:val="19"/>
                <w:szCs w:val="19"/>
                <w:color w:val="auto"/>
              </w:rPr>
            </w:pPr>
          </w:p>
        </w:tc>
        <w:tc>
          <w:tcPr>
            <w:tcW w:w="134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Cash equivalents (money market funds)</w:t>
            </w:r>
          </w:p>
        </w:tc>
        <w:tc>
          <w:tcPr>
            <w:tcW w:w="108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4"/>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 currency other than U.S. dollars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411</w:t>
            </w:r>
          </w:p>
        </w:tc>
        <w:tc>
          <w:tcPr>
            <w:tcW w:w="16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7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Note 4 — Prepaid Expenses and Other Current Assets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5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24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4"/>
        </w:trPr>
        <w:tc>
          <w:tcPr>
            <w:tcW w:w="5720" w:type="dxa"/>
            <w:vAlign w:val="bottom"/>
          </w:tcPr>
          <w:p>
            <w:pPr>
              <w:spacing w:after="0"/>
              <w:rPr>
                <w:sz w:val="16"/>
                <w:szCs w:val="16"/>
                <w:color w:val="auto"/>
              </w:rPr>
            </w:pPr>
          </w:p>
        </w:tc>
        <w:tc>
          <w:tcPr>
            <w:tcW w:w="920" w:type="dxa"/>
            <w:vAlign w:val="bottom"/>
          </w:tcPr>
          <w:p>
            <w:pPr>
              <w:jc w:val="center"/>
              <w:ind w:left="78"/>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c>
          <w:tcPr>
            <w:tcW w:w="106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Government institutions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tcBorders>
              <w:left w:val="single" w:sz="8" w:color="CCFFCC"/>
            </w:tcBorders>
            <w:shd w:val="clear" w:color="auto" w:fill="CCFFCC"/>
          </w:tcPr>
          <w:p>
            <w:pPr>
              <w:spacing w:after="0"/>
              <w:rPr>
                <w:sz w:val="19"/>
                <w:szCs w:val="19"/>
                <w:color w:val="auto"/>
              </w:rPr>
            </w:pPr>
          </w:p>
        </w:tc>
        <w:tc>
          <w:tcPr>
            <w:tcW w:w="11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left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Prepaid expenses and others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7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187</w:t>
            </w:r>
          </w:p>
        </w:tc>
        <w:tc>
          <w:tcPr>
            <w:tcW w:w="160" w:type="dxa"/>
            <w:vAlign w:val="bottom"/>
            <w:tcBorders>
              <w:left w:val="single" w:sz="8" w:color="CCFFCC"/>
            </w:tcBorders>
            <w:shd w:val="clear" w:color="auto" w:fill="CCFFCC"/>
          </w:tcPr>
          <w:p>
            <w:pPr>
              <w:spacing w:after="0"/>
              <w:rPr>
                <w:sz w:val="21"/>
                <w:szCs w:val="21"/>
                <w:color w:val="auto"/>
              </w:rPr>
            </w:pPr>
          </w:p>
        </w:tc>
        <w:tc>
          <w:tcPr>
            <w:tcW w:w="11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left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720" w:type="dxa"/>
            <w:vAlign w:val="bottom"/>
            <w:tcBorders>
              <w:top w:val="single" w:sz="8" w:color="CCFFCC"/>
            </w:tcBorders>
          </w:tcPr>
          <w:p>
            <w:pPr>
              <w:ind w:left="60"/>
              <w:spacing w:after="0"/>
              <w:rPr>
                <w:sz w:val="20"/>
                <w:szCs w:val="20"/>
                <w:color w:val="auto"/>
              </w:rPr>
            </w:pPr>
            <w:r>
              <w:rPr>
                <w:rFonts w:ascii="Arial" w:cs="Arial" w:eastAsia="Arial" w:hAnsi="Arial"/>
                <w:sz w:val="18"/>
                <w:szCs w:val="18"/>
                <w:b w:val="1"/>
                <w:bCs w:val="1"/>
                <w:color w:val="auto"/>
              </w:rPr>
              <w:t>Note 5 — Property and Equipment</w:t>
            </w: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24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4"/>
        </w:trPr>
        <w:tc>
          <w:tcPr>
            <w:tcW w:w="5720" w:type="dxa"/>
            <w:vAlign w:val="bottom"/>
          </w:tcPr>
          <w:p>
            <w:pPr>
              <w:spacing w:after="0"/>
              <w:rPr>
                <w:sz w:val="16"/>
                <w:szCs w:val="16"/>
                <w:color w:val="auto"/>
              </w:rPr>
            </w:pPr>
          </w:p>
        </w:tc>
        <w:tc>
          <w:tcPr>
            <w:tcW w:w="920" w:type="dxa"/>
            <w:vAlign w:val="bottom"/>
          </w:tcPr>
          <w:p>
            <w:pPr>
              <w:jc w:val="center"/>
              <w:ind w:left="78"/>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6"/>
                <w:szCs w:val="16"/>
                <w:color w:val="auto"/>
              </w:rPr>
            </w:pPr>
          </w:p>
        </w:tc>
        <w:tc>
          <w:tcPr>
            <w:tcW w:w="106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Computers, software and equipment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475</w:t>
            </w:r>
          </w:p>
        </w:tc>
        <w:tc>
          <w:tcPr>
            <w:tcW w:w="160" w:type="dxa"/>
            <w:vAlign w:val="bottom"/>
            <w:tcBorders>
              <w:left w:val="single" w:sz="8" w:color="CCFFCC"/>
            </w:tcBorders>
            <w:shd w:val="clear" w:color="auto" w:fill="CCFFCC"/>
          </w:tcPr>
          <w:p>
            <w:pPr>
              <w:spacing w:after="0"/>
              <w:rPr>
                <w:sz w:val="19"/>
                <w:szCs w:val="19"/>
                <w:color w:val="auto"/>
              </w:rPr>
            </w:pPr>
          </w:p>
        </w:tc>
        <w:tc>
          <w:tcPr>
            <w:tcW w:w="11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452</w:t>
            </w:r>
          </w:p>
        </w:tc>
        <w:tc>
          <w:tcPr>
            <w:tcW w:w="200" w:type="dxa"/>
            <w:vAlign w:val="bottom"/>
            <w:tcBorders>
              <w:left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6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81</w:t>
            </w:r>
          </w:p>
        </w:tc>
        <w:tc>
          <w:tcPr>
            <w:tcW w:w="16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w:t>
            </w:r>
          </w:p>
        </w:tc>
        <w:tc>
          <w:tcPr>
            <w:tcW w:w="20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(454)</w:t>
            </w:r>
          </w:p>
        </w:tc>
        <w:tc>
          <w:tcPr>
            <w:tcW w:w="16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(393)</w:t>
            </w:r>
          </w:p>
        </w:tc>
        <w:tc>
          <w:tcPr>
            <w:tcW w:w="20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-2766060</wp:posOffset>
            </wp:positionV>
            <wp:extent cx="5160010" cy="1784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-1535430</wp:posOffset>
            </wp:positionV>
            <wp:extent cx="5160010" cy="336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-457835</wp:posOffset>
            </wp:positionV>
            <wp:extent cx="5160010" cy="144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5160010" cy="1784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-2435225</wp:posOffset>
            </wp:positionV>
            <wp:extent cx="516001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600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-1348740</wp:posOffset>
            </wp:positionV>
            <wp:extent cx="51600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As of December 31, 2011 and 2010, approximately $116 thousand and $138 thousand of the aggregate value of the Company’s net book value of property and equipment was located in Israel, respectively. During the years 2011 and 2010, the Company recorded $61 thousand and $87 thousand of depreciation and amortization expense, respectively, and $454 thousand cumulatively from inception.</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600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As of December 31,</w:t>
            </w:r>
          </w:p>
        </w:tc>
      </w:tr>
      <w:tr>
        <w:trPr>
          <w:trHeight w:val="194"/>
        </w:trPr>
        <w:tc>
          <w:tcPr>
            <w:tcW w:w="572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118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6"/>
                <w:szCs w:val="16"/>
                <w:color w:val="auto"/>
              </w:rPr>
            </w:pPr>
          </w:p>
        </w:tc>
      </w:tr>
      <w:tr>
        <w:trPr>
          <w:trHeight w:val="201"/>
        </w:trPr>
        <w:tc>
          <w:tcPr>
            <w:tcW w:w="572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U.S.$ thousands</w:t>
            </w:r>
          </w:p>
        </w:tc>
      </w:tr>
      <w:tr>
        <w:trPr>
          <w:trHeight w:val="220"/>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428</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403</w:t>
            </w:r>
          </w:p>
        </w:tc>
      </w:tr>
      <w:tr>
        <w:trPr>
          <w:trHeight w:val="214"/>
        </w:trPr>
        <w:tc>
          <w:tcPr>
            <w:tcW w:w="57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r>
      <w:tr>
        <w:trPr>
          <w:trHeight w:val="20"/>
        </w:trPr>
        <w:tc>
          <w:tcPr>
            <w:tcW w:w="5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57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428</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421</w:t>
            </w:r>
          </w:p>
        </w:tc>
      </w:tr>
      <w:tr>
        <w:trPr>
          <w:trHeight w:val="20"/>
        </w:trPr>
        <w:tc>
          <w:tcPr>
            <w:tcW w:w="57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Accrued Severance Pay</w:t>
      </w:r>
    </w:p>
    <w:p>
      <w:pPr>
        <w:spacing w:after="0" w:line="118"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7 — Accrued Severance Pay – (continued)</w:t>
      </w:r>
    </w:p>
    <w:p>
      <w:pPr>
        <w:spacing w:after="0" w:line="1"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recorded severance liability represents special contractual amounts to be paid to our former Chief Executive Officer, upon termination of his respective employment agreement (see Note 17 for subsequent events). There are no statutory or agreed-upon severance arrangements with U.S. employees. Severance pay expense, net, for the current year amounted to $56 thousand (2010 — $168 thousand, cumulative from inception — $1,040 thousand).</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Venture Loan</w:t>
      </w:r>
    </w:p>
    <w:p>
      <w:pPr>
        <w:spacing w:after="0" w:line="118" w:lineRule="exact"/>
        <w:rPr>
          <w:sz w:val="20"/>
          <w:szCs w:val="20"/>
          <w:color w:val="auto"/>
        </w:rPr>
      </w:pPr>
    </w:p>
    <w:p>
      <w:pPr>
        <w:jc w:val="both"/>
        <w:ind w:left="40" w:right="619" w:firstLine="267"/>
        <w:spacing w:after="0" w:line="300" w:lineRule="auto"/>
        <w:rPr>
          <w:sz w:val="20"/>
          <w:szCs w:val="20"/>
          <w:color w:val="auto"/>
        </w:rPr>
      </w:pPr>
      <w:r>
        <w:rPr>
          <w:rFonts w:ascii="Arial" w:cs="Arial" w:eastAsia="Arial" w:hAnsi="Arial"/>
          <w:sz w:val="17"/>
          <w:szCs w:val="17"/>
          <w:color w:val="auto"/>
        </w:rPr>
        <w:t>On September 24, 2008, the Company drew-down on a venture loan in the total amount of $5 million. As a result of the draw-down, the Company issued to the lenders warrants to purchase 152,602 shares of series B convertible preferred stock.</w:t>
      </w:r>
    </w:p>
    <w:p>
      <w:pPr>
        <w:spacing w:after="0" w:line="46"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On December 29, 2009, the Company entered into a Loan Modification Agreement (the “LMA”) with the lenders of the venture loan pursuant to which principal payments were deferred until the consummation of the IPO. The new facility bore an interest rate of 9.5% per annum with an effective interest rate of 18%. In connection with the LMA, the original warrants previously issued to the lenders were terminated and the Company issued the lenders new warrants (“Senior Lenders Warrants”) to purchase 250,000 shares of common stock, at an exercise price of $2.75 per share. In exchange, the lenders granted the Company a six month moratorium on principal payments for the venture loan and extended the repayment period for one year until March 2013. After the principal moratorium, under the modified bank repayment terms, the principal and interest were repaid in monthly payments of $142 thousand each.</w:t>
      </w:r>
    </w:p>
    <w:p>
      <w:pPr>
        <w:spacing w:after="0" w:line="8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Senior Lender Warrants were exercisable at any time before the tenth anniversary of the date they were issued. On the date of the LMA,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 The fair value of the loan was assessed using an interest rate of 12%, which represented market conditions for a similar loan.</w:t>
      </w:r>
    </w:p>
    <w:p>
      <w:pPr>
        <w:spacing w:after="0" w:line="7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On June 8, 2011, the Company entered into a Settlement Agreement (the “Settlement Agreement”) with the lenders of the venture loan (the “Lenders”), pursuant to which the Lenders agreed to accept less than the full amount owed to them by the Company. As part of the Settlement Agreement, the Company immediately repaid $331 thousand, and placed an additional $1.051 million as collateral into a restricted account. In addition, the Company issued the Lenders 250,000 shares of its common stock, in exchange for the Senior Lender Warrants, which were cancelled. In July 2011, the Company repaid the outstanding $1.051 million balance of its venture loan, using the funds set aside in the restricted account. The difference between the fair market value of the shares of common stock issued and the fair market value of the cancelled Senior Lender Warrants, amounting to $213 thousand, was recorded in the statement of stockholders’ equity (deficit). In addition, the difference between the carrying value of the loan and the total sum of future payments on the loan, including the above mentioned $213 thousand, net of legal fees, resulted in a gain on restructuring of debt, in the total amount of $963 thousand, recorded in the statements of operations. Basic and diluted per share gain on restructuring of venture loan for the year ended December 31, 2011 is $0.15 (cumulative — $0.52).</w:t>
      </w:r>
    </w:p>
    <w:p>
      <w:pPr>
        <w:spacing w:after="0" w:line="200" w:lineRule="exact"/>
        <w:rPr>
          <w:sz w:val="20"/>
          <w:szCs w:val="20"/>
          <w:color w:val="auto"/>
        </w:rPr>
      </w:pPr>
    </w:p>
    <w:p>
      <w:pPr>
        <w:spacing w:after="0" w:line="30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11" w:name="page212"/>
    <w:bookmarkEnd w:id="21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Venture Loan – (continued)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balance of the venture loan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6"/>
              </w:rPr>
              <w:t>U.S.$ thousands</w:t>
            </w:r>
          </w:p>
        </w:tc>
      </w:tr>
      <w:tr>
        <w:trPr>
          <w:trHeight w:val="207"/>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Loan balance at January 1, 2010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3,703</w:t>
            </w:r>
          </w:p>
        </w:tc>
        <w:tc>
          <w:tcPr>
            <w:tcW w:w="240" w:type="dxa"/>
            <w:vAlign w:val="bottom"/>
            <w:shd w:val="clear" w:color="auto" w:fill="CCFFCC"/>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8"/>
                <w:szCs w:val="18"/>
                <w:color w:val="auto"/>
              </w:rPr>
              <w:t>Loan repayments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(757)</w:t>
            </w:r>
          </w:p>
        </w:tc>
      </w:tr>
      <w:tr>
        <w:trPr>
          <w:trHeight w:val="214"/>
        </w:trPr>
        <w:tc>
          <w:tcPr>
            <w:tcW w:w="62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Amortization of loan discount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Borders>
              <w:bottom w:val="single" w:sz="8" w:color="CCFFCC"/>
            </w:tcBorders>
            <w:shd w:val="clear" w:color="auto" w:fill="CCFFCC"/>
          </w:tcPr>
          <w:p>
            <w:pPr>
              <w:spacing w:after="0"/>
              <w:rPr>
                <w:sz w:val="18"/>
                <w:szCs w:val="18"/>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Loan balance at December 31, 2010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3,173</w:t>
            </w:r>
          </w:p>
        </w:tc>
        <w:tc>
          <w:tcPr>
            <w:tcW w:w="240" w:type="dxa"/>
            <w:vAlign w:val="bottom"/>
          </w:tcPr>
          <w:p>
            <w:pPr>
              <w:spacing w:after="0"/>
              <w:rPr>
                <w:sz w:val="18"/>
                <w:szCs w:val="18"/>
                <w:color w:val="auto"/>
              </w:rPr>
            </w:pPr>
          </w:p>
        </w:tc>
      </w:tr>
      <w:tr>
        <w:trPr>
          <w:trHeight w:val="214"/>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Repayment as per Settlement Agreement</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(1,382)</w:t>
            </w:r>
          </w:p>
        </w:tc>
      </w:tr>
      <w:tr>
        <w:trPr>
          <w:trHeight w:val="214"/>
        </w:trPr>
        <w:tc>
          <w:tcPr>
            <w:tcW w:w="6240" w:type="dxa"/>
            <w:vAlign w:val="bottom"/>
          </w:tcPr>
          <w:p>
            <w:pPr>
              <w:ind w:left="20"/>
              <w:spacing w:after="0"/>
              <w:rPr>
                <w:sz w:val="20"/>
                <w:szCs w:val="20"/>
                <w:color w:val="auto"/>
              </w:rPr>
            </w:pPr>
            <w:r>
              <w:rPr>
                <w:rFonts w:ascii="Arial" w:cs="Arial" w:eastAsia="Arial" w:hAnsi="Arial"/>
                <w:sz w:val="18"/>
                <w:szCs w:val="18"/>
                <w:color w:val="auto"/>
              </w:rPr>
              <w:t>Loan repayments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(713)</w:t>
            </w:r>
          </w:p>
        </w:tc>
      </w:tr>
      <w:tr>
        <w:trPr>
          <w:trHeight w:val="214"/>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loan discount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FFCC"/>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8"/>
                <w:szCs w:val="18"/>
                <w:color w:val="auto"/>
              </w:rPr>
              <w:t>Gain on restructuring of venture loan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(963)</w:t>
            </w:r>
          </w:p>
        </w:tc>
      </w:tr>
      <w:tr>
        <w:trPr>
          <w:trHeight w:val="214"/>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shares in consideration of restructuring of venture loan</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(213)</w:t>
            </w:r>
          </w:p>
        </w:tc>
      </w:tr>
      <w:tr>
        <w:trPr>
          <w:trHeight w:val="20"/>
        </w:trPr>
        <w:tc>
          <w:tcPr>
            <w:tcW w:w="624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Loan balance at December 31, 2011</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-1000760</wp:posOffset>
            </wp:positionV>
            <wp:extent cx="4701540" cy="144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Convertible Notes</w:t>
      </w:r>
    </w:p>
    <w:p>
      <w:pPr>
        <w:spacing w:after="0" w:line="118"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In July, 2011, the Company entered into agreements (“Securities Purchase Agreements”) with selected accredited investors (the “Purchasers”) to sell and issue Convertible Notes in the aggregate amount of $2.5 million. The Convertible Notes were to mature on January 1, 2012 (the “Maturity Date”) unless earlier converted, and bear interest at a rate of 1.25% per annum. Interest on the Convertible Notes is due on the Maturity Date unless earlier converted. The Company’s obligations under the Convertible Notes were secured by a security interest in all of the Company’s assets, including a pledge over the shares of its wholly-owned subsidiary, pursuant to the Security Purchase Agreements.</w:t>
      </w:r>
    </w:p>
    <w:p>
      <w:pPr>
        <w:spacing w:after="0" w:line="71"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color w:val="auto"/>
        </w:rPr>
        <w:t>The Convertible Notes were convertible into shares of common stock at a conversion price equal to the lower of (i) the closing price of the Company’s common stock on the announcement date of the note offering, (ii) the closing price of the Company’s common stock on the closing date of the note offering and (iii) a ten percent (10%) discount to the price at which the securities are sold in the new stock offering. Consummation of a future stock offering, would automatically trigger conversion of the Convertible Notes and any accrued interest into the same securities and contain the same terms (other than the conversion price, which is set forth above) as in the subsequent stock offering.</w:t>
      </w:r>
    </w:p>
    <w:p>
      <w:pPr>
        <w:spacing w:after="0" w:line="86" w:lineRule="exact"/>
        <w:rPr>
          <w:sz w:val="20"/>
          <w:szCs w:val="20"/>
          <w:color w:val="auto"/>
        </w:rPr>
      </w:pPr>
    </w:p>
    <w:p>
      <w:pPr>
        <w:jc w:val="both"/>
        <w:ind w:left="60" w:right="619" w:firstLine="267"/>
        <w:spacing w:after="0" w:line="255" w:lineRule="auto"/>
        <w:rPr>
          <w:sz w:val="20"/>
          <w:szCs w:val="20"/>
          <w:color w:val="auto"/>
        </w:rPr>
      </w:pPr>
      <w:r>
        <w:rPr>
          <w:rFonts w:ascii="Arial" w:cs="Arial" w:eastAsia="Arial" w:hAnsi="Arial"/>
          <w:sz w:val="18"/>
          <w:szCs w:val="18"/>
          <w:color w:val="auto"/>
        </w:rPr>
        <w:t>On December 1, 2011, the Company raised an additional $0.85 million through the issuance of 817,303 additional shares of common stock in a private placement. Pursuant to the December 2011 financing, all Convertible Notes (and accrued interest) were converted into 2,671,026 shares of common stock. The conversion of the Convertible Notes triggered anti-dilution provisions in certain of our outstanding warrants (see Note 11).</w:t>
      </w:r>
    </w:p>
    <w:p>
      <w:pPr>
        <w:spacing w:after="0" w:line="83"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As of the date of the issuance of the Convertible Notes, an amount of $89 thousand was initially allocated to additional paid-in capital in respect of the beneficial conversion feature, with a corresponding discount to the Convertible Notes, to be amortized as interest expense over the repayment period of the Convertible Notes. The December 2011 financing determined the actual conversion price at $0.94. As a result the amount allocated to discount and the beneficial conversion feature was adjusted to $1,269 thousand. The discount was fully amortized to interest expense at conversion; as a result, $1,269 thousand was recorded in the statement of operations, as interest expense.</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2" w:name="page213"/>
    <w:bookmarkEnd w:id="21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10 — Fair Value Measurements</w:t>
      </w:r>
    </w:p>
    <w:p>
      <w:pPr>
        <w:spacing w:after="0" w:line="1" w:lineRule="exact"/>
        <w:rPr>
          <w:sz w:val="20"/>
          <w:szCs w:val="20"/>
          <w:color w:val="auto"/>
        </w:rPr>
      </w:pPr>
    </w:p>
    <w:p>
      <w:pPr>
        <w:jc w:val="both"/>
        <w:ind w:left="60" w:right="619" w:firstLine="267"/>
        <w:spacing w:after="0" w:line="290" w:lineRule="auto"/>
        <w:rPr>
          <w:sz w:val="20"/>
          <w:szCs w:val="20"/>
          <w:color w:val="auto"/>
        </w:rPr>
      </w:pPr>
      <w:r>
        <w:rPr>
          <w:rFonts w:ascii="Arial" w:cs="Arial" w:eastAsia="Arial" w:hAnsi="Arial"/>
          <w:sz w:val="16"/>
          <w:szCs w:val="16"/>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models (as these warrants include a down-round protection clause, see Note 11) which utilize significant inputs that are unobservable in the market such as the expected stock price volatility, dividend yield, probability and timing of the down-round being triggered and the remaining period of time the warrants will be outstanding before they expire.</w:t>
      </w:r>
    </w:p>
    <w:p>
      <w:pPr>
        <w:spacing w:after="0" w:line="56"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presents the placement in the fair value hierarchy of assets and liabilities that are measured at fair value on a recurring basis as of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7015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158"/>
        </w:trPr>
        <w:tc>
          <w:tcPr>
            <w:tcW w:w="238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1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Quoted prices in</w:t>
            </w:r>
          </w:p>
        </w:tc>
        <w:tc>
          <w:tcPr>
            <w:tcW w:w="160" w:type="dxa"/>
            <w:vAlign w:val="bottom"/>
          </w:tcPr>
          <w:p>
            <w:pPr>
              <w:spacing w:after="0"/>
              <w:rPr>
                <w:sz w:val="13"/>
                <w:szCs w:val="13"/>
                <w:color w:val="auto"/>
              </w:rPr>
            </w:pP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r>
      <w:tr>
        <w:trPr>
          <w:trHeight w:val="147"/>
        </w:trPr>
        <w:tc>
          <w:tcPr>
            <w:tcW w:w="2380" w:type="dxa"/>
            <w:vAlign w:val="bottom"/>
          </w:tcPr>
          <w:p>
            <w:pPr>
              <w:spacing w:after="0"/>
              <w:rPr>
                <w:sz w:val="12"/>
                <w:szCs w:val="12"/>
                <w:color w:val="auto"/>
              </w:rPr>
            </w:pPr>
          </w:p>
        </w:tc>
        <w:tc>
          <w:tcPr>
            <w:tcW w:w="1060" w:type="dxa"/>
            <w:vAlign w:val="bottom"/>
            <w:gridSpan w:val="2"/>
          </w:tcPr>
          <w:p>
            <w:pPr>
              <w:jc w:val="center"/>
              <w:ind w:left="218"/>
              <w:spacing w:after="0" w:line="147"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unobservable</w:t>
            </w: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(Level 3)</w:t>
            </w:r>
          </w:p>
        </w:tc>
      </w:tr>
      <w:tr>
        <w:trPr>
          <w:trHeight w:val="170"/>
        </w:trPr>
        <w:tc>
          <w:tcPr>
            <w:tcW w:w="2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1"/>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ind w:left="8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2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r>
      <w:tr>
        <w:trPr>
          <w:trHeight w:val="199"/>
        </w:trPr>
        <w:tc>
          <w:tcPr>
            <w:tcW w:w="2380" w:type="dxa"/>
            <w:vAlign w:val="bottom"/>
          </w:tcPr>
          <w:p>
            <w:pPr>
              <w:ind w:left="20"/>
              <w:spacing w:after="0" w:line="200" w:lineRule="exact"/>
              <w:rPr>
                <w:sz w:val="20"/>
                <w:szCs w:val="20"/>
                <w:color w:val="auto"/>
              </w:rPr>
            </w:pPr>
            <w:r>
              <w:rPr>
                <w:rFonts w:ascii="Arial" w:cs="Arial" w:eastAsia="Arial" w:hAnsi="Arial"/>
                <w:sz w:val="18"/>
                <w:szCs w:val="18"/>
                <w:color w:val="auto"/>
                <w:w w:val="95"/>
              </w:rPr>
              <w:t>Derivative liabilities on account</w:t>
            </w:r>
          </w:p>
        </w:tc>
        <w:tc>
          <w:tcPr>
            <w:tcW w:w="1060" w:type="dxa"/>
            <w:vAlign w:val="bottom"/>
            <w:gridSpan w:val="2"/>
          </w:tcPr>
          <w:p>
            <w:pPr>
              <w:jc w:val="right"/>
              <w:spacing w:after="0" w:line="200" w:lineRule="exact"/>
              <w:rPr>
                <w:sz w:val="20"/>
                <w:szCs w:val="20"/>
                <w:color w:val="auto"/>
              </w:rPr>
            </w:pPr>
            <w:r>
              <w:rPr>
                <w:rFonts w:ascii="Arial" w:cs="Arial" w:eastAsia="Arial" w:hAnsi="Arial"/>
                <w:sz w:val="18"/>
                <w:szCs w:val="18"/>
                <w:b w:val="1"/>
                <w:bCs w:val="1"/>
                <w:color w:val="auto"/>
              </w:rPr>
              <w:t>2,172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ind w:left="660"/>
              <w:spacing w:after="0" w:line="200"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line="200" w:lineRule="exact"/>
              <w:rPr>
                <w:sz w:val="20"/>
                <w:szCs w:val="20"/>
                <w:color w:val="auto"/>
              </w:rPr>
            </w:pPr>
            <w:r>
              <w:rPr>
                <w:rFonts w:ascii="Arial" w:cs="Arial" w:eastAsia="Arial" w:hAnsi="Arial"/>
                <w:sz w:val="18"/>
                <w:szCs w:val="18"/>
                <w:color w:val="auto"/>
              </w:rPr>
              <w:t>2,172</w:t>
            </w:r>
          </w:p>
        </w:tc>
      </w:tr>
      <w:tr>
        <w:trPr>
          <w:trHeight w:val="227"/>
        </w:trPr>
        <w:tc>
          <w:tcPr>
            <w:tcW w:w="2380" w:type="dxa"/>
            <w:vAlign w:val="bottom"/>
          </w:tcPr>
          <w:p>
            <w:pPr>
              <w:ind w:left="180"/>
              <w:spacing w:after="0"/>
              <w:rPr>
                <w:sz w:val="20"/>
                <w:szCs w:val="20"/>
                <w:color w:val="auto"/>
              </w:rPr>
            </w:pPr>
            <w:r>
              <w:rPr>
                <w:rFonts w:ascii="Arial" w:cs="Arial" w:eastAsia="Arial" w:hAnsi="Arial"/>
                <w:sz w:val="18"/>
                <w:szCs w:val="18"/>
                <w:color w:val="auto"/>
              </w:rPr>
              <w:t>of warrants</w:t>
            </w: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2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2,172</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2,172</w:t>
            </w:r>
          </w:p>
        </w:tc>
      </w:tr>
      <w:tr>
        <w:trPr>
          <w:trHeight w:val="20"/>
        </w:trPr>
        <w:tc>
          <w:tcPr>
            <w:tcW w:w="23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left w:val="single" w:sz="8" w:color="auto"/>
            </w:tcBorders>
            <w:shd w:val="clear" w:color="auto" w:fill="CCFFCC"/>
          </w:tcPr>
          <w:p>
            <w:pPr>
              <w:spacing w:after="0" w:line="20" w:lineRule="exact"/>
              <w:rPr>
                <w:sz w:val="1"/>
                <w:szCs w:val="1"/>
                <w:color w:val="auto"/>
              </w:rPr>
            </w:pPr>
          </w:p>
        </w:tc>
      </w:tr>
      <w:tr>
        <w:trPr>
          <w:trHeight w:val="194"/>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158"/>
        </w:trPr>
        <w:tc>
          <w:tcPr>
            <w:tcW w:w="238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1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Quoted prices in</w:t>
            </w:r>
          </w:p>
        </w:tc>
        <w:tc>
          <w:tcPr>
            <w:tcW w:w="160" w:type="dxa"/>
            <w:vAlign w:val="bottom"/>
          </w:tcPr>
          <w:p>
            <w:pPr>
              <w:spacing w:after="0"/>
              <w:rPr>
                <w:sz w:val="13"/>
                <w:szCs w:val="13"/>
                <w:color w:val="auto"/>
              </w:rPr>
            </w:pP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Significant</w:t>
            </w:r>
          </w:p>
        </w:tc>
      </w:tr>
      <w:tr>
        <w:trPr>
          <w:trHeight w:val="147"/>
        </w:trPr>
        <w:tc>
          <w:tcPr>
            <w:tcW w:w="2380" w:type="dxa"/>
            <w:vAlign w:val="bottom"/>
          </w:tcPr>
          <w:p>
            <w:pPr>
              <w:spacing w:after="0"/>
              <w:rPr>
                <w:sz w:val="12"/>
                <w:szCs w:val="12"/>
                <w:color w:val="auto"/>
              </w:rPr>
            </w:pPr>
          </w:p>
        </w:tc>
        <w:tc>
          <w:tcPr>
            <w:tcW w:w="1060" w:type="dxa"/>
            <w:vAlign w:val="bottom"/>
            <w:gridSpan w:val="2"/>
          </w:tcPr>
          <w:p>
            <w:pPr>
              <w:jc w:val="center"/>
              <w:ind w:left="218"/>
              <w:spacing w:after="0" w:line="147"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unobservable</w:t>
            </w: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r>
      <w:tr>
        <w:trPr>
          <w:trHeight w:val="147"/>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2"/>
                <w:szCs w:val="12"/>
                <w:color w:val="auto"/>
              </w:rPr>
            </w:pPr>
          </w:p>
        </w:tc>
        <w:tc>
          <w:tcPr>
            <w:tcW w:w="10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(Level 3)</w:t>
            </w:r>
          </w:p>
        </w:tc>
      </w:tr>
      <w:tr>
        <w:trPr>
          <w:trHeight w:val="170"/>
        </w:trPr>
        <w:tc>
          <w:tcPr>
            <w:tcW w:w="2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1"/>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ind w:left="8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2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r>
      <w:tr>
        <w:trPr>
          <w:trHeight w:val="214"/>
        </w:trPr>
        <w:tc>
          <w:tcPr>
            <w:tcW w:w="23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4,542</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7"/>
        </w:trPr>
        <w:tc>
          <w:tcPr>
            <w:tcW w:w="23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4,542</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4,542</w:t>
            </w:r>
          </w:p>
        </w:tc>
        <w:tc>
          <w:tcPr>
            <w:tcW w:w="1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07"/>
        </w:trPr>
        <w:tc>
          <w:tcPr>
            <w:tcW w:w="238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199"/>
        </w:trPr>
        <w:tc>
          <w:tcPr>
            <w:tcW w:w="238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w w:val="92"/>
              </w:rPr>
              <w:t>Derivative liability on account of</w:t>
            </w:r>
          </w:p>
        </w:tc>
        <w:tc>
          <w:tcPr>
            <w:tcW w:w="1060" w:type="dxa"/>
            <w:vAlign w:val="bottom"/>
            <w:gridSpan w:val="2"/>
            <w:shd w:val="clear" w:color="auto" w:fill="CCFFCC"/>
          </w:tcPr>
          <w:p>
            <w:pPr>
              <w:jc w:val="right"/>
              <w:spacing w:after="0" w:line="200" w:lineRule="exact"/>
              <w:rPr>
                <w:sz w:val="20"/>
                <w:szCs w:val="20"/>
                <w:color w:val="auto"/>
              </w:rPr>
            </w:pPr>
            <w:r>
              <w:rPr>
                <w:rFonts w:ascii="Arial" w:cs="Arial" w:eastAsia="Arial" w:hAnsi="Arial"/>
                <w:sz w:val="18"/>
                <w:szCs w:val="18"/>
                <w:b w:val="1"/>
                <w:bCs w:val="1"/>
                <w:color w:val="auto"/>
              </w:rPr>
              <w:t>1,770</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ind w:left="68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spacing w:after="0" w:line="200" w:lineRule="exact"/>
              <w:rPr>
                <w:sz w:val="20"/>
                <w:szCs w:val="20"/>
                <w:color w:val="auto"/>
              </w:rPr>
            </w:pPr>
            <w:r>
              <w:rPr>
                <w:rFonts w:ascii="Arial" w:cs="Arial" w:eastAsia="Arial" w:hAnsi="Arial"/>
                <w:sz w:val="18"/>
                <w:szCs w:val="18"/>
                <w:color w:val="auto"/>
              </w:rPr>
              <w:t>1,770</w:t>
            </w:r>
          </w:p>
        </w:tc>
        <w:tc>
          <w:tcPr>
            <w:tcW w:w="160" w:type="dxa"/>
            <w:vAlign w:val="bottom"/>
            <w:tcBorders>
              <w:left w:val="single" w:sz="8" w:color="CCFFCC"/>
            </w:tcBorders>
            <w:shd w:val="clear" w:color="auto" w:fill="CCFFCC"/>
          </w:tcPr>
          <w:p>
            <w:pPr>
              <w:spacing w:after="0"/>
              <w:rPr>
                <w:sz w:val="17"/>
                <w:szCs w:val="17"/>
                <w:color w:val="auto"/>
              </w:rPr>
            </w:pPr>
          </w:p>
        </w:tc>
      </w:tr>
      <w:tr>
        <w:trPr>
          <w:trHeight w:val="227"/>
        </w:trPr>
        <w:tc>
          <w:tcPr>
            <w:tcW w:w="23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080" w:type="dxa"/>
            <w:vAlign w:val="bottom"/>
            <w:tcBorders>
              <w:bottom w:val="single" w:sz="8" w:color="auto"/>
              <w:right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spacing w:after="0"/>
              <w:rPr>
                <w:sz w:val="19"/>
                <w:szCs w:val="19"/>
                <w:color w:val="auto"/>
              </w:rPr>
            </w:pPr>
          </w:p>
        </w:tc>
        <w:tc>
          <w:tcPr>
            <w:tcW w:w="160" w:type="dxa"/>
            <w:vAlign w:val="bottom"/>
            <w:tcBorders>
              <w:left w:val="single" w:sz="8" w:color="CCFFCC"/>
              <w:bottom w:val="single" w:sz="8" w:color="CCFFCC"/>
            </w:tcBorders>
            <w:shd w:val="clear" w:color="auto" w:fill="CCFFCC"/>
          </w:tcPr>
          <w:p>
            <w:pPr>
              <w:spacing w:after="0"/>
              <w:rPr>
                <w:sz w:val="19"/>
                <w:szCs w:val="19"/>
                <w:color w:val="auto"/>
              </w:rPr>
            </w:pPr>
          </w:p>
        </w:tc>
      </w:tr>
      <w:tr>
        <w:trPr>
          <w:trHeight w:val="208"/>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-1840865</wp:posOffset>
            </wp:positionV>
            <wp:extent cx="4701540" cy="336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-619125</wp:posOffset>
            </wp:positionV>
            <wp:extent cx="4701540" cy="169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0154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-1883410</wp:posOffset>
            </wp:positionV>
            <wp:extent cx="47015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In addition to the above, the Company’s financial instruments at December 31, 2011 and 2010, consisted of cash, accounts receivable, long-term deposits, accrued expenses, and the venture loan (December 31, 2010, only). The carrying amounts of all the aforementioned financial instruments approximate fair value, except for the fair value of the venture loan, for the year ended December 31, 2010, for which the carrying amount of the venture loan was $3,173 thousand and the fair value was estimated at $3,317 thousand.</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3" w:name="page214"/>
    <w:bookmarkEnd w:id="21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10 — Fair Value Measurements – (continued)</w:t>
      </w:r>
    </w:p>
    <w:p>
      <w:pPr>
        <w:spacing w:after="0" w:line="1" w:lineRule="exact"/>
        <w:rPr>
          <w:sz w:val="20"/>
          <w:szCs w:val="20"/>
          <w:color w:val="auto"/>
        </w:rPr>
      </w:pPr>
    </w:p>
    <w:p>
      <w:pPr>
        <w:ind w:left="60" w:right="619" w:firstLine="267"/>
        <w:spacing w:after="0" w:line="266"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7015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58"/>
        </w:trPr>
        <w:tc>
          <w:tcPr>
            <w:tcW w:w="4480" w:type="dxa"/>
            <w:vAlign w:val="bottom"/>
          </w:tcPr>
          <w:p>
            <w:pPr>
              <w:spacing w:after="0"/>
              <w:rPr>
                <w:sz w:val="13"/>
                <w:szCs w:val="13"/>
                <w:color w:val="auto"/>
              </w:rPr>
            </w:pP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0"/>
              </w:rPr>
              <w:t>Special Bridge</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rPr>
              <w:t>Conversion</w:t>
            </w:r>
          </w:p>
        </w:tc>
        <w:tc>
          <w:tcPr>
            <w:tcW w:w="160" w:type="dxa"/>
            <w:vAlign w:val="bottom"/>
          </w:tcPr>
          <w:p>
            <w:pPr>
              <w:spacing w:after="0"/>
              <w:rPr>
                <w:sz w:val="13"/>
                <w:szCs w:val="13"/>
                <w:color w:val="auto"/>
              </w:rPr>
            </w:pPr>
          </w:p>
        </w:tc>
        <w:tc>
          <w:tcPr>
            <w:tcW w:w="8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Total</w:t>
            </w:r>
          </w:p>
        </w:tc>
      </w:tr>
      <w:tr>
        <w:trPr>
          <w:trHeight w:val="170"/>
        </w:trPr>
        <w:tc>
          <w:tcPr>
            <w:tcW w:w="448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1"/>
        </w:trPr>
        <w:tc>
          <w:tcPr>
            <w:tcW w:w="4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w w:val="98"/>
              </w:rPr>
              <w:t>U.S.$ thousands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4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Original allocated amount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1,070</w:t>
            </w:r>
          </w:p>
        </w:tc>
      </w:tr>
      <w:tr>
        <w:trPr>
          <w:trHeight w:val="214"/>
        </w:trPr>
        <w:tc>
          <w:tcPr>
            <w:tcW w:w="4480" w:type="dxa"/>
            <w:vAlign w:val="bottom"/>
          </w:tcPr>
          <w:p>
            <w:pPr>
              <w:ind w:left="20"/>
              <w:spacing w:after="0"/>
              <w:rPr>
                <w:sz w:val="20"/>
                <w:szCs w:val="20"/>
                <w:color w:val="auto"/>
              </w:rPr>
            </w:pPr>
            <w:r>
              <w:rPr>
                <w:rFonts w:ascii="Arial" w:cs="Arial" w:eastAsia="Arial" w:hAnsi="Arial"/>
                <w:sz w:val="18"/>
                <w:szCs w:val="18"/>
                <w:color w:val="auto"/>
              </w:rPr>
              <w:t>Additional allocated amount (upon IPO)</w:t>
            </w: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1,564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1,652</w:t>
            </w:r>
          </w:p>
        </w:tc>
      </w:tr>
      <w:tr>
        <w:trPr>
          <w:trHeight w:val="199"/>
        </w:trPr>
        <w:tc>
          <w:tcPr>
            <w:tcW w:w="448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Fair value adjustment included in statement</w:t>
            </w:r>
          </w:p>
        </w:tc>
        <w:tc>
          <w:tcPr>
            <w:tcW w:w="900" w:type="dxa"/>
            <w:vAlign w:val="bottom"/>
            <w:gridSpan w:val="2"/>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(382)</w:t>
            </w:r>
          </w:p>
        </w:tc>
        <w:tc>
          <w:tcPr>
            <w:tcW w:w="1060" w:type="dxa"/>
            <w:vAlign w:val="bottom"/>
            <w:gridSpan w:val="3"/>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(570)</w:t>
            </w:r>
          </w:p>
        </w:tc>
        <w:tc>
          <w:tcPr>
            <w:tcW w:w="980" w:type="dxa"/>
            <w:vAlign w:val="bottom"/>
            <w:gridSpan w:val="3"/>
            <w:shd w:val="clear" w:color="auto" w:fill="CCFFCC"/>
          </w:tcPr>
          <w:p>
            <w:pPr>
              <w:jc w:val="right"/>
              <w:ind w:right="100"/>
              <w:spacing w:after="0" w:line="200" w:lineRule="exact"/>
              <w:rPr>
                <w:sz w:val="20"/>
                <w:szCs w:val="20"/>
                <w:color w:val="auto"/>
              </w:rPr>
            </w:pPr>
            <w:r>
              <w:rPr>
                <w:rFonts w:ascii="Arial" w:cs="Arial" w:eastAsia="Arial" w:hAnsi="Arial"/>
                <w:sz w:val="18"/>
                <w:szCs w:val="18"/>
                <w:color w:val="auto"/>
              </w:rPr>
              <w:t>(952)</w:t>
            </w:r>
          </w:p>
        </w:tc>
      </w:tr>
      <w:tr>
        <w:trPr>
          <w:trHeight w:val="227"/>
        </w:trPr>
        <w:tc>
          <w:tcPr>
            <w:tcW w:w="44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208"/>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2010</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776</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994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1,770</w:t>
            </w:r>
          </w:p>
        </w:tc>
      </w:tr>
      <w:tr>
        <w:trPr>
          <w:trHeight w:val="199"/>
        </w:trPr>
        <w:tc>
          <w:tcPr>
            <w:tcW w:w="448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Fair value adjustment included in statement</w:t>
            </w:r>
          </w:p>
        </w:tc>
        <w:tc>
          <w:tcPr>
            <w:tcW w:w="900" w:type="dxa"/>
            <w:vAlign w:val="bottom"/>
            <w:gridSpan w:val="2"/>
            <w:shd w:val="clear" w:color="auto" w:fill="CCFFCC"/>
          </w:tcPr>
          <w:p>
            <w:pPr>
              <w:jc w:val="right"/>
              <w:ind w:right="180"/>
              <w:spacing w:after="0" w:line="200" w:lineRule="exact"/>
              <w:rPr>
                <w:sz w:val="20"/>
                <w:szCs w:val="20"/>
                <w:color w:val="auto"/>
              </w:rPr>
            </w:pPr>
            <w:r>
              <w:rPr>
                <w:rFonts w:ascii="Arial" w:cs="Arial" w:eastAsia="Arial" w:hAnsi="Arial"/>
                <w:sz w:val="18"/>
                <w:szCs w:val="18"/>
                <w:color w:val="auto"/>
              </w:rPr>
              <w:t>511</w:t>
            </w:r>
          </w:p>
        </w:tc>
        <w:tc>
          <w:tcPr>
            <w:tcW w:w="1060" w:type="dxa"/>
            <w:vAlign w:val="bottom"/>
            <w:gridSpan w:val="3"/>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(109)</w:t>
            </w:r>
          </w:p>
        </w:tc>
        <w:tc>
          <w:tcPr>
            <w:tcW w:w="980" w:type="dxa"/>
            <w:vAlign w:val="bottom"/>
            <w:gridSpan w:val="3"/>
            <w:shd w:val="clear" w:color="auto" w:fill="CCFFCC"/>
          </w:tcPr>
          <w:p>
            <w:pPr>
              <w:jc w:val="right"/>
              <w:ind w:right="160"/>
              <w:spacing w:after="0" w:line="200" w:lineRule="exact"/>
              <w:rPr>
                <w:sz w:val="20"/>
                <w:szCs w:val="20"/>
                <w:color w:val="auto"/>
              </w:rPr>
            </w:pPr>
            <w:r>
              <w:rPr>
                <w:rFonts w:ascii="Arial" w:cs="Arial" w:eastAsia="Arial" w:hAnsi="Arial"/>
                <w:sz w:val="18"/>
                <w:szCs w:val="18"/>
                <w:color w:val="auto"/>
              </w:rPr>
              <w:t>402</w:t>
            </w:r>
          </w:p>
        </w:tc>
      </w:tr>
      <w:tr>
        <w:trPr>
          <w:trHeight w:val="227"/>
        </w:trPr>
        <w:tc>
          <w:tcPr>
            <w:tcW w:w="44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208"/>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1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885</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2,172</w:t>
            </w:r>
          </w:p>
        </w:tc>
      </w:tr>
      <w:tr>
        <w:trPr>
          <w:trHeight w:val="20"/>
        </w:trPr>
        <w:tc>
          <w:tcPr>
            <w:tcW w:w="4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-593725</wp:posOffset>
            </wp:positionV>
            <wp:extent cx="4701540" cy="144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Stockholders’ Equity (Deficit)</w:t>
      </w:r>
    </w:p>
    <w:p>
      <w:pPr>
        <w:spacing w:after="0" w:line="154" w:lineRule="exact"/>
        <w:rPr>
          <w:sz w:val="20"/>
          <w:szCs w:val="20"/>
          <w:color w:val="auto"/>
        </w:rPr>
      </w:pPr>
    </w:p>
    <w:p>
      <w:pPr>
        <w:ind w:left="320" w:hanging="255"/>
        <w:spacing w:after="0"/>
        <w:tabs>
          <w:tab w:leader="none" w:pos="3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June 2010, the Company completed an IPO of 2,392,000 units (see Note 1).</w:t>
      </w:r>
    </w:p>
    <w:p>
      <w:pPr>
        <w:spacing w:after="0" w:line="114" w:lineRule="exact"/>
        <w:rPr>
          <w:sz w:val="20"/>
          <w:szCs w:val="20"/>
          <w:color w:val="auto"/>
        </w:rPr>
      </w:pPr>
    </w:p>
    <w:p>
      <w:pPr>
        <w:jc w:val="both"/>
        <w:ind w:left="60" w:right="619" w:firstLine="267"/>
        <w:spacing w:after="0" w:line="297" w:lineRule="auto"/>
        <w:rPr>
          <w:sz w:val="20"/>
          <w:szCs w:val="20"/>
          <w:color w:val="auto"/>
        </w:rPr>
      </w:pPr>
      <w:r>
        <w:rPr>
          <w:rFonts w:ascii="Arial" w:cs="Arial" w:eastAsia="Arial" w:hAnsi="Arial"/>
          <w:sz w:val="16"/>
          <w:szCs w:val="16"/>
          <w:color w:val="auto"/>
        </w:rPr>
        <w:t>On December 1, 2011, the Company completed an additional financing round, in which it issued 817,303 shares of common stock. In connection with the financing round the Convertible Notes were converted into equity (see Note 9), and 2,671,026 shares of common stock were issued to the Convertible Notes holders. In addition, pursuant to the commencement of the above mentioned financing round, the Company issued 208,159 shares of common stock to one of its consultants.</w:t>
      </w:r>
    </w:p>
    <w:p>
      <w:pPr>
        <w:spacing w:after="0" w:line="52" w:lineRule="exact"/>
        <w:rPr>
          <w:sz w:val="20"/>
          <w:szCs w:val="20"/>
          <w:color w:val="auto"/>
        </w:rPr>
      </w:pPr>
    </w:p>
    <w:p>
      <w:pPr>
        <w:jc w:val="both"/>
        <w:ind w:left="60" w:right="639" w:firstLine="267"/>
        <w:spacing w:after="0" w:line="259" w:lineRule="auto"/>
        <w:rPr>
          <w:sz w:val="20"/>
          <w:szCs w:val="20"/>
          <w:color w:val="auto"/>
        </w:rPr>
      </w:pPr>
      <w:r>
        <w:rPr>
          <w:rFonts w:ascii="Arial" w:cs="Arial" w:eastAsia="Arial" w:hAnsi="Arial"/>
          <w:sz w:val="18"/>
          <w:szCs w:val="18"/>
          <w:color w:val="auto"/>
        </w:rPr>
        <w:t>Subsequent to the balance sheet date, between February 6 and February 14, 2012, 3,828,993 of the Company’s outstanding Special Bridge Warrants and Conversion Warrants were exercised. As a result, the Company issued 3,828,993 shares of common stock. See Note 17.</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4" w:name="page215"/>
    <w:bookmarkEnd w:id="21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The following table summarizes information about the Company’s issued and outstanding common stock from inception through December 31, 2011, on a post-split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6850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685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6260" w:type="dxa"/>
            <w:vAlign w:val="bottom"/>
          </w:tcPr>
          <w:p>
            <w:pPr>
              <w:spacing w:after="0"/>
              <w:rPr>
                <w:sz w:val="12"/>
                <w:szCs w:val="12"/>
                <w:color w:val="auto"/>
              </w:rPr>
            </w:pPr>
          </w:p>
        </w:tc>
        <w:tc>
          <w:tcPr>
            <w:tcW w:w="11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8"/>
              </w:rPr>
              <w:t>Shares of common</w:t>
            </w:r>
          </w:p>
        </w:tc>
      </w:tr>
      <w:tr>
        <w:trPr>
          <w:trHeight w:val="147"/>
        </w:trPr>
        <w:tc>
          <w:tcPr>
            <w:tcW w:w="6260" w:type="dxa"/>
            <w:vAlign w:val="bottom"/>
          </w:tcPr>
          <w:p>
            <w:pPr>
              <w:spacing w:after="0"/>
              <w:rPr>
                <w:sz w:val="12"/>
                <w:szCs w:val="12"/>
                <w:color w:val="auto"/>
              </w:rPr>
            </w:pPr>
          </w:p>
        </w:tc>
        <w:tc>
          <w:tcPr>
            <w:tcW w:w="11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7"/>
              </w:rPr>
              <w:t>stock</w:t>
            </w:r>
          </w:p>
        </w:tc>
      </w:tr>
      <w:tr>
        <w:trPr>
          <w:trHeight w:val="170"/>
        </w:trPr>
        <w:tc>
          <w:tcPr>
            <w:tcW w:w="626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0.01$ par value</w:t>
            </w:r>
          </w:p>
        </w:tc>
      </w:tr>
      <w:tr>
        <w:trPr>
          <w:trHeight w:val="207"/>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January 9, 2006 (inception)</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Issuance of common stock to two founders for a net amount of $5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r>
      <w:tr>
        <w:trPr>
          <w:trHeight w:val="199"/>
        </w:trPr>
        <w:tc>
          <w:tcPr>
            <w:tcW w:w="626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w w:val="91"/>
              </w:rPr>
              <w:t>Stock dividend of 3,999 shares for each share of outstanding stock in their respective</w:t>
            </w:r>
          </w:p>
        </w:tc>
        <w:tc>
          <w:tcPr>
            <w:tcW w:w="11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color w:val="auto"/>
              </w:rPr>
              <w:t>333,250</w:t>
            </w:r>
          </w:p>
        </w:tc>
      </w:tr>
      <w:tr>
        <w:trPr>
          <w:trHeight w:val="227"/>
        </w:trPr>
        <w:tc>
          <w:tcPr>
            <w:tcW w:w="62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classes</w:t>
            </w:r>
          </w:p>
        </w:tc>
        <w:tc>
          <w:tcPr>
            <w:tcW w:w="1080" w:type="dxa"/>
            <w:vAlign w:val="bottom"/>
            <w:tcBorders>
              <w:bottom w:val="single" w:sz="8" w:color="auto"/>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r>
      <w:tr>
        <w:trPr>
          <w:trHeight w:val="208"/>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333,333</w:t>
            </w:r>
          </w:p>
        </w:tc>
      </w:tr>
      <w:tr>
        <w:trPr>
          <w:trHeight w:val="199"/>
        </w:trPr>
        <w:tc>
          <w:tcPr>
            <w:tcW w:w="626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w w:val="97"/>
              </w:rPr>
              <w:t>Issuance of common stock in lieu of beneficial conversion terms contained in the</w:t>
            </w:r>
          </w:p>
        </w:tc>
        <w:tc>
          <w:tcPr>
            <w:tcW w:w="11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color w:val="auto"/>
              </w:rPr>
              <w:t>33,449</w:t>
            </w:r>
          </w:p>
        </w:tc>
      </w:tr>
      <w:tr>
        <w:trPr>
          <w:trHeight w:val="227"/>
        </w:trPr>
        <w:tc>
          <w:tcPr>
            <w:tcW w:w="62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convertible loan agreement</w:t>
            </w:r>
          </w:p>
        </w:tc>
        <w:tc>
          <w:tcPr>
            <w:tcW w:w="1080" w:type="dxa"/>
            <w:vAlign w:val="bottom"/>
            <w:tcBorders>
              <w:bottom w:val="single" w:sz="8" w:color="auto"/>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r>
      <w:tr>
        <w:trPr>
          <w:trHeight w:val="208"/>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4"/>
        </w:trPr>
        <w:tc>
          <w:tcPr>
            <w:tcW w:w="6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4"/>
        </w:trPr>
        <w:tc>
          <w:tcPr>
            <w:tcW w:w="6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0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common stock, in connection with IPO (see Note 1)</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2,392,000</w:t>
            </w:r>
          </w:p>
        </w:tc>
      </w:tr>
      <w:tr>
        <w:trPr>
          <w:trHeight w:val="199"/>
        </w:trPr>
        <w:tc>
          <w:tcPr>
            <w:tcW w:w="6260" w:type="dxa"/>
            <w:vAlign w:val="bottom"/>
          </w:tcPr>
          <w:p>
            <w:pPr>
              <w:ind w:left="20"/>
              <w:spacing w:after="0" w:line="200" w:lineRule="exact"/>
              <w:rPr>
                <w:sz w:val="20"/>
                <w:szCs w:val="20"/>
                <w:color w:val="auto"/>
              </w:rPr>
            </w:pPr>
            <w:r>
              <w:rPr>
                <w:rFonts w:ascii="Arial" w:cs="Arial" w:eastAsia="Arial" w:hAnsi="Arial"/>
                <w:sz w:val="18"/>
                <w:szCs w:val="18"/>
                <w:color w:val="auto"/>
              </w:rPr>
              <w:t>Exchange of series A convertible preferred stock for common stock</w:t>
            </w:r>
          </w:p>
        </w:tc>
        <w:tc>
          <w:tcPr>
            <w:tcW w:w="11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392,315</w:t>
            </w:r>
          </w:p>
        </w:tc>
      </w:tr>
      <w:tr>
        <w:trPr>
          <w:trHeight w:val="227"/>
        </w:trPr>
        <w:tc>
          <w:tcPr>
            <w:tcW w:w="6260" w:type="dxa"/>
            <w:vAlign w:val="bottom"/>
          </w:tcPr>
          <w:p>
            <w:pPr>
              <w:ind w:left="180"/>
              <w:spacing w:after="0"/>
              <w:rPr>
                <w:sz w:val="20"/>
                <w:szCs w:val="20"/>
                <w:color w:val="auto"/>
              </w:rPr>
            </w:pPr>
            <w:r>
              <w:rPr>
                <w:rFonts w:ascii="Arial" w:cs="Arial" w:eastAsia="Arial" w:hAnsi="Arial"/>
                <w:sz w:val="18"/>
                <w:szCs w:val="18"/>
                <w:color w:val="auto"/>
              </w:rPr>
              <w:t>(see Note 11 b)</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Bridge notes (see Note 1)</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864,332</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Stock dividend (see Note 11 b)</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311,451</w:t>
            </w:r>
          </w:p>
        </w:tc>
      </w:tr>
      <w:tr>
        <w:trPr>
          <w:trHeight w:val="199"/>
        </w:trPr>
        <w:tc>
          <w:tcPr>
            <w:tcW w:w="626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Exchange of series B convertible preferred stock for common stock</w:t>
            </w:r>
          </w:p>
        </w:tc>
        <w:tc>
          <w:tcPr>
            <w:tcW w:w="1160" w:type="dxa"/>
            <w:vAlign w:val="bottom"/>
            <w:gridSpan w:val="2"/>
            <w:shd w:val="clear" w:color="auto" w:fill="CCFFCC"/>
          </w:tcPr>
          <w:p>
            <w:pPr>
              <w:jc w:val="right"/>
              <w:ind w:right="80"/>
              <w:spacing w:after="0" w:line="200" w:lineRule="exact"/>
              <w:rPr>
                <w:sz w:val="20"/>
                <w:szCs w:val="20"/>
                <w:color w:val="auto"/>
              </w:rPr>
            </w:pPr>
            <w:r>
              <w:rPr>
                <w:rFonts w:ascii="Arial" w:cs="Arial" w:eastAsia="Arial" w:hAnsi="Arial"/>
                <w:sz w:val="18"/>
                <w:szCs w:val="18"/>
                <w:color w:val="auto"/>
              </w:rPr>
              <w:t>765,466</w:t>
            </w:r>
          </w:p>
        </w:tc>
      </w:tr>
      <w:tr>
        <w:trPr>
          <w:trHeight w:val="228"/>
        </w:trPr>
        <w:tc>
          <w:tcPr>
            <w:tcW w:w="6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(see Note 11 b)</w:t>
            </w:r>
          </w:p>
        </w:tc>
        <w:tc>
          <w:tcPr>
            <w:tcW w:w="10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Exercise of charitable warrants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11,044</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lead investor warrants (see Note 11 f)</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241,173</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60,517</w:t>
            </w:r>
          </w:p>
        </w:tc>
        <w:tc>
          <w:tcPr>
            <w:tcW w:w="80" w:type="dxa"/>
            <w:vAlign w:val="bottom"/>
          </w:tcPr>
          <w:p>
            <w:pPr>
              <w:spacing w:after="0"/>
              <w:rPr>
                <w:sz w:val="18"/>
                <w:szCs w:val="18"/>
                <w:color w:val="auto"/>
              </w:rPr>
            </w:pPr>
          </w:p>
        </w:tc>
      </w:tr>
      <w:tr>
        <w:trPr>
          <w:trHeight w:val="207"/>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2010</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5,405,080</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Exercise of lead investor warrants (see Note 11 f)</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241,173</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341,913</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w w:val="99"/>
              </w:rPr>
              <w:t>Issuance of common stock, in connection venture loan settlement (see Note 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charitable warrants</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19,862</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Issuance of common stock, to consultants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208,159</w:t>
            </w:r>
          </w:p>
        </w:tc>
      </w:tr>
      <w:tr>
        <w:trPr>
          <w:trHeight w:val="214"/>
        </w:trPr>
        <w:tc>
          <w:tcPr>
            <w:tcW w:w="6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convertible notes (see Note 9)</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2,671,026</w:t>
            </w:r>
          </w:p>
        </w:tc>
      </w:tr>
      <w:tr>
        <w:trPr>
          <w:trHeight w:val="214"/>
        </w:trPr>
        <w:tc>
          <w:tcPr>
            <w:tcW w:w="626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December 2011 financing</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817,303</w:t>
            </w:r>
          </w:p>
        </w:tc>
        <w:tc>
          <w:tcPr>
            <w:tcW w:w="80" w:type="dxa"/>
            <w:vAlign w:val="bottom"/>
          </w:tcPr>
          <w:p>
            <w:pPr>
              <w:spacing w:after="0"/>
              <w:rPr>
                <w:sz w:val="18"/>
                <w:szCs w:val="18"/>
                <w:color w:val="auto"/>
              </w:rPr>
            </w:pPr>
          </w:p>
        </w:tc>
      </w:tr>
      <w:tr>
        <w:trPr>
          <w:trHeight w:val="247"/>
        </w:trPr>
        <w:tc>
          <w:tcPr>
            <w:tcW w:w="6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2011</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9,954,516</w:t>
            </w:r>
          </w:p>
        </w:tc>
        <w:tc>
          <w:tcPr>
            <w:tcW w:w="8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-3750945</wp:posOffset>
            </wp:positionV>
            <wp:extent cx="4701540" cy="144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-3335020</wp:posOffset>
            </wp:positionV>
            <wp:extent cx="4701540" cy="144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-3054985</wp:posOffset>
            </wp:positionV>
            <wp:extent cx="4701540" cy="144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-2774950</wp:posOffset>
            </wp:positionV>
            <wp:extent cx="4701540" cy="144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Preferred Stock</w:t>
      </w:r>
    </w:p>
    <w:p>
      <w:pPr>
        <w:spacing w:after="0" w:line="118"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On May 8, 2006, the Company issued 98 shares of series A convertible preferred stock (on a post-split basis) for a net amount of $2.35 million. On August 8, 2006, the Company declared a stock dividend of approximately 3,999 shares for each share of outstanding stock in their respective classes. The Company treated this transaction as a stock dividend with no adjustment to the par value per respective share due to legal restrictions. Upon the consummation of the IPO, the Series A convertible preferred stock were granted a 15% stock dividend, and then exchanged for shares of common stock and recorded as such (see table above).</w:t>
      </w: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On July 30, 2007, the Company issued 765,466 shares of series B convertible preferred stock (on a post-split basis) which was categorized as temporary equity. Upon the consummation of the IPO, the Series B convertible preferred stock previously classified as temporary equity was granted a 33% stock dividend, and then exchanged for shares of common stock and recorded as such (see table above).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Common stock reserved for issuance upon exercise of stock options</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in the Stock Option Plan was increased to 14.14 million.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Stock options</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The Stock Option Plan provides for grants or sales of common stock options to employees, directors and consultants. Options granted in connection with the Company’s Stock Option Plan are exercisable for six years from the grant date. Options are generally forfeited, if not exercised, within ninety days of termination of employment or service to the Company.</w:t>
      </w:r>
    </w:p>
    <w:p>
      <w:pPr>
        <w:spacing w:after="0" w:line="62"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For the years ended December 31, 2011 and 2010 the Company recorded compensation expense of $1,769 thousand and $912 thousand, respectively. Cumulative from inception the Company has recorded compensation expense of $3,023 thousand, in respect of stock options granted.</w:t>
      </w:r>
    </w:p>
    <w:p>
      <w:pPr>
        <w:spacing w:after="0" w:line="7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On January 31, 2011, the Company’s Board of Directors (the “Board”) approved the granting of 216 thousand options to management, employees and consultants at an exercise price of $0.01 per share. These options will vest yearly over three and four year periods (according to the applicable schedule of each optionee). The Board also approved the granting of 264 thousand options at an exercise price of $5.50 to its management, employees and consultants. These options will vest over three and four years (according to the applicable schedule of each optionee).</w:t>
      </w:r>
    </w:p>
    <w:p>
      <w:pPr>
        <w:spacing w:after="0" w:line="85"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The fair value of options granted in 2011 to employees and directors at an exercise price of $0.01 was calculated using the Black-Scholes-Merton model, which takes into consideration the share price at the date of grant, the exercise price of the option, the expected life of the option, risk free interest rates, expected dividend, and the expected volatility. The following assumptions were used: an expected life of 4 – 4.25 years, a risk-free interest rate of 1.44% – 1.55% and an expected volatility of 52.21% – 47.89% and no dividend yield. The fair value of the common stock used for this calculation was $1.68.</w:t>
      </w:r>
    </w:p>
    <w:p>
      <w:pPr>
        <w:spacing w:after="0" w:line="6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fair value of options, granted in 2011, to employees and directors at an exercise price of $5.50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6 years, a risk-free interest rate of 2.38% and an expected volatility of 56.41% and no dividend yield. The fair value of the common stock used for this calculation was $1.68.</w:t>
      </w:r>
    </w:p>
    <w:p>
      <w:pPr>
        <w:spacing w:after="0" w:line="71"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In 2011, the fair value of options granted to consultants was calculated using the Black-Scholes-Merton model. The following assumptions were used: expected life of 2 – 6 years, a risk free interest rate of 0.29% – 2.38% and an expected volatility of 45.71% – 59.69% and no dividend yield. The fair value of the common stock used for this calculation was $0.99 – $1.70.</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2011, there were approximately 11.5 million shares of common stock available for future grants.</w:t>
      </w:r>
    </w:p>
    <w:p>
      <w:pPr>
        <w:spacing w:after="0" w:line="200" w:lineRule="exact"/>
        <w:rPr>
          <w:sz w:val="20"/>
          <w:szCs w:val="20"/>
          <w:color w:val="auto"/>
        </w:rPr>
      </w:pPr>
    </w:p>
    <w:p>
      <w:pPr>
        <w:spacing w:after="0" w:line="36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16" w:name="page217"/>
    <w:bookmarkEnd w:id="21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260"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60" w:right="880" w:firstLine="267"/>
        <w:spacing w:after="0" w:line="252" w:lineRule="auto"/>
        <w:rPr>
          <w:sz w:val="20"/>
          <w:szCs w:val="20"/>
          <w:color w:val="auto"/>
        </w:rPr>
      </w:pPr>
      <w:r>
        <w:rPr>
          <w:rFonts w:ascii="Arial" w:cs="Arial" w:eastAsia="Arial" w:hAnsi="Arial"/>
          <w:sz w:val="18"/>
          <w:szCs w:val="18"/>
          <w:color w:val="auto"/>
        </w:rPr>
        <w:t>On March 17, 2010, the Board approved the granting of options to management, directors and consultants. The Board approved the granting of 1,392,000 options at an exercise price of $0.01. These options vest yearly over three and four year periods, according to the applicable schedule of each optionee. The Board also approved the granting of 1,420,000 options at an exercise price of $5.50 to its employees, directors and consultants. These options vest over four years. Vesting of options granted during 2010 commenced in June through December 2010, according to the applicable schedule of each optionee, and when the terms were communicated.</w:t>
      </w:r>
    </w:p>
    <w:p>
      <w:pPr>
        <w:spacing w:after="0" w:line="86" w:lineRule="exact"/>
        <w:rPr>
          <w:sz w:val="20"/>
          <w:szCs w:val="20"/>
          <w:color w:val="auto"/>
        </w:rPr>
      </w:pPr>
    </w:p>
    <w:p>
      <w:pPr>
        <w:jc w:val="both"/>
        <w:ind w:left="60" w:right="860" w:firstLine="267"/>
        <w:spacing w:after="0" w:line="268" w:lineRule="auto"/>
        <w:rPr>
          <w:sz w:val="20"/>
          <w:szCs w:val="20"/>
          <w:color w:val="auto"/>
        </w:rPr>
      </w:pPr>
      <w:r>
        <w:rPr>
          <w:rFonts w:ascii="Arial" w:cs="Arial" w:eastAsia="Arial" w:hAnsi="Arial"/>
          <w:sz w:val="17"/>
          <w:szCs w:val="17"/>
          <w:color w:val="auto"/>
        </w:rPr>
        <w:t>The fair value of the options to employees and directors granted in 2010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5.2 – 6 years, a risk-free interest rate of 2.11% – 2.83% and an expected volatility of 56.11% – 64.3% and no dividend yield. The fair value of the common stock used for this calculation was $2.49 – $2.62. The fair value of options to non-employees is calculated using the following assumptions: expected life of 3 – 5.5 years, a risk free interest rate of 0.71% – 2.64% and an expected volatility of 46% – 64% and no dividend yield.</w:t>
      </w:r>
    </w:p>
    <w:p>
      <w:pPr>
        <w:spacing w:after="0" w:line="71" w:lineRule="exact"/>
        <w:rPr>
          <w:sz w:val="20"/>
          <w:szCs w:val="20"/>
          <w:color w:val="auto"/>
        </w:rPr>
      </w:pPr>
    </w:p>
    <w:p>
      <w:pPr>
        <w:jc w:val="both"/>
        <w:ind w:left="60" w:right="860" w:firstLine="267"/>
        <w:spacing w:after="0" w:line="251" w:lineRule="auto"/>
        <w:rPr>
          <w:sz w:val="20"/>
          <w:szCs w:val="20"/>
          <w:color w:val="auto"/>
        </w:rPr>
      </w:pPr>
      <w:r>
        <w:rPr>
          <w:rFonts w:ascii="Arial" w:cs="Arial" w:eastAsia="Arial" w:hAnsi="Arial"/>
          <w:sz w:val="18"/>
          <w:szCs w:val="18"/>
          <w:color w:val="auto"/>
        </w:rPr>
        <w:t>In January and February 2012 the Board of Directors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fair value of options granted in January and February 2012 was calculated using the Black-Scholes-Merton model. The following assumptions were used: an expected life of 4.25 – 6 years, a risk-free interest rate of 0.71% – 1.19% and an expected volatility of 67.26% – 75.78% and no dividend yield. The fair value of the common stock used for this calculation was $0.96 – $1.21 and no dividend yield. The Company expects that the total value of the options granted will be approximately $467 thousand.</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 Stock option activity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No. of shares</w:t>
            </w: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 of 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2920" w:type="dxa"/>
            <w:vAlign w:val="bottom"/>
          </w:tcPr>
          <w:p>
            <w:pPr>
              <w:spacing w:after="0"/>
              <w:rPr>
                <w:sz w:val="14"/>
                <w:szCs w:val="14"/>
                <w:color w:val="auto"/>
              </w:rPr>
            </w:pPr>
          </w:p>
        </w:tc>
      </w:tr>
      <w:tr>
        <w:trPr>
          <w:trHeight w:val="147"/>
        </w:trPr>
        <w:tc>
          <w:tcPr>
            <w:tcW w:w="8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8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2"/>
                <w:szCs w:val="12"/>
                <w:color w:val="auto"/>
              </w:rPr>
            </w:pPr>
          </w:p>
        </w:tc>
        <w:tc>
          <w:tcPr>
            <w:tcW w:w="110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w w:val="96"/>
              </w:rPr>
              <w:t>Non-Employees</w:t>
            </w:r>
          </w:p>
        </w:tc>
        <w:tc>
          <w:tcPr>
            <w:tcW w:w="16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average exercise</w:t>
            </w:r>
          </w:p>
        </w:tc>
        <w:tc>
          <w:tcPr>
            <w:tcW w:w="2920" w:type="dxa"/>
            <w:vAlign w:val="bottom"/>
          </w:tcPr>
          <w:p>
            <w:pPr>
              <w:spacing w:after="0"/>
              <w:rPr>
                <w:sz w:val="12"/>
                <w:szCs w:val="12"/>
                <w:color w:val="auto"/>
              </w:rPr>
            </w:pPr>
          </w:p>
        </w:tc>
      </w:tr>
      <w:tr>
        <w:trPr>
          <w:trHeight w:val="170"/>
        </w:trPr>
        <w:tc>
          <w:tcPr>
            <w:tcW w:w="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price U.S.$</w:t>
            </w:r>
          </w:p>
        </w:tc>
        <w:tc>
          <w:tcPr>
            <w:tcW w:w="2920" w:type="dxa"/>
            <w:vAlign w:val="bottom"/>
          </w:tcPr>
          <w:p>
            <w:pPr>
              <w:spacing w:after="0"/>
              <w:rPr>
                <w:sz w:val="14"/>
                <w:szCs w:val="14"/>
                <w:color w:val="auto"/>
              </w:rPr>
            </w:pPr>
          </w:p>
        </w:tc>
      </w:tr>
      <w:tr>
        <w:trPr>
          <w:trHeight w:val="207"/>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Outstanding at January 1, 2011</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2,378,908</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128,000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2.76</w:t>
            </w:r>
          </w:p>
        </w:tc>
        <w:tc>
          <w:tcPr>
            <w:tcW w:w="2920" w:type="dxa"/>
            <w:vAlign w:val="bottom"/>
          </w:tcPr>
          <w:p>
            <w:pPr>
              <w:spacing w:after="0"/>
              <w:rPr>
                <w:sz w:val="18"/>
                <w:szCs w:val="18"/>
                <w:color w:val="auto"/>
              </w:rPr>
            </w:pPr>
          </w:p>
        </w:tc>
      </w:tr>
      <w:tr>
        <w:trPr>
          <w:trHeight w:val="214"/>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496,500</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73,000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3.04</w:t>
            </w:r>
          </w:p>
        </w:tc>
        <w:tc>
          <w:tcPr>
            <w:tcW w:w="2920" w:type="dxa"/>
            <w:vAlign w:val="bottom"/>
          </w:tcPr>
          <w:p>
            <w:pPr>
              <w:spacing w:after="0"/>
              <w:rPr>
                <w:sz w:val="18"/>
                <w:szCs w:val="18"/>
                <w:color w:val="auto"/>
              </w:rPr>
            </w:pPr>
          </w:p>
        </w:tc>
      </w:tr>
      <w:tr>
        <w:trPr>
          <w:trHeight w:val="214"/>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(302,413)</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(39,500)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0.01</w:t>
            </w:r>
          </w:p>
        </w:tc>
        <w:tc>
          <w:tcPr>
            <w:tcW w:w="2920" w:type="dxa"/>
            <w:vAlign w:val="bottom"/>
          </w:tcPr>
          <w:p>
            <w:pPr>
              <w:spacing w:after="0"/>
              <w:rPr>
                <w:sz w:val="18"/>
                <w:szCs w:val="18"/>
                <w:color w:val="auto"/>
              </w:rPr>
            </w:pPr>
          </w:p>
        </w:tc>
      </w:tr>
      <w:tr>
        <w:trPr>
          <w:trHeight w:val="214"/>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Expired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(169,759)</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(18,000)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3.46</w:t>
            </w:r>
          </w:p>
        </w:tc>
        <w:tc>
          <w:tcPr>
            <w:tcW w:w="2920" w:type="dxa"/>
            <w:vAlign w:val="bottom"/>
          </w:tcPr>
          <w:p>
            <w:pPr>
              <w:spacing w:after="0"/>
              <w:rPr>
                <w:sz w:val="18"/>
                <w:szCs w:val="18"/>
                <w:color w:val="auto"/>
              </w:rPr>
            </w:pPr>
          </w:p>
        </w:tc>
      </w:tr>
      <w:tr>
        <w:trPr>
          <w:trHeight w:val="214"/>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(318,336)</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3.23</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31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2011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2,084,900</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143,500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7"/>
        </w:trPr>
        <w:tc>
          <w:tcPr>
            <w:tcW w:w="39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Exercisable at December 31, 2011</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690,121</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50,074</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2920" w:type="dxa"/>
            <w:vAlign w:val="bottom"/>
          </w:tcPr>
          <w:p>
            <w:pPr>
              <w:spacing w:after="0"/>
              <w:rPr>
                <w:sz w:val="19"/>
                <w:szCs w:val="19"/>
                <w:color w:val="auto"/>
              </w:rPr>
            </w:pPr>
          </w:p>
        </w:tc>
      </w:tr>
      <w:tr>
        <w:trPr>
          <w:trHeight w:val="20"/>
        </w:trPr>
        <w:tc>
          <w:tcPr>
            <w:tcW w:w="840" w:type="dxa"/>
            <w:vAlign w:val="bottom"/>
            <w:tcBorders>
              <w:top w:val="single" w:sz="8" w:color="CCFFCC"/>
            </w:tcBorders>
            <w:shd w:val="clear" w:color="auto" w:fill="CCFFCC"/>
          </w:tcPr>
          <w:p>
            <w:pPr>
              <w:spacing w:after="0" w:line="20" w:lineRule="exact"/>
              <w:rPr>
                <w:sz w:val="1"/>
                <w:szCs w:val="1"/>
                <w:color w:val="auto"/>
              </w:rPr>
            </w:pPr>
          </w:p>
        </w:tc>
        <w:tc>
          <w:tcPr>
            <w:tcW w:w="3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754"/>
        </w:trPr>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F-23</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-967105</wp:posOffset>
            </wp:positionV>
            <wp:extent cx="4701540" cy="1784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4701540" cy="336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17" w:name="page218"/>
    <w:bookmarkEnd w:id="21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Stockholders’ Equity (Deficit) – (continued)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342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63423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No. of shares</w:t>
            </w:r>
          </w:p>
        </w:tc>
        <w:tc>
          <w:tcPr>
            <w:tcW w:w="1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No. of shares</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47"/>
        </w:trPr>
        <w:tc>
          <w:tcPr>
            <w:tcW w:w="3940" w:type="dxa"/>
            <w:vAlign w:val="bottom"/>
          </w:tcPr>
          <w:p>
            <w:pPr>
              <w:spacing w:after="0"/>
              <w:rPr>
                <w:sz w:val="12"/>
                <w:szCs w:val="12"/>
                <w:color w:val="auto"/>
              </w:rPr>
            </w:pPr>
          </w:p>
        </w:tc>
        <w:tc>
          <w:tcPr>
            <w:tcW w:w="96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2"/>
                <w:szCs w:val="12"/>
                <w:color w:val="auto"/>
              </w:rPr>
            </w:pPr>
          </w:p>
        </w:tc>
        <w:tc>
          <w:tcPr>
            <w:tcW w:w="1020" w:type="dxa"/>
            <w:vAlign w:val="bottom"/>
            <w:gridSpan w:val="2"/>
          </w:tcPr>
          <w:p>
            <w:pPr>
              <w:jc w:val="right"/>
              <w:ind w:right="20"/>
              <w:spacing w:after="0" w:line="147" w:lineRule="exact"/>
              <w:rPr>
                <w:sz w:val="20"/>
                <w:szCs w:val="20"/>
                <w:color w:val="auto"/>
              </w:rPr>
            </w:pPr>
            <w:r>
              <w:rPr>
                <w:rFonts w:ascii="Arial" w:cs="Arial" w:eastAsia="Arial" w:hAnsi="Arial"/>
                <w:sz w:val="14"/>
                <w:szCs w:val="14"/>
                <w:b w:val="1"/>
                <w:bCs w:val="1"/>
                <w:color w:val="auto"/>
                <w:w w:val="92"/>
              </w:rPr>
              <w:t>Non-Employees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87"/>
              </w:rPr>
              <w:t>exercise price</w:t>
            </w:r>
          </w:p>
        </w:tc>
      </w:tr>
      <w:tr>
        <w:trPr>
          <w:trHeight w:val="170"/>
        </w:trPr>
        <w:tc>
          <w:tcPr>
            <w:tcW w:w="3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U.S.$</w:t>
            </w:r>
          </w:p>
        </w:tc>
      </w:tr>
      <w:tr>
        <w:trPr>
          <w:trHeight w:val="207"/>
        </w:trPr>
        <w:tc>
          <w:tcPr>
            <w:tcW w:w="3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Outstanding at January 1, 2010</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237,677</w:t>
            </w:r>
          </w:p>
        </w:tc>
        <w:tc>
          <w:tcPr>
            <w:tcW w:w="140" w:type="dxa"/>
            <w:vAlign w:val="bottom"/>
            <w:shd w:val="clear" w:color="auto" w:fill="CCFFCC"/>
          </w:tcPr>
          <w:p>
            <w:pPr>
              <w:spacing w:after="0"/>
              <w:rPr>
                <w:sz w:val="18"/>
                <w:szCs w:val="18"/>
                <w:color w:val="auto"/>
              </w:rPr>
            </w:pP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45,250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77"/>
              <w:spacing w:after="0"/>
              <w:rPr>
                <w:sz w:val="20"/>
                <w:szCs w:val="20"/>
                <w:color w:val="auto"/>
              </w:rPr>
            </w:pPr>
            <w:r>
              <w:rPr>
                <w:rFonts w:ascii="Arial" w:cs="Arial" w:eastAsia="Arial" w:hAnsi="Arial"/>
                <w:sz w:val="18"/>
                <w:szCs w:val="18"/>
                <w:color w:val="auto"/>
              </w:rPr>
              <w:t>2.58</w:t>
            </w:r>
          </w:p>
        </w:tc>
      </w:tr>
      <w:tr>
        <w:trPr>
          <w:trHeight w:val="214"/>
        </w:trPr>
        <w:tc>
          <w:tcPr>
            <w:tcW w:w="3940" w:type="dxa"/>
            <w:vAlign w:val="bottom"/>
          </w:tcPr>
          <w:p>
            <w:pPr>
              <w:ind w:left="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2,708,000</w:t>
            </w:r>
          </w:p>
        </w:tc>
        <w:tc>
          <w:tcPr>
            <w:tcW w:w="1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104,000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2.74</w:t>
            </w:r>
          </w:p>
        </w:tc>
      </w:tr>
      <w:tr>
        <w:trPr>
          <w:trHeight w:val="214"/>
        </w:trPr>
        <w:tc>
          <w:tcPr>
            <w:tcW w:w="3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(60,517)</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77"/>
              <w:spacing w:after="0"/>
              <w:rPr>
                <w:sz w:val="20"/>
                <w:szCs w:val="20"/>
                <w:color w:val="auto"/>
              </w:rPr>
            </w:pPr>
            <w:r>
              <w:rPr>
                <w:rFonts w:ascii="Arial" w:cs="Arial" w:eastAsia="Arial" w:hAnsi="Arial"/>
                <w:sz w:val="18"/>
                <w:szCs w:val="18"/>
                <w:color w:val="auto"/>
              </w:rPr>
              <w:t>0.21</w:t>
            </w:r>
          </w:p>
        </w:tc>
      </w:tr>
      <w:tr>
        <w:trPr>
          <w:trHeight w:val="214"/>
        </w:trPr>
        <w:tc>
          <w:tcPr>
            <w:tcW w:w="3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(506,252)</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(21,250)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2.87</w:t>
            </w:r>
          </w:p>
        </w:tc>
      </w:tr>
      <w:tr>
        <w:trPr>
          <w:trHeight w:val="20"/>
        </w:trPr>
        <w:tc>
          <w:tcPr>
            <w:tcW w:w="3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7"/>
        </w:trPr>
        <w:tc>
          <w:tcPr>
            <w:tcW w:w="39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Outstanding at December 31, 2010</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2,378,908</w:t>
            </w: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128,000</w:t>
            </w:r>
          </w:p>
        </w:tc>
        <w:tc>
          <w:tcPr>
            <w:tcW w:w="1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r>
      <w:tr>
        <w:trPr>
          <w:trHeight w:val="20"/>
        </w:trPr>
        <w:tc>
          <w:tcPr>
            <w:tcW w:w="39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r>
      <w:tr>
        <w:trPr>
          <w:trHeight w:val="207"/>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Exercisable at December 31, 2010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128,804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32,150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4701540" cy="2038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01540" cy="203835"/>
                    </a:xfrm>
                    <a:prstGeom prst="rect">
                      <a:avLst/>
                    </a:prstGeom>
                    <a:noFill/>
                  </pic:spPr>
                </pic:pic>
              </a:graphicData>
            </a:graphic>
          </wp:anchor>
        </w:drawing>
      </w:r>
    </w:p>
    <w:p>
      <w:pPr>
        <w:spacing w:after="0" w:line="73" w:lineRule="exact"/>
        <w:rPr>
          <w:sz w:val="20"/>
          <w:szCs w:val="20"/>
          <w:color w:val="auto"/>
        </w:rPr>
      </w:pPr>
    </w:p>
    <w:p>
      <w:pPr>
        <w:jc w:val="both"/>
        <w:ind w:left="60" w:right="860" w:firstLine="267"/>
        <w:spacing w:after="0" w:line="259" w:lineRule="auto"/>
        <w:rPr>
          <w:sz w:val="20"/>
          <w:szCs w:val="20"/>
          <w:color w:val="auto"/>
        </w:rPr>
      </w:pPr>
      <w:r>
        <w:rPr>
          <w:rFonts w:ascii="Arial" w:cs="Arial" w:eastAsia="Arial" w:hAnsi="Arial"/>
          <w:sz w:val="18"/>
          <w:szCs w:val="18"/>
          <w:color w:val="auto"/>
        </w:rPr>
        <w:t>For cumulative period ended December 31, 2011, the Company granted a total of 3,595 thousand stock options to its employees, directors and consultants at an average exercise price of $2.82. For the cumulative period ended December 31, 2011, 402 thousand stock options were exercised.</w:t>
      </w:r>
    </w:p>
    <w:p>
      <w:pPr>
        <w:spacing w:after="0" w:line="78" w:lineRule="exact"/>
        <w:rPr>
          <w:sz w:val="20"/>
          <w:szCs w:val="20"/>
          <w:color w:val="auto"/>
        </w:rPr>
      </w:pPr>
    </w:p>
    <w:p>
      <w:pPr>
        <w:jc w:val="both"/>
        <w:ind w:left="60" w:right="880" w:firstLine="267"/>
        <w:spacing w:after="0" w:line="266" w:lineRule="auto"/>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58"/>
        </w:trPr>
        <w:tc>
          <w:tcPr>
            <w:tcW w:w="400" w:type="dxa"/>
            <w:vAlign w:val="bottom"/>
          </w:tcPr>
          <w:p>
            <w:pPr>
              <w:spacing w:after="0"/>
              <w:rPr>
                <w:sz w:val="13"/>
                <w:szCs w:val="13"/>
                <w:color w:val="auto"/>
              </w:rPr>
            </w:pPr>
          </w:p>
        </w:tc>
        <w:tc>
          <w:tcPr>
            <w:tcW w:w="1020" w:type="dxa"/>
            <w:vAlign w:val="bottom"/>
          </w:tcPr>
          <w:p>
            <w:pPr>
              <w:jc w:val="right"/>
              <w:ind w:right="138"/>
              <w:spacing w:after="0" w:line="158"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3"/>
                <w:szCs w:val="13"/>
                <w:color w:val="auto"/>
              </w:rPr>
            </w:pPr>
          </w:p>
        </w:tc>
        <w:tc>
          <w:tcPr>
            <w:tcW w:w="12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1"/>
              </w:rPr>
              <w:t>Weighted</w:t>
            </w:r>
          </w:p>
        </w:tc>
      </w:tr>
      <w:tr>
        <w:trPr>
          <w:trHeight w:val="147"/>
        </w:trPr>
        <w:tc>
          <w:tcPr>
            <w:tcW w:w="400" w:type="dxa"/>
            <w:vAlign w:val="bottom"/>
          </w:tcPr>
          <w:p>
            <w:pPr>
              <w:spacing w:after="0"/>
              <w:rPr>
                <w:sz w:val="12"/>
                <w:szCs w:val="12"/>
                <w:color w:val="auto"/>
              </w:rPr>
            </w:pPr>
          </w:p>
        </w:tc>
        <w:tc>
          <w:tcPr>
            <w:tcW w:w="1020" w:type="dxa"/>
            <w:vAlign w:val="bottom"/>
          </w:tcPr>
          <w:p>
            <w:pPr>
              <w:jc w:val="right"/>
              <w:ind w:right="18"/>
              <w:spacing w:after="0" w:line="147"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2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0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remaining 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8"/>
              <w:spacing w:after="0" w:line="147" w:lineRule="exact"/>
              <w:rPr>
                <w:sz w:val="20"/>
                <w:szCs w:val="20"/>
                <w:color w:val="auto"/>
              </w:rPr>
            </w:pPr>
            <w:r>
              <w:rPr>
                <w:rFonts w:ascii="Arial" w:cs="Arial" w:eastAsia="Arial" w:hAnsi="Arial"/>
                <w:sz w:val="14"/>
                <w:szCs w:val="14"/>
                <w:b w:val="1"/>
                <w:bCs w:val="1"/>
                <w:color w:val="auto"/>
                <w:w w:val="86"/>
              </w:rPr>
              <w:t>average exercise</w:t>
            </w:r>
          </w:p>
        </w:tc>
      </w:tr>
      <w:tr>
        <w:trPr>
          <w:trHeight w:val="147"/>
        </w:trPr>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life (years)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8"/>
              <w:spacing w:after="0" w:line="147" w:lineRule="exact"/>
              <w:rPr>
                <w:sz w:val="20"/>
                <w:szCs w:val="20"/>
                <w:color w:val="auto"/>
              </w:rPr>
            </w:pPr>
            <w:r>
              <w:rPr>
                <w:rFonts w:ascii="Arial" w:cs="Arial" w:eastAsia="Arial" w:hAnsi="Arial"/>
                <w:sz w:val="14"/>
                <w:szCs w:val="14"/>
                <w:b w:val="1"/>
                <w:bCs w:val="1"/>
                <w:color w:val="auto"/>
                <w:w w:val="89"/>
              </w:rPr>
              <w:t>price</w:t>
            </w:r>
          </w:p>
        </w:tc>
      </w:tr>
      <w:tr>
        <w:trPr>
          <w:trHeight w:val="147"/>
        </w:trPr>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contractual life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0"/>
        </w:trPr>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7"/>
        </w:trPr>
        <w:tc>
          <w:tcPr>
            <w:tcW w:w="4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1,218,563</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ind w:right="66"/>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472,355</w:t>
            </w:r>
          </w:p>
        </w:tc>
        <w:tc>
          <w:tcPr>
            <w:tcW w:w="220" w:type="dxa"/>
            <w:vAlign w:val="bottom"/>
          </w:tcPr>
          <w:p>
            <w:pPr>
              <w:spacing w:after="0"/>
              <w:rPr>
                <w:sz w:val="18"/>
                <w:szCs w:val="18"/>
                <w:color w:val="auto"/>
              </w:rPr>
            </w:pPr>
          </w:p>
        </w:tc>
        <w:tc>
          <w:tcPr>
            <w:tcW w:w="1440" w:type="dxa"/>
            <w:vAlign w:val="bottom"/>
            <w:tcBorders>
              <w:top w:val="single" w:sz="8" w:color="auto"/>
            </w:tcBorders>
          </w:tcPr>
          <w:p>
            <w:pPr>
              <w:jc w:val="right"/>
              <w:ind w:right="125"/>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5.5</w:t>
            </w:r>
          </w:p>
        </w:tc>
      </w:tr>
      <w:tr>
        <w:trPr>
          <w:trHeight w:val="214"/>
        </w:trPr>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40,001</w:t>
            </w:r>
          </w:p>
        </w:tc>
        <w:tc>
          <w:tcPr>
            <w:tcW w:w="1280" w:type="dxa"/>
            <w:vAlign w:val="bottom"/>
            <w:tcBorders>
              <w:left w:val="single" w:sz="8" w:color="CCFFCC"/>
            </w:tcBorders>
            <w:gridSpan w:val="2"/>
            <w:shd w:val="clear" w:color="auto" w:fill="CCFFCC"/>
          </w:tcPr>
          <w:p>
            <w:pPr>
              <w:jc w:val="right"/>
              <w:ind w:right="66"/>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35,897</w:t>
            </w:r>
          </w:p>
        </w:tc>
        <w:tc>
          <w:tcPr>
            <w:tcW w:w="1660" w:type="dxa"/>
            <w:vAlign w:val="bottom"/>
            <w:tcBorders>
              <w:left w:val="single" w:sz="8" w:color="CCFFCC"/>
            </w:tcBorders>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2.26</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98"/>
              <w:spacing w:after="0"/>
              <w:rPr>
                <w:sz w:val="20"/>
                <w:szCs w:val="20"/>
                <w:color w:val="auto"/>
              </w:rPr>
            </w:pPr>
            <w:r>
              <w:rPr>
                <w:rFonts w:ascii="Arial" w:cs="Arial" w:eastAsia="Arial" w:hAnsi="Arial"/>
                <w:sz w:val="18"/>
                <w:szCs w:val="18"/>
                <w:color w:val="auto"/>
              </w:rPr>
              <w:t>4.5</w:t>
            </w:r>
          </w:p>
        </w:tc>
      </w:tr>
      <w:tr>
        <w:trPr>
          <w:trHeight w:val="214"/>
        </w:trPr>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280" w:type="dxa"/>
            <w:vAlign w:val="bottom"/>
            <w:gridSpan w:val="2"/>
          </w:tcPr>
          <w:p>
            <w:pPr>
              <w:jc w:val="right"/>
              <w:ind w:right="66"/>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660" w:type="dxa"/>
            <w:vAlign w:val="bottom"/>
            <w:gridSpan w:val="2"/>
          </w:tcPr>
          <w:p>
            <w:pPr>
              <w:jc w:val="right"/>
              <w:ind w:right="125"/>
              <w:spacing w:after="0"/>
              <w:rPr>
                <w:sz w:val="20"/>
                <w:szCs w:val="20"/>
                <w:color w:val="auto"/>
              </w:rPr>
            </w:pPr>
            <w:r>
              <w:rPr>
                <w:rFonts w:ascii="Arial" w:cs="Arial" w:eastAsia="Arial" w:hAnsi="Arial"/>
                <w:sz w:val="18"/>
                <w:szCs w:val="18"/>
                <w:color w:val="auto"/>
              </w:rPr>
              <w:t>1.67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3.0</w:t>
            </w:r>
          </w:p>
        </w:tc>
      </w:tr>
      <w:tr>
        <w:trPr>
          <w:trHeight w:val="214"/>
        </w:trPr>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56,584</w:t>
            </w:r>
          </w:p>
        </w:tc>
        <w:tc>
          <w:tcPr>
            <w:tcW w:w="1280" w:type="dxa"/>
            <w:vAlign w:val="bottom"/>
            <w:tcBorders>
              <w:left w:val="single" w:sz="8" w:color="CCFFCC"/>
            </w:tcBorders>
            <w:gridSpan w:val="2"/>
            <w:shd w:val="clear" w:color="auto" w:fill="CCFFCC"/>
          </w:tcPr>
          <w:p>
            <w:pPr>
              <w:jc w:val="right"/>
              <w:ind w:right="66"/>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1.5</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48,274</w:t>
            </w:r>
          </w:p>
        </w:tc>
        <w:tc>
          <w:tcPr>
            <w:tcW w:w="1660" w:type="dxa"/>
            <w:vAlign w:val="bottom"/>
            <w:tcBorders>
              <w:left w:val="single" w:sz="8" w:color="CCFFCC"/>
            </w:tcBorders>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1.84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98"/>
              <w:spacing w:after="0"/>
              <w:rPr>
                <w:sz w:val="20"/>
                <w:szCs w:val="20"/>
                <w:color w:val="auto"/>
              </w:rPr>
            </w:pPr>
            <w:r>
              <w:rPr>
                <w:rFonts w:ascii="Arial" w:cs="Arial" w:eastAsia="Arial" w:hAnsi="Arial"/>
                <w:sz w:val="18"/>
                <w:szCs w:val="18"/>
                <w:color w:val="auto"/>
              </w:rPr>
              <w:t>1.5</w:t>
            </w:r>
          </w:p>
        </w:tc>
      </w:tr>
      <w:tr>
        <w:trPr>
          <w:trHeight w:val="214"/>
        </w:trPr>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888,252</w:t>
            </w:r>
          </w:p>
        </w:tc>
        <w:tc>
          <w:tcPr>
            <w:tcW w:w="1280" w:type="dxa"/>
            <w:vAlign w:val="bottom"/>
            <w:gridSpan w:val="2"/>
          </w:tcPr>
          <w:p>
            <w:pPr>
              <w:jc w:val="right"/>
              <w:ind w:right="66"/>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158,669</w:t>
            </w:r>
          </w:p>
        </w:tc>
        <w:tc>
          <w:tcPr>
            <w:tcW w:w="1660" w:type="dxa"/>
            <w:vAlign w:val="bottom"/>
            <w:gridSpan w:val="2"/>
          </w:tcPr>
          <w:p>
            <w:pPr>
              <w:jc w:val="right"/>
              <w:ind w:right="125"/>
              <w:spacing w:after="0"/>
              <w:rPr>
                <w:sz w:val="20"/>
                <w:szCs w:val="20"/>
                <w:color w:val="auto"/>
              </w:rPr>
            </w:pPr>
            <w:r>
              <w:rPr>
                <w:rFonts w:ascii="Arial" w:cs="Arial" w:eastAsia="Arial" w:hAnsi="Arial"/>
                <w:sz w:val="18"/>
                <w:szCs w:val="18"/>
                <w:color w:val="auto"/>
              </w:rPr>
              <w:t>4.36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0.01</w:t>
            </w:r>
          </w:p>
        </w:tc>
      </w:tr>
      <w:tr>
        <w:trPr>
          <w:trHeight w:val="20"/>
        </w:trPr>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7"/>
        </w:trPr>
        <w:tc>
          <w:tcPr>
            <w:tcW w:w="40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2,228,400</w:t>
            </w:r>
          </w:p>
        </w:tc>
        <w:tc>
          <w:tcPr>
            <w:tcW w:w="220" w:type="dxa"/>
            <w:vAlign w:val="bottom"/>
            <w:tcBorders>
              <w:left w:val="single" w:sz="8" w:color="CCFFCC"/>
            </w:tcBorders>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740,195</w:t>
            </w:r>
          </w:p>
        </w:tc>
        <w:tc>
          <w:tcPr>
            <w:tcW w:w="220" w:type="dxa"/>
            <w:vAlign w:val="bottom"/>
            <w:tcBorders>
              <w:left w:val="single" w:sz="8" w:color="CCFFCC"/>
            </w:tcBorders>
            <w:shd w:val="clear" w:color="auto" w:fill="CCFFCC"/>
          </w:tcPr>
          <w:p>
            <w:pPr>
              <w:spacing w:after="0"/>
              <w:rPr>
                <w:sz w:val="19"/>
                <w:szCs w:val="19"/>
                <w:color w:val="auto"/>
              </w:rPr>
            </w:pPr>
          </w:p>
        </w:tc>
        <w:tc>
          <w:tcPr>
            <w:tcW w:w="14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0"/>
        </w:trPr>
        <w:tc>
          <w:tcPr>
            <w:tcW w:w="4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4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jc w:val="both"/>
        <w:ind w:left="60" w:right="860" w:firstLine="267"/>
        <w:spacing w:after="0" w:line="268" w:lineRule="auto"/>
        <w:rPr>
          <w:sz w:val="20"/>
          <w:szCs w:val="20"/>
          <w:color w:val="auto"/>
        </w:rPr>
      </w:pPr>
      <w:r>
        <w:rPr>
          <w:rFonts w:ascii="Arial" w:cs="Arial" w:eastAsia="Arial" w:hAnsi="Arial"/>
          <w:sz w:val="17"/>
          <w:szCs w:val="17"/>
          <w:color w:val="auto"/>
        </w:rPr>
        <w:t>As of December 31, 2011, the total aggregate intrinsic value of options outstanding was $593 thousand, of options exercisable $107 thousand and of options exercised $816 thousand. As of December 31, 2010, the total aggregate intrinsic value of both the options outstanding and options exercisable was $0 thousand, the total intrinsic value of options exercised was $134 thousand. The total fair value of stock options that vested in the years ended December 31, 2011, 2010 and cumulative from inception till December 31, 2011 amounts to $1,761 thousand, $206 thousand and $3,015 respectively. The weighted average grant date fair value of options granted during the years ended December 31, 2011, 2010 and cumulative from inception till December 31, 2011 was $0.91, $1.69 and $1.57, respectively.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7015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6"/>
              </w:rPr>
              <w:t>U.S.$ thousands</w:t>
            </w:r>
          </w:p>
        </w:tc>
        <w:tc>
          <w:tcPr>
            <w:tcW w:w="2920" w:type="dxa"/>
            <w:vAlign w:val="bottom"/>
          </w:tcPr>
          <w:p>
            <w:pPr>
              <w:spacing w:after="0"/>
              <w:rPr>
                <w:sz w:val="15"/>
                <w:szCs w:val="15"/>
                <w:color w:val="auto"/>
              </w:rPr>
            </w:pPr>
          </w:p>
        </w:tc>
      </w:tr>
      <w:tr>
        <w:trPr>
          <w:trHeight w:val="207"/>
        </w:trPr>
        <w:tc>
          <w:tcPr>
            <w:tcW w:w="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2180" w:type="dxa"/>
            <w:vAlign w:val="bottom"/>
            <w:shd w:val="clear" w:color="auto" w:fill="CCFFCC"/>
          </w:tcPr>
          <w:p>
            <w:pPr>
              <w:spacing w:after="0"/>
              <w:rPr>
                <w:sz w:val="18"/>
                <w:szCs w:val="18"/>
                <w:color w:val="auto"/>
              </w:rPr>
            </w:pPr>
          </w:p>
        </w:tc>
        <w:tc>
          <w:tcPr>
            <w:tcW w:w="440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1,015</w:t>
            </w:r>
          </w:p>
        </w:tc>
        <w:tc>
          <w:tcPr>
            <w:tcW w:w="2920" w:type="dxa"/>
            <w:vAlign w:val="bottom"/>
          </w:tcPr>
          <w:p>
            <w:pPr>
              <w:spacing w:after="0"/>
              <w:rPr>
                <w:sz w:val="18"/>
                <w:szCs w:val="18"/>
                <w:color w:val="auto"/>
              </w:rPr>
            </w:pPr>
          </w:p>
        </w:tc>
      </w:tr>
      <w:tr>
        <w:trPr>
          <w:trHeight w:val="214"/>
        </w:trPr>
        <w:tc>
          <w:tcPr>
            <w:tcW w:w="840" w:type="dxa"/>
            <w:vAlign w:val="bottom"/>
          </w:tcPr>
          <w:p>
            <w:pPr>
              <w:ind w:left="20"/>
              <w:spacing w:after="0"/>
              <w:rPr>
                <w:sz w:val="20"/>
                <w:szCs w:val="20"/>
                <w:color w:val="auto"/>
              </w:rPr>
            </w:pPr>
            <w:r>
              <w:rPr>
                <w:rFonts w:ascii="Arial" w:cs="Arial" w:eastAsia="Arial" w:hAnsi="Arial"/>
                <w:sz w:val="18"/>
                <w:szCs w:val="18"/>
                <w:color w:val="auto"/>
              </w:rPr>
              <w:t>2013</w:t>
            </w:r>
          </w:p>
        </w:tc>
        <w:tc>
          <w:tcPr>
            <w:tcW w:w="2180" w:type="dxa"/>
            <w:vAlign w:val="bottom"/>
          </w:tcPr>
          <w:p>
            <w:pPr>
              <w:spacing w:after="0"/>
              <w:rPr>
                <w:sz w:val="18"/>
                <w:szCs w:val="18"/>
                <w:color w:val="auto"/>
              </w:rPr>
            </w:pPr>
          </w:p>
        </w:tc>
        <w:tc>
          <w:tcPr>
            <w:tcW w:w="4400" w:type="dxa"/>
            <w:vAlign w:val="bottom"/>
            <w:gridSpan w:val="4"/>
          </w:tcPr>
          <w:p>
            <w:pPr>
              <w:jc w:val="right"/>
              <w:ind w:right="160"/>
              <w:spacing w:after="0"/>
              <w:rPr>
                <w:sz w:val="20"/>
                <w:szCs w:val="20"/>
                <w:color w:val="auto"/>
              </w:rPr>
            </w:pPr>
            <w:r>
              <w:rPr>
                <w:rFonts w:ascii="Arial" w:cs="Arial" w:eastAsia="Arial" w:hAnsi="Arial"/>
                <w:sz w:val="18"/>
                <w:szCs w:val="18"/>
                <w:color w:val="auto"/>
              </w:rPr>
              <w:t>679</w:t>
            </w:r>
          </w:p>
        </w:tc>
        <w:tc>
          <w:tcPr>
            <w:tcW w:w="2920" w:type="dxa"/>
            <w:vAlign w:val="bottom"/>
          </w:tcPr>
          <w:p>
            <w:pPr>
              <w:spacing w:after="0"/>
              <w:rPr>
                <w:sz w:val="18"/>
                <w:szCs w:val="18"/>
                <w:color w:val="auto"/>
              </w:rPr>
            </w:pPr>
          </w:p>
        </w:tc>
      </w:tr>
      <w:tr>
        <w:trPr>
          <w:trHeight w:val="214"/>
        </w:trPr>
        <w:tc>
          <w:tcPr>
            <w:tcW w:w="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2180" w:type="dxa"/>
            <w:vAlign w:val="bottom"/>
            <w:shd w:val="clear" w:color="auto" w:fill="CCFFCC"/>
          </w:tcPr>
          <w:p>
            <w:pPr>
              <w:spacing w:after="0"/>
              <w:rPr>
                <w:sz w:val="18"/>
                <w:szCs w:val="18"/>
                <w:color w:val="auto"/>
              </w:rPr>
            </w:pPr>
          </w:p>
        </w:tc>
        <w:tc>
          <w:tcPr>
            <w:tcW w:w="3220" w:type="dxa"/>
            <w:vAlign w:val="bottom"/>
            <w:gridSpan w:val="2"/>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w:t>
            </w:r>
          </w:p>
        </w:tc>
        <w:tc>
          <w:tcPr>
            <w:tcW w:w="2920" w:type="dxa"/>
            <w:vAlign w:val="bottom"/>
          </w:tcPr>
          <w:p>
            <w:pPr>
              <w:spacing w:after="0"/>
              <w:rPr>
                <w:sz w:val="18"/>
                <w:szCs w:val="18"/>
                <w:color w:val="auto"/>
              </w:rPr>
            </w:pPr>
          </w:p>
        </w:tc>
      </w:tr>
      <w:tr>
        <w:trPr>
          <w:trHeight w:val="20"/>
        </w:trPr>
        <w:tc>
          <w:tcPr>
            <w:tcW w:w="840" w:type="dxa"/>
            <w:vAlign w:val="bottom"/>
            <w:shd w:val="clear" w:color="auto" w:fill="CCFFCC"/>
          </w:tcPr>
          <w:p>
            <w:pPr>
              <w:spacing w:after="0" w:line="20" w:lineRule="exact"/>
              <w:rPr>
                <w:sz w:val="1"/>
                <w:szCs w:val="1"/>
                <w:color w:val="auto"/>
              </w:rPr>
            </w:pPr>
          </w:p>
        </w:tc>
        <w:tc>
          <w:tcPr>
            <w:tcW w:w="2180" w:type="dxa"/>
            <w:vAlign w:val="bottom"/>
            <w:shd w:val="clear" w:color="auto" w:fill="CCFFCC"/>
          </w:tcPr>
          <w:p>
            <w:pPr>
              <w:spacing w:after="0" w:line="20" w:lineRule="exact"/>
              <w:rPr>
                <w:sz w:val="1"/>
                <w:szCs w:val="1"/>
                <w:color w:val="auto"/>
              </w:rPr>
            </w:pPr>
          </w:p>
        </w:tc>
        <w:tc>
          <w:tcPr>
            <w:tcW w:w="30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20" w:type="dxa"/>
            <w:vAlign w:val="bottom"/>
            <w:gridSpan w:val="2"/>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1,852</w:t>
            </w:r>
          </w:p>
        </w:tc>
        <w:tc>
          <w:tcPr>
            <w:tcW w:w="29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767"/>
        </w:trPr>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400" w:type="dxa"/>
            <w:vAlign w:val="bottom"/>
            <w:gridSpan w:val="4"/>
          </w:tcPr>
          <w:p>
            <w:pPr>
              <w:jc w:val="right"/>
              <w:ind w:right="2640"/>
              <w:spacing w:after="0"/>
              <w:rPr>
                <w:sz w:val="20"/>
                <w:szCs w:val="20"/>
                <w:color w:val="auto"/>
              </w:rPr>
            </w:pPr>
            <w:r>
              <w:rPr>
                <w:rFonts w:ascii="Arial" w:cs="Arial" w:eastAsia="Arial" w:hAnsi="Arial"/>
                <w:sz w:val="18"/>
                <w:szCs w:val="18"/>
                <w:color w:val="auto"/>
              </w:rPr>
              <w:t>F-24</w:t>
            </w: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-805815</wp:posOffset>
            </wp:positionV>
            <wp:extent cx="4701540" cy="1784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18" w:name="page219"/>
    <w:bookmarkEnd w:id="2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 Stockholders’ Equity (Deficit) – (continued)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 Warrants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Conversion Warrants, Special Bridge Warrants and Reload Warrants</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On December 29, 2009, the Company consummated a Bridge Financing pursuant to which it issued 5% subordinated convertible promissory notes, (“Bridge Notes”), in the aggregate amount of $2.98 million in a private placement, as well as warrants to purchase 795,200 shares of common stock (the “Special Bridge Warrants”) (together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and their fair value is calculated using the Black-Scholes-Merton model at every reporting period. Upon the consummation of the IPO, the Company issued a further 69,132 Special Bridge Warrants to the holders of the Bridge Notes to reflect the final offering price of the IPO units. These warrants were valued on the date of the IPO by using the Black-Scholes-Merton model.</w:t>
      </w:r>
    </w:p>
    <w:p>
      <w:pPr>
        <w:spacing w:after="0" w:line="7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Upon the consummation of the IPO, the Bridge Notes were automatically converted into 864,332 shares of common stock and 1,728,664 warrants (the “Conversion Warrants”). The Conversion Warrants granted to the Bridge Note holders were classified as a derivative long-term liability. Also see Note 10.</w:t>
      </w:r>
    </w:p>
    <w:p>
      <w:pPr>
        <w:spacing w:after="0" w:line="7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On December 1, 2011, the Company entered into Subscription Agreements with certain accredited investors pursuant to which the Company issued 817,303 shares of common stock at $1.04 per share, a 20% discount to the closing price of the Company’s common stock on November 30, 2011. Upon the closing of the Financing, the Company’s outstanding Convertible Notes in the aggregate principal amount of $2.5 million automatically converted into 2,671,026 shares of common stock at $0.94 per share, a 10% discount to the purchase price in the Financing. The foregoing issuances triggered down-round and anti-dilution provisions in outstanding Special Bridge and Conversion Warrants. As a result, the number of shares issuable to the holders of the Special Bridge Warrants was adjusted to 2,528,615 and the exercise price for both Special Bridge and Conversion Warrants adjusted to $0.94.</w:t>
      </w:r>
    </w:p>
    <w:p>
      <w:pPr>
        <w:spacing w:after="0" w:line="58"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As of December 31,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exercise amount remains as under the original terms (approximately $2.4 million). We estimate 50% probability of such protection being activated in April, 2012. We have estimated the value of the down-round protection using a Monte-Carlo simulation. The following assumptions were used: 70.2% expected volatility, a risk-free interest rate of 0.38%, estimated life of 3.00 years and no dividend yield. The fair value of the common stock was $0.99. Also see Note 10.</w:t>
      </w:r>
    </w:p>
    <w:p>
      <w:pPr>
        <w:spacing w:after="0" w:line="5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At December 31, 2011, the Conversion Warrants were revalued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50% probability of such protection being activated in April, 2012. We have estimated the value of the down-round protection using a Monte-Carlo simulation. The following assumptions were used: 70.98% expected volatility, a risk-free interest rate of 0.52%, estimated life of 3.47 years and no dividend yield. The fair value of the common stock was $0.99. Also see Note 10.</w:t>
      </w:r>
    </w:p>
    <w:p>
      <w:pPr>
        <w:spacing w:after="0" w:line="5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Subsequent to the balance sheet date, between February 6 and February 14, 2012, the Company entered into agreements with Holders, pursuant to which the Holders exercised 2,274,235 Special Bridge and 1,554,758 Conversion Warrants to purchase an aggregate of 3,828,993 shares of the Company’s common stock for aggregate proceeds to the Company of $3.6 million. In addition, the Company issued new warrants to purchase an aggregate of 2,660,922 shares of common stock at an exercise price of $1.76 per share in</w:t>
      </w:r>
    </w:p>
    <w:p>
      <w:pPr>
        <w:spacing w:after="0" w:line="200" w:lineRule="exact"/>
        <w:rPr>
          <w:sz w:val="20"/>
          <w:szCs w:val="20"/>
          <w:color w:val="auto"/>
        </w:rPr>
      </w:pPr>
    </w:p>
    <w:p>
      <w:pPr>
        <w:spacing w:after="0" w:line="3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19" w:name="page220"/>
    <w:bookmarkEnd w:id="2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40" w:right="639"/>
        <w:spacing w:after="0" w:line="334" w:lineRule="auto"/>
        <w:rPr>
          <w:sz w:val="20"/>
          <w:szCs w:val="20"/>
          <w:color w:val="auto"/>
        </w:rPr>
      </w:pPr>
      <w:r>
        <w:rPr>
          <w:rFonts w:ascii="Arial" w:cs="Arial" w:eastAsia="Arial" w:hAnsi="Arial"/>
          <w:sz w:val="16"/>
          <w:szCs w:val="16"/>
          <w:color w:val="auto"/>
        </w:rPr>
        <w:t>consideration for the immediate exercise of the warrants (“Reload Warrants”). A portion of the Reload warrants bear down-round protection clauses as a result, they will be classified as a long-term derivative liability and recorded at fair value. See also Note 17.</w:t>
      </w:r>
    </w:p>
    <w:p>
      <w:pPr>
        <w:spacing w:after="0" w:line="23"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Senior Lenders Warrants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As discussed in Note 8, the senior lenders of the Company’s venture loan received Senior Lenders Warrants to purchase 250,000 shares of common stock, at an exercise price of $2.75 per share, in exchange for granting the Company a six month moratorium on principal payments and an additional year for the repayment of the venture loan. The Senior Lender Warrants were exercisable at any time before the tenth anniversary of the date they were issued. On June 8, 2011, the Company entered into a Settlement Agreement with the lenders of the venture loan, pursuant to which the Lenders agreed to accept less than the full amount owed to them by the Company. As part of the Settlement Agreement the Company issued the Lenders 250,000 shares of its common stock, in exchange for 250,000 Senior Lender Warrants, which were cancelled.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Lead Investor Warrants</w:t>
      </w:r>
    </w:p>
    <w:p>
      <w:pPr>
        <w:spacing w:after="0" w:line="114"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The lead investors of the Bridge Financing received warrants (“Lead Investor Warrants”) to purchase 482,346 shares of common stock at $0.01 exercise price per share. The Lead Investor Warrants (i) were exercisable 65 days subsequent to the consummation of the IPO, (ii) expire four years after issuance and (iii) Were subject to a lock-up agreement for six months subsequent to exercise. Upon the consummation of the IPO, Lead Investor Warrants were recorded at their fair value using the Black-Scholes-Merton model, as a result, an additional interest expense in the total amount of $1,342 thousand, was recognized. The assumptions used in this calculation were 52.6% expected volatility, risk-free interest rate of 1.68%, estimated life of 4 years and no dividend yield. The fair value of the common stock was estimated at $2.79. In October 2010, 241,173 of the Lead Investor Warrants were exercised, and in February 2011, the remaining 241,173 Lead Investor Warrants were exercised.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Placement Agent Warrants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For their role in helping to facilitate the Bridge Financing, the Placement Agent for the offering received warrants equal to 7% of the total amount of securities sold in the Bridge Financing (“Placement Agent Warrants”). Based on the amount raised, the Company issued 55,664 Placement Agent Warrants. The Placement Agent Warrants were non-exercisable for three months after the date of the closing of the Bridge Financing and subsequently exercisable until five years after the closing of the Bridge Financing. The Placement Agent Warrants were exercisable at $3.795 per share. The December 2011 financing triggered the anti-dilution provision in the Placement Agent Warrants, resulting in a reduction of the exercise price to $0.94. On February 2, 2012, the Placement Agent Warrants were exercised.</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IPO warrants</w:t>
      </w:r>
    </w:p>
    <w:p>
      <w:pPr>
        <w:spacing w:after="0" w:line="114"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In June 2010, upon completion of the IPO, 2,392,000 units, each containing one share of common stock and two warrants, at an issue price of $4.60 per unit, were issued. Each warrant in the IPO unit is exercisable for five years after the IPO at an exercise price of $5.06. On July 27, 2010, the unit was separated into its components and the shares and warrants began to trade separately. Upon separation of the units into shares and warrants, the units ceased trading. As of December 31, 2011, all of these warrants are outstanding.</w:t>
      </w:r>
    </w:p>
    <w:p>
      <w:pPr>
        <w:spacing w:after="0" w:line="200" w:lineRule="exact"/>
        <w:rPr>
          <w:sz w:val="20"/>
          <w:szCs w:val="20"/>
          <w:color w:val="auto"/>
        </w:rPr>
      </w:pPr>
    </w:p>
    <w:p>
      <w:pPr>
        <w:spacing w:after="0" w:line="3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20" w:name="page221"/>
    <w:bookmarkEnd w:id="22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260" w:firstLine="2344"/>
        <w:spacing w:after="0" w:line="399" w:lineRule="auto"/>
        <w:rPr>
          <w:sz w:val="20"/>
          <w:szCs w:val="20"/>
          <w:color w:val="auto"/>
        </w:rPr>
      </w:pPr>
      <w:r>
        <w:rPr>
          <w:rFonts w:ascii="Arial" w:cs="Arial" w:eastAsia="Arial" w:hAnsi="Arial"/>
          <w:sz w:val="18"/>
          <w:szCs w:val="18"/>
          <w:b w:val="1"/>
          <w:bCs w:val="1"/>
          <w:color w:val="auto"/>
        </w:rPr>
        <w:t xml:space="preserve">NOTES TO CONSOLIDATED FINANCIAL STATEMENTS Note 11 — Stockholders’ Equity (Deficit) – (continued) </w:t>
      </w:r>
      <w:r>
        <w:rPr>
          <w:rFonts w:ascii="Arial" w:cs="Arial" w:eastAsia="Arial" w:hAnsi="Arial"/>
          <w:sz w:val="18"/>
          <w:szCs w:val="18"/>
          <w:b w:val="1"/>
          <w:bCs w:val="1"/>
          <w:i w:val="1"/>
          <w:iCs w:val="1"/>
          <w:color w:val="auto"/>
        </w:rPr>
        <w:t>Charitable warrants</w:t>
      </w:r>
    </w:p>
    <w:p>
      <w:pPr>
        <w:spacing w:after="0" w:line="1" w:lineRule="exact"/>
        <w:rPr>
          <w:sz w:val="20"/>
          <w:szCs w:val="20"/>
          <w:color w:val="auto"/>
        </w:rPr>
      </w:pPr>
    </w:p>
    <w:p>
      <w:pPr>
        <w:jc w:val="both"/>
        <w:ind w:left="60" w:right="880" w:firstLine="267"/>
        <w:spacing w:after="0" w:line="284" w:lineRule="auto"/>
        <w:rPr>
          <w:sz w:val="20"/>
          <w:szCs w:val="20"/>
          <w:color w:val="auto"/>
        </w:rPr>
      </w:pPr>
      <w:r>
        <w:rPr>
          <w:rFonts w:ascii="Arial" w:cs="Arial" w:eastAsia="Arial" w:hAnsi="Arial"/>
          <w:sz w:val="16"/>
          <w:szCs w:val="16"/>
          <w:color w:val="auto"/>
        </w:rPr>
        <w:t>Upon the consummation of the IPO, the Company recognized a charitable donation of a warrant to purchase 20,000 shares of common stock at an exercise price of $1.50 granted in 2006. The fair value of the donation was calculated using the Black-Scholes-Merton model with an expected life of 6.33 years, a risk-free interest rate of 2.7%, an expected volatility of 56.1% and no dividend yield. The expenses for these options in the amount of $37 thousand were recorded upon the consummation of the IPO. During September 2010, the foregoing warrant was exercised on a cashless basis, resulting in the issuance by the Company of 11,044 shares of common stock. In addition, the Company granted warrants to purchase 40 thousand shares of common stock as a charitable donation. 20 thousand of these warrants were granted at an exercise price of $5.50 per share and the remaining 20 thousand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year ended December 31, 2011. In April 2011, the Company issued 19,862 shares of common stock upon exercise of 20 thousand charitable warrants with an exercise price of $0.01 per share.</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0584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7"/>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gridSpan w:val="2"/>
            <w:vMerge w:val="restart"/>
          </w:tcPr>
          <w:p>
            <w:pPr>
              <w:jc w:val="center"/>
              <w:ind w:left="252"/>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FFCC"/>
            </w:tcBorders>
            <w:shd w:val="clear" w:color="auto" w:fill="CCFFCC"/>
          </w:tcPr>
          <w:p>
            <w:pPr>
              <w:spacing w:after="0"/>
              <w:rPr>
                <w:sz w:val="15"/>
                <w:szCs w:val="15"/>
                <w:color w:val="auto"/>
              </w:rPr>
            </w:pPr>
          </w:p>
        </w:tc>
        <w:tc>
          <w:tcPr>
            <w:tcW w:w="3820" w:type="dxa"/>
            <w:vAlign w:val="bottom"/>
            <w:tcBorders>
              <w:bottom w:val="single" w:sz="8" w:color="auto"/>
            </w:tcBorders>
            <w:gridSpan w:val="6"/>
            <w:shd w:val="clear" w:color="auto" w:fill="CCFFCC"/>
          </w:tcPr>
          <w:p>
            <w:pPr>
              <w:spacing w:after="0" w:line="180" w:lineRule="exact"/>
              <w:rPr>
                <w:sz w:val="20"/>
                <w:szCs w:val="20"/>
                <w:color w:val="auto"/>
              </w:rPr>
            </w:pPr>
            <w:r>
              <w:rPr>
                <w:rFonts w:ascii="Arial" w:cs="Arial" w:eastAsia="Arial" w:hAnsi="Arial"/>
                <w:sz w:val="18"/>
                <w:szCs w:val="18"/>
                <w:b w:val="1"/>
                <w:bCs w:val="1"/>
                <w:color w:val="auto"/>
                <w:w w:val="88"/>
              </w:rPr>
              <w:t>Information on sales by product exceeding 10% of</w:t>
            </w:r>
          </w:p>
        </w:tc>
        <w:tc>
          <w:tcPr>
            <w:tcW w:w="50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1160" w:type="dxa"/>
            <w:vAlign w:val="bottom"/>
            <w:tcBorders>
              <w:bottom w:val="single" w:sz="8" w:color="CCFFCC"/>
            </w:tcBorders>
            <w:shd w:val="clear" w:color="auto" w:fill="CCFFCC"/>
          </w:tcPr>
          <w:p>
            <w:pPr>
              <w:spacing w:after="0"/>
              <w:rPr>
                <w:sz w:val="15"/>
                <w:szCs w:val="15"/>
                <w:color w:val="auto"/>
              </w:rPr>
            </w:pPr>
          </w:p>
        </w:tc>
        <w:tc>
          <w:tcPr>
            <w:tcW w:w="180" w:type="dxa"/>
            <w:vAlign w:val="bottom"/>
            <w:tcBorders>
              <w:bottom w:val="single" w:sz="8" w:color="CCFFCC"/>
            </w:tcBorders>
            <w:shd w:val="clear" w:color="auto" w:fill="CCFFCC"/>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tcBorders>
            <w:gridSpan w:val="2"/>
            <w:shd w:val="clear" w:color="auto" w:fill="CCFFCC"/>
          </w:tcPr>
          <w:p>
            <w:pPr>
              <w:spacing w:after="0" w:line="194" w:lineRule="exact"/>
              <w:rPr>
                <w:sz w:val="20"/>
                <w:szCs w:val="20"/>
                <w:color w:val="auto"/>
              </w:rPr>
            </w:pPr>
            <w:r>
              <w:rPr>
                <w:rFonts w:ascii="Arial" w:cs="Arial" w:eastAsia="Arial" w:hAnsi="Arial"/>
                <w:sz w:val="18"/>
                <w:szCs w:val="18"/>
                <w:b w:val="1"/>
                <w:bCs w:val="1"/>
                <w:color w:val="auto"/>
                <w:w w:val="85"/>
              </w:rPr>
              <w:t>Revenues:</w:t>
            </w:r>
          </w:p>
        </w:tc>
        <w:tc>
          <w:tcPr>
            <w:tcW w:w="3360" w:type="dxa"/>
            <w:vAlign w:val="bottom"/>
            <w:tcBorders>
              <w:bottom w:val="single" w:sz="8" w:color="CCFFCC"/>
            </w:tcBorders>
            <w:gridSpan w:val="4"/>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Video Ringtones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209</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743</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Development Projects</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184</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184</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27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Borders>
              <w:top w:val="single" w:sz="8" w:color="CCFFCC"/>
            </w:tcBorders>
          </w:tcPr>
          <w:p>
            <w:pPr>
              <w:spacing w:after="0"/>
              <w:rPr>
                <w:sz w:val="14"/>
                <w:szCs w:val="14"/>
                <w:color w:val="auto"/>
              </w:rPr>
            </w:pPr>
          </w:p>
        </w:tc>
        <w:tc>
          <w:tcPr>
            <w:tcW w:w="4320" w:type="dxa"/>
            <w:vAlign w:val="bottom"/>
            <w:tcBorders>
              <w:top w:val="single" w:sz="8" w:color="CCFFCC"/>
            </w:tcBorders>
            <w:gridSpan w:val="7"/>
          </w:tcPr>
          <w:p>
            <w:pPr>
              <w:spacing w:after="0" w:line="167" w:lineRule="exact"/>
              <w:rPr>
                <w:sz w:val="20"/>
                <w:szCs w:val="20"/>
                <w:color w:val="auto"/>
              </w:rPr>
            </w:pPr>
            <w:r>
              <w:rPr>
                <w:rFonts w:ascii="Arial" w:cs="Arial" w:eastAsia="Arial" w:hAnsi="Arial"/>
                <w:sz w:val="18"/>
                <w:szCs w:val="18"/>
                <w:b w:val="1"/>
                <w:bCs w:val="1"/>
                <w:color w:val="auto"/>
                <w:w w:val="97"/>
              </w:rPr>
              <w:t>Revenues from single customers exceeding 10% of</w:t>
            </w: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52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Customer A</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312</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95</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407</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Customer B</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144</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Customer C</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110</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110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206</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62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288</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27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Borders>
              <w:top w:val="single" w:sz="8" w:color="CCFFCC"/>
            </w:tcBorders>
          </w:tcPr>
          <w:p>
            <w:pPr>
              <w:spacing w:after="0"/>
              <w:rPr>
                <w:sz w:val="14"/>
                <w:szCs w:val="14"/>
                <w:color w:val="auto"/>
              </w:rPr>
            </w:pPr>
          </w:p>
        </w:tc>
        <w:tc>
          <w:tcPr>
            <w:tcW w:w="4320" w:type="dxa"/>
            <w:vAlign w:val="bottom"/>
            <w:tcBorders>
              <w:top w:val="single" w:sz="8" w:color="CCFFCC"/>
            </w:tcBorders>
            <w:gridSpan w:val="7"/>
          </w:tcPr>
          <w:p>
            <w:pPr>
              <w:spacing w:after="0" w:line="167" w:lineRule="exact"/>
              <w:rPr>
                <w:sz w:val="20"/>
                <w:szCs w:val="20"/>
                <w:color w:val="auto"/>
              </w:rPr>
            </w:pPr>
            <w:r>
              <w:rPr>
                <w:rFonts w:ascii="Arial" w:cs="Arial" w:eastAsia="Arial" w:hAnsi="Arial"/>
                <w:sz w:val="18"/>
                <w:szCs w:val="18"/>
                <w:b w:val="1"/>
                <w:bCs w:val="1"/>
                <w:color w:val="auto"/>
              </w:rPr>
              <w:t>Information on sales by geographic distribution:</w:t>
            </w: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South East Asia</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384</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105</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488</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Middle East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229</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432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Europe</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82</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gridSpan w:val="7"/>
          </w:tcPr>
          <w:p>
            <w:pPr>
              <w:spacing w:after="0"/>
              <w:rPr>
                <w:sz w:val="20"/>
                <w:szCs w:val="20"/>
                <w:color w:val="auto"/>
              </w:rPr>
            </w:pPr>
            <w:r>
              <w:rPr>
                <w:rFonts w:ascii="Arial" w:cs="Arial" w:eastAsia="Arial" w:hAnsi="Arial"/>
                <w:sz w:val="18"/>
                <w:szCs w:val="18"/>
                <w:color w:val="auto"/>
              </w:rPr>
              <w:t>Others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150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27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27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50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F-27</w:t>
            </w:r>
          </w:p>
        </w:tc>
        <w:tc>
          <w:tcPr>
            <w:tcW w:w="14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7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7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-2503170</wp:posOffset>
            </wp:positionV>
            <wp:extent cx="5160010" cy="3054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60010" cy="305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-1510030</wp:posOffset>
            </wp:positionV>
            <wp:extent cx="5160010" cy="169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5160010" cy="336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21" w:name="page222"/>
    <w:bookmarkEnd w:id="22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260" w:firstLine="2344"/>
        <w:spacing w:after="0" w:line="346" w:lineRule="auto"/>
        <w:rPr>
          <w:sz w:val="20"/>
          <w:szCs w:val="20"/>
          <w:color w:val="auto"/>
        </w:rPr>
      </w:pPr>
      <w:r>
        <w:rPr>
          <w:rFonts w:ascii="Arial" w:cs="Arial" w:eastAsia="Arial" w:hAnsi="Arial"/>
          <w:sz w:val="18"/>
          <w:szCs w:val="18"/>
          <w:b w:val="1"/>
          <w:bCs w:val="1"/>
          <w:color w:val="auto"/>
        </w:rPr>
        <w:t>NOTES TO CONSOLIDATED FINANCIAL STATEMENTS Note 13 — Interest and Amortization of Debt Discount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0666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0666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228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7"/>
              </w:rPr>
              <w:t>For the year ended December 31,</w:t>
            </w:r>
          </w:p>
        </w:tc>
        <w:tc>
          <w:tcPr>
            <w:tcW w:w="18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center"/>
              <w:ind w:left="353"/>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3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w w:val="94"/>
              </w:rPr>
              <w:t>U.S.$ thousands</w:t>
            </w:r>
          </w:p>
        </w:tc>
        <w:tc>
          <w:tcPr>
            <w:tcW w:w="160" w:type="dxa"/>
            <w:vAlign w:val="bottom"/>
          </w:tcPr>
          <w:p>
            <w:pPr>
              <w:spacing w:after="0"/>
              <w:rPr>
                <w:sz w:val="17"/>
                <w:szCs w:val="17"/>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80" w:type="dxa"/>
            <w:vAlign w:val="bottom"/>
          </w:tcPr>
          <w:p>
            <w:pPr>
              <w:spacing w:after="0"/>
              <w:rPr>
                <w:sz w:val="17"/>
                <w:szCs w:val="17"/>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0" w:type="dxa"/>
            <w:vAlign w:val="bottom"/>
          </w:tcPr>
          <w:p>
            <w:pPr>
              <w:spacing w:after="0"/>
              <w:rPr>
                <w:sz w:val="1"/>
                <w:szCs w:val="1"/>
                <w:color w:val="auto"/>
              </w:rPr>
            </w:pPr>
          </w:p>
        </w:tc>
      </w:tr>
      <w:tr>
        <w:trPr>
          <w:trHeight w:val="205"/>
        </w:trPr>
        <w:tc>
          <w:tcPr>
            <w:tcW w:w="4360" w:type="dxa"/>
            <w:vAlign w:val="bottom"/>
            <w:shd w:val="clear" w:color="auto" w:fill="CCFFCC"/>
          </w:tcPr>
          <w:p>
            <w:pPr>
              <w:ind w:left="20"/>
              <w:spacing w:after="0" w:line="205" w:lineRule="exact"/>
              <w:rPr>
                <w:sz w:val="20"/>
                <w:szCs w:val="20"/>
                <w:color w:val="auto"/>
              </w:rPr>
            </w:pPr>
            <w:r>
              <w:rPr>
                <w:rFonts w:ascii="Arial" w:cs="Arial" w:eastAsia="Arial" w:hAnsi="Arial"/>
                <w:sz w:val="18"/>
                <w:szCs w:val="18"/>
                <w:color w:val="auto"/>
              </w:rPr>
              <w:t>Interest and discount amortization expense from</w:t>
            </w:r>
          </w:p>
        </w:tc>
        <w:tc>
          <w:tcPr>
            <w:tcW w:w="1060" w:type="dxa"/>
            <w:vAlign w:val="bottom"/>
            <w:gridSpan w:val="2"/>
            <w:shd w:val="clear" w:color="auto" w:fill="CCFFCC"/>
          </w:tcPr>
          <w:p>
            <w:pPr>
              <w:jc w:val="right"/>
              <w:ind w:right="100"/>
              <w:spacing w:after="0" w:line="205" w:lineRule="exact"/>
              <w:rPr>
                <w:sz w:val="20"/>
                <w:szCs w:val="20"/>
                <w:color w:val="auto"/>
              </w:rPr>
            </w:pPr>
            <w:r>
              <w:rPr>
                <w:rFonts w:ascii="Arial" w:cs="Arial" w:eastAsia="Arial" w:hAnsi="Arial"/>
                <w:sz w:val="18"/>
                <w:szCs w:val="18"/>
                <w:b w:val="1"/>
                <w:bCs w:val="1"/>
                <w:color w:val="auto"/>
              </w:rPr>
              <w:t>(245)</w:t>
            </w:r>
          </w:p>
        </w:tc>
        <w:tc>
          <w:tcPr>
            <w:tcW w:w="1220" w:type="dxa"/>
            <w:vAlign w:val="bottom"/>
            <w:gridSpan w:val="3"/>
            <w:shd w:val="clear" w:color="auto" w:fill="CCFFCC"/>
          </w:tcPr>
          <w:p>
            <w:pPr>
              <w:jc w:val="right"/>
              <w:ind w:right="120"/>
              <w:spacing w:after="0" w:line="205" w:lineRule="exact"/>
              <w:rPr>
                <w:sz w:val="20"/>
                <w:szCs w:val="20"/>
                <w:color w:val="auto"/>
              </w:rPr>
            </w:pPr>
            <w:r>
              <w:rPr>
                <w:rFonts w:ascii="Arial" w:cs="Arial" w:eastAsia="Arial" w:hAnsi="Arial"/>
                <w:sz w:val="18"/>
                <w:szCs w:val="18"/>
                <w:color w:val="auto"/>
              </w:rPr>
              <w:t>(604)</w:t>
            </w:r>
          </w:p>
        </w:tc>
        <w:tc>
          <w:tcPr>
            <w:tcW w:w="1500" w:type="dxa"/>
            <w:vAlign w:val="bottom"/>
            <w:gridSpan w:val="3"/>
            <w:shd w:val="clear" w:color="auto" w:fill="CCFFCC"/>
          </w:tcPr>
          <w:p>
            <w:pPr>
              <w:jc w:val="right"/>
              <w:ind w:right="200"/>
              <w:spacing w:after="0" w:line="205" w:lineRule="exact"/>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8"/>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venture loan</w:t>
            </w:r>
          </w:p>
        </w:tc>
        <w:tc>
          <w:tcPr>
            <w:tcW w:w="9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 from Bridge Notes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4"/>
        </w:trPr>
        <w:tc>
          <w:tcPr>
            <w:tcW w:w="4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Lead Investor warrants recorded at fair value</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(1,342)</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8"/>
                <w:szCs w:val="18"/>
                <w:color w:val="auto"/>
              </w:rPr>
              <w:t>Amortization of discount of Bridge Notes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(1,070)</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199"/>
        </w:trPr>
        <w:tc>
          <w:tcPr>
            <w:tcW w:w="4360" w:type="dxa"/>
            <w:vAlign w:val="bottom"/>
            <w:shd w:val="clear" w:color="auto" w:fill="CCFFCC"/>
          </w:tcPr>
          <w:p>
            <w:pPr>
              <w:ind w:left="20"/>
              <w:spacing w:after="0" w:line="200" w:lineRule="exact"/>
              <w:rPr>
                <w:sz w:val="20"/>
                <w:szCs w:val="20"/>
                <w:color w:val="auto"/>
              </w:rPr>
            </w:pPr>
            <w:r>
              <w:rPr>
                <w:rFonts w:ascii="Arial" w:cs="Arial" w:eastAsia="Arial" w:hAnsi="Arial"/>
                <w:sz w:val="18"/>
                <w:szCs w:val="18"/>
                <w:color w:val="auto"/>
              </w:rPr>
              <w:t>Beneficial conversion feature in connection with</w:t>
            </w:r>
          </w:p>
        </w:tc>
        <w:tc>
          <w:tcPr>
            <w:tcW w:w="1060" w:type="dxa"/>
            <w:vAlign w:val="bottom"/>
            <w:gridSpan w:val="2"/>
            <w:shd w:val="clear" w:color="auto" w:fill="CCFFCC"/>
          </w:tcPr>
          <w:p>
            <w:pPr>
              <w:jc w:val="right"/>
              <w:ind w:right="10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gridSpan w:val="3"/>
            <w:shd w:val="clear" w:color="auto" w:fill="CCFFCC"/>
          </w:tcPr>
          <w:p>
            <w:pPr>
              <w:jc w:val="right"/>
              <w:ind w:right="120"/>
              <w:spacing w:after="0" w:line="200" w:lineRule="exact"/>
              <w:rPr>
                <w:sz w:val="20"/>
                <w:szCs w:val="20"/>
                <w:color w:val="auto"/>
              </w:rPr>
            </w:pPr>
            <w:r>
              <w:rPr>
                <w:rFonts w:ascii="Arial" w:cs="Arial" w:eastAsia="Arial" w:hAnsi="Arial"/>
                <w:sz w:val="18"/>
                <w:szCs w:val="18"/>
                <w:color w:val="auto"/>
              </w:rPr>
              <w:t>(1,127)</w:t>
            </w:r>
          </w:p>
        </w:tc>
        <w:tc>
          <w:tcPr>
            <w:tcW w:w="1500" w:type="dxa"/>
            <w:vAlign w:val="bottom"/>
            <w:gridSpan w:val="3"/>
            <w:shd w:val="clear" w:color="auto" w:fill="CCFFCC"/>
          </w:tcPr>
          <w:p>
            <w:pPr>
              <w:jc w:val="right"/>
              <w:ind w:right="200"/>
              <w:spacing w:after="0" w:line="200" w:lineRule="exact"/>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8"/>
        </w:trPr>
        <w:tc>
          <w:tcPr>
            <w:tcW w:w="43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Bridge Notes</w:t>
            </w:r>
          </w:p>
        </w:tc>
        <w:tc>
          <w:tcPr>
            <w:tcW w:w="9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 from Series B convertible loan</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4"/>
        </w:trPr>
        <w:tc>
          <w:tcPr>
            <w:tcW w:w="4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expense from Convertible Notes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line="200" w:lineRule="exact"/>
              <w:rPr>
                <w:sz w:val="20"/>
                <w:szCs w:val="20"/>
                <w:color w:val="auto"/>
              </w:rPr>
            </w:pPr>
            <w:r>
              <w:rPr>
                <w:rFonts w:ascii="Arial" w:cs="Arial" w:eastAsia="Arial" w:hAnsi="Arial"/>
                <w:sz w:val="18"/>
                <w:szCs w:val="18"/>
                <w:color w:val="auto"/>
                <w:w w:val="96"/>
              </w:rPr>
              <w:t>Amortization of discount of Convertible Notes (beneficial</w:t>
            </w:r>
          </w:p>
        </w:tc>
        <w:tc>
          <w:tcPr>
            <w:tcW w:w="1060" w:type="dxa"/>
            <w:vAlign w:val="bottom"/>
            <w:gridSpan w:val="2"/>
          </w:tcPr>
          <w:p>
            <w:pPr>
              <w:jc w:val="right"/>
              <w:ind w:right="100"/>
              <w:spacing w:after="0" w:line="200" w:lineRule="exact"/>
              <w:rPr>
                <w:sz w:val="20"/>
                <w:szCs w:val="20"/>
                <w:color w:val="auto"/>
              </w:rPr>
            </w:pPr>
            <w:r>
              <w:rPr>
                <w:rFonts w:ascii="Arial" w:cs="Arial" w:eastAsia="Arial" w:hAnsi="Arial"/>
                <w:sz w:val="18"/>
                <w:szCs w:val="18"/>
                <w:b w:val="1"/>
                <w:bCs w:val="1"/>
                <w:color w:val="auto"/>
              </w:rPr>
              <w:t>(1,269)</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27"/>
        </w:trPr>
        <w:tc>
          <w:tcPr>
            <w:tcW w:w="4360" w:type="dxa"/>
            <w:vAlign w:val="bottom"/>
          </w:tcPr>
          <w:p>
            <w:pPr>
              <w:ind w:left="180"/>
              <w:spacing w:after="0"/>
              <w:rPr>
                <w:sz w:val="20"/>
                <w:szCs w:val="20"/>
                <w:color w:val="auto"/>
              </w:rPr>
            </w:pPr>
            <w:r>
              <w:rPr>
                <w:rFonts w:ascii="Arial" w:cs="Arial" w:eastAsia="Arial" w:hAnsi="Arial"/>
                <w:sz w:val="18"/>
                <w:szCs w:val="18"/>
                <w:color w:val="auto"/>
              </w:rPr>
              <w:t>conversion feature)</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(1,525)</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(4,304)</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0"/>
        </w:trPr>
        <w:tc>
          <w:tcPr>
            <w:tcW w:w="43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Income Taxes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5999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5999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23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7"/>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December 31</w:t>
            </w: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gridSpan w:val="2"/>
            <w:vMerge w:val="restart"/>
          </w:tcPr>
          <w:p>
            <w:pPr>
              <w:jc w:val="center"/>
              <w:ind w:left="295"/>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49"/>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6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3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(7,605)</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(10,151)</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14"/>
        </w:trPr>
        <w:tc>
          <w:tcPr>
            <w:tcW w:w="3620" w:type="dxa"/>
            <w:vAlign w:val="bottom"/>
          </w:tcPr>
          <w:p>
            <w:pPr>
              <w:ind w:left="20"/>
              <w:spacing w:after="0"/>
              <w:rPr>
                <w:sz w:val="20"/>
                <w:szCs w:val="20"/>
                <w:color w:val="auto"/>
              </w:rPr>
            </w:pPr>
            <w:r>
              <w:rPr>
                <w:rFonts w:ascii="Arial" w:cs="Arial" w:eastAsia="Arial" w:hAnsi="Arial"/>
                <w:sz w:val="18"/>
                <w:szCs w:val="18"/>
                <w:color w:val="auto"/>
              </w:rPr>
              <w:t>Non-U.S.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244</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(7,389)</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(9,907)</w:t>
            </w:r>
          </w:p>
        </w:tc>
        <w:tc>
          <w:tcPr>
            <w:tcW w:w="15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0"/>
        </w:trPr>
        <w:tc>
          <w:tcPr>
            <w:tcW w:w="36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benefit (expense) attributable to the operating loss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59994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5999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7"/>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inception to</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December 31</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center"/>
              <w:ind w:left="394"/>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rPr>
              <w:t>U.S.$ thousands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FFCC"/>
          </w:tcPr>
          <w:p>
            <w:pPr>
              <w:spacing w:after="0"/>
              <w:rPr>
                <w:sz w:val="15"/>
                <w:szCs w:val="15"/>
                <w:color w:val="auto"/>
              </w:rPr>
            </w:pPr>
          </w:p>
        </w:tc>
        <w:tc>
          <w:tcPr>
            <w:tcW w:w="3600" w:type="dxa"/>
            <w:vAlign w:val="bottom"/>
            <w:gridSpan w:val="4"/>
            <w:shd w:val="clear" w:color="auto" w:fill="CCFFCC"/>
          </w:tcPr>
          <w:p>
            <w:pPr>
              <w:spacing w:after="0" w:line="180" w:lineRule="exact"/>
              <w:rPr>
                <w:sz w:val="20"/>
                <w:szCs w:val="20"/>
                <w:color w:val="auto"/>
              </w:rPr>
            </w:pPr>
            <w:r>
              <w:rPr>
                <w:rFonts w:ascii="Arial" w:cs="Arial" w:eastAsia="Arial" w:hAnsi="Arial"/>
                <w:sz w:val="18"/>
                <w:szCs w:val="18"/>
                <w:color w:val="auto"/>
              </w:rPr>
              <w:t>U.S.</w:t>
            </w:r>
          </w:p>
        </w:tc>
        <w:tc>
          <w:tcPr>
            <w:tcW w:w="9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7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Current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(43)</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36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Deferred</w:t>
            </w:r>
          </w:p>
        </w:tc>
        <w:tc>
          <w:tcPr>
            <w:tcW w:w="12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Borders>
              <w:top w:val="single" w:sz="8" w:color="CCFFCC"/>
            </w:tcBorders>
          </w:tcPr>
          <w:p>
            <w:pPr>
              <w:spacing w:after="0"/>
              <w:rPr>
                <w:sz w:val="14"/>
                <w:szCs w:val="14"/>
                <w:color w:val="auto"/>
              </w:rPr>
            </w:pPr>
          </w:p>
        </w:tc>
        <w:tc>
          <w:tcPr>
            <w:tcW w:w="3600" w:type="dxa"/>
            <w:vAlign w:val="bottom"/>
            <w:tcBorders>
              <w:top w:val="single" w:sz="8" w:color="CCFFCC"/>
            </w:tcBorders>
            <w:gridSpan w:val="4"/>
          </w:tcPr>
          <w:p>
            <w:pPr>
              <w:spacing w:after="0" w:line="167" w:lineRule="exact"/>
              <w:rPr>
                <w:sz w:val="20"/>
                <w:szCs w:val="20"/>
                <w:color w:val="auto"/>
              </w:rPr>
            </w:pPr>
            <w:r>
              <w:rPr>
                <w:rFonts w:ascii="Arial" w:cs="Arial" w:eastAsia="Arial" w:hAnsi="Arial"/>
                <w:sz w:val="18"/>
                <w:szCs w:val="18"/>
                <w:color w:val="auto"/>
              </w:rPr>
              <w:t>Non-U.S</w:t>
            </w: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Borders>
              <w:top w:val="single" w:sz="8" w:color="CCFFCC"/>
            </w:tcBorders>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36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w:t>
            </w:r>
          </w:p>
        </w:tc>
        <w:tc>
          <w:tcPr>
            <w:tcW w:w="12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98</w:t>
            </w:r>
          </w:p>
        </w:tc>
        <w:tc>
          <w:tcPr>
            <w:tcW w:w="150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Deferred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(78)</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78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w:t>
            </w:r>
          </w:p>
        </w:tc>
        <w:tc>
          <w:tcPr>
            <w:tcW w:w="15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(119)</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7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w w:val="97"/>
              </w:rPr>
              <w:t>F-28</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-1212850</wp:posOffset>
            </wp:positionV>
            <wp:extent cx="4701540" cy="144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70154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4701540" cy="336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22" w:name="page223"/>
    <w:bookmarkEnd w:id="22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Income tax benefit (expense) for the years ended December 31, 2011 and 2010, and for the cumulative period from inception until December 31, 2011, differed from the amounts computed by applying the U.S. federal income tax rate of 35% (34% in 2010) to loss before income taxes,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505841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584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4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3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7"/>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7"/>
        </w:trPr>
        <w:tc>
          <w:tcPr>
            <w:tcW w:w="434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December 31</w:t>
            </w: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gridSpan w:val="2"/>
            <w:vMerge w:val="restart"/>
          </w:tcPr>
          <w:p>
            <w:pPr>
              <w:jc w:val="center"/>
              <w:ind w:left="433"/>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9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3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4"/>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(7,389)</w:t>
            </w:r>
          </w:p>
        </w:tc>
        <w:tc>
          <w:tcPr>
            <w:tcW w:w="100" w:type="dxa"/>
            <w:vAlign w:val="bottom"/>
            <w:shd w:val="clear" w:color="auto" w:fill="CCFFCC"/>
          </w:tcPr>
          <w:p>
            <w:pPr>
              <w:spacing w:after="0"/>
              <w:rPr>
                <w:sz w:val="19"/>
                <w:szCs w:val="19"/>
                <w:color w:val="auto"/>
              </w:rPr>
            </w:pPr>
          </w:p>
        </w:tc>
        <w:tc>
          <w:tcPr>
            <w:tcW w:w="12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(9,907)</w:t>
            </w:r>
          </w:p>
        </w:tc>
        <w:tc>
          <w:tcPr>
            <w:tcW w:w="15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8"/>
                <w:szCs w:val="18"/>
                <w:color w:val="auto"/>
              </w:rPr>
              <w:t>Tax rate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Computed “expected” tax benefit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2,586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3,368</w:t>
            </w:r>
          </w:p>
        </w:tc>
        <w:tc>
          <w:tcPr>
            <w:tcW w:w="150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4"/>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Tax benefit of “Beneficiary Enterprise” tax holiday</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8"/>
                <w:szCs w:val="18"/>
                <w:color w:val="auto"/>
              </w:rPr>
              <w:t>Decrease in tax expenses for prior year</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220</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4"/>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(2,319)</w:t>
            </w:r>
          </w:p>
        </w:tc>
        <w:tc>
          <w:tcPr>
            <w:tcW w:w="100" w:type="dxa"/>
            <w:vAlign w:val="bottom"/>
            <w:shd w:val="clear" w:color="auto" w:fill="CCFFCC"/>
          </w:tcPr>
          <w:p>
            <w:pPr>
              <w:spacing w:after="0"/>
              <w:rPr>
                <w:sz w:val="18"/>
                <w:szCs w:val="18"/>
                <w:color w:val="auto"/>
              </w:rPr>
            </w:pPr>
          </w:p>
        </w:tc>
        <w:tc>
          <w:tcPr>
            <w:tcW w:w="12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(2,141)</w:t>
            </w:r>
          </w:p>
        </w:tc>
        <w:tc>
          <w:tcPr>
            <w:tcW w:w="15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14"/>
        </w:trPr>
        <w:tc>
          <w:tcPr>
            <w:tcW w:w="434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(1,314)</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4"/>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items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(190)</w:t>
            </w:r>
          </w:p>
        </w:tc>
        <w:tc>
          <w:tcPr>
            <w:tcW w:w="15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34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5160010" cy="1784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60010" cy="17843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67" w:lineRule="auto"/>
        <w:rPr>
          <w:sz w:val="20"/>
          <w:szCs w:val="20"/>
          <w:color w:val="auto"/>
        </w:rPr>
      </w:pPr>
      <w:r>
        <w:rPr>
          <w:rFonts w:ascii="Arial" w:cs="Arial" w:eastAsia="Arial" w:hAnsi="Arial"/>
          <w:sz w:val="17"/>
          <w:szCs w:val="17"/>
          <w:color w:val="auto"/>
        </w:rPr>
        <w:t>The Company has net tax loss carryforwards (“NOL”) for U.S. federal purposes in the amount of approximately $33.2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 Section 382, the Company’s IPO, recent financing activities, as well as, the potential Merger with I/P (See Note 17), may limit the Parent’s ability to utilize its NOL’s and credit carryforwards although the Parent has not yet determined to what extent. The deferred tax asset in respect of the tax loss carryforwards has been fully offset by a valuation allowance as in the opinion of the Company’s management; it is more likely than not that the tax loss carryforwards will not be utilized in the foreseeable future. No valuation allowance has been provided for the non-U.S. deferred tax assets, as they are more likely than not to be realized.</w:t>
      </w: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3" w:name="page224"/>
    <w:bookmarkEnd w:id="22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As of December 31, 2011, there were net deferred liabilities of $42 thousand, which consisted of short-term deferred liabilities of $67 thousand, net of long-term deferred assets of $25 thousand. As of December 31, 2010, there were net deferred liabilities of $23 thousand, which consisted of short-term deferred liabilities of $50 thousand, net of long-term deferred assets of $27 thousand. The deferred tax assets (liabilities) of the Subsidiary are expected to be utilized in future years. These deferred tax assets (liabilities) arise from the following types of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470154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9"/>
              </w:rPr>
              <w:t>For the year ended December 31,</w:t>
            </w:r>
          </w:p>
        </w:tc>
      </w:tr>
      <w:tr>
        <w:trPr>
          <w:trHeight w:val="194"/>
        </w:trPr>
        <w:tc>
          <w:tcPr>
            <w:tcW w:w="5000" w:type="dxa"/>
            <w:vAlign w:val="bottom"/>
          </w:tcPr>
          <w:p>
            <w:pPr>
              <w:spacing w:after="0"/>
              <w:rPr>
                <w:sz w:val="16"/>
                <w:szCs w:val="16"/>
                <w:color w:val="auto"/>
              </w:rPr>
            </w:pPr>
          </w:p>
        </w:tc>
        <w:tc>
          <w:tcPr>
            <w:tcW w:w="9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6"/>
                <w:szCs w:val="16"/>
                <w:color w:val="auto"/>
              </w:rPr>
            </w:pPr>
          </w:p>
        </w:tc>
      </w:tr>
      <w:tr>
        <w:trPr>
          <w:trHeight w:val="201"/>
        </w:trPr>
        <w:tc>
          <w:tcPr>
            <w:tcW w:w="500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8"/>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r>
      <w:tr>
        <w:trPr>
          <w:trHeight w:val="220"/>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96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color w:val="auto"/>
              </w:rPr>
              <w:t>Liability for accrued employee vacation pay</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r>
      <w:tr>
        <w:trPr>
          <w:trHeight w:val="214"/>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Liability for accrued severance pay</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left w:val="single" w:sz="8" w:color="CCFFCC"/>
            </w:tcBorders>
            <w:shd w:val="clear" w:color="auto" w:fill="CCFFCC"/>
          </w:tcPr>
          <w:p>
            <w:pPr>
              <w:spacing w:after="0"/>
              <w:rPr>
                <w:sz w:val="18"/>
                <w:szCs w:val="18"/>
                <w:color w:val="auto"/>
              </w:rPr>
            </w:pP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53</w:t>
            </w: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11,647</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8,945</w:t>
            </w:r>
          </w:p>
        </w:tc>
      </w:tr>
      <w:tr>
        <w:trPr>
          <w:trHeight w:val="20"/>
        </w:trPr>
        <w:tc>
          <w:tcPr>
            <w:tcW w:w="5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gross deferred tax assets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11,685</w:t>
            </w: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9,013</w:t>
            </w: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(11,628)</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(8,929)</w:t>
            </w:r>
          </w:p>
        </w:tc>
      </w:tr>
      <w:tr>
        <w:trPr>
          <w:trHeight w:val="20"/>
        </w:trPr>
        <w:tc>
          <w:tcPr>
            <w:tcW w:w="5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net deferred tax assets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left w:val="single" w:sz="8" w:color="CCFFCC"/>
            </w:tcBorders>
            <w:shd w:val="clear" w:color="auto" w:fill="CCFFCC"/>
          </w:tcPr>
          <w:p>
            <w:pPr>
              <w:spacing w:after="0"/>
              <w:rPr>
                <w:sz w:val="18"/>
                <w:szCs w:val="18"/>
                <w:color w:val="auto"/>
              </w:rPr>
            </w:pPr>
          </w:p>
        </w:tc>
        <w:tc>
          <w:tcPr>
            <w:tcW w:w="13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84</w:t>
            </w: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5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assets deductible for tax purposes on cash basis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left w:val="single" w:sz="8" w:color="CCFFCC"/>
            </w:tcBorders>
            <w:shd w:val="clear" w:color="auto" w:fill="CCFFCC"/>
          </w:tcPr>
          <w:p>
            <w:pPr>
              <w:spacing w:after="0"/>
              <w:rPr>
                <w:sz w:val="18"/>
                <w:szCs w:val="18"/>
                <w:color w:val="auto"/>
              </w:rPr>
            </w:pP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(107)</w:t>
            </w:r>
          </w:p>
        </w:tc>
      </w:tr>
      <w:tr>
        <w:trPr>
          <w:trHeight w:val="20"/>
        </w:trPr>
        <w:tc>
          <w:tcPr>
            <w:tcW w:w="50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07"/>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(liabilities), net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r>
      <w:tr>
        <w:trPr>
          <w:trHeight w:val="20"/>
        </w:trPr>
        <w:tc>
          <w:tcPr>
            <w:tcW w:w="5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701540" cy="17843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Subsidiary tax benefits:</w:t>
      </w:r>
    </w:p>
    <w:p>
      <w:pPr>
        <w:spacing w:after="0" w:line="114"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7"/>
          <w:szCs w:val="17"/>
          <w:color w:val="auto"/>
        </w:rPr>
        <w:t>On July 14, 2009, the Knesset (Israel’s parliament) passed the Economic Efficiency Law (Legislation Amendments for Implementation of the 2009 and 2010 Economic Plan) — 2009, which provided, inter-alia, an additional gradual reduction in the regular company tax rate to 18% as from the 2016 tax year. In accordance with the aforementioned amendments, the regular company tax rates applicable as from the 2009 tax year are as follows: in the 2009 tax year — 26%, in the 2010 tax year — 25%, in the 2011 tax year — 24%, in the 2012 tax year — 23%, in the 2013 tax year — 22%, in the 2014 tax year — 21%, in the 2015 tax year — 20% and as from the 2016 tax year the regular company tax rate will be 18%. On December 5, 2011, the Knesset approved the Law to Change the Tax Burden (Legislative Amendments) — 2011. According to the law the tax reduction that was provided in the Economic Efficiency Law, as aforementioned, will be cancelled and the company tax rate will be 25% as from 2012. The aforementioned had no material impact on the Company’s financial position or results of operations, since the Subsidiary is a Beneficiary Enterprise, as explained below.</w:t>
      </w:r>
    </w:p>
    <w:p>
      <w:pPr>
        <w:spacing w:after="0" w:line="79"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The Subsidiary has elected 2007 as its Year of Election and has received a two year tax holiday for profits accumulated in the years 2007 – 2008 and a reduced tax rate of 25% for the following five years.</w:t>
      </w:r>
    </w:p>
    <w:p>
      <w:pPr>
        <w:spacing w:after="0" w:line="57"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In January 2011, new legislation amending the Investment Law was enacted.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 Under the transitory provisions of the newly legislated amendment, the Subsidiary chose</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4" w:name="page225"/>
    <w:bookmarkEnd w:id="22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639"/>
        <w:spacing w:after="0" w:line="300" w:lineRule="auto"/>
        <w:rPr>
          <w:sz w:val="20"/>
          <w:szCs w:val="20"/>
          <w:color w:val="auto"/>
        </w:rPr>
      </w:pPr>
      <w:r>
        <w:rPr>
          <w:rFonts w:ascii="Arial" w:cs="Arial" w:eastAsia="Arial" w:hAnsi="Arial"/>
          <w:sz w:val="17"/>
          <w:szCs w:val="17"/>
          <w:color w:val="auto"/>
        </w:rPr>
        <w:t>to irrevocably implement the new legislation amendment while waiving benefits provided under the current law. As of the balance sheet date, the Subsidiary believes that it is in compliance with the conditions of the Beneficiary Enterprise program.</w:t>
      </w:r>
    </w:p>
    <w:p>
      <w:pPr>
        <w:spacing w:after="0" w:line="46" w:lineRule="exact"/>
        <w:rPr>
          <w:sz w:val="20"/>
          <w:szCs w:val="20"/>
          <w:color w:val="auto"/>
        </w:rPr>
      </w:pPr>
    </w:p>
    <w:p>
      <w:pPr>
        <w:jc w:val="both"/>
        <w:ind w:left="60" w:right="619" w:firstLine="267"/>
        <w:spacing w:after="0" w:line="292" w:lineRule="auto"/>
        <w:rPr>
          <w:sz w:val="20"/>
          <w:szCs w:val="20"/>
          <w:color w:val="auto"/>
        </w:rPr>
      </w:pPr>
      <w:r>
        <w:rPr>
          <w:rFonts w:ascii="Arial" w:cs="Arial" w:eastAsia="Arial" w:hAnsi="Arial"/>
          <w:sz w:val="16"/>
          <w:szCs w:val="16"/>
          <w:color w:val="auto"/>
        </w:rPr>
        <w:t>The Parent files its tax returns in the U.S. federal jurisdiction, various state &amp; local jurisdictions. The Parent has open tax assessments for the years 2008 through 2011. The Subsidiary files its income tax returns in Israel. As of December 31, 2011, the Subsidiary has open tax assessments for the years 2007 through 2011. In February 2011, the Israeli tax authority initiated an audit of the Subsidiary’s tax returns for the 2007 through 2009 tax years. To date, the Subsidiary has not received any findings from the said audit. The Subsidiary’s assessment for the tax year 2007 was deemed final after the balance sheet date.</w:t>
      </w:r>
    </w:p>
    <w:p>
      <w:pPr>
        <w:spacing w:after="0" w:line="57"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The Company did not record any provision for unrecognized tax benefits in 2011 and 2010, and does not expect this amount to change significantly within the next twelve months.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18" w:lineRule="exact"/>
        <w:rPr>
          <w:sz w:val="20"/>
          <w:szCs w:val="20"/>
          <w:color w:val="auto"/>
        </w:rPr>
      </w:pPr>
    </w:p>
    <w:p>
      <w:pPr>
        <w:jc w:val="both"/>
        <w:ind w:left="60" w:right="619" w:firstLine="267"/>
        <w:spacing w:after="0" w:line="266" w:lineRule="auto"/>
        <w:rPr>
          <w:sz w:val="20"/>
          <w:szCs w:val="20"/>
          <w:color w:val="auto"/>
        </w:rPr>
      </w:pPr>
      <w:r>
        <w:rPr>
          <w:rFonts w:ascii="Arial" w:cs="Arial" w:eastAsia="Arial" w:hAnsi="Arial"/>
          <w:sz w:val="18"/>
          <w:szCs w:val="18"/>
          <w:color w:val="auto"/>
        </w:rPr>
        <w:t>Future minimum lease payments under non-cancelable operating leases for office space and cars, as of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39039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9039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U.S.$ thousands</w:t>
            </w:r>
          </w:p>
        </w:tc>
      </w:tr>
      <w:tr>
        <w:trPr>
          <w:trHeight w:val="207"/>
        </w:trPr>
        <w:tc>
          <w:tcPr>
            <w:tcW w:w="40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8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4"/>
        </w:trPr>
        <w:tc>
          <w:tcPr>
            <w:tcW w:w="4080" w:type="dxa"/>
            <w:vAlign w:val="bottom"/>
          </w:tcPr>
          <w:p>
            <w:pPr>
              <w:ind w:left="20"/>
              <w:spacing w:after="0"/>
              <w:rPr>
                <w:sz w:val="20"/>
                <w:szCs w:val="20"/>
                <w:color w:val="auto"/>
              </w:rPr>
            </w:pPr>
            <w:r>
              <w:rPr>
                <w:rFonts w:ascii="Arial" w:cs="Arial" w:eastAsia="Arial" w:hAnsi="Arial"/>
                <w:sz w:val="18"/>
                <w:szCs w:val="18"/>
                <w:color w:val="auto"/>
              </w:rPr>
              <w:t>2012</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r>
      <w:tr>
        <w:trPr>
          <w:trHeight w:val="214"/>
        </w:trPr>
        <w:tc>
          <w:tcPr>
            <w:tcW w:w="4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2013</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FFCC"/>
          </w:tcPr>
          <w:p>
            <w:pPr>
              <w:spacing w:after="0"/>
              <w:rPr>
                <w:sz w:val="18"/>
                <w:szCs w:val="18"/>
                <w:color w:val="auto"/>
              </w:rPr>
            </w:pPr>
          </w:p>
        </w:tc>
      </w:tr>
      <w:tr>
        <w:trPr>
          <w:trHeight w:val="20"/>
        </w:trPr>
        <w:tc>
          <w:tcPr>
            <w:tcW w:w="408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07"/>
        </w:trPr>
        <w:tc>
          <w:tcPr>
            <w:tcW w:w="40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3225165" cy="1784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225165" cy="17843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Rent expense for operating leases for the years ended December 31, 2011, 2010 and for the cumulative period from inception until December 31, 2011, was $81 thousand, $102 thousand and $557 thousand, respectively. Rent expense for the Subsidiary’s lease is in NIS and linked to the Israeli Consumer Price Index from February 2006.</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 Risks and Uncertainties</w:t>
      </w:r>
    </w:p>
    <w:p>
      <w:pPr>
        <w:spacing w:after="0" w:line="118" w:lineRule="exact"/>
        <w:rPr>
          <w:sz w:val="20"/>
          <w:szCs w:val="20"/>
          <w:color w:val="auto"/>
        </w:rPr>
      </w:pPr>
    </w:p>
    <w:p>
      <w:pPr>
        <w:jc w:val="both"/>
        <w:ind w:left="560" w:right="619" w:hanging="268"/>
        <w:spacing w:after="0" w:line="252" w:lineRule="auto"/>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6" w:lineRule="exact"/>
        <w:rPr>
          <w:rFonts w:ascii="Arial" w:cs="Arial" w:eastAsia="Arial" w:hAnsi="Arial"/>
          <w:sz w:val="18"/>
          <w:szCs w:val="18"/>
          <w:color w:val="auto"/>
        </w:rPr>
      </w:pPr>
    </w:p>
    <w:p>
      <w:pPr>
        <w:jc w:val="both"/>
        <w:ind w:left="560" w:right="619" w:hanging="268"/>
        <w:spacing w:after="0" w:line="259" w:lineRule="auto"/>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08" w:lineRule="exact"/>
        <w:rPr>
          <w:rFonts w:ascii="Arial" w:cs="Arial" w:eastAsia="Arial" w:hAnsi="Arial"/>
          <w:sz w:val="18"/>
          <w:szCs w:val="18"/>
          <w:color w:val="auto"/>
        </w:rPr>
      </w:pPr>
    </w:p>
    <w:p>
      <w:pPr>
        <w:jc w:val="both"/>
        <w:ind w:left="560" w:right="639" w:hanging="268"/>
        <w:spacing w:after="0" w:line="222" w:lineRule="auto"/>
        <w:tabs>
          <w:tab w:leader="none" w:pos="560" w:val="left"/>
        </w:tabs>
        <w:numPr>
          <w:ilvl w:val="0"/>
          <w:numId w:val="154"/>
        </w:numPr>
        <w:rPr>
          <w:rFonts w:ascii="Arial" w:cs="Arial" w:eastAsia="Arial" w:hAnsi="Arial"/>
          <w:sz w:val="34"/>
          <w:szCs w:val="34"/>
          <w:color w:val="auto"/>
          <w:vertAlign w:val="superscript"/>
        </w:rPr>
      </w:pPr>
      <w:r>
        <w:rPr>
          <w:rFonts w:ascii="Arial" w:cs="Arial" w:eastAsia="Arial" w:hAnsi="Arial"/>
          <w:sz w:val="17"/>
          <w:szCs w:val="17"/>
          <w:color w:val="auto"/>
        </w:rPr>
        <w:t>The Company’s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200" w:lineRule="exact"/>
        <w:rPr>
          <w:sz w:val="20"/>
          <w:szCs w:val="20"/>
          <w:color w:val="auto"/>
        </w:rPr>
      </w:pPr>
    </w:p>
    <w:p>
      <w:pPr>
        <w:spacing w:after="0" w:line="3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25" w:name="page226"/>
    <w:bookmarkEnd w:id="2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16 — Risks and Uncertainties – (continued)</w:t>
      </w:r>
    </w:p>
    <w:p>
      <w:pPr>
        <w:spacing w:after="0" w:line="1" w:lineRule="exact"/>
        <w:rPr>
          <w:sz w:val="20"/>
          <w:szCs w:val="20"/>
          <w:color w:val="auto"/>
        </w:rPr>
      </w:pPr>
    </w:p>
    <w:p>
      <w:pPr>
        <w:jc w:val="both"/>
        <w:ind w:left="540" w:right="619" w:hanging="268"/>
        <w:spacing w:after="0" w:line="253"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85" w:lineRule="exact"/>
        <w:rPr>
          <w:rFonts w:ascii="Arial" w:cs="Arial" w:eastAsia="Arial" w:hAnsi="Arial"/>
          <w:sz w:val="18"/>
          <w:szCs w:val="18"/>
          <w:color w:val="auto"/>
        </w:rPr>
      </w:pPr>
    </w:p>
    <w:p>
      <w:pPr>
        <w:ind w:left="540" w:right="619" w:hanging="268"/>
        <w:spacing w:after="0" w:line="334"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 Subsequent Events</w:t>
      </w:r>
    </w:p>
    <w:p>
      <w:pPr>
        <w:spacing w:after="0" w:line="118" w:lineRule="exact"/>
        <w:rPr>
          <w:sz w:val="20"/>
          <w:szCs w:val="20"/>
          <w:color w:val="auto"/>
        </w:rPr>
      </w:pPr>
    </w:p>
    <w:p>
      <w:pPr>
        <w:jc w:val="both"/>
        <w:ind w:left="540" w:right="619" w:hanging="268"/>
        <w:spacing w:after="0" w:line="272" w:lineRule="auto"/>
        <w:tabs>
          <w:tab w:leader="none" w:pos="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January and February 2012, the Company’s Board of Directors (the “Board”)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Company expects that the total value of the options granted will be approximately $467 thousand. Also refer to Note 11.</w:t>
      </w:r>
    </w:p>
    <w:p>
      <w:pPr>
        <w:spacing w:after="0" w:line="68" w:lineRule="exact"/>
        <w:rPr>
          <w:rFonts w:ascii="Arial" w:cs="Arial" w:eastAsia="Arial" w:hAnsi="Arial"/>
          <w:sz w:val="17"/>
          <w:szCs w:val="17"/>
          <w:color w:val="auto"/>
        </w:rPr>
      </w:pPr>
    </w:p>
    <w:p>
      <w:pPr>
        <w:jc w:val="both"/>
        <w:ind w:left="540" w:right="619" w:hanging="268"/>
        <w:spacing w:after="0" w:line="288" w:lineRule="auto"/>
        <w:tabs>
          <w:tab w:leader="none" w:pos="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January 2012, the Board approved a one year acceleration of option vesting for all option holders, except for the Company’s new Chief Executive Officer who will obtain 50% acceleration on all his unvested options, should the Company be subject to a change of control in a merger and/or acquisition transaction. In addition, in March 2012, the Board approved participation of all outstanding options in future dividends, as well as, acceleration of vesting if certain market conditions are met. Moreover, all outstanding options granted to members of the Board shall fully vest if a Board member ceases to be a director at any time during the six-month period immediately following a change of control. The Company is currently evaluating the effect of this decision and estimates that the effect on its financials might be material.</w:t>
      </w:r>
    </w:p>
    <w:p>
      <w:pPr>
        <w:spacing w:after="0" w:line="58" w:lineRule="exact"/>
        <w:rPr>
          <w:rFonts w:ascii="Arial" w:cs="Arial" w:eastAsia="Arial" w:hAnsi="Arial"/>
          <w:sz w:val="16"/>
          <w:szCs w:val="16"/>
          <w:color w:val="auto"/>
        </w:rPr>
      </w:pPr>
    </w:p>
    <w:p>
      <w:pPr>
        <w:jc w:val="both"/>
        <w:ind w:left="540" w:right="619" w:hanging="268"/>
        <w:spacing w:after="0" w:line="270" w:lineRule="auto"/>
        <w:tabs>
          <w:tab w:leader="none" w:pos="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Between February 6 and February 14, 2012, the Company entered into agreements with holders of certain of its outstanding warrants (the “Holders”), pursuant to which the Holders exercised warrants to purchase 3,828,993 shares of the Company’s common stock for aggregate proceeds to the Company of $3.6 million. In addition, the Company issued new warrants to purchase an aggregate of 2,660,922 shares of common stock at an exercise price of $1.76 per share in consideration for the immediate exercise of the warrants. The Company is currently evaluating the effect of this warrant issuance. The Company believes that the impact on its financial statements will be material.</w:t>
      </w:r>
    </w:p>
    <w:p>
      <w:pPr>
        <w:spacing w:after="0" w:line="70" w:lineRule="exact"/>
        <w:rPr>
          <w:rFonts w:ascii="Arial" w:cs="Arial" w:eastAsia="Arial" w:hAnsi="Arial"/>
          <w:sz w:val="17"/>
          <w:szCs w:val="17"/>
          <w:color w:val="auto"/>
        </w:rPr>
      </w:pPr>
    </w:p>
    <w:p>
      <w:pPr>
        <w:jc w:val="both"/>
        <w:ind w:left="540" w:right="619" w:hanging="268"/>
        <w:spacing w:after="0" w:line="285" w:lineRule="auto"/>
        <w:tabs>
          <w:tab w:leader="none" w:pos="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On March 12, 2012, the Company entered into a Merger Agreement pursuant to which I/P will merge with and into Merger Sub, a wholly owned subsidiary of the Company, with Merger Sub being the surviving corporation through an exchange of capital stock of I/P for capital stock of the Company. Under the terms of the Merger Agreement, the Company will issue I/P stockholders 16,972,977 shares of the Company’s common stock and 21,026,637 Series A Preferred Stock, convertible into 21,026,637 of the Company’s shares of common stock. In addition, the Company will issue I/P stockholders warrants to purchase 15,959,838 shares of common stock at an exercise price of $1.76 per share. In addition, all outstanding warrants to purchase I/P’s common stock that are outstanding and unexercised immediately prior to the completion of the Merger Agreement, shall be exchanged for 250,000 shares of Vringo common stock and 850,000 warrants to purchase 850,000 shares of the Company’s common stock with an exercise price of $1.76 per share. Immediately following the completion of the Merger, former stockholders of I/P are expected to own</w:t>
      </w:r>
    </w:p>
    <w:p>
      <w:pPr>
        <w:spacing w:after="0" w:line="200" w:lineRule="exact"/>
        <w:rPr>
          <w:sz w:val="20"/>
          <w:szCs w:val="20"/>
          <w:color w:val="auto"/>
        </w:rPr>
      </w:pPr>
    </w:p>
    <w:p>
      <w:pPr>
        <w:spacing w:after="0" w:line="30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26" w:name="page227"/>
    <w:bookmarkEnd w:id="2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 and Subsidiary</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17 — Subsequent Events – (continued)</w:t>
      </w:r>
    </w:p>
    <w:p>
      <w:pPr>
        <w:spacing w:after="0" w:line="1" w:lineRule="exact"/>
        <w:rPr>
          <w:sz w:val="20"/>
          <w:szCs w:val="20"/>
          <w:color w:val="auto"/>
        </w:rPr>
      </w:pPr>
    </w:p>
    <w:p>
      <w:pPr>
        <w:jc w:val="both"/>
        <w:ind w:left="540" w:right="619"/>
        <w:spacing w:after="0" w:line="284" w:lineRule="auto"/>
        <w:rPr>
          <w:sz w:val="20"/>
          <w:szCs w:val="20"/>
          <w:color w:val="auto"/>
        </w:rPr>
      </w:pPr>
      <w:r>
        <w:rPr>
          <w:rFonts w:ascii="Arial" w:cs="Arial" w:eastAsia="Arial" w:hAnsi="Arial"/>
          <w:sz w:val="16"/>
          <w:szCs w:val="16"/>
          <w:color w:val="auto"/>
        </w:rPr>
        <w:t>approximately 55.41% of the outstanding common stock of the combined company, and current stockholders of Vringo are expected to own approximately 44.59% of the outstanding common stock of the combined company (without taking into account the possible exercise of any other type of outstanding equity interest issued). The Company has expended significant effort and management attention on the proposed transaction. There is no assurance that the transaction will be consummated, including failure to obtain stockholders approval. If the transaction is not consummated for any reason, the Company’s business and operations, as well as the market price of its stock and warrants may be adversely affected. For accounting purposes, based on the Company’s preliminary assessment, I/P was identified as the “Acquirer”, as it is defined in FASB Topic ASC 805. As a result, in the post-combination consolidated financial statements, I/P’s assets and liabilities will be presented at its pre-combination amounts, and the Company’s assets and liabilities will be recognized and measured in accordance with the guidance for business combinations in ASC 805. The Company is currently evaluating the effect of this on its financial statements and believes such effect will be material.</w:t>
      </w:r>
    </w:p>
    <w:p>
      <w:pPr>
        <w:spacing w:after="0" w:line="64" w:lineRule="exact"/>
        <w:rPr>
          <w:sz w:val="20"/>
          <w:szCs w:val="20"/>
          <w:color w:val="auto"/>
        </w:rPr>
      </w:pPr>
    </w:p>
    <w:p>
      <w:pPr>
        <w:jc w:val="both"/>
        <w:ind w:left="540" w:right="619" w:hanging="268"/>
        <w:spacing w:after="0" w:line="285" w:lineRule="auto"/>
        <w:tabs>
          <w:tab w:leader="none" w:pos="5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previously granted to Mr. Medved at $0.01 will fully vest as of June 21, 2012 and the expiration date for exercising all options vested on or before June 21, 2013 is extended to September 21, 2013. Furthermore, the Company granted Mr. Medved with an additional 100,000 options at market value, as part of the grant described in Note 17 f below. Although the Company has a previous provision for its former CEO’s severance obligations (see Note 7) and although, the total effect of the aforementioned was not yet fully estimated, the Company believes that the overall financial impact of the above will be material.</w:t>
      </w:r>
    </w:p>
    <w:p>
      <w:pPr>
        <w:spacing w:after="0" w:line="65" w:lineRule="exact"/>
        <w:rPr>
          <w:rFonts w:ascii="Arial" w:cs="Arial" w:eastAsia="Arial" w:hAnsi="Arial"/>
          <w:sz w:val="16"/>
          <w:szCs w:val="16"/>
          <w:color w:val="auto"/>
        </w:rPr>
      </w:pPr>
    </w:p>
    <w:p>
      <w:pPr>
        <w:jc w:val="both"/>
        <w:ind w:left="540" w:right="619" w:hanging="268"/>
        <w:spacing w:after="0" w:line="255"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March 2012, the Company’s Board approved the granting of 1,700,000 options to Board and management (including the 100,000 options granted to its former CEO, see Note 17 e) at an exercise price of $1.65 per share. These options will vest quarterly over three years. Although the Company did not yet determine the fair value of this option grant, it believes the overall financial impact to be material.</w:t>
      </w:r>
    </w:p>
    <w:p>
      <w:pPr>
        <w:spacing w:after="0" w:line="200" w:lineRule="exact"/>
        <w:rPr>
          <w:sz w:val="20"/>
          <w:szCs w:val="20"/>
          <w:color w:val="auto"/>
        </w:rPr>
      </w:pPr>
    </w:p>
    <w:p>
      <w:pPr>
        <w:spacing w:after="0" w:line="33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gridSpan w:val="10"/>
          </w:tcPr>
          <w:p>
            <w:pPr>
              <w:spacing w:after="0"/>
              <w:rPr>
                <w:sz w:val="20"/>
                <w:szCs w:val="20"/>
                <w:color w:val="auto"/>
              </w:rPr>
            </w:pPr>
            <w:r>
              <w:rPr>
                <w:rFonts w:ascii="Arial" w:cs="Arial" w:eastAsia="Arial" w:hAnsi="Arial"/>
                <w:sz w:val="14"/>
                <w:szCs w:val="14"/>
                <w:b w:val="1"/>
                <w:bCs w:val="1"/>
                <w:color w:val="0000EE"/>
              </w:rPr>
              <w:t>TABLE OF CONTENTS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96"/>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80" w:type="dxa"/>
            <w:vAlign w:val="bottom"/>
            <w:gridSpan w:val="2"/>
          </w:tcPr>
          <w:p>
            <w:pPr>
              <w:jc w:val="center"/>
              <w:ind w:right="1271"/>
              <w:spacing w:after="0"/>
              <w:rPr>
                <w:sz w:val="20"/>
                <w:szCs w:val="20"/>
                <w:color w:val="auto"/>
              </w:rPr>
            </w:pPr>
            <w:r>
              <w:rPr>
                <w:rFonts w:ascii="Arial" w:cs="Arial" w:eastAsia="Arial" w:hAnsi="Arial"/>
                <w:sz w:val="18"/>
                <w:szCs w:val="18"/>
                <w:b w:val="1"/>
                <w:bCs w:val="1"/>
                <w:color w:val="auto"/>
                <w:w w:val="90"/>
              </w:rPr>
              <w:t>Vringo, Inc. and Subsidiary</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gridSpan w:val="3"/>
          </w:tcPr>
          <w:p>
            <w:pPr>
              <w:jc w:val="center"/>
              <w:ind w:right="931"/>
              <w:spacing w:after="0"/>
              <w:rPr>
                <w:sz w:val="20"/>
                <w:szCs w:val="20"/>
                <w:color w:val="auto"/>
              </w:rPr>
            </w:pPr>
            <w:r>
              <w:rPr>
                <w:rFonts w:ascii="Arial" w:cs="Arial" w:eastAsia="Arial" w:hAnsi="Arial"/>
                <w:sz w:val="18"/>
                <w:szCs w:val="18"/>
                <w:b w:val="1"/>
                <w:bCs w:val="1"/>
                <w:color w:val="auto"/>
                <w:w w:val="88"/>
              </w:rPr>
              <w:t>(a Development Stage Company)</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7200" w:type="dxa"/>
            <w:vAlign w:val="bottom"/>
            <w:gridSpan w:val="10"/>
          </w:tcPr>
          <w:p>
            <w:pPr>
              <w:ind w:left="40"/>
              <w:spacing w:after="0"/>
              <w:rPr>
                <w:sz w:val="20"/>
                <w:szCs w:val="20"/>
                <w:color w:val="auto"/>
              </w:rPr>
            </w:pPr>
            <w:r>
              <w:rPr>
                <w:rFonts w:ascii="Arial" w:cs="Arial" w:eastAsia="Arial" w:hAnsi="Arial"/>
                <w:sz w:val="18"/>
                <w:szCs w:val="18"/>
                <w:b w:val="1"/>
                <w:bCs w:val="1"/>
                <w:color w:val="auto"/>
              </w:rPr>
              <w:t>Note 17 — Subsequent Events – (continued)</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40" w:type="dxa"/>
            <w:vAlign w:val="bottom"/>
            <w:gridSpan w:val="6"/>
          </w:tcPr>
          <w:p>
            <w:pPr>
              <w:jc w:val="center"/>
              <w:ind w:left="11"/>
              <w:spacing w:after="0"/>
              <w:rPr>
                <w:sz w:val="20"/>
                <w:szCs w:val="20"/>
                <w:color w:val="auto"/>
              </w:rPr>
            </w:pPr>
            <w:r>
              <w:rPr>
                <w:rFonts w:ascii="Arial" w:cs="Arial" w:eastAsia="Arial" w:hAnsi="Arial"/>
                <w:sz w:val="18"/>
                <w:szCs w:val="18"/>
                <w:b w:val="1"/>
                <w:bCs w:val="1"/>
                <w:color w:val="auto"/>
                <w:w w:val="98"/>
              </w:rPr>
              <w:t>INNOVATE/PROTECT, INC. AND SUBSIDIARIES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gridSpan w:val="3"/>
          </w:tcPr>
          <w:p>
            <w:pPr>
              <w:jc w:val="center"/>
              <w:ind w:right="931"/>
              <w:spacing w:after="0"/>
              <w:rPr>
                <w:sz w:val="20"/>
                <w:szCs w:val="20"/>
                <w:color w:val="auto"/>
              </w:rPr>
            </w:pPr>
            <w:r>
              <w:rPr>
                <w:rFonts w:ascii="Arial" w:cs="Arial" w:eastAsia="Arial" w:hAnsi="Arial"/>
                <w:sz w:val="18"/>
                <w:szCs w:val="18"/>
                <w:b w:val="1"/>
                <w:bCs w:val="1"/>
                <w:color w:val="auto"/>
                <w:w w:val="89"/>
              </w:rPr>
              <w:t>(A Development Stage Company)</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CONSOLIDATED FINANCIAL STATEMENTS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gridSpan w:val="3"/>
          </w:tcPr>
          <w:p>
            <w:pPr>
              <w:jc w:val="center"/>
              <w:ind w:right="951"/>
              <w:spacing w:after="0"/>
              <w:rPr>
                <w:sz w:val="20"/>
                <w:szCs w:val="20"/>
                <w:color w:val="auto"/>
              </w:rPr>
            </w:pPr>
            <w:r>
              <w:rPr>
                <w:rFonts w:ascii="Arial" w:cs="Arial" w:eastAsia="Arial" w:hAnsi="Arial"/>
                <w:sz w:val="18"/>
                <w:szCs w:val="18"/>
                <w:b w:val="1"/>
                <w:bCs w:val="1"/>
                <w:color w:val="auto"/>
                <w:w w:val="94"/>
              </w:rPr>
              <w:t>AS OF DECEMBER 31, 2011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80" w:type="dxa"/>
            <w:vAlign w:val="bottom"/>
            <w:gridSpan w:val="2"/>
          </w:tcPr>
          <w:p>
            <w:pPr>
              <w:jc w:val="center"/>
              <w:ind w:right="1291"/>
              <w:spacing w:after="0"/>
              <w:rPr>
                <w:sz w:val="20"/>
                <w:szCs w:val="20"/>
                <w:color w:val="auto"/>
              </w:rPr>
            </w:pPr>
            <w:r>
              <w:rPr>
                <w:rFonts w:ascii="Arial" w:cs="Arial" w:eastAsia="Arial" w:hAnsi="Arial"/>
                <w:sz w:val="18"/>
                <w:szCs w:val="18"/>
                <w:b w:val="1"/>
                <w:bCs w:val="1"/>
                <w:color w:val="auto"/>
                <w:w w:val="99"/>
              </w:rPr>
              <w:t>AND FOR THE PERIOD</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40" w:type="dxa"/>
            <w:vAlign w:val="bottom"/>
            <w:gridSpan w:val="6"/>
          </w:tcPr>
          <w:p>
            <w:pPr>
              <w:jc w:val="center"/>
              <w:ind w:left="11"/>
              <w:spacing w:after="0"/>
              <w:rPr>
                <w:sz w:val="20"/>
                <w:szCs w:val="20"/>
                <w:color w:val="auto"/>
              </w:rPr>
            </w:pPr>
            <w:r>
              <w:rPr>
                <w:rFonts w:ascii="Arial" w:cs="Arial" w:eastAsia="Arial" w:hAnsi="Arial"/>
                <w:sz w:val="18"/>
                <w:szCs w:val="18"/>
                <w:b w:val="1"/>
                <w:bCs w:val="1"/>
                <w:color w:val="auto"/>
                <w:w w:val="94"/>
              </w:rPr>
              <w:t>FROM JUNE 8, 2011 (Inception) TO DECEMBER 31, 2011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80" w:type="dxa"/>
            <w:vAlign w:val="bottom"/>
            <w:gridSpan w:val="2"/>
          </w:tcPr>
          <w:p>
            <w:pPr>
              <w:jc w:val="center"/>
              <w:ind w:right="1291"/>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720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195"/>
        </w:trPr>
        <w:tc>
          <w:tcPr>
            <w:tcW w:w="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040" w:type="dxa"/>
            <w:vAlign w:val="bottom"/>
            <w:gridSpan w:val="9"/>
            <w:shd w:val="clear" w:color="auto" w:fill="CCFFCC"/>
          </w:tcPr>
          <w:p>
            <w:pPr>
              <w:spacing w:after="0" w:line="175" w:lineRule="exact"/>
              <w:rPr>
                <w:sz w:val="20"/>
                <w:szCs w:val="20"/>
                <w:color w:val="auto"/>
              </w:rPr>
            </w:pPr>
            <w:r>
              <w:rPr>
                <w:rFonts w:ascii="Arial" w:cs="Arial" w:eastAsia="Arial" w:hAnsi="Arial"/>
                <w:sz w:val="18"/>
                <w:szCs w:val="18"/>
                <w:color w:val="0000EE"/>
              </w:rPr>
              <w:t>Report of Independent Registered Public Accounting Firm</w:t>
            </w:r>
          </w:p>
        </w:tc>
        <w:tc>
          <w:tcPr>
            <w:tcW w:w="260" w:type="dxa"/>
            <w:vAlign w:val="bottom"/>
            <w:shd w:val="clear" w:color="auto" w:fill="CCFFCC"/>
          </w:tcPr>
          <w:p>
            <w:pPr>
              <w:spacing w:after="0"/>
              <w:rPr>
                <w:sz w:val="16"/>
                <w:szCs w:val="16"/>
                <w:color w:val="auto"/>
              </w:rPr>
            </w:pPr>
          </w:p>
        </w:tc>
        <w:tc>
          <w:tcPr>
            <w:tcW w:w="660" w:type="dxa"/>
            <w:vAlign w:val="bottom"/>
            <w:gridSpan w:val="3"/>
            <w:shd w:val="clear" w:color="auto" w:fill="CCFFCC"/>
          </w:tcPr>
          <w:p>
            <w:pPr>
              <w:jc w:val="center"/>
              <w:ind w:right="320"/>
              <w:spacing w:after="0" w:line="175" w:lineRule="exact"/>
              <w:rPr>
                <w:sz w:val="20"/>
                <w:szCs w:val="20"/>
                <w:color w:val="auto"/>
              </w:rPr>
            </w:pPr>
            <w:r>
              <w:rPr>
                <w:rFonts w:ascii="Arial" w:cs="Arial" w:eastAsia="Arial" w:hAnsi="Arial"/>
                <w:sz w:val="18"/>
                <w:szCs w:val="18"/>
                <w:color w:val="0000EE"/>
                <w:w w:val="91"/>
              </w:rPr>
              <w:t>F-35</w:t>
            </w:r>
          </w:p>
        </w:tc>
        <w:tc>
          <w:tcPr>
            <w:tcW w:w="2200" w:type="dxa"/>
            <w:vAlign w:val="bottom"/>
          </w:tcPr>
          <w:p>
            <w:pPr>
              <w:spacing w:after="0"/>
              <w:rPr>
                <w:sz w:val="16"/>
                <w:szCs w:val="16"/>
                <w:color w:val="auto"/>
              </w:rPr>
            </w:pPr>
          </w:p>
        </w:tc>
      </w:tr>
      <w:tr>
        <w:trPr>
          <w:trHeight w:val="174"/>
        </w:trPr>
        <w:tc>
          <w:tcPr>
            <w:tcW w:w="2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180" w:type="dxa"/>
            <w:vAlign w:val="bottom"/>
            <w:tcBorders>
              <w:top w:val="single" w:sz="8" w:color="0000EE"/>
            </w:tcBorders>
            <w:gridSpan w:val="8"/>
          </w:tcPr>
          <w:p>
            <w:pPr>
              <w:spacing w:after="0" w:line="174" w:lineRule="exact"/>
              <w:rPr>
                <w:sz w:val="20"/>
                <w:szCs w:val="20"/>
                <w:color w:val="auto"/>
              </w:rPr>
            </w:pPr>
            <w:r>
              <w:rPr>
                <w:rFonts w:ascii="Arial" w:cs="Arial" w:eastAsia="Arial" w:hAnsi="Arial"/>
                <w:sz w:val="18"/>
                <w:szCs w:val="18"/>
                <w:color w:val="0000EE"/>
              </w:rPr>
              <w:t>Consolidated Balance Sheet</w:t>
            </w:r>
          </w:p>
        </w:tc>
        <w:tc>
          <w:tcPr>
            <w:tcW w:w="2860" w:type="dxa"/>
            <w:vAlign w:val="bottom"/>
            <w:tcBorders>
              <w:top w:val="single" w:sz="8" w:color="CCFFCC"/>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340" w:type="dxa"/>
            <w:vAlign w:val="bottom"/>
            <w:tcBorders>
              <w:top w:val="single" w:sz="8" w:color="0000EE"/>
            </w:tcBorders>
          </w:tcPr>
          <w:p>
            <w:pPr>
              <w:jc w:val="center"/>
              <w:spacing w:after="0" w:line="174" w:lineRule="exact"/>
              <w:rPr>
                <w:sz w:val="20"/>
                <w:szCs w:val="20"/>
                <w:color w:val="auto"/>
              </w:rPr>
            </w:pPr>
            <w:r>
              <w:rPr>
                <w:rFonts w:ascii="Arial" w:cs="Arial" w:eastAsia="Arial" w:hAnsi="Arial"/>
                <w:sz w:val="18"/>
                <w:szCs w:val="18"/>
                <w:color w:val="0000EE"/>
                <w:w w:val="91"/>
              </w:rPr>
              <w:t>F-36</w:t>
            </w:r>
          </w:p>
        </w:tc>
        <w:tc>
          <w:tcPr>
            <w:tcW w:w="320" w:type="dxa"/>
            <w:vAlign w:val="bottom"/>
            <w:tcBorders>
              <w:top w:val="single" w:sz="8" w:color="CCFFCC"/>
            </w:tcBorders>
            <w:gridSpan w:val="2"/>
          </w:tcPr>
          <w:p>
            <w:pPr>
              <w:spacing w:after="0"/>
              <w:rPr>
                <w:sz w:val="15"/>
                <w:szCs w:val="15"/>
                <w:color w:val="auto"/>
              </w:rPr>
            </w:pP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040" w:type="dxa"/>
            <w:vAlign w:val="bottom"/>
            <w:gridSpan w:val="9"/>
            <w:shd w:val="clear" w:color="auto" w:fill="CCFFCC"/>
          </w:tcPr>
          <w:p>
            <w:pPr>
              <w:spacing w:after="0" w:line="174" w:lineRule="exact"/>
              <w:rPr>
                <w:sz w:val="20"/>
                <w:szCs w:val="20"/>
                <w:color w:val="auto"/>
              </w:rPr>
            </w:pPr>
            <w:r>
              <w:rPr>
                <w:rFonts w:ascii="Arial" w:cs="Arial" w:eastAsia="Arial" w:hAnsi="Arial"/>
                <w:sz w:val="18"/>
                <w:szCs w:val="18"/>
                <w:color w:val="0000EE"/>
              </w:rPr>
              <w:t>Consolidated Statement of Operations</w:t>
            </w:r>
          </w:p>
        </w:tc>
        <w:tc>
          <w:tcPr>
            <w:tcW w:w="260" w:type="dxa"/>
            <w:vAlign w:val="bottom"/>
            <w:shd w:val="clear" w:color="auto" w:fill="CCFFCC"/>
          </w:tcPr>
          <w:p>
            <w:pPr>
              <w:spacing w:after="0"/>
              <w:rPr>
                <w:sz w:val="15"/>
                <w:szCs w:val="15"/>
                <w:color w:val="auto"/>
              </w:rPr>
            </w:pPr>
          </w:p>
        </w:tc>
        <w:tc>
          <w:tcPr>
            <w:tcW w:w="660" w:type="dxa"/>
            <w:vAlign w:val="bottom"/>
            <w:gridSpan w:val="3"/>
            <w:shd w:val="clear" w:color="auto" w:fill="CCFFCC"/>
          </w:tcPr>
          <w:p>
            <w:pPr>
              <w:jc w:val="center"/>
              <w:ind w:right="320"/>
              <w:spacing w:after="0" w:line="174" w:lineRule="exact"/>
              <w:rPr>
                <w:sz w:val="20"/>
                <w:szCs w:val="20"/>
                <w:color w:val="auto"/>
              </w:rPr>
            </w:pPr>
            <w:r>
              <w:rPr>
                <w:rFonts w:ascii="Arial" w:cs="Arial" w:eastAsia="Arial" w:hAnsi="Arial"/>
                <w:sz w:val="18"/>
                <w:szCs w:val="18"/>
                <w:color w:val="0000EE"/>
                <w:w w:val="91"/>
              </w:rPr>
              <w:t>F-37</w:t>
            </w:r>
          </w:p>
        </w:tc>
        <w:tc>
          <w:tcPr>
            <w:tcW w:w="2200" w:type="dxa"/>
            <w:vAlign w:val="bottom"/>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8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40" w:type="dxa"/>
            <w:vAlign w:val="bottom"/>
            <w:gridSpan w:val="9"/>
          </w:tcPr>
          <w:p>
            <w:pPr>
              <w:spacing w:after="0" w:line="174" w:lineRule="exact"/>
              <w:rPr>
                <w:sz w:val="20"/>
                <w:szCs w:val="20"/>
                <w:color w:val="auto"/>
              </w:rPr>
            </w:pPr>
            <w:r>
              <w:rPr>
                <w:rFonts w:ascii="Arial" w:cs="Arial" w:eastAsia="Arial" w:hAnsi="Arial"/>
                <w:sz w:val="18"/>
                <w:szCs w:val="18"/>
                <w:color w:val="0000EE"/>
              </w:rPr>
              <w:t>Consolidated Statement of Stockholders’ Equity</w:t>
            </w:r>
          </w:p>
        </w:tc>
        <w:tc>
          <w:tcPr>
            <w:tcW w:w="260" w:type="dxa"/>
            <w:vAlign w:val="bottom"/>
          </w:tcPr>
          <w:p>
            <w:pPr>
              <w:spacing w:after="0"/>
              <w:rPr>
                <w:sz w:val="15"/>
                <w:szCs w:val="15"/>
                <w:color w:val="auto"/>
              </w:rPr>
            </w:pPr>
          </w:p>
        </w:tc>
        <w:tc>
          <w:tcPr>
            <w:tcW w:w="660" w:type="dxa"/>
            <w:vAlign w:val="bottom"/>
            <w:gridSpan w:val="3"/>
          </w:tcPr>
          <w:p>
            <w:pPr>
              <w:jc w:val="center"/>
              <w:ind w:right="320"/>
              <w:spacing w:after="0" w:line="174" w:lineRule="exact"/>
              <w:rPr>
                <w:sz w:val="20"/>
                <w:szCs w:val="20"/>
                <w:color w:val="auto"/>
              </w:rPr>
            </w:pPr>
            <w:r>
              <w:rPr>
                <w:rFonts w:ascii="Arial" w:cs="Arial" w:eastAsia="Arial" w:hAnsi="Arial"/>
                <w:sz w:val="18"/>
                <w:szCs w:val="18"/>
                <w:color w:val="0000EE"/>
                <w:w w:val="91"/>
              </w:rPr>
              <w:t>F-38</w:t>
            </w:r>
          </w:p>
        </w:tc>
        <w:tc>
          <w:tcPr>
            <w:tcW w:w="2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040" w:type="dxa"/>
            <w:vAlign w:val="bottom"/>
            <w:gridSpan w:val="9"/>
            <w:shd w:val="clear" w:color="auto" w:fill="CCFFCC"/>
          </w:tcPr>
          <w:p>
            <w:pPr>
              <w:spacing w:after="0" w:line="174" w:lineRule="exact"/>
              <w:rPr>
                <w:sz w:val="20"/>
                <w:szCs w:val="20"/>
                <w:color w:val="auto"/>
              </w:rPr>
            </w:pPr>
            <w:r>
              <w:rPr>
                <w:rFonts w:ascii="Arial" w:cs="Arial" w:eastAsia="Arial" w:hAnsi="Arial"/>
                <w:sz w:val="18"/>
                <w:szCs w:val="18"/>
                <w:color w:val="0000EE"/>
              </w:rPr>
              <w:t>Consolidated Statement of Cash Flows</w:t>
            </w:r>
          </w:p>
        </w:tc>
        <w:tc>
          <w:tcPr>
            <w:tcW w:w="260" w:type="dxa"/>
            <w:vAlign w:val="bottom"/>
            <w:shd w:val="clear" w:color="auto" w:fill="CCFFCC"/>
          </w:tcPr>
          <w:p>
            <w:pPr>
              <w:spacing w:after="0"/>
              <w:rPr>
                <w:sz w:val="15"/>
                <w:szCs w:val="15"/>
                <w:color w:val="auto"/>
              </w:rPr>
            </w:pPr>
          </w:p>
        </w:tc>
        <w:tc>
          <w:tcPr>
            <w:tcW w:w="660" w:type="dxa"/>
            <w:vAlign w:val="bottom"/>
            <w:gridSpan w:val="3"/>
            <w:shd w:val="clear" w:color="auto" w:fill="CCFFCC"/>
          </w:tcPr>
          <w:p>
            <w:pPr>
              <w:jc w:val="center"/>
              <w:ind w:right="320"/>
              <w:spacing w:after="0" w:line="174" w:lineRule="exact"/>
              <w:rPr>
                <w:sz w:val="20"/>
                <w:szCs w:val="20"/>
                <w:color w:val="auto"/>
              </w:rPr>
            </w:pPr>
            <w:r>
              <w:rPr>
                <w:rFonts w:ascii="Arial" w:cs="Arial" w:eastAsia="Arial" w:hAnsi="Arial"/>
                <w:sz w:val="18"/>
                <w:szCs w:val="18"/>
                <w:color w:val="0000EE"/>
                <w:w w:val="91"/>
              </w:rPr>
              <w:t>F-39</w:t>
            </w:r>
          </w:p>
        </w:tc>
        <w:tc>
          <w:tcPr>
            <w:tcW w:w="2200" w:type="dxa"/>
            <w:vAlign w:val="bottom"/>
          </w:tcPr>
          <w:p>
            <w:pPr>
              <w:spacing w:after="0"/>
              <w:rPr>
                <w:sz w:val="15"/>
                <w:szCs w:val="15"/>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28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40" w:type="dxa"/>
            <w:vAlign w:val="bottom"/>
            <w:gridSpan w:val="9"/>
          </w:tcPr>
          <w:p>
            <w:pPr>
              <w:spacing w:after="0" w:line="174" w:lineRule="exact"/>
              <w:rPr>
                <w:sz w:val="20"/>
                <w:szCs w:val="20"/>
                <w:color w:val="auto"/>
              </w:rPr>
            </w:pPr>
            <w:r>
              <w:rPr>
                <w:rFonts w:ascii="Arial" w:cs="Arial" w:eastAsia="Arial" w:hAnsi="Arial"/>
                <w:sz w:val="18"/>
                <w:szCs w:val="18"/>
                <w:color w:val="0000EE"/>
              </w:rPr>
              <w:t>Notes to Consolidated Financial Statements</w:t>
            </w:r>
          </w:p>
        </w:tc>
        <w:tc>
          <w:tcPr>
            <w:tcW w:w="920" w:type="dxa"/>
            <w:vAlign w:val="bottom"/>
            <w:gridSpan w:val="4"/>
          </w:tcPr>
          <w:p>
            <w:pPr>
              <w:jc w:val="center"/>
              <w:ind w:right="80"/>
              <w:spacing w:after="0" w:line="174" w:lineRule="exact"/>
              <w:rPr>
                <w:sz w:val="20"/>
                <w:szCs w:val="20"/>
                <w:color w:val="auto"/>
              </w:rPr>
            </w:pPr>
            <w:r>
              <w:rPr>
                <w:rFonts w:ascii="Arial" w:cs="Arial" w:eastAsia="Arial" w:hAnsi="Arial"/>
                <w:sz w:val="18"/>
                <w:szCs w:val="18"/>
                <w:color w:val="0000EE"/>
                <w:w w:val="89"/>
              </w:rPr>
              <w:t>F-40 – F-48</w:t>
            </w:r>
          </w:p>
        </w:tc>
        <w:tc>
          <w:tcPr>
            <w:tcW w:w="2200" w:type="dxa"/>
            <w:vAlign w:val="bottom"/>
          </w:tcPr>
          <w:p>
            <w:pPr>
              <w:spacing w:after="0"/>
              <w:rPr>
                <w:sz w:val="15"/>
                <w:szCs w:val="15"/>
                <w:color w:val="auto"/>
              </w:rPr>
            </w:pPr>
          </w:p>
        </w:tc>
      </w:tr>
      <w:tr>
        <w:trPr>
          <w:trHeight w:val="79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Arial" w:cs="Arial" w:eastAsia="Arial" w:hAnsi="Arial"/>
                <w:sz w:val="18"/>
                <w:szCs w:val="18"/>
                <w:color w:val="auto"/>
              </w:rPr>
              <w:t>F-34</w:t>
            </w: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8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8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-1654175</wp:posOffset>
            </wp:positionV>
            <wp:extent cx="513461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ectPr>
          <w:pgSz w:w="11900" w:h="16838" w:orient="portrait"/>
          <w:cols w:equalWidth="0" w:num="1">
            <w:col w:w="10340"/>
          </w:cols>
          <w:pgMar w:left="360" w:top="781" w:right="1199" w:bottom="1440" w:gutter="0" w:footer="0" w:header="0"/>
        </w:sectPr>
      </w:pPr>
    </w:p>
    <w:bookmarkStart w:id="228" w:name="page229"/>
    <w:bookmarkEnd w:id="2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Management and the Board of Directors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Innovate/Protect, Inc (f/k/a Labrador Search Company)</w:t>
      </w:r>
    </w:p>
    <w:p>
      <w:pPr>
        <w:spacing w:after="0" w:line="101"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We have audited the accompanying consolidated balance sheets of Innovate/Protect Inc. (a Delaware corporation) and subsidiaries (the “Company”) as of December 31, 2011, and the related consolidated statements of operations, stockholders’ equity, and cash flows for the period from June 8, 2011 (inception) to December 31, 2011. These financial statements are the responsibility of the Company’s management. Our responsibility is to express an opinion on these financial statements based on our audit.</w:t>
      </w:r>
    </w:p>
    <w:p>
      <w:pPr>
        <w:spacing w:after="0" w:line="52"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6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Innovate/Protect Inc. and subsidiaries as of December 31, 2011 and the results of their operations and their cash flows from June 8, 2011 (inception) to December 31, 2011, in conformity with accounting principles generally accepted in the United States of America.</w:t>
      </w:r>
    </w:p>
    <w:p>
      <w:pPr>
        <w:spacing w:after="0" w:line="83"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incurred substantial losses from operations and used significant amount of cash to fund its operating activities. Additional capital is required to support the Company operations. These conditions raise substantial doubt about the Company ability to continue as a going concern. Management’s plans in regard to these matters are also described in Note 2. The financial statements do not include any adjustments that might result from the outcome of this uncertainty.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2012</w:t>
      </w:r>
    </w:p>
    <w:p>
      <w:pPr>
        <w:spacing w:after="0" w:line="200" w:lineRule="exact"/>
        <w:rPr>
          <w:sz w:val="20"/>
          <w:szCs w:val="20"/>
          <w:color w:val="auto"/>
        </w:rPr>
      </w:pPr>
    </w:p>
    <w:p>
      <w:pPr>
        <w:spacing w:after="0" w:line="34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600" w:type="dxa"/>
            <w:vAlign w:val="bottom"/>
          </w:tcPr>
          <w:p>
            <w:pPr>
              <w:jc w:val="center"/>
              <w:ind w:left="731"/>
              <w:spacing w:after="0"/>
              <w:rPr>
                <w:sz w:val="20"/>
                <w:szCs w:val="20"/>
                <w:color w:val="auto"/>
              </w:rPr>
            </w:pPr>
            <w:r>
              <w:rPr>
                <w:rFonts w:ascii="Arial" w:cs="Arial" w:eastAsia="Arial" w:hAnsi="Arial"/>
                <w:sz w:val="18"/>
                <w:szCs w:val="18"/>
                <w:b w:val="1"/>
                <w:bCs w:val="1"/>
                <w:color w:val="auto"/>
                <w:w w:val="98"/>
              </w:rPr>
              <w:t>INNOVATE/PROTECT, INC. AND SUBSIDIARIES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0" w:type="dxa"/>
            <w:vAlign w:val="bottom"/>
          </w:tcPr>
          <w:p>
            <w:pPr>
              <w:jc w:val="center"/>
              <w:ind w:left="731"/>
              <w:spacing w:after="0"/>
              <w:rPr>
                <w:sz w:val="20"/>
                <w:szCs w:val="20"/>
                <w:color w:val="auto"/>
              </w:rPr>
            </w:pPr>
            <w:r>
              <w:rPr>
                <w:rFonts w:ascii="Arial" w:cs="Arial" w:eastAsia="Arial" w:hAnsi="Arial"/>
                <w:sz w:val="18"/>
                <w:szCs w:val="18"/>
                <w:b w:val="1"/>
                <w:bCs w:val="1"/>
                <w:color w:val="auto"/>
                <w:w w:val="89"/>
              </w:rPr>
              <w:t>(A Development Stage Company)</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tcPr>
          <w:p>
            <w:pPr>
              <w:jc w:val="center"/>
              <w:ind w:left="731"/>
              <w:spacing w:after="0"/>
              <w:rPr>
                <w:sz w:val="20"/>
                <w:szCs w:val="20"/>
                <w:color w:val="auto"/>
              </w:rPr>
            </w:pPr>
            <w:r>
              <w:rPr>
                <w:rFonts w:ascii="Arial" w:cs="Arial" w:eastAsia="Arial" w:hAnsi="Arial"/>
                <w:sz w:val="18"/>
                <w:szCs w:val="18"/>
                <w:b w:val="1"/>
                <w:bCs w:val="1"/>
                <w:color w:val="auto"/>
                <w:w w:val="98"/>
              </w:rPr>
              <w:t>CONSOLIDATED BALANCE SHEET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tcPr>
          <w:p>
            <w:pPr>
              <w:jc w:val="center"/>
              <w:ind w:left="731"/>
              <w:spacing w:after="0"/>
              <w:rPr>
                <w:sz w:val="20"/>
                <w:szCs w:val="20"/>
                <w:color w:val="auto"/>
              </w:rPr>
            </w:pPr>
            <w:r>
              <w:rPr>
                <w:rFonts w:ascii="Arial" w:cs="Arial" w:eastAsia="Arial" w:hAnsi="Arial"/>
                <w:sz w:val="18"/>
                <w:szCs w:val="18"/>
                <w:b w:val="1"/>
                <w:bCs w:val="1"/>
                <w:color w:val="auto"/>
                <w:w w:val="87"/>
              </w:rPr>
              <w:t>As of December 31, 2011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0" w:type="dxa"/>
            <w:vAlign w:val="bottom"/>
          </w:tcPr>
          <w:p>
            <w:pPr>
              <w:jc w:val="center"/>
              <w:ind w:right="1611"/>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5,212,142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Prepaid assets</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25,886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5,238,028</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8,006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3,067,592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8,313,626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0" w:type="dxa"/>
            <w:vAlign w:val="bottom"/>
            <w:shd w:val="clear" w:color="auto" w:fill="CCFFCC"/>
          </w:tcPr>
          <w:p>
            <w:pPr>
              <w:jc w:val="center"/>
              <w:ind w:right="1611"/>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201</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448,264</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Current portion, note payable-related party</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2,000,000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2,448,465</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Note Payable-related party</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1,200,000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3,648,465</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Commitments and Contingencies (See note 11)</w:t>
            </w:r>
          </w:p>
        </w:tc>
        <w:tc>
          <w:tcPr>
            <w:tcW w:w="1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20" w:type="dxa"/>
            <w:vAlign w:val="bottom"/>
            <w:gridSpan w:val="3"/>
          </w:tcPr>
          <w:p>
            <w:pPr>
              <w:spacing w:after="0" w:line="200" w:lineRule="exact"/>
              <w:rPr>
                <w:sz w:val="20"/>
                <w:szCs w:val="20"/>
                <w:color w:val="auto"/>
              </w:rPr>
            </w:pPr>
            <w:r>
              <w:rPr>
                <w:rFonts w:ascii="Arial" w:cs="Arial" w:eastAsia="Arial" w:hAnsi="Arial"/>
                <w:sz w:val="18"/>
                <w:szCs w:val="18"/>
                <w:color w:val="auto"/>
              </w:rPr>
              <w:t>Preferred stock, Series A Convertible, $.0001 par value;</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0" w:lineRule="exact"/>
              <w:rPr>
                <w:sz w:val="20"/>
                <w:szCs w:val="20"/>
                <w:color w:val="auto"/>
              </w:rPr>
            </w:pPr>
            <w:r>
              <w:rPr>
                <w:rFonts w:ascii="Arial" w:cs="Arial" w:eastAsia="Arial" w:hAnsi="Arial"/>
                <w:sz w:val="18"/>
                <w:szCs w:val="18"/>
                <w:b w:val="1"/>
                <w:bCs w:val="1"/>
                <w:color w:val="auto"/>
              </w:rPr>
              <w:t>1,800,000</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liquidation value $1,250 per share; 6,968 shares authorized, issued and outstanding</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20" w:type="dxa"/>
            <w:vAlign w:val="bottom"/>
            <w:gridSpan w:val="3"/>
          </w:tcPr>
          <w:p>
            <w:pPr>
              <w:ind w:left="160"/>
              <w:spacing w:after="0" w:line="200" w:lineRule="exact"/>
              <w:rPr>
                <w:sz w:val="20"/>
                <w:szCs w:val="20"/>
                <w:color w:val="auto"/>
              </w:rPr>
            </w:pPr>
            <w:r>
              <w:rPr>
                <w:rFonts w:ascii="Arial" w:cs="Arial" w:eastAsia="Arial" w:hAnsi="Arial"/>
                <w:sz w:val="18"/>
                <w:szCs w:val="18"/>
                <w:color w:val="auto"/>
              </w:rPr>
              <w:t>Common stock, $.0001 par value; 100,000,000 shares authorized;</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0" w:lineRule="exact"/>
              <w:rPr>
                <w:sz w:val="20"/>
                <w:szCs w:val="20"/>
                <w:color w:val="auto"/>
              </w:rPr>
            </w:pPr>
            <w:r>
              <w:rPr>
                <w:rFonts w:ascii="Arial" w:cs="Arial" w:eastAsia="Arial" w:hAnsi="Arial"/>
                <w:sz w:val="18"/>
                <w:szCs w:val="18"/>
                <w:b w:val="1"/>
                <w:bCs w:val="1"/>
                <w:color w:val="auto"/>
              </w:rPr>
              <w:t>563</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color w:val="auto"/>
              </w:rPr>
              <w:t>5,624,661 shares issued and outstanding</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FFCC"/>
          </w:tcPr>
          <w:p>
            <w:pPr>
              <w:spacing w:after="0"/>
              <w:rPr>
                <w:sz w:val="18"/>
                <w:szCs w:val="18"/>
                <w:color w:val="auto"/>
              </w:rPr>
            </w:pPr>
          </w:p>
        </w:tc>
        <w:tc>
          <w:tcPr>
            <w:tcW w:w="71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5,618,780</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20" w:type="dxa"/>
            <w:vAlign w:val="bottom"/>
            <w:gridSpan w:val="3"/>
          </w:tcPr>
          <w:p>
            <w:pPr>
              <w:ind w:left="16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(2,754,182)</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2,865,161</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1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8,313,626</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vMerge w:val="restart"/>
          </w:tcPr>
          <w:p>
            <w:pPr>
              <w:ind w:left="2920"/>
              <w:spacing w:after="0"/>
              <w:rPr>
                <w:sz w:val="20"/>
                <w:szCs w:val="20"/>
                <w:color w:val="auto"/>
              </w:rPr>
            </w:pPr>
            <w:r>
              <w:rPr>
                <w:rFonts w:ascii="Arial" w:cs="Arial" w:eastAsia="Arial" w:hAnsi="Arial"/>
                <w:sz w:val="18"/>
                <w:szCs w:val="18"/>
                <w:color w:val="auto"/>
              </w:rPr>
              <w:t>F-36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6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6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-3869690</wp:posOffset>
            </wp:positionV>
            <wp:extent cx="5160010" cy="144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-3317875</wp:posOffset>
            </wp:positionV>
            <wp:extent cx="5160010" cy="1784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-2460625</wp:posOffset>
            </wp:positionV>
            <wp:extent cx="5160010" cy="144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-2180590</wp:posOffset>
            </wp:positionV>
            <wp:extent cx="5160010" cy="153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-796925</wp:posOffset>
            </wp:positionV>
            <wp:extent cx="5160010" cy="1784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60010" cy="17843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-4488815</wp:posOffset>
            </wp:positionV>
            <wp:extent cx="513461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ectPr>
          <w:pgSz w:w="11900" w:h="16838" w:orient="portrait"/>
          <w:cols w:equalWidth="0" w:num="1">
            <w:col w:w="10340"/>
          </w:cols>
          <w:pgMar w:left="360" w:top="781" w:right="119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9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420" w:type="dxa"/>
            <w:vAlign w:val="bottom"/>
          </w:tcPr>
          <w:p>
            <w:pPr>
              <w:jc w:val="center"/>
              <w:ind w:left="911"/>
              <w:spacing w:after="0"/>
              <w:rPr>
                <w:sz w:val="20"/>
                <w:szCs w:val="20"/>
                <w:color w:val="auto"/>
              </w:rPr>
            </w:pPr>
            <w:r>
              <w:rPr>
                <w:rFonts w:ascii="Arial" w:cs="Arial" w:eastAsia="Arial" w:hAnsi="Arial"/>
                <w:sz w:val="18"/>
                <w:szCs w:val="18"/>
                <w:b w:val="1"/>
                <w:bCs w:val="1"/>
                <w:color w:val="auto"/>
                <w:w w:val="98"/>
              </w:rPr>
              <w:t>INNOVATE/PROTECT, INC. AND SUBSIDIARIES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20" w:type="dxa"/>
            <w:vAlign w:val="bottom"/>
          </w:tcPr>
          <w:p>
            <w:pPr>
              <w:jc w:val="center"/>
              <w:ind w:left="911"/>
              <w:spacing w:after="0"/>
              <w:rPr>
                <w:sz w:val="20"/>
                <w:szCs w:val="20"/>
                <w:color w:val="auto"/>
              </w:rPr>
            </w:pPr>
            <w:r>
              <w:rPr>
                <w:rFonts w:ascii="Arial" w:cs="Arial" w:eastAsia="Arial" w:hAnsi="Arial"/>
                <w:sz w:val="18"/>
                <w:szCs w:val="18"/>
                <w:b w:val="1"/>
                <w:bCs w:val="1"/>
                <w:color w:val="auto"/>
                <w:w w:val="89"/>
              </w:rPr>
              <w:t>(A Development Stage Company)</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tcPr>
          <w:p>
            <w:pPr>
              <w:jc w:val="center"/>
              <w:ind w:left="891"/>
              <w:spacing w:after="0"/>
              <w:rPr>
                <w:sz w:val="20"/>
                <w:szCs w:val="20"/>
                <w:color w:val="auto"/>
              </w:rPr>
            </w:pPr>
            <w:r>
              <w:rPr>
                <w:rFonts w:ascii="Arial" w:cs="Arial" w:eastAsia="Arial" w:hAnsi="Arial"/>
                <w:sz w:val="18"/>
                <w:szCs w:val="18"/>
                <w:b w:val="1"/>
                <w:bCs w:val="1"/>
                <w:color w:val="auto"/>
                <w:w w:val="98"/>
              </w:rPr>
              <w:t>CONSOLIDATED STATEMENT OF OPERATIONS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gridSpan w:val="2"/>
          </w:tcPr>
          <w:p>
            <w:pPr>
              <w:jc w:val="center"/>
              <w:ind w:left="731"/>
              <w:spacing w:after="0"/>
              <w:rPr>
                <w:sz w:val="20"/>
                <w:szCs w:val="20"/>
                <w:color w:val="auto"/>
              </w:rPr>
            </w:pPr>
            <w:r>
              <w:rPr>
                <w:rFonts w:ascii="Arial" w:cs="Arial" w:eastAsia="Arial" w:hAnsi="Arial"/>
                <w:sz w:val="18"/>
                <w:szCs w:val="18"/>
                <w:b w:val="1"/>
                <w:bCs w:val="1"/>
                <w:color w:val="auto"/>
                <w:w w:val="89"/>
              </w:rPr>
              <w:t>Period from June 8, 2011 (Inception) to December 31, 2011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200" w:type="dxa"/>
            <w:vAlign w:val="bottom"/>
          </w:tcPr>
          <w:p>
            <w:pPr>
              <w:spacing w:after="0"/>
              <w:rPr>
                <w:sz w:val="20"/>
                <w:szCs w:val="20"/>
                <w:color w:val="auto"/>
              </w:rPr>
            </w:pPr>
          </w:p>
        </w:tc>
      </w:tr>
      <w:tr>
        <w:trPr>
          <w:trHeight w:val="208"/>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Legal</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1,102,100</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996,913</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Amortization and depreciation</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328,278</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213,192</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Startup and capital acquisition costs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105,971</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4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2,746,454</w:t>
            </w:r>
          </w:p>
        </w:tc>
        <w:tc>
          <w:tcPr>
            <w:tcW w:w="2200" w:type="dxa"/>
            <w:vAlign w:val="bottom"/>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4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940" w:type="dxa"/>
            <w:vAlign w:val="bottom"/>
            <w:gridSpan w:val="3"/>
          </w:tcPr>
          <w:p>
            <w:pPr>
              <w:ind w:left="340"/>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(2,746,454)</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7,728</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6940" w:type="dxa"/>
            <w:vAlign w:val="bottom"/>
            <w:gridSpan w:val="3"/>
            <w:shd w:val="clear" w:color="auto" w:fill="CCFFCC"/>
          </w:tcPr>
          <w:p>
            <w:pPr>
              <w:ind w:left="340"/>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(2,754,182)</w:t>
            </w:r>
          </w:p>
        </w:tc>
        <w:tc>
          <w:tcPr>
            <w:tcW w:w="2200" w:type="dxa"/>
            <w:vAlign w:val="bottom"/>
          </w:tcPr>
          <w:p>
            <w:pPr>
              <w:spacing w:after="0"/>
              <w:rPr>
                <w:sz w:val="21"/>
                <w:szCs w:val="21"/>
                <w:color w:val="auto"/>
              </w:rPr>
            </w:pPr>
          </w:p>
        </w:tc>
      </w:tr>
      <w:tr>
        <w:trPr>
          <w:trHeight w:val="207"/>
        </w:trPr>
        <w:tc>
          <w:tcPr>
            <w:tcW w:w="20" w:type="dxa"/>
            <w:vAlign w:val="bottom"/>
            <w:tcBorders>
              <w:top w:val="single" w:sz="8" w:color="CCFFCC"/>
            </w:tcBorders>
          </w:tcPr>
          <w:p>
            <w:pPr>
              <w:spacing w:after="0"/>
              <w:rPr>
                <w:sz w:val="18"/>
                <w:szCs w:val="18"/>
                <w:color w:val="auto"/>
              </w:rPr>
            </w:pPr>
          </w:p>
        </w:tc>
        <w:tc>
          <w:tcPr>
            <w:tcW w:w="694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Basic and diluted loss per share</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(2,754,182)</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2,802,100</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Basic and diluted loss per share</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(0.98)</w:t>
            </w:r>
          </w:p>
        </w:tc>
        <w:tc>
          <w:tcPr>
            <w:tcW w:w="2200" w:type="dxa"/>
            <w:vAlign w:val="bottom"/>
          </w:tcPr>
          <w:p>
            <w:pPr>
              <w:spacing w:after="0"/>
              <w:rPr>
                <w:sz w:val="18"/>
                <w:szCs w:val="18"/>
                <w:color w:val="auto"/>
              </w:rPr>
            </w:pPr>
          </w:p>
        </w:tc>
      </w:tr>
      <w:tr>
        <w:trPr>
          <w:trHeight w:val="76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tcPr>
          <w:p>
            <w:pPr>
              <w:ind w:left="2920"/>
              <w:spacing w:after="0"/>
              <w:rPr>
                <w:sz w:val="20"/>
                <w:szCs w:val="20"/>
                <w:color w:val="auto"/>
              </w:rPr>
            </w:pPr>
            <w:r>
              <w:rPr>
                <w:rFonts w:ascii="Arial" w:cs="Arial" w:eastAsia="Arial" w:hAnsi="Arial"/>
                <w:sz w:val="18"/>
                <w:szCs w:val="18"/>
                <w:color w:val="auto"/>
              </w:rPr>
              <w:t>F-37</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4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-1756410</wp:posOffset>
            </wp:positionV>
            <wp:extent cx="5160010" cy="144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-1196340</wp:posOffset>
            </wp:positionV>
            <wp:extent cx="5160010" cy="169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-2935605</wp:posOffset>
            </wp:positionV>
            <wp:extent cx="51600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ectPr>
          <w:pgSz w:w="11900" w:h="16838" w:orient="portrait"/>
          <w:cols w:equalWidth="0" w:num="1">
            <w:col w:w="10340"/>
          </w:cols>
          <w:pgMar w:left="360" w:top="780" w:right="1199" w:bottom="1440" w:gutter="0" w:footer="0" w:header="0"/>
        </w:sectPr>
      </w:pPr>
    </w:p>
    <w:bookmarkStart w:id="231" w:name="page232"/>
    <w:bookmarkEnd w:id="23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51517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200" w:type="dxa"/>
            <w:vAlign w:val="bottom"/>
          </w:tcPr>
          <w:p>
            <w:pPr>
              <w:spacing w:after="0"/>
              <w:rPr>
                <w:sz w:val="14"/>
                <w:szCs w:val="14"/>
                <w:color w:val="auto"/>
              </w:rPr>
            </w:pPr>
          </w:p>
        </w:tc>
      </w:tr>
      <w:tr>
        <w:trPr>
          <w:trHeight w:val="147"/>
        </w:trPr>
        <w:tc>
          <w:tcPr>
            <w:tcW w:w="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4"/>
              </w:rPr>
              <w:t>During the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7"/>
        </w:trPr>
        <w:tc>
          <w:tcPr>
            <w:tcW w:w="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70"/>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3"/>
              </w:rPr>
              <w:t>Stage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Pr>
          <w:p>
            <w:pPr>
              <w:spacing w:after="0"/>
              <w:rPr>
                <w:sz w:val="14"/>
                <w:szCs w:val="14"/>
                <w:color w:val="auto"/>
              </w:rPr>
            </w:pPr>
          </w:p>
        </w:tc>
      </w:tr>
      <w:tr>
        <w:trPr>
          <w:trHeight w:val="207"/>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June 8, 2011 (inception)</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5,144,662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5,145,225</w:t>
            </w:r>
          </w:p>
        </w:tc>
        <w:tc>
          <w:tcPr>
            <w:tcW w:w="2200" w:type="dxa"/>
            <w:vAlign w:val="bottom"/>
          </w:tcPr>
          <w:p>
            <w:pPr>
              <w:spacing w:after="0"/>
              <w:rPr>
                <w:sz w:val="18"/>
                <w:szCs w:val="18"/>
                <w:color w:val="auto"/>
              </w:rPr>
            </w:pPr>
          </w:p>
        </w:tc>
      </w:tr>
      <w:tr>
        <w:trPr>
          <w:trHeight w:val="214"/>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8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474,118</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474,118</w:t>
            </w:r>
          </w:p>
        </w:tc>
        <w:tc>
          <w:tcPr>
            <w:tcW w:w="2200" w:type="dxa"/>
            <w:vAlign w:val="bottom"/>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(2,754,182)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(2,754,182)</w:t>
            </w:r>
          </w:p>
        </w:tc>
        <w:tc>
          <w:tcPr>
            <w:tcW w:w="220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7"/>
        </w:trPr>
        <w:tc>
          <w:tcPr>
            <w:tcW w:w="39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December 31, 2011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563</w:t>
            </w:r>
          </w:p>
        </w:tc>
        <w:tc>
          <w:tcPr>
            <w:tcW w:w="16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7"/>
              </w:rPr>
              <w:t>5,618,780</w:t>
            </w:r>
          </w:p>
        </w:tc>
        <w:tc>
          <w:tcPr>
            <w:tcW w:w="32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89"/>
              </w:rPr>
              <w:t>(2,754,182)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4"/>
              </w:rPr>
              <w:t>2,865,161</w:t>
            </w:r>
          </w:p>
        </w:tc>
        <w:tc>
          <w:tcPr>
            <w:tcW w:w="2200" w:type="dxa"/>
            <w:vAlign w:val="bottom"/>
          </w:tcPr>
          <w:p>
            <w:pPr>
              <w:spacing w:after="0"/>
              <w:rPr>
                <w:sz w:val="19"/>
                <w:szCs w:val="19"/>
                <w:color w:val="auto"/>
              </w:rPr>
            </w:pPr>
          </w:p>
        </w:tc>
      </w:tr>
      <w:tr>
        <w:trPr>
          <w:trHeight w:val="20"/>
        </w:trPr>
        <w:tc>
          <w:tcPr>
            <w:tcW w:w="840" w:type="dxa"/>
            <w:vAlign w:val="bottom"/>
            <w:tcBorders>
              <w:top w:val="single" w:sz="8" w:color="CCFFCC"/>
            </w:tcBorders>
            <w:shd w:val="clear" w:color="auto" w:fill="CCFFCC"/>
          </w:tcPr>
          <w:p>
            <w:pPr>
              <w:spacing w:after="0" w:line="20" w:lineRule="exact"/>
              <w:rPr>
                <w:sz w:val="1"/>
                <w:szCs w:val="1"/>
                <w:color w:val="auto"/>
              </w:rPr>
            </w:pPr>
          </w:p>
        </w:tc>
        <w:tc>
          <w:tcPr>
            <w:tcW w:w="30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754"/>
        </w:trPr>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F-38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-652780</wp:posOffset>
            </wp:positionV>
            <wp:extent cx="5160010" cy="336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gridSpan w:val="3"/>
          </w:tcPr>
          <w:p>
            <w:pPr>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9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420" w:type="dxa"/>
            <w:vAlign w:val="bottom"/>
          </w:tcPr>
          <w:p>
            <w:pPr>
              <w:jc w:val="center"/>
              <w:ind w:left="911"/>
              <w:spacing w:after="0"/>
              <w:rPr>
                <w:sz w:val="20"/>
                <w:szCs w:val="20"/>
                <w:color w:val="auto"/>
              </w:rPr>
            </w:pPr>
            <w:r>
              <w:rPr>
                <w:rFonts w:ascii="Arial" w:cs="Arial" w:eastAsia="Arial" w:hAnsi="Arial"/>
                <w:sz w:val="18"/>
                <w:szCs w:val="18"/>
                <w:b w:val="1"/>
                <w:bCs w:val="1"/>
                <w:color w:val="auto"/>
                <w:w w:val="98"/>
              </w:rPr>
              <w:t>INNOVATE/PROTECT, INC. AND SUBSIDIARIES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20" w:type="dxa"/>
            <w:vAlign w:val="bottom"/>
          </w:tcPr>
          <w:p>
            <w:pPr>
              <w:jc w:val="center"/>
              <w:ind w:left="911"/>
              <w:spacing w:after="0"/>
              <w:rPr>
                <w:sz w:val="20"/>
                <w:szCs w:val="20"/>
                <w:color w:val="auto"/>
              </w:rPr>
            </w:pPr>
            <w:r>
              <w:rPr>
                <w:rFonts w:ascii="Arial" w:cs="Arial" w:eastAsia="Arial" w:hAnsi="Arial"/>
                <w:sz w:val="18"/>
                <w:szCs w:val="18"/>
                <w:b w:val="1"/>
                <w:bCs w:val="1"/>
                <w:color w:val="auto"/>
                <w:w w:val="89"/>
              </w:rPr>
              <w:t>(A Development Stage Company)</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tcPr>
          <w:p>
            <w:pPr>
              <w:jc w:val="center"/>
              <w:ind w:left="891"/>
              <w:spacing w:after="0"/>
              <w:rPr>
                <w:sz w:val="20"/>
                <w:szCs w:val="20"/>
                <w:color w:val="auto"/>
              </w:rPr>
            </w:pPr>
            <w:r>
              <w:rPr>
                <w:rFonts w:ascii="Arial" w:cs="Arial" w:eastAsia="Arial" w:hAnsi="Arial"/>
                <w:sz w:val="18"/>
                <w:szCs w:val="18"/>
                <w:b w:val="1"/>
                <w:bCs w:val="1"/>
                <w:color w:val="auto"/>
                <w:w w:val="98"/>
              </w:rPr>
              <w:t>CONSOLIDATED STATEMENT OF CASH FLOWS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gridSpan w:val="2"/>
          </w:tcPr>
          <w:p>
            <w:pPr>
              <w:jc w:val="center"/>
              <w:ind w:left="731"/>
              <w:spacing w:after="0"/>
              <w:rPr>
                <w:sz w:val="20"/>
                <w:szCs w:val="20"/>
                <w:color w:val="auto"/>
              </w:rPr>
            </w:pPr>
            <w:r>
              <w:rPr>
                <w:rFonts w:ascii="Arial" w:cs="Arial" w:eastAsia="Arial" w:hAnsi="Arial"/>
                <w:sz w:val="18"/>
                <w:szCs w:val="18"/>
                <w:b w:val="1"/>
                <w:bCs w:val="1"/>
                <w:color w:val="auto"/>
                <w:w w:val="89"/>
              </w:rPr>
              <w:t>Period from June 8, 2011 (Inception) to December 31, 2011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15"/>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(2,754,182)</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Amortization and depreciation</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328,277</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34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474,118</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Increase in prepaid assets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(25,886)</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Increase in accounts payable and accrued liabilities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448,465</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(1,529,208)</w:t>
            </w:r>
          </w:p>
        </w:tc>
        <w:tc>
          <w:tcPr>
            <w:tcW w:w="2200" w:type="dxa"/>
            <w:vAlign w:val="bottom"/>
          </w:tcPr>
          <w:p>
            <w:pPr>
              <w:spacing w:after="0"/>
              <w:rPr>
                <w:sz w:val="18"/>
                <w:szCs w:val="18"/>
                <w:color w:val="auto"/>
              </w:rPr>
            </w:pPr>
          </w:p>
        </w:tc>
      </w:tr>
      <w:tr>
        <w:trPr>
          <w:trHeight w:val="207"/>
        </w:trPr>
        <w:tc>
          <w:tcPr>
            <w:tcW w:w="20" w:type="dxa"/>
            <w:vAlign w:val="bottom"/>
            <w:tcBorders>
              <w:top w:val="single" w:sz="8" w:color="CCFFCC"/>
            </w:tcBorders>
          </w:tcPr>
          <w:p>
            <w:pPr>
              <w:spacing w:after="0"/>
              <w:rPr>
                <w:sz w:val="18"/>
                <w:szCs w:val="18"/>
                <w:color w:val="auto"/>
              </w:rPr>
            </w:pPr>
          </w:p>
        </w:tc>
        <w:tc>
          <w:tcPr>
            <w:tcW w:w="694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Purchase of intangible assets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(3,395,187)</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Purchase of fixed assets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(8,688)</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(3,403,875)</w:t>
            </w:r>
          </w:p>
        </w:tc>
        <w:tc>
          <w:tcPr>
            <w:tcW w:w="2200" w:type="dxa"/>
            <w:vAlign w:val="bottom"/>
          </w:tcPr>
          <w:p>
            <w:pPr>
              <w:spacing w:after="0"/>
              <w:rPr>
                <w:sz w:val="18"/>
                <w:szCs w:val="18"/>
                <w:color w:val="auto"/>
              </w:rPr>
            </w:pPr>
          </w:p>
        </w:tc>
      </w:tr>
      <w:tr>
        <w:trPr>
          <w:trHeight w:val="207"/>
        </w:trPr>
        <w:tc>
          <w:tcPr>
            <w:tcW w:w="20" w:type="dxa"/>
            <w:vAlign w:val="bottom"/>
            <w:tcBorders>
              <w:top w:val="single" w:sz="8" w:color="CCFFCC"/>
            </w:tcBorders>
          </w:tcPr>
          <w:p>
            <w:pPr>
              <w:spacing w:after="0"/>
              <w:rPr>
                <w:sz w:val="18"/>
                <w:szCs w:val="18"/>
                <w:color w:val="auto"/>
              </w:rPr>
            </w:pPr>
          </w:p>
        </w:tc>
        <w:tc>
          <w:tcPr>
            <w:tcW w:w="694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note payable</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3,200,000</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Proceeds from issuance of preferred stock</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1,800,000</w:t>
            </w:r>
          </w:p>
        </w:tc>
        <w:tc>
          <w:tcPr>
            <w:tcW w:w="2200" w:type="dxa"/>
            <w:vAlign w:val="bottom"/>
          </w:tcPr>
          <w:p>
            <w:pPr>
              <w:spacing w:after="0"/>
              <w:rPr>
                <w:sz w:val="18"/>
                <w:szCs w:val="18"/>
                <w:color w:val="auto"/>
              </w:rPr>
            </w:pPr>
          </w:p>
        </w:tc>
      </w:tr>
      <w:tr>
        <w:trPr>
          <w:trHeight w:val="214"/>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5,145,225</w:t>
            </w:r>
          </w:p>
        </w:tc>
        <w:tc>
          <w:tcPr>
            <w:tcW w:w="2200" w:type="dxa"/>
            <w:vAlign w:val="bottom"/>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54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940" w:type="dxa"/>
            <w:vAlign w:val="bottom"/>
            <w:gridSpan w:val="3"/>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10,145,225</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07"/>
        </w:trPr>
        <w:tc>
          <w:tcPr>
            <w:tcW w:w="20" w:type="dxa"/>
            <w:vAlign w:val="bottom"/>
            <w:shd w:val="clear" w:color="auto" w:fill="CCFFCC"/>
          </w:tcPr>
          <w:p>
            <w:pPr>
              <w:spacing w:after="0"/>
              <w:rPr>
                <w:sz w:val="18"/>
                <w:szCs w:val="18"/>
                <w:color w:val="auto"/>
              </w:rPr>
            </w:pPr>
          </w:p>
        </w:tc>
        <w:tc>
          <w:tcPr>
            <w:tcW w:w="6940" w:type="dxa"/>
            <w:vAlign w:val="bottom"/>
            <w:gridSpan w:val="3"/>
            <w:shd w:val="clear" w:color="auto" w:fill="CCFFCC"/>
          </w:tcPr>
          <w:p>
            <w:pPr>
              <w:ind w:left="520"/>
              <w:spacing w:after="0"/>
              <w:rPr>
                <w:sz w:val="20"/>
                <w:szCs w:val="20"/>
                <w:color w:val="auto"/>
              </w:rPr>
            </w:pPr>
            <w:r>
              <w:rPr>
                <w:rFonts w:ascii="Arial" w:cs="Arial" w:eastAsia="Arial" w:hAnsi="Arial"/>
                <w:sz w:val="18"/>
                <w:szCs w:val="18"/>
                <w:b w:val="1"/>
                <w:bCs w:val="1"/>
                <w:color w:val="auto"/>
              </w:rPr>
              <w:t>Increase in cash</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5,212,142</w:t>
            </w:r>
          </w:p>
        </w:tc>
        <w:tc>
          <w:tcPr>
            <w:tcW w:w="2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Cash Balance, beginning of period</w:t>
            </w: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6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Balance, ending of period</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5,212,142</w:t>
            </w:r>
          </w:p>
        </w:tc>
        <w:tc>
          <w:tcPr>
            <w:tcW w:w="2200" w:type="dxa"/>
            <w:vAlign w:val="bottom"/>
          </w:tcPr>
          <w:p>
            <w:pPr>
              <w:spacing w:after="0"/>
              <w:rPr>
                <w:sz w:val="21"/>
                <w:szCs w:val="21"/>
                <w:color w:val="auto"/>
              </w:rPr>
            </w:pPr>
          </w:p>
        </w:tc>
      </w:tr>
      <w:tr>
        <w:trPr>
          <w:trHeight w:val="207"/>
        </w:trPr>
        <w:tc>
          <w:tcPr>
            <w:tcW w:w="20" w:type="dxa"/>
            <w:vAlign w:val="bottom"/>
            <w:tcBorders>
              <w:top w:val="single" w:sz="8" w:color="CCFFCC"/>
            </w:tcBorders>
          </w:tcPr>
          <w:p>
            <w:pPr>
              <w:spacing w:after="0"/>
              <w:rPr>
                <w:sz w:val="18"/>
                <w:szCs w:val="18"/>
                <w:color w:val="auto"/>
              </w:rPr>
            </w:pPr>
          </w:p>
        </w:tc>
        <w:tc>
          <w:tcPr>
            <w:tcW w:w="694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200" w:type="dxa"/>
            <w:vAlign w:val="bottom"/>
          </w:tcPr>
          <w:p>
            <w:pPr>
              <w:spacing w:after="0"/>
              <w:rPr>
                <w:sz w:val="18"/>
                <w:szCs w:val="18"/>
                <w:color w:val="auto"/>
              </w:rPr>
            </w:pPr>
          </w:p>
        </w:tc>
      </w:tr>
      <w:tr>
        <w:trPr>
          <w:trHeight w:val="254"/>
        </w:trPr>
        <w:tc>
          <w:tcPr>
            <w:tcW w:w="20" w:type="dxa"/>
            <w:vAlign w:val="bottom"/>
            <w:shd w:val="clear" w:color="auto" w:fill="CCFFCC"/>
          </w:tcPr>
          <w:p>
            <w:pPr>
              <w:spacing w:after="0"/>
              <w:rPr>
                <w:sz w:val="22"/>
                <w:szCs w:val="22"/>
                <w:color w:val="auto"/>
              </w:rPr>
            </w:pPr>
          </w:p>
        </w:tc>
        <w:tc>
          <w:tcPr>
            <w:tcW w:w="69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7,728</w:t>
            </w:r>
          </w:p>
        </w:tc>
        <w:tc>
          <w:tcPr>
            <w:tcW w:w="2200" w:type="dxa"/>
            <w:vAlign w:val="bottom"/>
          </w:tcPr>
          <w:p>
            <w:pPr>
              <w:spacing w:after="0"/>
              <w:rPr>
                <w:sz w:val="22"/>
                <w:szCs w:val="22"/>
                <w:color w:val="auto"/>
              </w:rPr>
            </w:pPr>
          </w:p>
        </w:tc>
      </w:tr>
      <w:tr>
        <w:trPr>
          <w:trHeight w:val="754"/>
        </w:trPr>
        <w:tc>
          <w:tcPr>
            <w:tcW w:w="2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700" w:type="dxa"/>
            <w:vAlign w:val="bottom"/>
            <w:tcBorders>
              <w:top w:val="single" w:sz="8" w:color="CCFFCC"/>
            </w:tcBorders>
          </w:tcPr>
          <w:p>
            <w:pPr>
              <w:spacing w:after="0"/>
              <w:rPr>
                <w:sz w:val="24"/>
                <w:szCs w:val="24"/>
                <w:color w:val="auto"/>
              </w:rPr>
            </w:pPr>
          </w:p>
        </w:tc>
        <w:tc>
          <w:tcPr>
            <w:tcW w:w="5420" w:type="dxa"/>
            <w:vAlign w:val="bottom"/>
            <w:tcBorders>
              <w:top w:val="single" w:sz="8" w:color="CCFFCC"/>
            </w:tcBorders>
          </w:tcPr>
          <w:p>
            <w:pPr>
              <w:ind w:left="2920"/>
              <w:spacing w:after="0"/>
              <w:rPr>
                <w:sz w:val="20"/>
                <w:szCs w:val="20"/>
                <w:color w:val="auto"/>
              </w:rPr>
            </w:pPr>
            <w:r>
              <w:rPr>
                <w:rFonts w:ascii="Arial" w:cs="Arial" w:eastAsia="Arial" w:hAnsi="Arial"/>
                <w:sz w:val="18"/>
                <w:szCs w:val="18"/>
                <w:color w:val="auto"/>
              </w:rPr>
              <w:t>F-39</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2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54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-2639060</wp:posOffset>
            </wp:positionV>
            <wp:extent cx="5160010" cy="144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-2078990</wp:posOffset>
            </wp:positionV>
            <wp:extent cx="5160010" cy="144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6001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-1527175</wp:posOffset>
            </wp:positionV>
            <wp:extent cx="5160010" cy="153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6001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-958215</wp:posOffset>
            </wp:positionV>
            <wp:extent cx="5160010" cy="169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60010" cy="169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-652780</wp:posOffset>
            </wp:positionV>
            <wp:extent cx="5160010" cy="336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6001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-3810000</wp:posOffset>
            </wp:positionV>
            <wp:extent cx="516001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ectPr>
          <w:pgSz w:w="11900" w:h="16838" w:orient="portrait"/>
          <w:cols w:equalWidth="0" w:num="1">
            <w:col w:w="10340"/>
          </w:cols>
          <w:pgMar w:left="360" w:top="780" w:right="1199" w:bottom="1440" w:gutter="0" w:footer="0" w:header="0"/>
        </w:sectPr>
      </w:pPr>
    </w:p>
    <w:bookmarkStart w:id="233" w:name="page234"/>
    <w:bookmarkEnd w:id="2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w:t>
      </w:r>
    </w:p>
    <w:p>
      <w:pPr>
        <w:spacing w:after="0" w:line="1"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b w:val="1"/>
          <w:bCs w:val="1"/>
          <w:i w:val="1"/>
          <w:iCs w:val="1"/>
          <w:color w:val="auto"/>
        </w:rPr>
        <w:t xml:space="preserve">Nature of business: </w:t>
      </w:r>
      <w:r>
        <w:rPr>
          <w:rFonts w:ascii="Arial" w:cs="Arial" w:eastAsia="Arial" w:hAnsi="Arial"/>
          <w:sz w:val="17"/>
          <w:szCs w:val="17"/>
          <w:color w:val="auto"/>
        </w:rPr>
        <w:t>Innovate/Protect, Inc. (“I/P”) was incorporated under the laws of the state of Delaware on June 8,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as Labrador Search Corporation. On September 6, 2011, Labrador Search Corporation changed its name to Innovate/Protect, Inc. I/P is a holding company, which, at December 31, 2011,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I/P and the Subsidiaries.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context otherwise indicates, the terms “I/P” or the “Company” mean Innovate/Protect, Inc. and its consolidated subsidiaries. All intercompany balances and transactions have been eliminated in consolidation.</w:t>
      </w:r>
    </w:p>
    <w:p>
      <w:pPr>
        <w:spacing w:after="0" w:line="78"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b w:val="1"/>
          <w:bCs w:val="1"/>
          <w:i w:val="1"/>
          <w:iCs w:val="1"/>
          <w:color w:val="auto"/>
        </w:rPr>
        <w:t xml:space="preserve">Estimates and assumptions: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b w:val="1"/>
          <w:bCs w:val="1"/>
          <w:i w:val="1"/>
          <w:iCs w:val="1"/>
          <w:color w:val="auto"/>
        </w:rPr>
        <w:t xml:space="preserve">Development stage: </w:t>
      </w:r>
      <w:r>
        <w:rPr>
          <w:rFonts w:ascii="Arial" w:cs="Arial" w:eastAsia="Arial" w:hAnsi="Arial"/>
          <w:sz w:val="18"/>
          <w:szCs w:val="18"/>
          <w:color w:val="auto"/>
        </w:rPr>
        <w:t>The Company is in the development stage and had not yet generated revenue for the period from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December 31, 2011.</w:t>
      </w:r>
    </w:p>
    <w:p>
      <w:pPr>
        <w:spacing w:after="0" w:line="69"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include cash and highly liquid investments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or less. The Company maintains its cash in a non-interest bearing account at a commercial bank, which account balances at times may exceed federally insured limits. The Company has not experienced any losses in such accounts and believes it is not exposed to any significant credit risk on cash and cash equivalents.</w:t>
      </w:r>
    </w:p>
    <w:p>
      <w:pPr>
        <w:spacing w:after="0" w:line="8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7"/>
          <w:szCs w:val="17"/>
          <w:b w:val="1"/>
          <w:bCs w:val="1"/>
          <w:i w:val="1"/>
          <w:iCs w:val="1"/>
          <w:color w:val="auto"/>
        </w:rPr>
        <w:t xml:space="preserve">Intangible assets: </w:t>
      </w:r>
      <w:r>
        <w:rPr>
          <w:rFonts w:ascii="Arial" w:cs="Arial" w:eastAsia="Arial" w:hAnsi="Arial"/>
          <w:sz w:val="17"/>
          <w:szCs w:val="17"/>
          <w:color w:val="auto"/>
        </w:rPr>
        <w:t>Intangible assets consist of patents that were purchased and the costs to acquire them. They are amortized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w:t>
      </w:r>
    </w:p>
    <w:p>
      <w:pPr>
        <w:spacing w:after="0" w:line="71"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Property and equipment purchases are recorded at cost. Depreciation is computed using the straight-line method over estimated useful lives of 5 years.</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has made the following types of stock-based awards, valued and reflected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as follows:</w:t>
      </w:r>
    </w:p>
    <w:p>
      <w:pPr>
        <w:spacing w:after="0" w:line="65" w:lineRule="exact"/>
        <w:rPr>
          <w:sz w:val="20"/>
          <w:szCs w:val="20"/>
          <w:color w:val="auto"/>
        </w:rPr>
      </w:pPr>
    </w:p>
    <w:p>
      <w:pPr>
        <w:jc w:val="both"/>
        <w:ind w:left="320" w:right="639" w:firstLine="267"/>
        <w:spacing w:after="0" w:line="261" w:lineRule="auto"/>
        <w:rPr>
          <w:sz w:val="20"/>
          <w:szCs w:val="20"/>
          <w:color w:val="auto"/>
        </w:rPr>
      </w:pPr>
      <w:r>
        <w:rPr>
          <w:rFonts w:ascii="Arial" w:cs="Arial" w:eastAsia="Arial" w:hAnsi="Arial"/>
          <w:sz w:val="18"/>
          <w:szCs w:val="18"/>
          <w:b w:val="1"/>
          <w:bCs w:val="1"/>
          <w:color w:val="auto"/>
        </w:rPr>
        <w:t xml:space="preserve">Common Stock Grants: </w:t>
      </w:r>
      <w:r>
        <w:rPr>
          <w:rFonts w:ascii="Arial" w:cs="Arial" w:eastAsia="Arial" w:hAnsi="Arial"/>
          <w:sz w:val="18"/>
          <w:szCs w:val="18"/>
          <w:color w:val="auto"/>
        </w:rPr>
        <w:t>Common stock grants are valued at their fair market value at the date of the grant, multiplied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granted. These grants are reflected as compensation expense in the period during which the respective awards vest, ranging from immediate to 36 months from the grant dates.</w:t>
      </w:r>
    </w:p>
    <w:p>
      <w:pPr>
        <w:spacing w:after="0" w:line="200" w:lineRule="exact"/>
        <w:rPr>
          <w:sz w:val="20"/>
          <w:szCs w:val="20"/>
          <w:color w:val="auto"/>
        </w:rPr>
      </w:pPr>
    </w:p>
    <w:p>
      <w:pPr>
        <w:spacing w:after="0" w:line="33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4" w:name="page235"/>
    <w:bookmarkEnd w:id="2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410" w:lineRule="auto"/>
        <w:rPr>
          <w:sz w:val="20"/>
          <w:szCs w:val="20"/>
          <w:color w:val="auto"/>
        </w:rPr>
      </w:pPr>
      <w:r>
        <w:rPr>
          <w:rFonts w:ascii="Arial" w:cs="Arial" w:eastAsia="Arial" w:hAnsi="Arial"/>
          <w:sz w:val="17"/>
          <w:szCs w:val="17"/>
          <w:b w:val="1"/>
          <w:bCs w:val="1"/>
          <w:color w:val="auto"/>
        </w:rPr>
        <w:t>NOTES TO CONSOLIDATED FINANCIAL STATEMENTS Note 1. Nature of Business and Significant Accounting Policies – (continued)</w:t>
      </w:r>
    </w:p>
    <w:p>
      <w:pPr>
        <w:jc w:val="both"/>
        <w:ind w:left="320" w:right="619" w:firstLine="267"/>
        <w:spacing w:after="0" w:line="289" w:lineRule="auto"/>
        <w:rPr>
          <w:sz w:val="20"/>
          <w:szCs w:val="20"/>
          <w:color w:val="auto"/>
        </w:rPr>
      </w:pPr>
      <w:r>
        <w:rPr>
          <w:rFonts w:ascii="Arial" w:cs="Arial" w:eastAsia="Arial" w:hAnsi="Arial"/>
          <w:sz w:val="16"/>
          <w:szCs w:val="16"/>
          <w:b w:val="1"/>
          <w:bCs w:val="1"/>
          <w:color w:val="auto"/>
        </w:rPr>
        <w:t xml:space="preserve">Sales of Common Stock at Less than Fair Market Value: </w:t>
      </w:r>
      <w:r>
        <w:rPr>
          <w:rFonts w:ascii="Arial" w:cs="Arial" w:eastAsia="Arial" w:hAnsi="Arial"/>
          <w:sz w:val="16"/>
          <w:szCs w:val="16"/>
          <w:color w:val="auto"/>
        </w:rPr>
        <w:t>Common stock sales at less than fair market value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53" w:lineRule="exact"/>
        <w:rPr>
          <w:sz w:val="20"/>
          <w:szCs w:val="20"/>
          <w:color w:val="auto"/>
        </w:rPr>
      </w:pPr>
    </w:p>
    <w:p>
      <w:pPr>
        <w:jc w:val="both"/>
        <w:ind w:left="320" w:right="619" w:firstLine="267"/>
        <w:spacing w:after="0" w:line="261" w:lineRule="auto"/>
        <w:rPr>
          <w:sz w:val="20"/>
          <w:szCs w:val="20"/>
          <w:color w:val="auto"/>
        </w:rPr>
      </w:pPr>
      <w:r>
        <w:rPr>
          <w:rFonts w:ascii="Arial" w:cs="Arial" w:eastAsia="Arial" w:hAnsi="Arial"/>
          <w:sz w:val="18"/>
          <w:szCs w:val="18"/>
          <w:b w:val="1"/>
          <w:bCs w:val="1"/>
          <w:color w:val="auto"/>
        </w:rPr>
        <w:t xml:space="preserve">Common Stock Options: </w:t>
      </w:r>
      <w:r>
        <w:rPr>
          <w:rFonts w:ascii="Arial" w:cs="Arial" w:eastAsia="Arial" w:hAnsi="Arial"/>
          <w:sz w:val="18"/>
          <w:szCs w:val="18"/>
          <w:color w:val="auto"/>
        </w:rPr>
        <w:t>Common stock options are valued at their fair market value at the time the options are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Black-Scholes option pricing model for valuing stock-based compensation awards. Common stock options are reflected as compensation expense in the period during which they vest.</w:t>
      </w:r>
    </w:p>
    <w:p>
      <w:pPr>
        <w:spacing w:after="0" w:line="77"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At inception, the Company determined the fair value of each common share to be $.25832.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determined the amount of capital it estimated would be 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86"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83"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Fair value of financial assets and liabilities is defined as the exchange price that would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45" w:lineRule="exact"/>
        <w:rPr>
          <w:sz w:val="20"/>
          <w:szCs w:val="20"/>
          <w:color w:val="auto"/>
        </w:rPr>
      </w:pPr>
    </w:p>
    <w:p>
      <w:pPr>
        <w:jc w:val="both"/>
        <w:ind w:left="320" w:right="639" w:firstLine="267"/>
        <w:spacing w:after="0" w:line="270" w:lineRule="auto"/>
        <w:rPr>
          <w:sz w:val="20"/>
          <w:szCs w:val="20"/>
          <w:color w:val="auto"/>
        </w:rPr>
      </w:pPr>
      <w:r>
        <w:rPr>
          <w:rFonts w:ascii="Arial" w:cs="Arial" w:eastAsia="Arial" w:hAnsi="Arial"/>
          <w:sz w:val="18"/>
          <w:szCs w:val="18"/>
          <w:color w:val="auto"/>
        </w:rPr>
        <w:t>Level 1 inputs which are defined as quoted prices (unadjusted) in active markets for identical assets or liabilities that the reporting entity has the ability to access at the measurement date.</w:t>
      </w:r>
    </w:p>
    <w:p>
      <w:pPr>
        <w:spacing w:after="0" w:line="69" w:lineRule="exact"/>
        <w:rPr>
          <w:sz w:val="20"/>
          <w:szCs w:val="20"/>
          <w:color w:val="auto"/>
        </w:rPr>
      </w:pPr>
    </w:p>
    <w:p>
      <w:pPr>
        <w:jc w:val="both"/>
        <w:ind w:left="320" w:right="619" w:firstLine="267"/>
        <w:spacing w:after="0" w:line="270" w:lineRule="auto"/>
        <w:rPr>
          <w:sz w:val="20"/>
          <w:szCs w:val="20"/>
          <w:color w:val="auto"/>
        </w:rPr>
      </w:pPr>
      <w:r>
        <w:rPr>
          <w:rFonts w:ascii="Arial" w:cs="Arial" w:eastAsia="Arial" w:hAnsi="Arial"/>
          <w:sz w:val="18"/>
          <w:szCs w:val="18"/>
          <w:color w:val="auto"/>
        </w:rPr>
        <w:t>Level 2 inputs which are defined as inputs other than quoted prices included within Level 1 that are observable for the assets or liabilities, either directly or indirectly.</w:t>
      </w:r>
    </w:p>
    <w:p>
      <w:pPr>
        <w:spacing w:after="0" w:line="69" w:lineRule="exact"/>
        <w:rPr>
          <w:sz w:val="20"/>
          <w:szCs w:val="20"/>
          <w:color w:val="auto"/>
        </w:rPr>
      </w:pPr>
    </w:p>
    <w:p>
      <w:pPr>
        <w:jc w:val="both"/>
        <w:ind w:left="320" w:right="639" w:firstLine="267"/>
        <w:spacing w:after="0" w:line="275" w:lineRule="auto"/>
        <w:rPr>
          <w:sz w:val="20"/>
          <w:szCs w:val="20"/>
          <w:color w:val="auto"/>
        </w:rPr>
      </w:pPr>
      <w:r>
        <w:rPr>
          <w:rFonts w:ascii="Arial" w:cs="Arial" w:eastAsia="Arial" w:hAnsi="Arial"/>
          <w:sz w:val="17"/>
          <w:szCs w:val="17"/>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6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Company determined the fair value of the embedded derivative liability to be level 3 inputs. These inputs require material subjectivity because value is derived through the use of probability weighted discounted cash flows. As further discussed in Note 5, the Company has determined that the probability of the holder exercising its options is remote and that any value allocated the embedded derivative at December 31, 2011 would be trivial.</w:t>
      </w:r>
    </w:p>
    <w:p>
      <w:pPr>
        <w:spacing w:after="0" w:line="200" w:lineRule="exact"/>
        <w:rPr>
          <w:sz w:val="20"/>
          <w:szCs w:val="20"/>
          <w:color w:val="auto"/>
        </w:rPr>
      </w:pPr>
    </w:p>
    <w:p>
      <w:pPr>
        <w:spacing w:after="0" w:line="33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5" w:name="page236"/>
    <w:bookmarkEnd w:id="2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Due to the Company being in its development stage, it is not practical to value our notes payable at December 31, 2011. The carrying amounts of cash and cash equivalents, accounts payable and accrued liabilities approximate fair value due to the short term maturity of the instruments.</w:t>
      </w:r>
    </w:p>
    <w:p>
      <w:pPr>
        <w:spacing w:after="0" w:line="7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are determined using the asset and liability method.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8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A valuation allowance is recorded when it is more likely than not that some portion or all of the deferred tax assets will not be realized.</w:t>
      </w:r>
    </w:p>
    <w:p>
      <w:pPr>
        <w:spacing w:after="0" w:line="69"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83" w:lineRule="exact"/>
        <w:rPr>
          <w:sz w:val="20"/>
          <w:szCs w:val="20"/>
          <w:color w:val="auto"/>
        </w:rPr>
      </w:pPr>
    </w:p>
    <w:p>
      <w:pPr>
        <w:jc w:val="both"/>
        <w:ind w:left="40" w:right="639" w:firstLine="267"/>
        <w:spacing w:after="0" w:line="288"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loss per share is based on the weighted number of common shares issued and outstanding,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year ended December 31, 2011 the Company incurred net losses and therefore no common stock equivalents were utilized in the calculation of earnings per share.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2011, the Company excluded the following potentially dilutive securities:</w:t>
      </w:r>
    </w:p>
    <w:p>
      <w:pPr>
        <w:spacing w:after="0" w:line="114" w:lineRule="exact"/>
        <w:rPr>
          <w:sz w:val="20"/>
          <w:szCs w:val="20"/>
          <w:color w:val="auto"/>
        </w:rPr>
      </w:pPr>
    </w:p>
    <w:p>
      <w:pPr>
        <w:ind w:left="600" w:hanging="328"/>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Series A Preferred Stock convertible into 6,968,000 shares of common stock.</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Warrants to purchase 250,000 shares of common stock.</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Options to purchase 13,646 shares of common stock.</w:t>
      </w:r>
    </w:p>
    <w:p>
      <w:pPr>
        <w:spacing w:after="0" w:line="113" w:lineRule="exact"/>
        <w:rPr>
          <w:rFonts w:ascii="Arial" w:cs="Arial" w:eastAsia="Arial" w:hAnsi="Arial"/>
          <w:sz w:val="18"/>
          <w:szCs w:val="18"/>
          <w:color w:val="auto"/>
        </w:rPr>
      </w:pPr>
    </w:p>
    <w:p>
      <w:pPr>
        <w:ind w:left="600" w:hanging="328"/>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1,237,270 shares of common stock granted but not vested.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us prospectively beginning January 1, 2012. We expect the adoption of this new guidance will result in an increase of certain of our financial statement disclosures, but the adoption will not have any impact on our financial position or results of operations.</w:t>
      </w:r>
    </w:p>
    <w:p>
      <w:pPr>
        <w:spacing w:after="0" w:line="200" w:lineRule="exact"/>
        <w:rPr>
          <w:sz w:val="20"/>
          <w:szCs w:val="20"/>
          <w:color w:val="auto"/>
        </w:rPr>
      </w:pPr>
    </w:p>
    <w:p>
      <w:pPr>
        <w:spacing w:after="0" w:line="32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6" w:name="page237"/>
    <w:bookmarkEnd w:id="23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019" w:firstLine="2344"/>
        <w:spacing w:after="0" w:line="412" w:lineRule="auto"/>
        <w:rPr>
          <w:sz w:val="20"/>
          <w:szCs w:val="20"/>
          <w:color w:val="auto"/>
        </w:rPr>
      </w:pPr>
      <w:r>
        <w:rPr>
          <w:rFonts w:ascii="Arial" w:cs="Arial" w:eastAsia="Arial" w:hAnsi="Arial"/>
          <w:sz w:val="17"/>
          <w:szCs w:val="17"/>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7"/>
          <w:szCs w:val="17"/>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We currently do not have any components of other comprehensive income within our consolidated financial statements thus adoption of this new guidance does not impact us.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Liquidity and Capital Resources, Going Concern</w:t>
      </w:r>
    </w:p>
    <w:p>
      <w:pPr>
        <w:spacing w:after="0" w:line="118" w:lineRule="exact"/>
        <w:rPr>
          <w:sz w:val="20"/>
          <w:szCs w:val="20"/>
          <w:color w:val="auto"/>
        </w:rPr>
      </w:pPr>
    </w:p>
    <w:p>
      <w:pPr>
        <w:jc w:val="both"/>
        <w:ind w:left="60" w:right="639" w:firstLine="267"/>
        <w:spacing w:after="0" w:line="270" w:lineRule="auto"/>
        <w:rPr>
          <w:sz w:val="20"/>
          <w:szCs w:val="20"/>
          <w:color w:val="auto"/>
        </w:rPr>
      </w:pPr>
      <w:r>
        <w:rPr>
          <w:rFonts w:ascii="Arial" w:cs="Arial" w:eastAsia="Arial" w:hAnsi="Arial"/>
          <w:sz w:val="18"/>
          <w:szCs w:val="18"/>
          <w:color w:val="auto"/>
        </w:rPr>
        <w:t>As a development stage company, the Company requires significant amounts of capital to support its operations during the period prior to the commencement of a revenue stream or other liquidity events.</w:t>
      </w:r>
    </w:p>
    <w:p>
      <w:pPr>
        <w:spacing w:after="0" w:line="69" w:lineRule="exact"/>
        <w:rPr>
          <w:sz w:val="20"/>
          <w:szCs w:val="20"/>
          <w:color w:val="auto"/>
        </w:rPr>
      </w:pPr>
    </w:p>
    <w:p>
      <w:pPr>
        <w:jc w:val="both"/>
        <w:ind w:left="60" w:right="619" w:firstLine="267"/>
        <w:spacing w:after="0" w:line="272" w:lineRule="auto"/>
        <w:rPr>
          <w:sz w:val="20"/>
          <w:szCs w:val="20"/>
          <w:color w:val="auto"/>
        </w:rPr>
      </w:pPr>
      <w:r>
        <w:rPr>
          <w:rFonts w:ascii="Arial" w:cs="Arial" w:eastAsia="Arial" w:hAnsi="Arial"/>
          <w:sz w:val="17"/>
          <w:szCs w:val="17"/>
          <w:color w:val="auto"/>
        </w:rPr>
        <w:t>As of December 31, 2011 the Company had cash of $5,212,142 and working capital of $2,789,563. During the period from inception through December 31, 2011,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twelve (12) months.</w:t>
      </w:r>
    </w:p>
    <w:p>
      <w:pPr>
        <w:spacing w:after="0" w:line="68" w:lineRule="exact"/>
        <w:rPr>
          <w:sz w:val="20"/>
          <w:szCs w:val="20"/>
          <w:color w:val="auto"/>
        </w:rPr>
      </w:pPr>
    </w:p>
    <w:p>
      <w:pPr>
        <w:jc w:val="both"/>
        <w:ind w:left="60" w:right="619" w:firstLine="267"/>
        <w:spacing w:after="0" w:line="253" w:lineRule="auto"/>
        <w:rPr>
          <w:sz w:val="20"/>
          <w:szCs w:val="20"/>
          <w:color w:val="auto"/>
        </w:rPr>
      </w:pPr>
      <w:r>
        <w:rPr>
          <w:rFonts w:ascii="Arial" w:cs="Arial" w:eastAsia="Arial" w:hAnsi="Arial"/>
          <w:sz w:val="18"/>
          <w:szCs w:val="18"/>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5" w:lineRule="exact"/>
        <w:rPr>
          <w:sz w:val="20"/>
          <w:szCs w:val="20"/>
          <w:color w:val="auto"/>
        </w:rPr>
      </w:pPr>
    </w:p>
    <w:p>
      <w:pPr>
        <w:jc w:val="both"/>
        <w:ind w:left="60" w:right="639" w:firstLine="267"/>
        <w:spacing w:after="0" w:line="255" w:lineRule="auto"/>
        <w:rPr>
          <w:sz w:val="20"/>
          <w:szCs w:val="20"/>
          <w:color w:val="auto"/>
        </w:rPr>
      </w:pPr>
      <w:r>
        <w:rPr>
          <w:rFonts w:ascii="Arial" w:cs="Arial" w:eastAsia="Arial" w:hAnsi="Arial"/>
          <w:sz w:val="18"/>
          <w:szCs w:val="18"/>
          <w:color w:val="auto"/>
        </w:rPr>
        <w:t>For the period from inception through December 31, 2011, the Company used $4,933,083 of net cash to fund operating activities and to invest in tangible personal and intangible intellectual property. During the period, the Company borrowed $3,200,000 through the issuance of a promissory note and raised $5,145,225 and $1,800,000 through common and preferred stock issuances, respectively.</w:t>
      </w:r>
    </w:p>
    <w:p>
      <w:pPr>
        <w:spacing w:after="0" w:line="83" w:lineRule="exact"/>
        <w:rPr>
          <w:sz w:val="20"/>
          <w:szCs w:val="20"/>
          <w:color w:val="auto"/>
        </w:rPr>
      </w:pPr>
    </w:p>
    <w:p>
      <w:pPr>
        <w:jc w:val="both"/>
        <w:ind w:left="60" w:right="639" w:firstLine="267"/>
        <w:spacing w:after="0" w:line="272" w:lineRule="auto"/>
        <w:rPr>
          <w:sz w:val="20"/>
          <w:szCs w:val="20"/>
          <w:color w:val="auto"/>
        </w:rPr>
      </w:pPr>
      <w:r>
        <w:rPr>
          <w:rFonts w:ascii="Arial" w:cs="Arial" w:eastAsia="Arial" w:hAnsi="Arial"/>
          <w:sz w:val="17"/>
          <w:szCs w:val="17"/>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60" w:type="dxa"/>
            <w:vAlign w:val="bottom"/>
          </w:tcPr>
          <w:p>
            <w:pPr>
              <w:ind w:left="60"/>
              <w:spacing w:after="0"/>
              <w:rPr>
                <w:sz w:val="20"/>
                <w:szCs w:val="20"/>
                <w:color w:val="auto"/>
              </w:rPr>
            </w:pPr>
            <w:r>
              <w:rPr>
                <w:rFonts w:ascii="Arial" w:cs="Arial" w:eastAsia="Arial" w:hAnsi="Arial"/>
                <w:sz w:val="18"/>
                <w:szCs w:val="18"/>
                <w:b w:val="1"/>
                <w:bCs w:val="1"/>
                <w:color w:val="auto"/>
              </w:rPr>
              <w:t>Note 3. Property and Equipment</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08"/>
        </w:trPr>
        <w:tc>
          <w:tcPr>
            <w:tcW w:w="6560" w:type="dxa"/>
            <w:vAlign w:val="bottom"/>
          </w:tcPr>
          <w:p>
            <w:pPr>
              <w:ind w:left="340"/>
              <w:spacing w:after="0"/>
              <w:rPr>
                <w:sz w:val="20"/>
                <w:szCs w:val="20"/>
                <w:color w:val="auto"/>
              </w:rPr>
            </w:pPr>
            <w:r>
              <w:rPr>
                <w:rFonts w:ascii="Arial" w:cs="Arial" w:eastAsia="Arial" w:hAnsi="Arial"/>
                <w:sz w:val="18"/>
                <w:szCs w:val="18"/>
                <w:color w:val="auto"/>
              </w:rPr>
              <w:t>Property and equipment consisted of the following as of December 31, 2011:</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7"/>
        </w:trPr>
        <w:tc>
          <w:tcPr>
            <w:tcW w:w="65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8,688</w:t>
            </w:r>
          </w:p>
        </w:tc>
        <w:tc>
          <w:tcPr>
            <w:tcW w:w="160" w:type="dxa"/>
            <w:vAlign w:val="bottom"/>
          </w:tcPr>
          <w:p>
            <w:pPr>
              <w:spacing w:after="0"/>
              <w:rPr>
                <w:sz w:val="19"/>
                <w:szCs w:val="19"/>
                <w:color w:val="auto"/>
              </w:rPr>
            </w:pPr>
          </w:p>
        </w:tc>
      </w:tr>
      <w:tr>
        <w:trPr>
          <w:trHeight w:val="215"/>
        </w:trPr>
        <w:tc>
          <w:tcPr>
            <w:tcW w:w="6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(682)</w:t>
            </w:r>
          </w:p>
        </w:tc>
      </w:tr>
      <w:tr>
        <w:trPr>
          <w:trHeight w:val="207"/>
        </w:trPr>
        <w:tc>
          <w:tcPr>
            <w:tcW w:w="6560" w:type="dxa"/>
            <w:vAlign w:val="bottom"/>
            <w:tcBorders>
              <w:top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160" w:type="dxa"/>
            <w:vAlign w:val="bottom"/>
            <w:tcBorders>
              <w:top w:val="single" w:sz="8" w:color="CCFFCC"/>
            </w:tcBorders>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-525780</wp:posOffset>
            </wp:positionV>
            <wp:extent cx="470154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are being depreciated over their expected useful lives.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37" w:name="page238"/>
    <w:bookmarkEnd w:id="23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80" w:type="dxa"/>
            <w:vAlign w:val="bottom"/>
          </w:tcPr>
          <w:p>
            <w:pPr>
              <w:ind w:left="60"/>
              <w:spacing w:after="0"/>
              <w:rPr>
                <w:sz w:val="20"/>
                <w:szCs w:val="20"/>
                <w:color w:val="auto"/>
              </w:rPr>
            </w:pPr>
            <w:r>
              <w:rPr>
                <w:rFonts w:ascii="Arial" w:cs="Arial" w:eastAsia="Arial" w:hAnsi="Arial"/>
                <w:sz w:val="18"/>
                <w:szCs w:val="18"/>
                <w:b w:val="1"/>
                <w:bCs w:val="1"/>
                <w:color w:val="auto"/>
              </w:rPr>
              <w:t>Note 4. Intangible Assets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8"/>
        </w:trPr>
        <w:tc>
          <w:tcPr>
            <w:tcW w:w="6480" w:type="dxa"/>
            <w:vAlign w:val="bottom"/>
          </w:tcPr>
          <w:p>
            <w:pPr>
              <w:ind w:left="340"/>
              <w:spacing w:after="0"/>
              <w:rPr>
                <w:sz w:val="20"/>
                <w:szCs w:val="20"/>
                <w:color w:val="auto"/>
              </w:rPr>
            </w:pPr>
            <w:r>
              <w:rPr>
                <w:rFonts w:ascii="Arial" w:cs="Arial" w:eastAsia="Arial" w:hAnsi="Arial"/>
                <w:sz w:val="18"/>
                <w:szCs w:val="18"/>
                <w:color w:val="auto"/>
              </w:rPr>
              <w:t>Intangible assets consisted of the following as of December 31, 2011: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Patents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$3,395,188</w:t>
            </w:r>
          </w:p>
        </w:tc>
        <w:tc>
          <w:tcPr>
            <w:tcW w:w="120" w:type="dxa"/>
            <w:vAlign w:val="bottom"/>
          </w:tcPr>
          <w:p>
            <w:pPr>
              <w:spacing w:after="0"/>
              <w:rPr>
                <w:sz w:val="19"/>
                <w:szCs w:val="19"/>
                <w:color w:val="auto"/>
              </w:rPr>
            </w:pPr>
          </w:p>
        </w:tc>
      </w:tr>
      <w:tr>
        <w:trPr>
          <w:trHeight w:val="215"/>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amortization</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(327,596)</w:t>
            </w:r>
          </w:p>
        </w:tc>
      </w:tr>
      <w:tr>
        <w:trPr>
          <w:trHeight w:val="207"/>
        </w:trPr>
        <w:tc>
          <w:tcPr>
            <w:tcW w:w="6480" w:type="dxa"/>
            <w:vAlign w:val="bottom"/>
            <w:tcBorders>
              <w:top w:val="single" w:sz="8" w:color="CCFFCC"/>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3,067,592</w:t>
            </w:r>
          </w:p>
        </w:tc>
        <w:tc>
          <w:tcPr>
            <w:tcW w:w="120" w:type="dxa"/>
            <w:vAlign w:val="bottom"/>
            <w:tcBorders>
              <w:top w:val="single" w:sz="8" w:color="CCFFCC"/>
            </w:tcBorders>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4701540" cy="1784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701540" cy="178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-525780</wp:posOffset>
            </wp:positionV>
            <wp:extent cx="465963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659630" cy="8255"/>
                    </a:xfrm>
                    <a:prstGeom prst="rect">
                      <a:avLst/>
                    </a:prstGeom>
                    <a:noFill/>
                  </pic:spPr>
                </pic:pic>
              </a:graphicData>
            </a:graphic>
          </wp:anchor>
        </w:drawing>
      </w:r>
    </w:p>
    <w:p>
      <w:pPr>
        <w:spacing w:after="0" w:line="73" w:lineRule="exact"/>
        <w:rPr>
          <w:sz w:val="20"/>
          <w:szCs w:val="20"/>
          <w:color w:val="auto"/>
        </w:rPr>
      </w:pPr>
    </w:p>
    <w:p>
      <w:pPr>
        <w:jc w:val="both"/>
        <w:ind w:left="60" w:right="619" w:firstLine="267"/>
        <w:spacing w:after="0" w:line="259" w:lineRule="auto"/>
        <w:rPr>
          <w:sz w:val="20"/>
          <w:szCs w:val="20"/>
          <w:color w:val="auto"/>
        </w:rPr>
      </w:pPr>
      <w:r>
        <w:rPr>
          <w:rFonts w:ascii="Arial" w:cs="Arial" w:eastAsia="Arial" w:hAnsi="Arial"/>
          <w:sz w:val="18"/>
          <w:szCs w:val="18"/>
          <w:color w:val="auto"/>
        </w:rPr>
        <w:t>The gross carrying amount of patents is comprised of the original purchase price of $3,200,000 and $195,188 of associated patent acquisition costs. Patents are being amortized over their individual legal lives which expire between 2016 and 2021. The weighted average amortization period for these patents is five years and eleven months.</w:t>
      </w:r>
    </w:p>
    <w:p>
      <w:pPr>
        <w:spacing w:after="0" w:line="78" w:lineRule="exact"/>
        <w:rPr>
          <w:sz w:val="20"/>
          <w:szCs w:val="20"/>
          <w:color w:val="auto"/>
        </w:rPr>
      </w:pPr>
    </w:p>
    <w:p>
      <w:pPr>
        <w:jc w:val="both"/>
        <w:ind w:left="60" w:right="639" w:firstLine="267"/>
        <w:spacing w:after="0" w:line="266" w:lineRule="auto"/>
        <w:rPr>
          <w:sz w:val="20"/>
          <w:szCs w:val="20"/>
          <w:color w:val="auto"/>
        </w:rPr>
      </w:pPr>
      <w:r>
        <w:rPr>
          <w:rFonts w:ascii="Arial" w:cs="Arial" w:eastAsia="Arial" w:hAnsi="Arial"/>
          <w:sz w:val="18"/>
          <w:szCs w:val="18"/>
          <w:color w:val="auto"/>
        </w:rPr>
        <w:t>Estimated amortization expense for each of the five succeeding years based upon intangible assets owned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7015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Amount</w:t>
            </w:r>
          </w:p>
        </w:tc>
      </w:tr>
      <w:tr>
        <w:trPr>
          <w:trHeight w:val="207"/>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2012</w:t>
            </w:r>
          </w:p>
        </w:tc>
        <w:tc>
          <w:tcPr>
            <w:tcW w:w="10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  622,775</w:t>
            </w: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color w:val="auto"/>
              </w:rPr>
              <w:t>December 31, 2013</w:t>
            </w:r>
          </w:p>
        </w:tc>
        <w:tc>
          <w:tcPr>
            <w:tcW w:w="1020" w:type="dxa"/>
            <w:vAlign w:val="bottom"/>
            <w:gridSpan w:val="2"/>
          </w:tcPr>
          <w:p>
            <w:pPr>
              <w:jc w:val="right"/>
              <w:ind w:right="9"/>
              <w:spacing w:after="0"/>
              <w:rPr>
                <w:sz w:val="20"/>
                <w:szCs w:val="20"/>
                <w:color w:val="auto"/>
              </w:rPr>
            </w:pPr>
            <w:r>
              <w:rPr>
                <w:rFonts w:ascii="Arial" w:cs="Arial" w:eastAsia="Arial" w:hAnsi="Arial"/>
                <w:sz w:val="18"/>
                <w:szCs w:val="18"/>
                <w:color w:val="auto"/>
              </w:rPr>
              <w:t>622,775</w:t>
            </w: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2014</w:t>
            </w:r>
          </w:p>
        </w:tc>
        <w:tc>
          <w:tcPr>
            <w:tcW w:w="10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622,775</w:t>
            </w:r>
          </w:p>
        </w:tc>
      </w:tr>
      <w:tr>
        <w:trPr>
          <w:trHeight w:val="214"/>
        </w:trPr>
        <w:tc>
          <w:tcPr>
            <w:tcW w:w="640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1020" w:type="dxa"/>
            <w:vAlign w:val="bottom"/>
            <w:gridSpan w:val="2"/>
          </w:tcPr>
          <w:p>
            <w:pPr>
              <w:jc w:val="right"/>
              <w:ind w:right="9"/>
              <w:spacing w:after="0"/>
              <w:rPr>
                <w:sz w:val="20"/>
                <w:szCs w:val="20"/>
                <w:color w:val="auto"/>
              </w:rPr>
            </w:pPr>
            <w:r>
              <w:rPr>
                <w:rFonts w:ascii="Arial" w:cs="Arial" w:eastAsia="Arial" w:hAnsi="Arial"/>
                <w:sz w:val="18"/>
                <w:szCs w:val="18"/>
                <w:color w:val="auto"/>
              </w:rPr>
              <w:t>622,775</w:t>
            </w:r>
          </w:p>
        </w:tc>
      </w:tr>
      <w:tr>
        <w:trPr>
          <w:trHeight w:val="214"/>
        </w:trPr>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2016 and thereafter</w:t>
            </w:r>
          </w:p>
        </w:tc>
        <w:tc>
          <w:tcPr>
            <w:tcW w:w="102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576,492</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Note Payable — Related Party</w:t>
      </w:r>
    </w:p>
    <w:p>
      <w:pPr>
        <w:spacing w:after="0" w:line="118" w:lineRule="exact"/>
        <w:rPr>
          <w:sz w:val="20"/>
          <w:szCs w:val="20"/>
          <w:color w:val="auto"/>
        </w:rPr>
      </w:pPr>
    </w:p>
    <w:p>
      <w:pPr>
        <w:jc w:val="both"/>
        <w:ind w:left="60" w:right="619" w:firstLine="267"/>
        <w:spacing w:after="0" w:line="252" w:lineRule="auto"/>
        <w:rPr>
          <w:sz w:val="20"/>
          <w:szCs w:val="20"/>
          <w:color w:val="auto"/>
        </w:rPr>
      </w:pPr>
      <w:r>
        <w:rPr>
          <w:rFonts w:ascii="Arial" w:cs="Arial" w:eastAsia="Arial" w:hAnsi="Arial"/>
          <w:sz w:val="18"/>
          <w:szCs w:val="18"/>
          <w:color w:val="auto"/>
        </w:rPr>
        <w:t>The Company is obligated under a note payable to Hudson Bay Master Fund Ltd. (“Hudson Bay”) with an outstanding balance of $3,200,000 at December 31, 2011 (the “Hudson Bay Note”).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6" w:lineRule="exact"/>
        <w:rPr>
          <w:sz w:val="20"/>
          <w:szCs w:val="20"/>
          <w:color w:val="auto"/>
        </w:rPr>
      </w:pPr>
    </w:p>
    <w:p>
      <w:pPr>
        <w:jc w:val="both"/>
        <w:ind w:left="60" w:right="619" w:firstLine="267"/>
        <w:spacing w:after="0" w:line="268" w:lineRule="auto"/>
        <w:rPr>
          <w:sz w:val="20"/>
          <w:szCs w:val="20"/>
          <w:color w:val="auto"/>
        </w:rPr>
      </w:pPr>
      <w:r>
        <w:rPr>
          <w:rFonts w:ascii="Arial" w:cs="Arial" w:eastAsia="Arial" w:hAnsi="Arial"/>
          <w:sz w:val="17"/>
          <w:szCs w:val="17"/>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there were no known conditions of default.</w:t>
      </w:r>
    </w:p>
    <w:p>
      <w:pPr>
        <w:spacing w:after="0" w:line="114" w:lineRule="exact"/>
        <w:rPr>
          <w:sz w:val="20"/>
          <w:szCs w:val="20"/>
          <w:color w:val="auto"/>
        </w:rPr>
      </w:pPr>
    </w:p>
    <w:p>
      <w:pPr>
        <w:jc w:val="both"/>
        <w:ind w:left="60" w:right="619" w:firstLine="267"/>
        <w:spacing w:after="0" w:line="275"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66" w:lineRule="exact"/>
        <w:rPr>
          <w:sz w:val="20"/>
          <w:szCs w:val="20"/>
          <w:color w:val="auto"/>
        </w:rPr>
      </w:pPr>
    </w:p>
    <w:p>
      <w:pPr>
        <w:jc w:val="both"/>
        <w:ind w:left="60" w:right="619" w:firstLine="267"/>
        <w:spacing w:after="0" w:line="270" w:lineRule="auto"/>
        <w:rPr>
          <w:sz w:val="20"/>
          <w:szCs w:val="20"/>
          <w:color w:val="auto"/>
        </w:rPr>
      </w:pPr>
      <w:r>
        <w:rPr>
          <w:rFonts w:ascii="Arial" w:cs="Arial" w:eastAsia="Arial" w:hAnsi="Arial"/>
          <w:sz w:val="18"/>
          <w:szCs w:val="18"/>
          <w:color w:val="auto"/>
        </w:rPr>
        <w:t>The Company will evaluate the fair value of the derivative each reporting period and report changes in the fair value as other income (expense), net.</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238" w:name="page239"/>
    <w:bookmarkEnd w:id="2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40" w:right="3019"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6. Series A Convertible Preferred Stock</w:t>
      </w:r>
    </w:p>
    <w:p>
      <w:pPr>
        <w:spacing w:after="0" w:line="1"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The Company is authorized to issue up to 10,000,000 shares of preferred stock, par value $0.0001, of which 6,968 shares of preferred stick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(including, without limitation, an event of default or change of control) at a redemption price, pursuant to a formula, of up to 125% of the stated value of $1,000 per share, subject to adjustment.</w:t>
      </w:r>
    </w:p>
    <w:p>
      <w:pPr>
        <w:spacing w:after="0" w:line="73"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Series A Preferred Stock is classified as mezzanine because certain Triggering Events may occur outside the control of the Company.</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Warrants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August 30, 2011, the Company issued 250,000 warrants to Hudson Bay. Each warrant entitles Hudson Bay to purchase one</w:t>
      </w:r>
    </w:p>
    <w:p>
      <w:pPr>
        <w:spacing w:after="0" w:line="43" w:lineRule="exact"/>
        <w:rPr>
          <w:sz w:val="20"/>
          <w:szCs w:val="20"/>
          <w:color w:val="auto"/>
        </w:rPr>
      </w:pPr>
    </w:p>
    <w:p>
      <w:pPr>
        <w:jc w:val="both"/>
        <w:ind w:left="40" w:right="619" w:firstLine="5"/>
        <w:spacing w:after="0" w:line="251" w:lineRule="auto"/>
        <w:tabs>
          <w:tab w:leader="none" w:pos="30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share of common stock in the Company at a price of $1. The warrants expire sixty (60) months after the issue date, and are subject to adjustment for certain corporate events under the terms and conditions contained in the Warrant Agreement between the Company and Hudson Bay dated August 30, 2011.</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Stock-Based Compensation</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June 2011, the Company sold 2,115,625 shares of common stock to an executive officer at par value. The excess of the fair value of the shares sold over the purchase price of the shares at the time of purchase is treated as compensation and is recognized at such times as the shares vest to the benefit of the executive officer. 1,178,125 shares vested immediately upon grant and 937,500 shares vest over a three (3) year period.</w:t>
      </w:r>
    </w:p>
    <w:p>
      <w:pPr>
        <w:spacing w:after="0" w:line="83"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In June 2011, the Company sold 125,000 shares of common stock to a consultant at par value. The excess of the fair value of the shares sold over the purchase price of the shares is treated as compensation and is recognized at such times as the shares vest to the benefit of the consultant. 62,500 shares vested immediately upon purchase and 62,500 shares vest over a three (3) year period. Compensation related to unvested shares will be recognized in the period the shares vest and will be calculated using the fair value of the common stock at that time.</w:t>
      </w:r>
    </w:p>
    <w:p>
      <w:pPr>
        <w:spacing w:after="0" w:line="8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August 2011, the Company granted 625,000 shares of common stock to an executive officer of the Company at no cost. The fair value of these shares at the time of grant is treated as compensation and is recognized at such times as the shares vest over an eighteen (18) month period.</w:t>
      </w:r>
    </w:p>
    <w:p>
      <w:pPr>
        <w:spacing w:after="0" w:line="7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December 31, 2011, 946,354 shares are available for future grant.</w:t>
      </w:r>
    </w:p>
    <w:p>
      <w:pPr>
        <w:spacing w:after="0" w:line="52"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November 2011, pursuant to the Plan, the Company granted 40,000 shares of common stock to an independent director of the Company at no cost. The fair value of these shares at the time of grant is treated as compensation and is recognized at such times as the shares vest over an eighteen (18) month period.</w:t>
      </w:r>
    </w:p>
    <w:p>
      <w:pPr>
        <w:spacing w:after="0" w:line="200" w:lineRule="exact"/>
        <w:rPr>
          <w:sz w:val="20"/>
          <w:szCs w:val="20"/>
          <w:color w:val="auto"/>
        </w:rPr>
      </w:pPr>
    </w:p>
    <w:p>
      <w:pPr>
        <w:spacing w:after="0" w:line="3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39" w:name="page240"/>
    <w:bookmarkEnd w:id="23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60" w:right="3260" w:firstLine="2344"/>
        <w:spacing w:after="0" w:line="389" w:lineRule="auto"/>
        <w:rPr>
          <w:sz w:val="20"/>
          <w:szCs w:val="20"/>
          <w:color w:val="auto"/>
        </w:rPr>
      </w:pPr>
      <w:r>
        <w:rPr>
          <w:rFonts w:ascii="Arial" w:cs="Arial" w:eastAsia="Arial" w:hAnsi="Arial"/>
          <w:sz w:val="18"/>
          <w:szCs w:val="18"/>
          <w:b w:val="1"/>
          <w:bCs w:val="1"/>
          <w:color w:val="auto"/>
        </w:rPr>
        <w:t>NOTES TO CONSOLIDATED FINANCIAL STATEMENTS Note 8. Stock-Based Compensation – (continued)</w:t>
      </w:r>
    </w:p>
    <w:p>
      <w:pPr>
        <w:spacing w:after="0" w:line="1" w:lineRule="exact"/>
        <w:rPr>
          <w:sz w:val="20"/>
          <w:szCs w:val="20"/>
          <w:color w:val="auto"/>
        </w:rPr>
      </w:pPr>
    </w:p>
    <w:p>
      <w:pPr>
        <w:jc w:val="both"/>
        <w:ind w:left="60" w:right="860" w:firstLine="267"/>
        <w:spacing w:after="0" w:line="306" w:lineRule="auto"/>
        <w:rPr>
          <w:sz w:val="20"/>
          <w:szCs w:val="20"/>
          <w:color w:val="auto"/>
        </w:rPr>
      </w:pPr>
      <w:r>
        <w:rPr>
          <w:rFonts w:ascii="Arial" w:cs="Arial" w:eastAsia="Arial" w:hAnsi="Arial"/>
          <w:sz w:val="16"/>
          <w:szCs w:val="16"/>
          <w:color w:val="auto"/>
        </w:rPr>
        <w:t>In November 2011, pursuant to the Plan, the Company issued stock options to an independent director of the Company at no cost. The options became fully vested and exercisable at the date of grant. The options allows the director to purchase up to 13,646 shares of common stock at an exercise price of $3.00 per share at any time prior to expiration of the options on November 6, 2016.</w:t>
      </w:r>
    </w:p>
    <w:p>
      <w:pPr>
        <w:spacing w:after="0" w:line="45" w:lineRule="exact"/>
        <w:rPr>
          <w:sz w:val="20"/>
          <w:szCs w:val="20"/>
          <w:color w:val="auto"/>
        </w:rPr>
      </w:pPr>
    </w:p>
    <w:p>
      <w:pPr>
        <w:jc w:val="both"/>
        <w:ind w:left="60" w:right="880" w:firstLine="267"/>
        <w:spacing w:after="0" w:line="270" w:lineRule="auto"/>
        <w:rPr>
          <w:sz w:val="20"/>
          <w:szCs w:val="20"/>
          <w:color w:val="auto"/>
        </w:rPr>
      </w:pPr>
      <w:r>
        <w:rPr>
          <w:rFonts w:ascii="Arial" w:cs="Arial" w:eastAsia="Arial" w:hAnsi="Arial"/>
          <w:sz w:val="18"/>
          <w:szCs w:val="18"/>
          <w:color w:val="auto"/>
        </w:rPr>
        <w:t>The table below illustrates the grants of common stock and the sales of common stock at less than fair value made during the period from inception through December 31 2011.</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600900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0090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Title</w:t>
            </w:r>
          </w:p>
        </w:tc>
        <w:tc>
          <w:tcPr>
            <w:tcW w:w="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40" w:type="dxa"/>
            <w:vAlign w:val="bottom"/>
          </w:tcPr>
          <w:p>
            <w:pPr>
              <w:spacing w:after="0"/>
              <w:rPr>
                <w:sz w:val="14"/>
                <w:szCs w:val="14"/>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 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rPr>
              <w:t>Total Value</w:t>
            </w:r>
          </w:p>
        </w:tc>
        <w:tc>
          <w:tcPr>
            <w:tcW w:w="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Paid</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Purchase or</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0"/>
              <w:spacing w:after="0" w:line="147" w:lineRule="exact"/>
              <w:rPr>
                <w:sz w:val="20"/>
                <w:szCs w:val="20"/>
                <w:color w:val="auto"/>
              </w:rPr>
            </w:pPr>
            <w:r>
              <w:rPr>
                <w:rFonts w:ascii="Arial" w:cs="Arial" w:eastAsia="Arial" w:hAnsi="Arial"/>
                <w:sz w:val="14"/>
                <w:szCs w:val="14"/>
                <w:b w:val="1"/>
                <w:bCs w:val="1"/>
                <w:color w:val="auto"/>
                <w:w w:val="97"/>
              </w:rPr>
              <w:t>at Grant,</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74"/>
              <w:spacing w:after="0" w:line="147" w:lineRule="exact"/>
              <w:rPr>
                <w:sz w:val="20"/>
                <w:szCs w:val="20"/>
                <w:color w:val="auto"/>
              </w:rPr>
            </w:pPr>
            <w:r>
              <w:rPr>
                <w:rFonts w:ascii="Arial" w:cs="Arial" w:eastAsia="Arial" w:hAnsi="Arial"/>
                <w:sz w:val="14"/>
                <w:szCs w:val="14"/>
                <w:b w:val="1"/>
                <w:bCs w:val="1"/>
                <w:color w:val="auto"/>
                <w:w w:val="92"/>
              </w:rPr>
              <w:t>for Shares</w:t>
            </w:r>
          </w:p>
        </w:tc>
        <w:tc>
          <w:tcPr>
            <w:tcW w:w="8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Stock 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Not Vested at</w:t>
            </w: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Vest Date</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Inception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12/31/11</w:t>
            </w: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12/31/11</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207"/>
        </w:trPr>
        <w:tc>
          <w:tcPr>
            <w:tcW w:w="12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Consultant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6/22/2011</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0.25832</w:t>
            </w: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4"/>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49,070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170,346*</w:t>
            </w:r>
          </w:p>
        </w:tc>
      </w:tr>
      <w:tr>
        <w:trPr>
          <w:trHeight w:val="214"/>
        </w:trPr>
        <w:tc>
          <w:tcPr>
            <w:tcW w:w="1240" w:type="dxa"/>
            <w:vAlign w:val="bottom"/>
            <w:gridSpan w:val="3"/>
          </w:tcPr>
          <w:p>
            <w:pPr>
              <w:ind w:left="20"/>
              <w:spacing w:after="0"/>
              <w:rPr>
                <w:sz w:val="20"/>
                <w:szCs w:val="20"/>
                <w:color w:val="auto"/>
              </w:rPr>
            </w:pPr>
            <w:r>
              <w:rPr>
                <w:rFonts w:ascii="Arial" w:cs="Arial" w:eastAsia="Arial" w:hAnsi="Arial"/>
                <w:sz w:val="18"/>
                <w:szCs w:val="18"/>
                <w:color w:val="auto"/>
              </w:rPr>
              <w:t>Exec. Officer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6/22/2011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2,115,625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0.25832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546,508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212</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546,296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346,329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199,955</w:t>
            </w:r>
          </w:p>
        </w:tc>
      </w:tr>
      <w:tr>
        <w:trPr>
          <w:trHeight w:val="214"/>
        </w:trPr>
        <w:tc>
          <w:tcPr>
            <w:tcW w:w="12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Exec. Officer</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8/10/2011</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0.25832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41,900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119,550</w:t>
            </w:r>
          </w:p>
        </w:tc>
      </w:tr>
      <w:tr>
        <w:trPr>
          <w:trHeight w:val="214"/>
        </w:trPr>
        <w:tc>
          <w:tcPr>
            <w:tcW w:w="12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11/07/2011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11,781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108,219</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449,080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598,070</w:t>
            </w:r>
          </w:p>
        </w:tc>
      </w:tr>
      <w:tr>
        <w:trPr>
          <w:trHeight w:val="267"/>
        </w:trPr>
        <w:tc>
          <w:tcPr>
            <w:tcW w:w="20" w:type="dxa"/>
            <w:vAlign w:val="bottom"/>
            <w:tcBorders>
              <w:top w:val="single" w:sz="8" w:color="CCFFCC"/>
            </w:tcBorders>
          </w:tcPr>
          <w:p>
            <w:pPr>
              <w:spacing w:after="0"/>
              <w:rPr>
                <w:sz w:val="23"/>
                <w:szCs w:val="23"/>
                <w:color w:val="auto"/>
              </w:rPr>
            </w:pPr>
          </w:p>
        </w:tc>
        <w:tc>
          <w:tcPr>
            <w:tcW w:w="960" w:type="dxa"/>
            <w:vAlign w:val="bottom"/>
            <w:tcBorders>
              <w:top w:val="single" w:sz="8" w:color="CCFFCC"/>
              <w:bottom w:val="single" w:sz="8" w:color="auto"/>
            </w:tcBorders>
          </w:tcPr>
          <w:p>
            <w:pPr>
              <w:spacing w:after="0"/>
              <w:rPr>
                <w:sz w:val="23"/>
                <w:szCs w:val="23"/>
                <w:color w:val="auto"/>
              </w:rPr>
            </w:pPr>
          </w:p>
        </w:tc>
        <w:tc>
          <w:tcPr>
            <w:tcW w:w="2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8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-219710</wp:posOffset>
            </wp:positionV>
            <wp:extent cx="6009005" cy="336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009005" cy="33655"/>
                    </a:xfrm>
                    <a:prstGeom prst="rect">
                      <a:avLst/>
                    </a:prstGeom>
                    <a:noFill/>
                  </pic:spPr>
                </pic:pic>
              </a:graphicData>
            </a:graphic>
          </wp:anchor>
        </w:drawing>
      </w:r>
    </w:p>
    <w:p>
      <w:pPr>
        <w:spacing w:after="0" w:line="233" w:lineRule="exact"/>
        <w:rPr>
          <w:sz w:val="20"/>
          <w:szCs w:val="20"/>
          <w:color w:val="auto"/>
        </w:rPr>
      </w:pPr>
    </w:p>
    <w:p>
      <w:pPr>
        <w:ind w:left="300" w:hanging="275"/>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the fair value of common stock of $3.30 per share, at December 31, 2011</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compensation of $598,070 will vest over approximately 2.5 years.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illustrates the common stock options granted during the period from inception through December 31 2011.</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516001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23"/>
              <w:spacing w:after="0"/>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FMV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Compensation</w:t>
            </w:r>
          </w:p>
        </w:tc>
      </w:tr>
      <w:tr>
        <w:trPr>
          <w:trHeight w:val="147"/>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3"/>
              <w:spacing w:after="0" w:line="147"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96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2"/>
              </w:rPr>
              <w:t>Option Value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Not Vested at</w:t>
            </w:r>
          </w:p>
        </w:tc>
      </w:tr>
      <w:tr>
        <w:trPr>
          <w:trHeight w:val="147"/>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Inception</w:t>
            </w:r>
          </w:p>
        </w:tc>
        <w:tc>
          <w:tcPr>
            <w:tcW w:w="900" w:type="dxa"/>
            <w:vAlign w:val="bottom"/>
            <w:gridSpan w:val="2"/>
          </w:tcPr>
          <w:p>
            <w:pPr>
              <w:jc w:val="center"/>
              <w:ind w:left="240"/>
              <w:spacing w:after="0" w:line="147" w:lineRule="exact"/>
              <w:rPr>
                <w:sz w:val="20"/>
                <w:szCs w:val="20"/>
                <w:color w:val="auto"/>
              </w:rPr>
            </w:pPr>
            <w:r>
              <w:rPr>
                <w:rFonts w:ascii="Arial" w:cs="Arial" w:eastAsia="Arial" w:hAnsi="Arial"/>
                <w:sz w:val="14"/>
                <w:szCs w:val="14"/>
                <w:b w:val="1"/>
                <w:bCs w:val="1"/>
                <w:color w:val="auto"/>
                <w:w w:val="91"/>
              </w:rPr>
              <w:t>12/31/11</w:t>
            </w:r>
          </w:p>
        </w:tc>
        <w:tc>
          <w:tcPr>
            <w:tcW w:w="220" w:type="dxa"/>
            <w:vAlign w:val="bottom"/>
          </w:tcPr>
          <w:p>
            <w:pPr>
              <w:spacing w:after="0"/>
              <w:rPr>
                <w:sz w:val="12"/>
                <w:szCs w:val="12"/>
                <w:color w:val="auto"/>
              </w:rPr>
            </w:pPr>
          </w:p>
        </w:tc>
      </w:tr>
      <w:tr>
        <w:trPr>
          <w:trHeight w:val="147"/>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0"/>
        </w:trPr>
        <w:tc>
          <w:tcPr>
            <w:tcW w:w="1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227"/>
        </w:trPr>
        <w:tc>
          <w:tcPr>
            <w:tcW w:w="1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w:t>
            </w:r>
          </w:p>
        </w:tc>
        <w:tc>
          <w:tcPr>
            <w:tcW w:w="9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2"/>
              </w:rPr>
              <w:t>11/6/2011</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13,646</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ind w:right="183"/>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FFCC"/>
          </w:tcPr>
          <w:p>
            <w:pPr>
              <w:jc w:val="right"/>
              <w:ind w:right="9"/>
              <w:spacing w:after="0"/>
              <w:rPr>
                <w:sz w:val="20"/>
                <w:szCs w:val="20"/>
                <w:color w:val="auto"/>
              </w:rPr>
            </w:pPr>
            <w:r>
              <w:rPr>
                <w:rFonts w:ascii="Arial" w:cs="Arial" w:eastAsia="Arial" w:hAnsi="Arial"/>
                <w:sz w:val="18"/>
                <w:szCs w:val="18"/>
                <w:color w:val="auto"/>
              </w:rPr>
              <w:t>$ 1.8341</w:t>
            </w:r>
          </w:p>
        </w:tc>
        <w:tc>
          <w:tcPr>
            <w:tcW w:w="300" w:type="dxa"/>
            <w:vAlign w:val="bottom"/>
            <w:gridSpan w:val="2"/>
            <w:shd w:val="clear" w:color="auto" w:fill="CCFFCC"/>
          </w:tcPr>
          <w:p>
            <w:pPr>
              <w:jc w:val="right"/>
              <w:ind w:right="4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25,028</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25,028</w:t>
            </w:r>
          </w:p>
        </w:tc>
        <w:tc>
          <w:tcPr>
            <w:tcW w:w="11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r>
      <w:tr>
        <w:trPr>
          <w:trHeight w:val="20"/>
        </w:trPr>
        <w:tc>
          <w:tcPr>
            <w:tcW w:w="1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5160010" cy="336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60010" cy="33655"/>
                    </a:xfrm>
                    <a:prstGeom prst="rect">
                      <a:avLst/>
                    </a:prstGeom>
                    <a:noFill/>
                  </pic:spPr>
                </pic:pic>
              </a:graphicData>
            </a:graphic>
          </wp:anchor>
        </w:drawing>
      </w:r>
    </w:p>
    <w:p>
      <w:pPr>
        <w:spacing w:after="0" w:line="73" w:lineRule="exact"/>
        <w:rPr>
          <w:sz w:val="20"/>
          <w:szCs w:val="20"/>
          <w:color w:val="auto"/>
        </w:rPr>
      </w:pPr>
    </w:p>
    <w:p>
      <w:pPr>
        <w:ind w:left="60" w:right="860" w:firstLine="267"/>
        <w:spacing w:after="0" w:line="255" w:lineRule="auto"/>
        <w:rPr>
          <w:sz w:val="20"/>
          <w:szCs w:val="20"/>
          <w:color w:val="auto"/>
        </w:rPr>
      </w:pPr>
      <w:r>
        <w:rPr>
          <w:rFonts w:ascii="Arial" w:cs="Arial" w:eastAsia="Arial" w:hAnsi="Arial"/>
          <w:sz w:val="18"/>
          <w:szCs w:val="18"/>
          <w:color w:val="auto"/>
        </w:rPr>
        <w:t>The fair value of options granted is estimated on the date of grant using the Black-Scholes option pricing model based on the assumptions in the table below for the years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470154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436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2920" w:type="dxa"/>
            <w:vAlign w:val="bottom"/>
          </w:tcPr>
          <w:p>
            <w:pPr>
              <w:spacing w:after="0"/>
              <w:rPr>
                <w:sz w:val="18"/>
                <w:szCs w:val="18"/>
                <w:color w:val="auto"/>
              </w:rPr>
            </w:pPr>
          </w:p>
        </w:tc>
      </w:tr>
      <w:tr>
        <w:trPr>
          <w:trHeight w:val="214"/>
        </w:trPr>
        <w:tc>
          <w:tcPr>
            <w:tcW w:w="30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Risk-free interest rate</w:t>
            </w:r>
          </w:p>
        </w:tc>
        <w:tc>
          <w:tcPr>
            <w:tcW w:w="4360" w:type="dxa"/>
            <w:vAlign w:val="bottom"/>
            <w:shd w:val="clear" w:color="auto" w:fill="CCFFCC"/>
          </w:tcPr>
          <w:p>
            <w:pPr>
              <w:jc w:val="right"/>
              <w:ind w:right="71"/>
              <w:spacing w:after="0"/>
              <w:rPr>
                <w:sz w:val="20"/>
                <w:szCs w:val="20"/>
                <w:color w:val="auto"/>
              </w:rPr>
            </w:pPr>
            <w:r>
              <w:rPr>
                <w:rFonts w:ascii="Arial" w:cs="Arial" w:eastAsia="Arial" w:hAnsi="Arial"/>
                <w:sz w:val="18"/>
                <w:szCs w:val="18"/>
                <w:color w:val="auto"/>
              </w:rPr>
              <w:t>0.88%</w:t>
            </w:r>
          </w:p>
        </w:tc>
        <w:tc>
          <w:tcPr>
            <w:tcW w:w="2920" w:type="dxa"/>
            <w:vAlign w:val="bottom"/>
          </w:tcPr>
          <w:p>
            <w:pPr>
              <w:spacing w:after="0"/>
              <w:rPr>
                <w:sz w:val="18"/>
                <w:szCs w:val="18"/>
                <w:color w:val="auto"/>
              </w:rPr>
            </w:pPr>
          </w:p>
        </w:tc>
      </w:tr>
      <w:tr>
        <w:trPr>
          <w:trHeight w:val="214"/>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436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2920" w:type="dxa"/>
            <w:vAlign w:val="bottom"/>
          </w:tcPr>
          <w:p>
            <w:pPr>
              <w:spacing w:after="0"/>
              <w:rPr>
                <w:sz w:val="18"/>
                <w:szCs w:val="18"/>
                <w:color w:val="auto"/>
              </w:rPr>
            </w:pPr>
          </w:p>
        </w:tc>
      </w:tr>
      <w:tr>
        <w:trPr>
          <w:trHeight w:val="214"/>
        </w:trPr>
        <w:tc>
          <w:tcPr>
            <w:tcW w:w="30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Dividend yield</w:t>
            </w:r>
          </w:p>
        </w:tc>
        <w:tc>
          <w:tcPr>
            <w:tcW w:w="4360" w:type="dxa"/>
            <w:vAlign w:val="bottom"/>
            <w:shd w:val="clear" w:color="auto" w:fill="CCFFCC"/>
          </w:tcPr>
          <w:p>
            <w:pPr>
              <w:jc w:val="right"/>
              <w:ind w:right="231"/>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r>
      <w:tr>
        <w:trPr>
          <w:trHeight w:val="760"/>
        </w:trPr>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60" w:type="dxa"/>
            <w:vAlign w:val="bottom"/>
          </w:tcPr>
          <w:p>
            <w:pPr>
              <w:jc w:val="right"/>
              <w:ind w:right="2551"/>
              <w:spacing w:after="0"/>
              <w:rPr>
                <w:sz w:val="20"/>
                <w:szCs w:val="20"/>
                <w:color w:val="auto"/>
              </w:rPr>
            </w:pPr>
            <w:r>
              <w:rPr>
                <w:rFonts w:ascii="Arial" w:cs="Arial" w:eastAsia="Arial" w:hAnsi="Arial"/>
                <w:sz w:val="18"/>
                <w:szCs w:val="18"/>
                <w:color w:val="auto"/>
              </w:rPr>
              <w:t>F-46</w:t>
            </w: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2220" w:type="dxa"/>
            <w:vAlign w:val="bottom"/>
            <w:tcBorders>
              <w:bottom w:val="single" w:sz="8" w:color="9A9A9A"/>
            </w:tcBorders>
          </w:tcPr>
          <w:p>
            <w:pPr>
              <w:spacing w:after="0"/>
              <w:rPr>
                <w:sz w:val="14"/>
                <w:szCs w:val="14"/>
                <w:color w:val="auto"/>
              </w:rPr>
            </w:pPr>
          </w:p>
        </w:tc>
        <w:tc>
          <w:tcPr>
            <w:tcW w:w="436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436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40" w:name="page241"/>
    <w:bookmarkEnd w:id="24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Income Taxes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differences between income tax computed using the statutory federal (35%) and state (10% net of federal deduction)</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rates and the income tax provision for the period from inception through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465963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6596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Arial" w:cs="Arial" w:eastAsia="Arial" w:hAnsi="Arial"/>
                <w:sz w:val="18"/>
                <w:szCs w:val="18"/>
                <w:color w:val="auto"/>
              </w:rPr>
              <w:t>Federal income tax benefit at statutory rate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(957,000)</w:t>
            </w:r>
          </w:p>
        </w:tc>
      </w:tr>
      <w:tr>
        <w:trPr>
          <w:trHeight w:val="214"/>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State tax benefit, net of federal income tax benefit</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(274,000)</w:t>
            </w:r>
          </w:p>
        </w:tc>
      </w:tr>
      <w:tr>
        <w:trPr>
          <w:trHeight w:val="214"/>
        </w:trPr>
        <w:tc>
          <w:tcPr>
            <w:tcW w:w="6480" w:type="dxa"/>
            <w:vAlign w:val="bottom"/>
          </w:tcPr>
          <w:p>
            <w:pPr>
              <w:ind w:left="20"/>
              <w:spacing w:after="0"/>
              <w:rPr>
                <w:sz w:val="20"/>
                <w:szCs w:val="20"/>
                <w:color w:val="auto"/>
              </w:rPr>
            </w:pPr>
            <w:r>
              <w:rPr>
                <w:rFonts w:ascii="Arial" w:cs="Arial" w:eastAsia="Arial" w:hAnsi="Arial"/>
                <w:sz w:val="18"/>
                <w:szCs w:val="18"/>
                <w:color w:val="auto"/>
              </w:rPr>
              <w:t>Increase in valuation allowance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1,231,000</w:t>
            </w:r>
          </w:p>
        </w:tc>
      </w:tr>
      <w:tr>
        <w:trPr>
          <w:trHeight w:val="20"/>
        </w:trPr>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7"/>
        </w:trPr>
        <w:tc>
          <w:tcPr>
            <w:tcW w:w="6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the temporary differences resulted in net deferred tax assets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462534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62534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Deferred tax assets resulting from:</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Startup costs</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46,000</w:t>
            </w:r>
          </w:p>
        </w:tc>
      </w:tr>
      <w:tr>
        <w:trPr>
          <w:trHeight w:val="214"/>
        </w:trPr>
        <w:tc>
          <w:tcPr>
            <w:tcW w:w="6440" w:type="dxa"/>
            <w:vAlign w:val="bottom"/>
          </w:tcPr>
          <w:p>
            <w:pPr>
              <w:ind w:left="180"/>
              <w:spacing w:after="0"/>
              <w:rPr>
                <w:sz w:val="20"/>
                <w:szCs w:val="20"/>
                <w:color w:val="auto"/>
              </w:rPr>
            </w:pPr>
            <w:r>
              <w:rPr>
                <w:rFonts w:ascii="Arial" w:cs="Arial" w:eastAsia="Arial" w:hAnsi="Arial"/>
                <w:sz w:val="18"/>
                <w:szCs w:val="18"/>
                <w:color w:val="auto"/>
              </w:rPr>
              <w:t>Estimated net operating loss carryforwards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1,185,000</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6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2"/>
              </w:rPr>
              <w:t>1,231,000</w:t>
            </w:r>
          </w:p>
        </w:tc>
      </w:tr>
      <w:tr>
        <w:trPr>
          <w:trHeight w:val="214"/>
        </w:trPr>
        <w:tc>
          <w:tcPr>
            <w:tcW w:w="644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(1,231,000)</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7"/>
        </w:trPr>
        <w:tc>
          <w:tcPr>
            <w:tcW w:w="6440" w:type="dxa"/>
            <w:vAlign w:val="bottom"/>
            <w:shd w:val="clear" w:color="auto" w:fill="CCFFCC"/>
          </w:tcPr>
          <w:p>
            <w:pPr>
              <w:ind w:left="540"/>
              <w:spacing w:after="0"/>
              <w:rPr>
                <w:sz w:val="20"/>
                <w:szCs w:val="20"/>
                <w:color w:val="auto"/>
              </w:rPr>
            </w:pPr>
            <w:r>
              <w:rPr>
                <w:rFonts w:ascii="Arial" w:cs="Arial" w:eastAsia="Arial" w:hAnsi="Arial"/>
                <w:sz w:val="18"/>
                <w:szCs w:val="18"/>
                <w:color w:val="auto"/>
              </w:rPr>
              <w:t>Net deferred tax</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4701540" cy="336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701540" cy="33655"/>
                    </a:xfrm>
                    <a:prstGeom prst="rect">
                      <a:avLst/>
                    </a:prstGeom>
                    <a:noFill/>
                  </pic:spPr>
                </pic:pic>
              </a:graphicData>
            </a:graphic>
          </wp:anchor>
        </w:drawing>
      </w:r>
    </w:p>
    <w:p>
      <w:pPr>
        <w:spacing w:after="0" w:line="73" w:lineRule="exact"/>
        <w:rPr>
          <w:sz w:val="20"/>
          <w:szCs w:val="20"/>
          <w:color w:val="auto"/>
        </w:rPr>
      </w:pPr>
    </w:p>
    <w:p>
      <w:pPr>
        <w:jc w:val="both"/>
        <w:ind w:left="60" w:right="880" w:firstLine="267"/>
        <w:spacing w:after="0" w:line="297" w:lineRule="auto"/>
        <w:rPr>
          <w:sz w:val="20"/>
          <w:szCs w:val="20"/>
          <w:color w:val="auto"/>
        </w:rPr>
      </w:pPr>
      <w:r>
        <w:rPr>
          <w:rFonts w:ascii="Arial" w:cs="Arial" w:eastAsia="Arial" w:hAnsi="Arial"/>
          <w:sz w:val="16"/>
          <w:szCs w:val="16"/>
          <w:color w:val="auto"/>
        </w:rPr>
        <w:t>The Company has determined that, based on objective evidence currently available, it is not likely that the deferred tax assets will be realized. Accordingly, the Company has provided a valuation allowance for the full amount of the deferred tax assets at December 31, 2011. There are no amounts of interest or penalties related to tax matters contained within the balance sheet at December 31, 2011. Under current tax law, net operating losses can be carried forward through the year to end December 31, 2031.</w:t>
      </w:r>
    </w:p>
    <w:p>
      <w:pPr>
        <w:spacing w:after="0" w:line="52" w:lineRule="exact"/>
        <w:rPr>
          <w:sz w:val="20"/>
          <w:szCs w:val="20"/>
          <w:color w:val="auto"/>
        </w:rPr>
      </w:pPr>
    </w:p>
    <w:p>
      <w:pPr>
        <w:jc w:val="both"/>
        <w:ind w:left="60" w:right="860" w:firstLine="267"/>
        <w:spacing w:after="0" w:line="252" w:lineRule="auto"/>
        <w:rPr>
          <w:sz w:val="20"/>
          <w:szCs w:val="20"/>
          <w:color w:val="auto"/>
        </w:rPr>
      </w:pPr>
      <w:r>
        <w:rPr>
          <w:rFonts w:ascii="Arial" w:cs="Arial" w:eastAsia="Arial" w:hAnsi="Arial"/>
          <w:sz w:val="18"/>
          <w:szCs w:val="18"/>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12 months of December 31, 2011. The Company will be required to file income tax returns with the United States federal jurisdiction and the State and City of New York beginning with the year ending December 31, 2011. Only tax returns for the tax year 2011 are open and, once filed, will be subject to examination by relevant tax jurisdictions.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 Obligations</w:t>
      </w:r>
    </w:p>
    <w:p>
      <w:pPr>
        <w:spacing w:after="0" w:line="118" w:lineRule="exact"/>
        <w:rPr>
          <w:sz w:val="20"/>
          <w:szCs w:val="20"/>
          <w:color w:val="auto"/>
        </w:rPr>
      </w:pPr>
    </w:p>
    <w:p>
      <w:pPr>
        <w:jc w:val="both"/>
        <w:ind w:left="60" w:right="860" w:firstLine="267"/>
        <w:spacing w:after="0" w:line="300" w:lineRule="auto"/>
        <w:rPr>
          <w:sz w:val="20"/>
          <w:szCs w:val="20"/>
          <w:color w:val="auto"/>
        </w:rPr>
      </w:pPr>
      <w:r>
        <w:rPr>
          <w:rFonts w:ascii="Arial" w:cs="Arial" w:eastAsia="Arial" w:hAnsi="Arial"/>
          <w:sz w:val="17"/>
          <w:szCs w:val="17"/>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Estimated occupancy expense for the remaining lease term based upon lease obligations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470154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0154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920" w:type="dxa"/>
            <w:vAlign w:val="bottom"/>
          </w:tcPr>
          <w:p>
            <w:pPr>
              <w:spacing w:after="0"/>
              <w:rPr>
                <w:sz w:val="15"/>
                <w:szCs w:val="15"/>
                <w:color w:val="auto"/>
              </w:rPr>
            </w:pPr>
          </w:p>
        </w:tc>
      </w:tr>
      <w:tr>
        <w:trPr>
          <w:trHeight w:val="207"/>
        </w:trPr>
        <w:tc>
          <w:tcPr>
            <w:tcW w:w="8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55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25,824</w:t>
            </w:r>
          </w:p>
        </w:tc>
        <w:tc>
          <w:tcPr>
            <w:tcW w:w="2920" w:type="dxa"/>
            <w:vAlign w:val="bottom"/>
          </w:tcPr>
          <w:p>
            <w:pPr>
              <w:spacing w:after="0"/>
              <w:rPr>
                <w:sz w:val="18"/>
                <w:szCs w:val="18"/>
                <w:color w:val="auto"/>
              </w:rPr>
            </w:pPr>
          </w:p>
        </w:tc>
      </w:tr>
      <w:tr>
        <w:trPr>
          <w:trHeight w:val="214"/>
        </w:trPr>
        <w:tc>
          <w:tcPr>
            <w:tcW w:w="840" w:type="dxa"/>
            <w:vAlign w:val="bottom"/>
          </w:tcPr>
          <w:p>
            <w:pPr>
              <w:ind w:left="20"/>
              <w:spacing w:after="0"/>
              <w:rPr>
                <w:sz w:val="20"/>
                <w:szCs w:val="20"/>
                <w:color w:val="auto"/>
              </w:rPr>
            </w:pPr>
            <w:r>
              <w:rPr>
                <w:rFonts w:ascii="Arial" w:cs="Arial" w:eastAsia="Arial" w:hAnsi="Arial"/>
                <w:sz w:val="18"/>
                <w:szCs w:val="18"/>
                <w:color w:val="auto"/>
              </w:rPr>
              <w:t>2013</w:t>
            </w: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25,824</w:t>
            </w:r>
          </w:p>
        </w:tc>
        <w:tc>
          <w:tcPr>
            <w:tcW w:w="8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47"/>
        </w:trPr>
        <w:tc>
          <w:tcPr>
            <w:tcW w:w="6560" w:type="dxa"/>
            <w:vAlign w:val="bottom"/>
            <w:tcBorders>
              <w:bottom w:val="single" w:sz="8" w:color="CCFFCC"/>
            </w:tcBorders>
            <w:gridSpan w:val="3"/>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51,648</w:t>
            </w:r>
          </w:p>
        </w:tc>
        <w:tc>
          <w:tcPr>
            <w:tcW w:w="80" w:type="dxa"/>
            <w:vAlign w:val="bottom"/>
            <w:tcBorders>
              <w:bottom w:val="single" w:sz="8" w:color="CCFFCC"/>
            </w:tcBorders>
            <w:shd w:val="clear" w:color="auto" w:fill="CCFFCC"/>
          </w:tcPr>
          <w:p>
            <w:pPr>
              <w:spacing w:after="0"/>
              <w:rPr>
                <w:sz w:val="21"/>
                <w:szCs w:val="21"/>
                <w:color w:val="auto"/>
              </w:rPr>
            </w:pPr>
          </w:p>
        </w:tc>
        <w:tc>
          <w:tcPr>
            <w:tcW w:w="2920" w:type="dxa"/>
            <w:vAlign w:val="bottom"/>
          </w:tcPr>
          <w:p>
            <w:pPr>
              <w:spacing w:after="0"/>
              <w:rPr>
                <w:sz w:val="21"/>
                <w:szCs w:val="21"/>
                <w:color w:val="auto"/>
              </w:rPr>
            </w:pPr>
          </w:p>
        </w:tc>
      </w:tr>
      <w:tr>
        <w:trPr>
          <w:trHeight w:val="754"/>
        </w:trPr>
        <w:tc>
          <w:tcPr>
            <w:tcW w:w="840" w:type="dxa"/>
            <w:vAlign w:val="bottom"/>
          </w:tcPr>
          <w:p>
            <w:pPr>
              <w:spacing w:after="0"/>
              <w:rPr>
                <w:sz w:val="24"/>
                <w:szCs w:val="24"/>
                <w:color w:val="auto"/>
              </w:rPr>
            </w:pPr>
          </w:p>
        </w:tc>
        <w:tc>
          <w:tcPr>
            <w:tcW w:w="5860" w:type="dxa"/>
            <w:vAlign w:val="bottom"/>
            <w:gridSpan w:val="3"/>
          </w:tcPr>
          <w:p>
            <w:pPr>
              <w:jc w:val="right"/>
              <w:ind w:right="1848"/>
              <w:spacing w:after="0"/>
              <w:rPr>
                <w:sz w:val="20"/>
                <w:szCs w:val="20"/>
                <w:color w:val="auto"/>
              </w:rPr>
            </w:pPr>
            <w:r>
              <w:rPr>
                <w:rFonts w:ascii="Arial" w:cs="Arial" w:eastAsia="Arial" w:hAnsi="Arial"/>
                <w:sz w:val="18"/>
                <w:szCs w:val="18"/>
                <w:color w:val="auto"/>
              </w:rPr>
              <w:t>F-47</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55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20" w:type="dxa"/>
            <w:vAlign w:val="bottom"/>
            <w:tcBorders>
              <w:bottom w:val="single" w:sz="8" w:color="9A9A9A"/>
            </w:tcBorders>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5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-652780</wp:posOffset>
            </wp:positionV>
            <wp:extent cx="4701540" cy="336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01540" cy="3365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241" w:name="page242"/>
    <w:bookmarkEnd w:id="2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Development Stage Company)</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Contingencies</w:t>
      </w:r>
    </w:p>
    <w:p>
      <w:pPr>
        <w:spacing w:after="0" w:line="11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52"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At this stage of the litigation, the Company cannot assess the duration, cost or outcome of the infringement action.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Subsequent Events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Subsequent events have been evaluated through March 2, 2012, the date the financial statements were available to be issued.</w:t>
      </w:r>
    </w:p>
    <w:p>
      <w:pPr>
        <w:spacing w:after="0" w:line="200" w:lineRule="exact"/>
        <w:rPr>
          <w:sz w:val="20"/>
          <w:szCs w:val="20"/>
          <w:color w:val="auto"/>
        </w:rPr>
      </w:pPr>
    </w:p>
    <w:p>
      <w:pPr>
        <w:spacing w:after="0" w:line="37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2" w:name="page243"/>
    <w:bookmarkEnd w:id="2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A</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AGREEMENT AND PLAN OF MERGER</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BY AND AMONG</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VIP MERGER SUB,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AND</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INNOVATE/PROTECT, INC.</w:t>
      </w:r>
    </w:p>
    <w:p>
      <w:pPr>
        <w:spacing w:after="0" w:line="11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450850</wp:posOffset>
            </wp:positionV>
            <wp:extent cx="6051550" cy="590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3" w:name="page244"/>
    <w:bookmarkEnd w:id="2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EXHIBITS</w:t>
            </w:r>
          </w:p>
        </w:tc>
        <w:tc>
          <w:tcPr>
            <w:tcW w:w="9200" w:type="dxa"/>
            <w:vAlign w:val="bottom"/>
          </w:tcPr>
          <w:p>
            <w:pPr>
              <w:spacing w:after="0"/>
              <w:rPr>
                <w:sz w:val="18"/>
                <w:szCs w:val="18"/>
                <w:color w:val="auto"/>
              </w:rPr>
            </w:pP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20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Certificate of Merger</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Certificate of Designations [attached as Annex E]</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920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920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Series 1 Warrant [attached as Annex F]</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9200" w:type="dxa"/>
            <w:vAlign w:val="bottom"/>
          </w:tcPr>
          <w:p>
            <w:pPr>
              <w:ind w:left="200"/>
              <w:spacing w:after="0"/>
              <w:rPr>
                <w:sz w:val="20"/>
                <w:szCs w:val="20"/>
                <w:color w:val="auto"/>
              </w:rPr>
            </w:pPr>
            <w:r>
              <w:rPr>
                <w:rFonts w:ascii="Arial" w:cs="Arial" w:eastAsia="Arial" w:hAnsi="Arial"/>
                <w:sz w:val="18"/>
                <w:szCs w:val="18"/>
                <w:color w:val="auto"/>
              </w:rPr>
              <w:t>Form Series 2 Warrant [attached as Annex G]</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Amended and Restated Senior Secured Promissory Note</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Amended and Restated Pledge and Security Agreement</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Amended and Restated Guaranty</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K</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Certificate of Incorporation of Surviving Corporation</w:t>
            </w:r>
          </w:p>
        </w:tc>
      </w:tr>
      <w:tr>
        <w:trPr>
          <w:trHeight w:val="214"/>
        </w:trPr>
        <w:tc>
          <w:tcPr>
            <w:tcW w:w="1120" w:type="dxa"/>
            <w:vAlign w:val="bottom"/>
            <w:gridSpan w:val="2"/>
          </w:tcPr>
          <w:p>
            <w:pPr>
              <w:spacing w:after="0"/>
              <w:rPr>
                <w:sz w:val="20"/>
                <w:szCs w:val="20"/>
                <w:color w:val="auto"/>
              </w:rPr>
            </w:pPr>
            <w:r>
              <w:rPr>
                <w:rFonts w:ascii="Arial" w:cs="Arial" w:eastAsia="Arial" w:hAnsi="Arial"/>
                <w:sz w:val="18"/>
                <w:szCs w:val="18"/>
                <w:color w:val="auto"/>
              </w:rPr>
              <w:t>EXHIBIT L</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Bylaws of Surviving Corporation</w:t>
            </w:r>
          </w:p>
        </w:tc>
      </w:tr>
      <w:tr>
        <w:trPr>
          <w:trHeight w:val="227"/>
        </w:trPr>
        <w:tc>
          <w:tcPr>
            <w:tcW w:w="1120" w:type="dxa"/>
            <w:vAlign w:val="bottom"/>
            <w:gridSpan w:val="2"/>
          </w:tcPr>
          <w:p>
            <w:pPr>
              <w:spacing w:after="0"/>
              <w:rPr>
                <w:sz w:val="20"/>
                <w:szCs w:val="20"/>
                <w:color w:val="auto"/>
              </w:rPr>
            </w:pPr>
            <w:r>
              <w:rPr>
                <w:rFonts w:ascii="Arial" w:cs="Arial" w:eastAsia="Arial" w:hAnsi="Arial"/>
                <w:sz w:val="18"/>
                <w:szCs w:val="18"/>
                <w:color w:val="auto"/>
              </w:rPr>
              <w:t>EXHIBIT M</w:t>
            </w:r>
          </w:p>
        </w:tc>
        <w:tc>
          <w:tcPr>
            <w:tcW w:w="9200" w:type="dxa"/>
            <w:vAlign w:val="bottom"/>
          </w:tcPr>
          <w:p>
            <w:pPr>
              <w:ind w:left="200"/>
              <w:spacing w:after="0"/>
              <w:rPr>
                <w:sz w:val="20"/>
                <w:szCs w:val="20"/>
                <w:color w:val="auto"/>
              </w:rPr>
            </w:pPr>
            <w:r>
              <w:rPr>
                <w:rFonts w:ascii="Arial" w:cs="Arial" w:eastAsia="Arial" w:hAnsi="Arial"/>
                <w:sz w:val="18"/>
                <w:szCs w:val="18"/>
                <w:color w:val="auto"/>
              </w:rPr>
              <w:t>Form of Hudson Bay Letter Agreement</w:t>
            </w:r>
          </w:p>
        </w:tc>
      </w:tr>
      <w:tr>
        <w:trPr>
          <w:trHeight w:val="762"/>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0" w:type="dxa"/>
            <w:vAlign w:val="bottom"/>
          </w:tcPr>
          <w:p>
            <w:pPr>
              <w:ind w:left="3460"/>
              <w:spacing w:after="0"/>
              <w:rPr>
                <w:sz w:val="20"/>
                <w:szCs w:val="20"/>
                <w:color w:val="auto"/>
              </w:rPr>
            </w:pPr>
            <w:r>
              <w:rPr>
                <w:rFonts w:ascii="Arial" w:cs="Arial" w:eastAsia="Arial" w:hAnsi="Arial"/>
                <w:sz w:val="18"/>
                <w:szCs w:val="18"/>
                <w:color w:val="auto"/>
              </w:rPr>
              <w:t>i</w:t>
            </w:r>
          </w:p>
        </w:tc>
      </w:tr>
      <w:tr>
        <w:trPr>
          <w:trHeight w:val="162"/>
        </w:trPr>
        <w:tc>
          <w:tcPr>
            <w:tcW w:w="82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200" w:type="dxa"/>
            <w:vAlign w:val="bottom"/>
            <w:tcBorders>
              <w:bottom w:val="single" w:sz="8" w:color="9A9A9A"/>
            </w:tcBorders>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-45720</wp:posOffset>
            </wp:positionV>
            <wp:extent cx="33655" cy="590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-45720</wp:posOffset>
            </wp:positionV>
            <wp:extent cx="33655" cy="590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-2460625</wp:posOffset>
            </wp:positionV>
            <wp:extent cx="51263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ectPr>
          <w:pgSz w:w="11900" w:h="16838" w:orient="portrait"/>
          <w:cols w:equalWidth="0" w:num="1">
            <w:col w:w="10320"/>
          </w:cols>
          <w:pgMar w:left="380" w:top="785" w:right="1199" w:bottom="1440" w:gutter="0" w:footer="0" w:header="0"/>
        </w:sectPr>
      </w:pPr>
    </w:p>
    <w:bookmarkStart w:id="244" w:name="page245"/>
    <w:bookmarkEnd w:id="2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124460</wp:posOffset>
            </wp:positionV>
            <wp:extent cx="25120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Business Day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7" w:lineRule="exact"/>
        <w:rPr>
          <w:sz w:val="20"/>
          <w:szCs w:val="20"/>
          <w:color w:val="auto"/>
        </w:rPr>
      </w:pPr>
    </w:p>
    <w:p>
      <w:pPr>
        <w:ind w:right="1020"/>
        <w:spacing w:after="0" w:line="247" w:lineRule="auto"/>
        <w:rPr>
          <w:sz w:val="20"/>
          <w:szCs w:val="20"/>
          <w:color w:val="auto"/>
        </w:rPr>
      </w:pPr>
      <w:r>
        <w:rPr>
          <w:rFonts w:ascii="Arial" w:cs="Arial" w:eastAsia="Arial" w:hAnsi="Arial"/>
          <w:sz w:val="18"/>
          <w:szCs w:val="18"/>
          <w:color w:val="auto"/>
        </w:rPr>
        <w:t>Common Stock Exchange Ratio Company</w:t>
      </w:r>
    </w:p>
    <w:p>
      <w:pPr>
        <w:spacing w:after="0" w:line="2" w:lineRule="exact"/>
        <w:rPr>
          <w:sz w:val="20"/>
          <w:szCs w:val="20"/>
          <w:color w:val="auto"/>
        </w:rPr>
      </w:pPr>
    </w:p>
    <w:p>
      <w:pPr>
        <w:ind w:right="860"/>
        <w:spacing w:after="0" w:line="247" w:lineRule="auto"/>
        <w:rPr>
          <w:sz w:val="20"/>
          <w:szCs w:val="20"/>
          <w:color w:val="auto"/>
        </w:rPr>
      </w:pPr>
      <w:r>
        <w:rPr>
          <w:rFonts w:ascii="Arial" w:cs="Arial" w:eastAsia="Arial" w:hAnsi="Arial"/>
          <w:sz w:val="18"/>
          <w:szCs w:val="18"/>
          <w:color w:val="auto"/>
        </w:rPr>
        <w:t>Company Capital Stock Company Certificate Company Certificates Company Common Stock Company Disclosure Schedule Company Employee Plans Company Intellectual Property Company Material Adverse Effect Company Material Contracts Company Option Plan Company Stock Options Company Warrant DGCL</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Equitable Exceptions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Governmental Authority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Interim Period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knowledge of the Company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Material Permits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 Shares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Merger Sub Common Stock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Most Recent Balance Sheet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Most Recent Balance Sheet Date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Other Filings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 Common Stock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 Material Contracts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 SEC Reports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Parent’s Most Recent Balance Sheet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Parent’s Most Recent Balance Sheet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Personal Property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Series A Stock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Takeover Laws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terms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-115570</wp:posOffset>
            </wp:positionV>
            <wp:extent cx="25120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102870</wp:posOffset>
            </wp:positionV>
            <wp:extent cx="6051550" cy="590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43"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1.2</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1.3</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1.2</w:t>
      </w:r>
    </w:p>
    <w:p>
      <w:pPr>
        <w:spacing w:after="0" w:line="53"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1.2</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Article II</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2.16(a)</w:t>
      </w:r>
    </w:p>
    <w:p>
      <w:pPr>
        <w:spacing w:after="0" w:line="7" w:lineRule="exact"/>
        <w:rPr>
          <w:sz w:val="20"/>
          <w:szCs w:val="20"/>
          <w:color w:val="auto"/>
        </w:rPr>
      </w:pPr>
    </w:p>
    <w:p>
      <w:pPr>
        <w:jc w:val="center"/>
        <w:ind w:right="1759"/>
        <w:spacing w:after="0"/>
        <w:rPr>
          <w:sz w:val="20"/>
          <w:szCs w:val="20"/>
          <w:color w:val="auto"/>
        </w:rPr>
      </w:pPr>
      <w:r>
        <w:rPr>
          <w:rFonts w:ascii="Arial" w:cs="Arial" w:eastAsia="Arial" w:hAnsi="Arial"/>
          <w:sz w:val="16"/>
          <w:szCs w:val="16"/>
          <w:color w:val="auto"/>
        </w:rPr>
        <w:t>2.20(a)</w:t>
      </w:r>
    </w:p>
    <w:p>
      <w:pPr>
        <w:spacing w:after="0" w:line="30" w:lineRule="exact"/>
        <w:rPr>
          <w:sz w:val="20"/>
          <w:szCs w:val="20"/>
          <w:color w:val="auto"/>
        </w:rPr>
      </w:pPr>
    </w:p>
    <w:p>
      <w:pPr>
        <w:jc w:val="center"/>
        <w:ind w:right="1779"/>
        <w:spacing w:after="0"/>
        <w:rPr>
          <w:sz w:val="20"/>
          <w:szCs w:val="20"/>
          <w:color w:val="auto"/>
        </w:rPr>
      </w:pPr>
      <w:r>
        <w:rPr>
          <w:rFonts w:ascii="Arial" w:cs="Arial" w:eastAsia="Arial" w:hAnsi="Arial"/>
          <w:sz w:val="18"/>
          <w:szCs w:val="18"/>
          <w:color w:val="auto"/>
        </w:rPr>
        <w:t>rticle II</w:t>
      </w:r>
    </w:p>
    <w:p>
      <w:pPr>
        <w:spacing w:after="0" w:line="7" w:lineRule="exact"/>
        <w:rPr>
          <w:sz w:val="20"/>
          <w:szCs w:val="20"/>
          <w:color w:val="auto"/>
        </w:rPr>
      </w:pPr>
    </w:p>
    <w:p>
      <w:pPr>
        <w:jc w:val="center"/>
        <w:ind w:right="1659"/>
        <w:spacing w:after="0"/>
        <w:rPr>
          <w:sz w:val="20"/>
          <w:szCs w:val="20"/>
          <w:color w:val="auto"/>
        </w:rPr>
      </w:pPr>
      <w:r>
        <w:rPr>
          <w:rFonts w:ascii="Arial" w:cs="Arial" w:eastAsia="Arial" w:hAnsi="Arial"/>
          <w:sz w:val="16"/>
          <w:szCs w:val="16"/>
          <w:color w:val="auto"/>
        </w:rPr>
        <w:t>2.9(a)</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1.10(a)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2.3(b)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2.3(b)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1.3</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2.4(b)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2.16(a)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2.16(a)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2.4(d)</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2.19(a)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4.1(a)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Article II</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2.2(d)</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2.11(a)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1.7(c)</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1.11</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2.6</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2.6</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5.1(b)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Article III</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3.9(a)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3.5(a)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3.6</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3.6</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6"/>
          <w:szCs w:val="16"/>
          <w:color w:val="auto"/>
        </w:rPr>
        <w:t>Preamble</w:t>
      </w:r>
    </w:p>
    <w:p>
      <w:pPr>
        <w:spacing w:after="0" w:line="30"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3.24(b)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2.15(b)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2.2(d)</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1.7(b)</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2.2(f)</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1.1</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4.2(a)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2.15(a)</w:t>
      </w:r>
    </w:p>
    <w:p>
      <w:pPr>
        <w:spacing w:after="0" w:line="7"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7.3(b)</w:t>
      </w:r>
    </w:p>
    <w:p>
      <w:pPr>
        <w:sectPr>
          <w:pgSz w:w="11900" w:h="16838" w:orient="portrait"/>
          <w:cols w:equalWidth="0" w:num="3">
            <w:col w:w="3300" w:space="720"/>
            <w:col w:w="2660" w:space="720"/>
            <w:col w:w="2679"/>
          </w:cols>
          <w:pgMar w:left="380" w:top="785" w:right="1440" w:bottom="1440" w:gutter="0" w:footer="0" w:header="0"/>
        </w:sectPr>
      </w:pPr>
    </w:p>
    <w:bookmarkStart w:id="245" w:name="page246"/>
    <w:bookmarkEnd w:id="2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AGREEMENT AND PLAN OF MERGER</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BY AND AMONG</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VIP MERGER SUB,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AND</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INNOVATE/PROTECT, INC.</w:t>
      </w:r>
    </w:p>
    <w:p>
      <w:pPr>
        <w:spacing w:after="0" w:line="11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March 12, 2012</w:t>
      </w:r>
    </w:p>
    <w:p>
      <w:pPr>
        <w:spacing w:after="0" w:line="110" w:lineRule="exact"/>
        <w:rPr>
          <w:sz w:val="20"/>
          <w:szCs w:val="20"/>
          <w:color w:val="auto"/>
        </w:rPr>
      </w:pPr>
    </w:p>
    <w:p>
      <w:pPr>
        <w:jc w:val="both"/>
        <w:ind w:left="40" w:right="639" w:firstLine="267"/>
        <w:spacing w:after="0" w:line="299" w:lineRule="auto"/>
        <w:rPr>
          <w:sz w:val="20"/>
          <w:szCs w:val="20"/>
          <w:color w:val="auto"/>
        </w:rPr>
      </w:pPr>
      <w:r>
        <w:rPr>
          <w:rFonts w:ascii="Arial" w:cs="Arial" w:eastAsia="Arial" w:hAnsi="Arial"/>
          <w:sz w:val="16"/>
          <w:szCs w:val="16"/>
          <w:color w:val="auto"/>
        </w:rPr>
        <w:t>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made and entered into as of March 12, 2012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VIP MERGER SUB, INC., a Delaware corporation and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INNOVATE/PROTECT,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Parent, Merger Sub and the Company are sometimes referred to herein each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49"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WHEREAS, the Boards of Directors of Parent, Merger Sub and the Company have each declared it to be advisable and in the best interests of each corporation and their respective stockholders that Parent and the Company combine in order to advance their long-term business interests;</w:t>
      </w:r>
    </w:p>
    <w:p>
      <w:pPr>
        <w:spacing w:after="0" w:line="7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WHEREAS, the Boards of Directors of Parent, Merger Sub and the Company have each approved this Agreement and the merger of the Company with and into Merger Sub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the terms and conditions set forth herein, which Merger will result in, among other things, the surviving company becoming a wholly owned subsidiary of Parent and the Company stockholders becoming stockholders of Parent; and</w:t>
      </w:r>
    </w:p>
    <w:p>
      <w:pPr>
        <w:spacing w:after="0" w:line="85"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WHEREAS, for federal income tax purposes, it is intended that the Merger qualify as a tax-free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the regulations promulgated thereunder.</w:t>
      </w:r>
    </w:p>
    <w:p>
      <w:pPr>
        <w:spacing w:after="0" w:line="78"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8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I</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THE MERGER</w:t>
      </w:r>
    </w:p>
    <w:p>
      <w:pPr>
        <w:spacing w:after="0" w:line="118"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(as defined in Section 1.3), in accordance with the DGCL and the terms and conditions of this Agreement, the Company shall be merged with and into Merger Sub. From and after the Effective Time, the separate corporate existence of the Company shall cease and Merger Sub, as the surviving corporation in the Merger, shall continue its existence under the DGCL as a wholly owned subsidiary of Parent. Merger Sub as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Closing</w:t>
      </w:r>
      <w:r>
        <w:rPr>
          <w:rFonts w:ascii="Arial" w:cs="Arial" w:eastAsia="Arial" w:hAnsi="Arial"/>
          <w:sz w:val="16"/>
          <w:szCs w:val="16"/>
          <w:color w:val="auto"/>
        </w:rPr>
        <w:t>. Unless this Agreement shall have been terminated and the transactions contemplated by this Agreement abandoned pursuant to the provisions of Article VIII, and subject to the satisfaction or waiver, as the case may be, of the conditions set forth in Article VI, the closing of the Merger and other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10:00 a.m. (eastern standard time) on a date to be mutually agreed upon by the Parties (the “</w:t>
      </w:r>
      <w:r>
        <w:rPr>
          <w:rFonts w:ascii="Arial" w:cs="Arial" w:eastAsia="Arial" w:hAnsi="Arial"/>
          <w:sz w:val="16"/>
          <w:szCs w:val="16"/>
          <w:b w:val="1"/>
          <w:bCs w:val="1"/>
          <w:color w:val="auto"/>
        </w:rPr>
        <w:t>Closing Date</w:t>
      </w:r>
      <w:r>
        <w:rPr>
          <w:rFonts w:ascii="Arial" w:cs="Arial" w:eastAsia="Arial" w:hAnsi="Arial"/>
          <w:sz w:val="16"/>
          <w:szCs w:val="16"/>
          <w:color w:val="auto"/>
        </w:rPr>
        <w:t>”), which date shall be no later than the second Business Day (as defined below) after all the conditions set forth in Article VI (excluding conditions that, by their nature, cannot be satisfied until the Closing) shall have been satisfied or waived in accordance with Section 7.5,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on which banks are permitted to be open in New York, New York.</w:t>
      </w: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6" w:name="page247"/>
    <w:bookmarkEnd w:id="2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Subject to the provisions of this Agreement, on the Closing Date or as soon thereafter as is practicable the Parties shall cause the Merger to become effective by executing and filing in accordance with the DGCL a certificate of merger with the Secretary of State of the State of Delaware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the date and time of such filing, or such later date and time as may be agreed upon by the Parties and specified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being hereinafter referred to as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Merger shall have the effects set forth in this Agreement and in the applicable provisions of the DGCL. Without limiting the generality of the foregoing, and subject thereto, at the Effective Time all the assets,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8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Certificate of Incorporation and Bylaws of the Surviving Corporation</w:t>
      </w:r>
      <w:r>
        <w:rPr>
          <w:rFonts w:ascii="Arial" w:cs="Arial" w:eastAsia="Arial" w:hAnsi="Arial"/>
          <w:sz w:val="18"/>
          <w:szCs w:val="18"/>
          <w:color w:val="auto"/>
        </w:rPr>
        <w:t xml:space="preserve">. From and after the Effective Time and without further action on the part of the Parties, the Certificate of Incorporation and Bylaws of Merger Sub immediately prior to the Effective Time shall be the Certificate of Incorporation and Bylaws of the Surviving Corporation, in the forms attached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hereto, respectively, until amended in accordance with the respective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parties shall take all action necessary to amend the Certificate of Incorporation of the Surviving Corporation so that Article First of the Certificate of Incorporation of the Surviving Corporation shall be amended to read as follows: “The name of the corporation is Innovate/Protect, Inc.”</w:t>
      </w:r>
    </w:p>
    <w:p>
      <w:pPr>
        <w:spacing w:after="0" w:line="89"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The initial directors and officers of the Surviving Corporation, each to hold office in accordance with the Certificate of Incorporation and the Bylaws of the Surviving Corporation shall be as set forth in Section 5.11 hereto.</w:t>
      </w:r>
    </w:p>
    <w:p>
      <w:pPr>
        <w:spacing w:after="0" w:line="46"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Conversion of Company Common Stock, Etc</w:t>
      </w:r>
      <w:r>
        <w:rPr>
          <w:rFonts w:ascii="Arial" w:cs="Arial" w:eastAsia="Arial" w:hAnsi="Arial"/>
          <w:sz w:val="18"/>
          <w:szCs w:val="18"/>
          <w:color w:val="auto"/>
        </w:rPr>
        <w:t>. At the Effective Time, by virtue of the Merger and without any action on the part of the Parties or the holders of the following securities:</w:t>
      </w:r>
    </w:p>
    <w:p>
      <w:pPr>
        <w:spacing w:after="0" w:line="65" w:lineRule="exact"/>
        <w:rPr>
          <w:sz w:val="20"/>
          <w:szCs w:val="20"/>
          <w:color w:val="auto"/>
        </w:rPr>
      </w:pPr>
    </w:p>
    <w:p>
      <w:pPr>
        <w:jc w:val="both"/>
        <w:ind w:left="320" w:right="639" w:firstLine="260"/>
        <w:spacing w:after="0" w:line="271" w:lineRule="auto"/>
        <w:tabs>
          <w:tab w:leader="none" w:pos="90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Each share of the Company’s common stock, par value $0.0001 per share (“</w:t>
      </w:r>
      <w:r>
        <w:rPr>
          <w:rFonts w:ascii="Arial" w:cs="Arial" w:eastAsia="Arial" w:hAnsi="Arial"/>
          <w:sz w:val="17"/>
          <w:szCs w:val="17"/>
          <w:b w:val="1"/>
          <w:bCs w:val="1"/>
          <w:color w:val="auto"/>
        </w:rPr>
        <w:t>Company Common Stock</w:t>
      </w:r>
      <w:r>
        <w:rPr>
          <w:rFonts w:ascii="Arial" w:cs="Arial" w:eastAsia="Arial" w:hAnsi="Arial"/>
          <w:sz w:val="17"/>
          <w:szCs w:val="17"/>
          <w:color w:val="auto"/>
        </w:rPr>
        <w:t>”) issued and outstanding immediately prior to the Effective Time (other than any shares of Company Common Stock to be canceled and retired pursuant to Section 1.8) shall be converted automatically into the right to receive that number (expressed as a decimal) of fully paid and non-assessable shares of common stock of Parent, par value $0.01 per share (the “</w:t>
      </w:r>
      <w:r>
        <w:rPr>
          <w:rFonts w:ascii="Arial" w:cs="Arial" w:eastAsia="Arial" w:hAnsi="Arial"/>
          <w:sz w:val="17"/>
          <w:szCs w:val="17"/>
          <w:b w:val="1"/>
          <w:bCs w:val="1"/>
          <w:color w:val="auto"/>
        </w:rPr>
        <w:t>Parent Common Stock</w:t>
      </w:r>
      <w:r>
        <w:rPr>
          <w:rFonts w:ascii="Arial" w:cs="Arial" w:eastAsia="Arial" w:hAnsi="Arial"/>
          <w:sz w:val="17"/>
          <w:szCs w:val="17"/>
          <w:color w:val="auto"/>
        </w:rPr>
        <w:t>”) equal to the Common Stock Exchange Ratio. For purposes of this Agreement, the “Common Stock Exchange Ratio” shall initially be 3.0176, subject to adjustment as set forth in Section 1.13.</w:t>
      </w:r>
    </w:p>
    <w:p>
      <w:pPr>
        <w:spacing w:after="0" w:line="65" w:lineRule="exact"/>
        <w:rPr>
          <w:rFonts w:ascii="Arial" w:cs="Arial" w:eastAsia="Arial" w:hAnsi="Arial"/>
          <w:sz w:val="17"/>
          <w:szCs w:val="17"/>
          <w:color w:val="auto"/>
        </w:rPr>
      </w:pPr>
    </w:p>
    <w:p>
      <w:pPr>
        <w:jc w:val="both"/>
        <w:ind w:left="320" w:right="619" w:firstLine="260"/>
        <w:spacing w:after="0" w:line="287" w:lineRule="auto"/>
        <w:tabs>
          <w:tab w:leader="none" w:pos="8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Each share of the Company’s Series A Convertible Preferred Stock, par value $0.0001 per share (the “</w:t>
      </w:r>
      <w:r>
        <w:rPr>
          <w:rFonts w:ascii="Arial" w:cs="Arial" w:eastAsia="Arial" w:hAnsi="Arial"/>
          <w:sz w:val="16"/>
          <w:szCs w:val="16"/>
          <w:b w:val="1"/>
          <w:bCs w:val="1"/>
          <w:color w:val="auto"/>
        </w:rPr>
        <w:t>Series A Stock</w:t>
      </w:r>
      <w:r>
        <w:rPr>
          <w:rFonts w:ascii="Arial" w:cs="Arial" w:eastAsia="Arial" w:hAnsi="Arial"/>
          <w:sz w:val="16"/>
          <w:szCs w:val="16"/>
          <w:color w:val="auto"/>
        </w:rPr>
        <w:t>”), issued and outstanding immediately prior to the Effective Time (other than any shares of Series A Stock to be canceled and retired pursuant to Section 1.8) shall be converted automatically into the right to receive that number (expressed as a decimal) of fully paid and non-assessable shares of Parent Series A Convertible Preferred Stock (“</w:t>
      </w:r>
      <w:r>
        <w:rPr>
          <w:rFonts w:ascii="Arial" w:cs="Arial" w:eastAsia="Arial" w:hAnsi="Arial"/>
          <w:sz w:val="16"/>
          <w:szCs w:val="16"/>
          <w:b w:val="1"/>
          <w:bCs w:val="1"/>
          <w:color w:val="auto"/>
        </w:rPr>
        <w:t>Parent Preferred Stock</w:t>
      </w:r>
      <w:r>
        <w:rPr>
          <w:rFonts w:ascii="Arial" w:cs="Arial" w:eastAsia="Arial" w:hAnsi="Arial"/>
          <w:sz w:val="16"/>
          <w:szCs w:val="16"/>
          <w:color w:val="auto"/>
        </w:rPr>
        <w:t>”) equal to the Series A Exchange Ratio. For purposes of this Agreement, the “Series A Exchange Ratio” shall be 1.0. The Parent Preferred Stock to be issued to the holders of the Company Series A Stock shall be convertible into an aggregate of 21,026,637 shares of Parent Common Stock (the “</w:t>
      </w:r>
      <w:r>
        <w:rPr>
          <w:rFonts w:ascii="Arial" w:cs="Arial" w:eastAsia="Arial" w:hAnsi="Arial"/>
          <w:sz w:val="16"/>
          <w:szCs w:val="16"/>
          <w:b w:val="1"/>
          <w:bCs w:val="1"/>
          <w:color w:val="auto"/>
        </w:rPr>
        <w:t>Conversion Shares</w:t>
      </w:r>
      <w:r>
        <w:rPr>
          <w:rFonts w:ascii="Arial" w:cs="Arial" w:eastAsia="Arial" w:hAnsi="Arial"/>
          <w:sz w:val="16"/>
          <w:szCs w:val="16"/>
          <w:color w:val="auto"/>
        </w:rPr>
        <w:t xml:space="preserve">”) (subject to adjustment as set forth in Section 1.13) and shall have the rights, preferences and privileges as set forth in the Certificate of Designations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w:t>
      </w:r>
    </w:p>
    <w:p>
      <w:pPr>
        <w:spacing w:after="0" w:line="57" w:lineRule="exact"/>
        <w:rPr>
          <w:rFonts w:ascii="Arial" w:cs="Arial" w:eastAsia="Arial" w:hAnsi="Arial"/>
          <w:sz w:val="16"/>
          <w:szCs w:val="16"/>
          <w:color w:val="auto"/>
        </w:rPr>
      </w:pPr>
    </w:p>
    <w:p>
      <w:pPr>
        <w:jc w:val="both"/>
        <w:ind w:left="320" w:right="619" w:firstLine="260"/>
        <w:spacing w:after="0" w:line="269" w:lineRule="auto"/>
        <w:tabs>
          <w:tab w:leader="none" w:pos="90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From and after the Effective Time, all shares of Company Common Stock and Series A Stock (together,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Capital Stock</w:t>
      </w:r>
      <w:r>
        <w:rPr>
          <w:rFonts w:ascii="Arial" w:cs="Arial" w:eastAsia="Arial" w:hAnsi="Arial"/>
          <w:sz w:val="17"/>
          <w:szCs w:val="17"/>
          <w:color w:val="auto"/>
        </w:rPr>
        <w:t>”) (other than any shares of Company Capital Stock to be canceled and retired pursuant to Section 1.8)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canceled and shall cease to exist, and each holder (each, a “</w:t>
      </w:r>
      <w:r>
        <w:rPr>
          <w:rFonts w:ascii="Arial" w:cs="Arial" w:eastAsia="Arial" w:hAnsi="Arial"/>
          <w:sz w:val="17"/>
          <w:szCs w:val="17"/>
          <w:b w:val="1"/>
          <w:bCs w:val="1"/>
          <w:color w:val="auto"/>
        </w:rPr>
        <w:t>Company Stockholder</w:t>
      </w:r>
      <w:r>
        <w:rPr>
          <w:rFonts w:ascii="Arial" w:cs="Arial" w:eastAsia="Arial" w:hAnsi="Arial"/>
          <w:sz w:val="17"/>
          <w:szCs w:val="17"/>
          <w:color w:val="auto"/>
        </w:rPr>
        <w:t>”) of a certificate which previously represented any such share of Company Capital Stock (each, a “Company Certificate” and, collectively,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Certificates</w:t>
      </w:r>
      <w:r>
        <w:rPr>
          <w:rFonts w:ascii="Arial" w:cs="Arial" w:eastAsia="Arial" w:hAnsi="Arial"/>
          <w:sz w:val="17"/>
          <w:szCs w:val="17"/>
          <w:color w:val="auto"/>
        </w:rPr>
        <w:t>”) shall cease to have any rights with respect thereto except for the right to receive the Merger Consideration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Section 1.15 or as otherwise set forth herein or under applicable law. The holders of Company Capital Stock immediately prior to the Effective Time shall be entitled to</w:t>
      </w: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7" w:name="page248"/>
    <w:bookmarkEnd w:id="2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receive the shares of Parent Common Stock and Parent Preferred Stock into which the shares of Company Capital Stock held by each of them were converted pursuant to this Section 1.7 upon delivery of the certificates representing such shares of Company Capital Stock to Parent, such shares of Parent Common Stock and Parent Preferred Stock are collectively referred to herein as the “</w:t>
      </w:r>
      <w:r>
        <w:rPr>
          <w:rFonts w:ascii="Arial" w:cs="Arial" w:eastAsia="Arial" w:hAnsi="Arial"/>
          <w:sz w:val="18"/>
          <w:szCs w:val="18"/>
          <w:b w:val="1"/>
          <w:bCs w:val="1"/>
          <w:color w:val="auto"/>
        </w:rPr>
        <w:t>Merger Shares</w:t>
      </w:r>
      <w:r>
        <w:rPr>
          <w:rFonts w:ascii="Arial" w:cs="Arial" w:eastAsia="Arial" w:hAnsi="Arial"/>
          <w:sz w:val="18"/>
          <w:szCs w:val="18"/>
          <w:color w:val="auto"/>
        </w:rPr>
        <w:t>.” The Merger Shares, together with the Series 1 Warrants and Series 2 Warrants are collectively referred to herein as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8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Cancellation of Shares</w:t>
      </w:r>
      <w:r>
        <w:rPr>
          <w:rFonts w:ascii="Arial" w:cs="Arial" w:eastAsia="Arial" w:hAnsi="Arial"/>
          <w:sz w:val="18"/>
          <w:szCs w:val="18"/>
          <w:color w:val="auto"/>
        </w:rPr>
        <w:t>. At the Effective Time, each share of Company Capital Stock either held in the Company’s treasury or owned by Parent or any direct or indirect wholly owned Subsidiary (as defined in Section 2.2(f)) of Parent or the Company, in each case, immediately prior to the Effective Time, if any, shall be canceled and extinguished without any conversion thereof or payment therefor.</w:t>
      </w:r>
    </w:p>
    <w:p>
      <w:pPr>
        <w:spacing w:after="0" w:line="83"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No Further Ownership Rights in Company Stock</w:t>
      </w:r>
      <w:r>
        <w:rPr>
          <w:rFonts w:ascii="Arial" w:cs="Arial" w:eastAsia="Arial" w:hAnsi="Arial"/>
          <w:sz w:val="17"/>
          <w:szCs w:val="17"/>
          <w:color w:val="auto"/>
        </w:rPr>
        <w:t>. The Merger Consideration to be issued upon the surrender for exchange of Company Capital Stock in accordance with the terms of this Article I (together with any cash in lieu of fractional shares paid in respect thereof) shall be deemed to have been issued in full satisfaction of all rights pertaining to such Company Capital Stock under this Article I. If, after the Effective Time, Company Certificates are presented to Parent or Surviving Corporation for any reason, they shall be canceled and exchanged as provided in this Article I.</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Company Stock Options And Warrants</w:t>
      </w:r>
      <w:r>
        <w:rPr>
          <w:rFonts w:ascii="Arial" w:cs="Arial" w:eastAsia="Arial" w:hAnsi="Arial"/>
          <w:sz w:val="18"/>
          <w:szCs w:val="18"/>
          <w:color w:val="auto"/>
        </w:rPr>
        <w:t>. At the Effective Time:</w:t>
      </w:r>
    </w:p>
    <w:p>
      <w:pPr>
        <w:spacing w:after="0" w:line="114" w:lineRule="exact"/>
        <w:rPr>
          <w:sz w:val="20"/>
          <w:szCs w:val="20"/>
          <w:color w:val="auto"/>
        </w:rPr>
      </w:pPr>
    </w:p>
    <w:p>
      <w:pPr>
        <w:jc w:val="both"/>
        <w:ind w:left="320" w:right="619" w:firstLine="260"/>
        <w:spacing w:after="0" w:line="281" w:lineRule="auto"/>
        <w:tabs>
          <w:tab w:leader="none" w:pos="89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Company Stock Option that is outstanding and unexercised immediately prior to the Effective Time, whether or not vested, shall be converted into and become an option to purchase Parent Common Stock (a “</w:t>
      </w:r>
      <w:r>
        <w:rPr>
          <w:rFonts w:ascii="Arial" w:cs="Arial" w:eastAsia="Arial" w:hAnsi="Arial"/>
          <w:sz w:val="16"/>
          <w:szCs w:val="16"/>
          <w:b w:val="1"/>
          <w:bCs w:val="1"/>
          <w:color w:val="auto"/>
        </w:rPr>
        <w:t>New Company Option</w:t>
      </w:r>
      <w:r>
        <w:rPr>
          <w:rFonts w:ascii="Arial" w:cs="Arial" w:eastAsia="Arial" w:hAnsi="Arial"/>
          <w:sz w:val="16"/>
          <w:szCs w:val="16"/>
          <w:color w:val="auto"/>
        </w:rPr>
        <w:t>”) as set forth in this Section 1.10, and Parent shall assume such Company Stock Option in accordance with the terms of the Company’s 2011 Equity Incentive Plan (the “</w:t>
      </w:r>
      <w:r>
        <w:rPr>
          <w:rFonts w:ascii="Arial" w:cs="Arial" w:eastAsia="Arial" w:hAnsi="Arial"/>
          <w:sz w:val="16"/>
          <w:szCs w:val="16"/>
          <w:b w:val="1"/>
          <w:bCs w:val="1"/>
          <w:color w:val="auto"/>
        </w:rPr>
        <w:t>Company Option Plan</w:t>
      </w:r>
      <w:r>
        <w:rPr>
          <w:rFonts w:ascii="Arial" w:cs="Arial" w:eastAsia="Arial" w:hAnsi="Arial"/>
          <w:sz w:val="16"/>
          <w:szCs w:val="16"/>
          <w:color w:val="auto"/>
        </w:rPr>
        <w:t xml:space="preserve">”) and the terms of the agreement under which such Company Stock Option was issued (except that the call feature of such Company Stock Option shall cease to be of any force and effect), except that the form of the New Company Option shall be substantially similar to the Series 2 Warrant (as defined below). All rights with respect to Company Common Stock under Company Stock Options assumed by Parent shall thereupon be converted into rights with respect to Parent Common Stock. Accordingly, from and after the Effective Time: (i) each Company Stock Option assumed by Parent may be exercised solely for shares of Parent Common Stock; (ii) the number of shares of Parent Common Stock subject to each Company Stock Option assumed by Parent shall be determined by multiplying the number of shares of Company Common Stock that were subject to such Company Stock Option immediately prior to the Effective Time by the Common Stock Exchange Ratio, and rounding the resulting number in accordance with Section 1.14 hereof; (iii) the per share exercise price for the Parent Common Stock issuable upon exercise of each Company Stock Option assumed by Parent shall be determined by dividing the per share exercise price of Company Common Stock subject to such Company Stock Option, as in effect immediately prior to the Effective Time, by the Common Stock Exchange Ratio, and rounding the resulting exercise price up to the nearest whole cent; and (iv) any restriction on the exercise of any Company Stock Option assumed by Parent shall continue in full force and effect and the term, exercisability, vesting schedule and other provisions of such Company Stock Option shall otherwise remain unchanged as a result of the assumption of such Company Stock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of Parent or a committee thereof shall succeed to the authority and responsibility of the board of directors of the Company or any committee thereof with respect to each Company Stock Option assumed by Parent. Prior to the Effective Time, the Company and Parent shall take all action that may be necessary (under the Company Stock Plans and otherwise) to effectuate the provisions of this Section 1.10(a) and to ensure that, from and after the Effective Time, holders of Company Stock Options have no rights with respect thereto other than those specifically provided in this Section 1.10(a).</w:t>
      </w:r>
    </w:p>
    <w:p>
      <w:pPr>
        <w:spacing w:after="0" w:line="284" w:lineRule="exact"/>
        <w:rPr>
          <w:rFonts w:ascii="Arial" w:cs="Arial" w:eastAsia="Arial" w:hAnsi="Arial"/>
          <w:sz w:val="16"/>
          <w:szCs w:val="16"/>
          <w:color w:val="auto"/>
        </w:rPr>
      </w:pPr>
    </w:p>
    <w:p>
      <w:pPr>
        <w:jc w:val="both"/>
        <w:ind w:left="320" w:right="619" w:firstLine="260"/>
        <w:spacing w:after="0" w:line="255" w:lineRule="auto"/>
        <w:tabs>
          <w:tab w:leader="none" w:pos="89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Warrant that is outstanding and unexercised immediately prior to the Effective Time, shall be exchanged for 250,000 shares of Parent Common Stock and 850,000 warrants to purchase 850,000 shares of Parent Common Stock with an exercise price of $1.76 per share (“</w:t>
      </w:r>
      <w:r>
        <w:rPr>
          <w:rFonts w:ascii="Arial" w:cs="Arial" w:eastAsia="Arial" w:hAnsi="Arial"/>
          <w:sz w:val="18"/>
          <w:szCs w:val="18"/>
          <w:b w:val="1"/>
          <w:bCs w:val="1"/>
          <w:color w:val="auto"/>
        </w:rPr>
        <w:t>New Company Warrant</w:t>
      </w:r>
      <w:r>
        <w:rPr>
          <w:rFonts w:ascii="Arial" w:cs="Arial" w:eastAsia="Arial" w:hAnsi="Arial"/>
          <w:sz w:val="18"/>
          <w:szCs w:val="18"/>
          <w:color w:val="auto"/>
        </w:rPr>
        <w:t>”), with the form of the New Company Warrant to be in the form of the Series 2 Warrant. Prior</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8" w:name="page249"/>
    <w:bookmarkEnd w:id="2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to the Effective Time, the Company shall take all actions necessary or reasonably requested by Parent (including obtaining any necessary consents) to effectuate the provisions of this Section 1.10(b).</w:t>
      </w:r>
    </w:p>
    <w:p>
      <w:pPr>
        <w:spacing w:after="0" w:line="65"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Capital Stock of Company</w:t>
      </w:r>
      <w:r>
        <w:rPr>
          <w:rFonts w:ascii="Arial" w:cs="Arial" w:eastAsia="Arial" w:hAnsi="Arial"/>
          <w:sz w:val="17"/>
          <w:szCs w:val="17"/>
          <w:color w:val="auto"/>
        </w:rPr>
        <w:t>. Each share of common stock of Merger Sub, par value $0.01 per share (the “</w:t>
      </w:r>
      <w:r>
        <w:rPr>
          <w:rFonts w:ascii="Arial" w:cs="Arial" w:eastAsia="Arial" w:hAnsi="Arial"/>
          <w:sz w:val="17"/>
          <w:szCs w:val="17"/>
          <w:b w:val="1"/>
          <w:bCs w:val="1"/>
          <w:color w:val="auto"/>
        </w:rPr>
        <w:t>Merger Sub</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Stock</w:t>
      </w:r>
      <w:r>
        <w:rPr>
          <w:rFonts w:ascii="Arial" w:cs="Arial" w:eastAsia="Arial" w:hAnsi="Arial"/>
          <w:sz w:val="17"/>
          <w:szCs w:val="17"/>
          <w:color w:val="auto"/>
        </w:rPr>
        <w:t>”) issued and outstanding immediately prior to the Effective Time shall, from and after the Effective Time, remain</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and shall constitute the only outstanding shares of common stock of the Surviving Corporation.</w:t>
      </w:r>
    </w:p>
    <w:p>
      <w:pPr>
        <w:spacing w:after="0" w:line="59"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Issuance of Parent Warrants</w:t>
      </w:r>
      <w:r>
        <w:rPr>
          <w:rFonts w:ascii="Arial" w:cs="Arial" w:eastAsia="Arial" w:hAnsi="Arial"/>
          <w:sz w:val="18"/>
          <w:szCs w:val="18"/>
          <w:color w:val="auto"/>
        </w:rPr>
        <w:t xml:space="preserve">. At the Effective Time, Parent will issue to the Company stockholders including the holder of the Company Warrants,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the following:</w:t>
      </w:r>
    </w:p>
    <w:p>
      <w:pPr>
        <w:spacing w:after="0" w:line="69" w:lineRule="exact"/>
        <w:rPr>
          <w:sz w:val="20"/>
          <w:szCs w:val="20"/>
          <w:color w:val="auto"/>
        </w:rPr>
      </w:pPr>
    </w:p>
    <w:p>
      <w:pPr>
        <w:ind w:left="320" w:right="639" w:firstLine="260"/>
        <w:spacing w:after="0" w:line="300" w:lineRule="auto"/>
        <w:tabs>
          <w:tab w:leader="none" w:pos="91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an aggregate of 8,299,116 warrants to purchase an aggregate of 8,299,116 shares of Parent Common Stock with an exercise price of $1.76 per share,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b w:val="1"/>
          <w:bCs w:val="1"/>
          <w:color w:val="auto"/>
        </w:rPr>
        <w:t>Series 1 Warrants</w:t>
      </w:r>
      <w:r>
        <w:rPr>
          <w:rFonts w:ascii="Arial" w:cs="Arial" w:eastAsia="Arial" w:hAnsi="Arial"/>
          <w:sz w:val="17"/>
          <w:szCs w:val="17"/>
          <w:color w:val="auto"/>
        </w:rPr>
        <w:t>”); and</w:t>
      </w:r>
    </w:p>
    <w:p>
      <w:pPr>
        <w:spacing w:after="0" w:line="45" w:lineRule="exact"/>
        <w:rPr>
          <w:rFonts w:ascii="Arial" w:cs="Arial" w:eastAsia="Arial" w:hAnsi="Arial"/>
          <w:sz w:val="17"/>
          <w:szCs w:val="17"/>
          <w:color w:val="auto"/>
        </w:rPr>
      </w:pPr>
    </w:p>
    <w:p>
      <w:pPr>
        <w:ind w:left="320" w:right="619" w:firstLine="260"/>
        <w:spacing w:after="0" w:line="300" w:lineRule="auto"/>
        <w:tabs>
          <w:tab w:leader="none" w:pos="92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an aggregate of 7,660,722 warrants to purchase an aggregate of 7,660,722 shares of Parent Common Stock with an exercise price of $1.76 per share,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(the “</w:t>
      </w:r>
      <w:r>
        <w:rPr>
          <w:rFonts w:ascii="Arial" w:cs="Arial" w:eastAsia="Arial" w:hAnsi="Arial"/>
          <w:sz w:val="17"/>
          <w:szCs w:val="17"/>
          <w:b w:val="1"/>
          <w:bCs w:val="1"/>
          <w:color w:val="auto"/>
        </w:rPr>
        <w:t>Series 2 Warrants</w:t>
      </w:r>
      <w:r>
        <w:rPr>
          <w:rFonts w:ascii="Arial" w:cs="Arial" w:eastAsia="Arial" w:hAnsi="Arial"/>
          <w:sz w:val="17"/>
          <w:szCs w:val="17"/>
          <w:color w:val="auto"/>
        </w:rPr>
        <w:t>”).</w:t>
      </w:r>
    </w:p>
    <w:p>
      <w:pPr>
        <w:spacing w:after="0" w:line="46"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Adjustments to Exchange Ratios</w:t>
      </w:r>
      <w:r>
        <w:rPr>
          <w:rFonts w:ascii="Arial" w:cs="Arial" w:eastAsia="Arial" w:hAnsi="Arial"/>
          <w:sz w:val="18"/>
          <w:szCs w:val="18"/>
          <w:color w:val="auto"/>
        </w:rPr>
        <w:t xml:space="preserve">. Notwithstanding any other provision of this Agreement, the Common Stock Exchange Ratio and the number of Conversion Shares shall not be adjusted, without the prior written consent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prior written consent shall not be unreasonably conditioned, withheld or delayed with regard to any such adjustments being made with respect to a reverse split of the equity securities of the Parent undertaken for the purpose of maintaining Parent’s listing on NYSE Amex or as contemplated by Section 3.4.</w:t>
      </w:r>
    </w:p>
    <w:p>
      <w:pPr>
        <w:spacing w:after="0" w:line="8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certificate or scrip representing fractional shares of Parent Common Stock or Parent Preferred Stock shall be issued upon the surrender of Company Certificates for exchange, and such fractional share interests will not entitle the owner thereof to vote or to any other rights of a stockholder of Parent. Notwithstanding any other provision of this Agreement, each holder of shares of Company Capital Stock who would otherwise be entitled to receive a fraction of a share of Parent Common Stock or Parent Preferred Stock (after taking into account all Company Certificates delivered by such holder) shall receive from Parent, in lieu thereof, the next highest number of whole shares of Parent Common Stock or Parent Preferred Stock, as applicable.</w:t>
      </w:r>
    </w:p>
    <w:p>
      <w:pPr>
        <w:spacing w:after="0" w:line="89" w:lineRule="exact"/>
        <w:rPr>
          <w:sz w:val="20"/>
          <w:szCs w:val="20"/>
          <w:color w:val="auto"/>
        </w:rPr>
      </w:pPr>
    </w:p>
    <w:p>
      <w:pPr>
        <w:jc w:val="both"/>
        <w:ind w:left="40" w:right="619" w:firstLine="267"/>
        <w:spacing w:after="0" w:line="283"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Exchange of Certificates</w:t>
      </w:r>
      <w:r>
        <w:rPr>
          <w:rFonts w:ascii="Arial" w:cs="Arial" w:eastAsia="Arial" w:hAnsi="Arial"/>
          <w:sz w:val="16"/>
          <w:szCs w:val="16"/>
          <w:color w:val="auto"/>
        </w:rPr>
        <w:t>. As promptly as practicable before or after the Effective Time, Parent (or its designee or exchange agent, if reasonably determined by the parties to be necessary) will send to each Company Stockholder a letter of transmittal (the form of which shall be mutually agreed by and between the Parent and the Company, each acting reasonably) for use in enabling Parent to issue one or more certificates representing the prescribed number of shares of Parent Common Stock or Parent Preferred Stock to which such Company Stockholder may be entitled as determined in accordance with the provisions of this Agreement. Upon delivery of a duly executed letter of transmittal, such Company Stockholder will be entitled to receive the portion of the Merger Consideration to which such Company Stockholder may be entitled (as determined in accordance with the provisions of this Agreement). It is intended that such letter of transmittal will contain provisions requiring each executing Company Stockholder thereof to (a) acknowledge and agree to be bound by the terms and conditions applicable to the Company Stockholders, including, without limitation Section 1.7 of this Agreement, (b) make representations and warranties with respect to ownership of the Company Capital Stock owned or held by such Company Stockholder at that time, and (c) waive all appraisal or dissenter’s rights, in each case, in a form reasonably satisfactory to Parent and as a condition precedent to Parent’s obligation to issue shares of Parent Common Stock to such Company Stockholder.</w:t>
      </w:r>
    </w:p>
    <w:p>
      <w:pPr>
        <w:spacing w:after="0" w:line="67"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No Liability</w:t>
      </w:r>
      <w:r>
        <w:rPr>
          <w:rFonts w:ascii="Arial" w:cs="Arial" w:eastAsia="Arial" w:hAnsi="Arial"/>
          <w:sz w:val="17"/>
          <w:szCs w:val="17"/>
          <w:color w:val="auto"/>
        </w:rPr>
        <w:t>. Notwithstanding any other provision of this Agreement, none of the Parent or the Surviving Corporation shall be liable to a holder of shares of Company Capital Stock for any shares of Parent Common Stock or any amount of cash properly paid to a public official pursuant to any applicable abandoned property, escheat or similar law.</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49" w:name="page250"/>
    <w:bookmarkEnd w:id="2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Lost Certificates</w:t>
      </w:r>
      <w:r>
        <w:rPr>
          <w:rFonts w:ascii="Arial" w:cs="Arial" w:eastAsia="Arial" w:hAnsi="Arial"/>
          <w:sz w:val="18"/>
          <w:szCs w:val="18"/>
          <w:color w:val="auto"/>
        </w:rPr>
        <w:t>. If any Company Certificate shall have been lost, stolen or destroyed, upon the making of an affidavit (in form and substance reasonably acceptable to Parent) of that fact by the Person claiming such Company Certificate to be lost, stolen or destroyed and, if reasonably required by Parent, the posting by such Person of a bond, in such reasonable amount as Parent may direct, as indemnity against any claim that may be made against it with respect to such Company Certificate, the Parent will issue, in exchange for such lost, stolen or destroyed Company Certificate, the applicable portion of the Merger Consideration as contemplated by this Article I. For purposes of this Agreement, “</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Governmental Authority, corporation, general or limited partnership, limited liability company, joint venture, trust, association or unincorporated entity of any kind.</w:t>
      </w:r>
    </w:p>
    <w:p>
      <w:pPr>
        <w:spacing w:after="0" w:line="86"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If, at any time and from time to time after the Effective Time, any further action is necessary or desirable to carry out the purposes of this Agreement and to vest in the Surviving Corporation full right, title and possession of all assets, properties, rights, privileges, powers and franchises of the Company and Merger Sub, the officers and directors of the Surviving Corporation shall be and are fully authorized and directed, in the name of and on behalf of the Company and Merger Sub, to take, or cause to be taken, all such lawful and necessary action as is not inconsistent with this Agreement.</w:t>
      </w:r>
    </w:p>
    <w:p>
      <w:pPr>
        <w:spacing w:after="0" w:line="16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II</w:t>
      </w:r>
    </w:p>
    <w:p>
      <w:pPr>
        <w:spacing w:after="0" w:line="22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1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Except as set forth in the disclosure schedule provided by the Company to Parent on the date hereof and accepted in writing by Parent (the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the Company, on behalf of itself and its Subsidiaries (as defined in Section 2.2(f)) represents and warrants to Parent that the statements contained in this Article II are true, complete and correct. The Company Disclosure Schedule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any change, event or occurrence that has a material adverse effect on the condition (financial or otherwise), business, operations, 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executive officers of the Company.</w:t>
      </w:r>
    </w:p>
    <w:p>
      <w:pPr>
        <w:spacing w:after="0" w:line="200" w:lineRule="exact"/>
        <w:rPr>
          <w:sz w:val="20"/>
          <w:szCs w:val="20"/>
          <w:color w:val="auto"/>
        </w:rPr>
      </w:pPr>
    </w:p>
    <w:p>
      <w:pPr>
        <w:spacing w:after="0" w:line="3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0" w:name="page251"/>
    <w:bookmarkEnd w:id="2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8" w:lineRule="auto"/>
        <w:tabs>
          <w:tab w:leader="none" w:pos="87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Company is a corporation duly organized, validly existing and in corporate and tax good standing under the laws of the State of Delaware. The Company is duly qualified or licensed as a foreign corporation to conduct business, and is in corporate and tax good standing in each jurisdiction is listed in Section 2.1(a)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 Each such jurisdiction is listed in Section 2.1(a) of the Company Disclosure Schedule.</w:t>
      </w:r>
    </w:p>
    <w:p>
      <w:pPr>
        <w:spacing w:after="0" w:line="75" w:lineRule="exact"/>
        <w:rPr>
          <w:rFonts w:ascii="Arial" w:cs="Arial" w:eastAsia="Arial" w:hAnsi="Arial"/>
          <w:sz w:val="17"/>
          <w:szCs w:val="17"/>
          <w:color w:val="auto"/>
        </w:rPr>
      </w:pPr>
    </w:p>
    <w:p>
      <w:pPr>
        <w:jc w:val="both"/>
        <w:ind w:left="320" w:right="619" w:firstLine="260"/>
        <w:spacing w:after="0" w:line="255" w:lineRule="auto"/>
        <w:tabs>
          <w:tab w:leader="none" w:pos="90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carry on the businesses in which it is engaged and to own and use the properties owned and used by it. The Company has made available to Parent true, complete and correct copies of its Certificate of Incorporation and Bylaws, each as amended to date. The Company is not in default under or in violation of any provision of its Certificate of Incorporation or Bylaws.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4" w:lineRule="exact"/>
        <w:rPr>
          <w:sz w:val="20"/>
          <w:szCs w:val="20"/>
          <w:color w:val="auto"/>
        </w:rPr>
      </w:pPr>
    </w:p>
    <w:p>
      <w:pPr>
        <w:ind w:left="320" w:right="639" w:firstLine="260"/>
        <w:spacing w:after="0" w:line="270" w:lineRule="auto"/>
        <w:tabs>
          <w:tab w:leader="none" w:pos="8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Section 2.2(a) of the Company Disclosure Schedule sets forth a true, complete and correct list of each Subsidiary of the Company.</w:t>
      </w:r>
    </w:p>
    <w:p>
      <w:pPr>
        <w:spacing w:after="0" w:line="68" w:lineRule="exact"/>
        <w:rPr>
          <w:rFonts w:ascii="Arial" w:cs="Arial" w:eastAsia="Arial" w:hAnsi="Arial"/>
          <w:sz w:val="18"/>
          <w:szCs w:val="18"/>
          <w:color w:val="auto"/>
        </w:rPr>
      </w:pPr>
    </w:p>
    <w:p>
      <w:pPr>
        <w:jc w:val="both"/>
        <w:ind w:left="320" w:right="639" w:firstLine="260"/>
        <w:spacing w:after="0" w:line="268" w:lineRule="auto"/>
        <w:tabs>
          <w:tab w:leader="none" w:pos="94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Each Subsidiary of the Company is a corporation duly organized, validly existing and in corporate and tax good standing under the laws of the jurisdiction of its incorporation, and is duly qualified or licensed as a foreign corporation to conduct business, and is in corporate and tax good standing, in each jurisdiction listed in Section 2.2(b)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75" w:lineRule="exact"/>
        <w:rPr>
          <w:rFonts w:ascii="Arial" w:cs="Arial" w:eastAsia="Arial" w:hAnsi="Arial"/>
          <w:sz w:val="17"/>
          <w:szCs w:val="17"/>
          <w:color w:val="auto"/>
        </w:rPr>
      </w:pPr>
    </w:p>
    <w:p>
      <w:pPr>
        <w:jc w:val="both"/>
        <w:ind w:left="320" w:right="619" w:firstLine="260"/>
        <w:spacing w:after="0" w:line="253" w:lineRule="auto"/>
        <w:tabs>
          <w:tab w:leader="none" w:pos="87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Subsidiary of the Company has all requisite corporate power and authority to carry on the businesses in which it is engaged and to own and use the properties owned and used by it. The Company has made available to Parent true, complete and correct copies of the Certificate of Incorporation and Bylaws or similar organizational documents of each Subsidiary, each as amended to date. No Subsidiary is in default under or in violation of any provision of its Certificate of Incorporation or Bylaws or similar organizational documents.</w:t>
      </w:r>
    </w:p>
    <w:p>
      <w:pPr>
        <w:spacing w:after="0" w:line="85" w:lineRule="exact"/>
        <w:rPr>
          <w:rFonts w:ascii="Arial" w:cs="Arial" w:eastAsia="Arial" w:hAnsi="Arial"/>
          <w:sz w:val="18"/>
          <w:szCs w:val="18"/>
          <w:color w:val="auto"/>
        </w:rPr>
      </w:pPr>
    </w:p>
    <w:p>
      <w:pPr>
        <w:jc w:val="both"/>
        <w:ind w:left="320" w:right="619" w:firstLine="260"/>
        <w:spacing w:after="0" w:line="265" w:lineRule="auto"/>
        <w:tabs>
          <w:tab w:leader="none" w:pos="90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Except as set forth on Section 2.2(d) of the Company Disclosure Schedule, all of the issued and outstanding shares of capital stock of, or other equity interests in, each Subsidiary of the Company are: (i) duly authorized, validly issued, fully paid, non-assessable; (ii) owned, directly or indirectly, by the Company free and clear of all liens, claims, security interests, pledges and encumbrances of any kind or nature whatsoever (collectively, “</w:t>
      </w:r>
      <w:r>
        <w:rPr>
          <w:rFonts w:ascii="Arial" w:cs="Arial" w:eastAsia="Arial" w:hAnsi="Arial"/>
          <w:sz w:val="17"/>
          <w:szCs w:val="17"/>
          <w:b w:val="1"/>
          <w:bCs w:val="1"/>
          <w:color w:val="auto"/>
        </w:rPr>
        <w:t>Liens</w:t>
      </w:r>
      <w:r>
        <w:rPr>
          <w:rFonts w:ascii="Arial" w:cs="Arial" w:eastAsia="Arial" w:hAnsi="Arial"/>
          <w:sz w:val="17"/>
          <w:szCs w:val="17"/>
          <w:color w:val="auto"/>
        </w:rPr>
        <w:t>”); and (iii) free of any restriction, including, without limitation, any restriction which prevents the payment of dividends to the Company or any other Subsidiary of the Company, or which otherwise restricts the right to vote, sell or otherwise dispose of such capital stock or other ownership interest, other than restrictions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state securities laws. There are no outstanding or authorized options, warrants, rights, agreements or commitments to which the Company or its Subsidiaries is a party or which are binding on any of them providing for the issuance, disposition or acquisition of any capital stock of any Subsidiary of the Company. There are no outstanding stock appreciation, phantom stock or similar rights with respect to any Subsidiary of the Company. Except as set forth on Section 2.2(d) of the Company Disclosure Schedule, there are no voting trusts, proxies or other agreements or understandings with respect to the voting of any capital stock of any Subsidiary of the Company.</w:t>
      </w:r>
    </w:p>
    <w:p>
      <w:pPr>
        <w:spacing w:after="0" w:line="200" w:lineRule="exact"/>
        <w:rPr>
          <w:sz w:val="20"/>
          <w:szCs w:val="20"/>
          <w:color w:val="auto"/>
        </w:rPr>
      </w:pP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1" w:name="page252"/>
    <w:bookmarkEnd w:id="2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9" w:lineRule="auto"/>
        <w:tabs>
          <w:tab w:leader="none" w:pos="92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does not control, directly or indirectly, or have any direct or indirect equity participation or similar interest in any corporation, partnership, limited liability company, joint venture, trust or other business association which is not set forth on Section 2.2(e) of the Company Disclosure Schedule.</w:t>
      </w:r>
    </w:p>
    <w:p>
      <w:pPr>
        <w:spacing w:after="0" w:line="74" w:lineRule="exact"/>
        <w:rPr>
          <w:rFonts w:ascii="Arial" w:cs="Arial" w:eastAsia="Arial" w:hAnsi="Arial"/>
          <w:sz w:val="18"/>
          <w:szCs w:val="18"/>
          <w:color w:val="auto"/>
        </w:rPr>
      </w:pPr>
    </w:p>
    <w:p>
      <w:pPr>
        <w:jc w:val="both"/>
        <w:ind w:left="320" w:right="619" w:firstLine="260"/>
        <w:spacing w:after="0" w:line="289" w:lineRule="auto"/>
        <w:tabs>
          <w:tab w:leader="none" w:pos="89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or other organization, whether incorporated or unincorporated, of which: (i) such Person (or any other Subsidiary of such Person) is a general partner (excluding partnerships, the general partnerships of which held by such Person or Subsidiary of such Person do not have a majority of the voting interest of such partnership); or (ii) at least a majority of the securities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4" w:lineRule="exact"/>
        <w:rPr>
          <w:sz w:val="20"/>
          <w:szCs w:val="20"/>
          <w:color w:val="auto"/>
        </w:rPr>
      </w:pPr>
    </w:p>
    <w:p>
      <w:pPr>
        <w:ind w:left="320" w:right="619" w:firstLine="260"/>
        <w:spacing w:after="0" w:line="270" w:lineRule="auto"/>
        <w:tabs>
          <w:tab w:leader="none" w:pos="9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authorized Company Capital Stock consists of (i) 100,000,000 shares of Company Common Stock; and (ii) 10,000,000 shares of Series A Stock.</w:t>
      </w:r>
    </w:p>
    <w:p>
      <w:pPr>
        <w:spacing w:after="0" w:line="68" w:lineRule="exact"/>
        <w:rPr>
          <w:rFonts w:ascii="Arial" w:cs="Arial" w:eastAsia="Arial" w:hAnsi="Arial"/>
          <w:sz w:val="18"/>
          <w:szCs w:val="18"/>
          <w:color w:val="auto"/>
        </w:rPr>
      </w:pPr>
    </w:p>
    <w:p>
      <w:pPr>
        <w:jc w:val="both"/>
        <w:ind w:left="320" w:right="619" w:firstLine="260"/>
        <w:spacing w:after="0" w:line="266" w:lineRule="auto"/>
        <w:tabs>
          <w:tab w:leader="none" w:pos="90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As of the date hereof: (i) 5,624,661 shares of Company Common Stock are issued and outstanding; (ii) 6,968 shares have been designated as Series A Stock, of which 6,968 shares are issued and outstanding, and 9,058,400 shares of Company Common Stock are duly reserved for future issuance pursuant to conversions thereunder; (iii) no shares of Company Common Stock are held in the treasury of the Company; (iv) 13,646 shares of Company Common Stock are duly reserved for future issuance pursuant to stock options granted pursuant to the Company Option Plan or otherwise (the “</w:t>
      </w:r>
      <w:r>
        <w:rPr>
          <w:rFonts w:ascii="Arial" w:cs="Arial" w:eastAsia="Arial" w:hAnsi="Arial"/>
          <w:sz w:val="17"/>
          <w:szCs w:val="17"/>
          <w:b w:val="1"/>
          <w:bCs w:val="1"/>
          <w:color w:val="auto"/>
        </w:rPr>
        <w:t>Company Stock</w:t>
      </w:r>
      <w:r>
        <w:rPr>
          <w:rFonts w:ascii="Arial" w:cs="Arial" w:eastAsia="Arial" w:hAnsi="Arial"/>
          <w:sz w:val="17"/>
          <w:szCs w:val="17"/>
          <w:color w:val="auto"/>
        </w:rPr>
        <w:t xml:space="preserve"> </w:t>
      </w:r>
      <w:r>
        <w:rPr>
          <w:rFonts w:ascii="Arial" w:cs="Arial" w:eastAsia="Arial" w:hAnsi="Arial"/>
          <w:sz w:val="17"/>
          <w:szCs w:val="17"/>
          <w:b w:val="1"/>
          <w:bCs w:val="1"/>
          <w:color w:val="auto"/>
        </w:rPr>
        <w:t>Options</w:t>
      </w:r>
      <w:r>
        <w:rPr>
          <w:rFonts w:ascii="Arial" w:cs="Arial" w:eastAsia="Arial" w:hAnsi="Arial"/>
          <w:sz w:val="17"/>
          <w:szCs w:val="17"/>
          <w:color w:val="auto"/>
        </w:rPr>
        <w:t>”); and (v) 250,000 shares of Company Common Stock are duly reserved for future issuance upon exercise of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to purchase shares of the Company Capital Stock (the “</w:t>
      </w:r>
      <w:r>
        <w:rPr>
          <w:rFonts w:ascii="Arial" w:cs="Arial" w:eastAsia="Arial" w:hAnsi="Arial"/>
          <w:sz w:val="17"/>
          <w:szCs w:val="17"/>
          <w:b w:val="1"/>
          <w:bCs w:val="1"/>
          <w:color w:val="auto"/>
        </w:rPr>
        <w:t>Company Warrants</w:t>
      </w:r>
      <w:r>
        <w:rPr>
          <w:rFonts w:ascii="Arial" w:cs="Arial" w:eastAsia="Arial" w:hAnsi="Arial"/>
          <w:sz w:val="17"/>
          <w:szCs w:val="17"/>
          <w:color w:val="auto"/>
        </w:rPr>
        <w:t>”). Except as described above, as of the date hereof, there are no shares of voting or non-voting capital stock, equity interests or other securities of the Company authorized, issued, reserved for issuance or otherwise outstanding. Section 2.3(b) of the Company Disclosure Schedule sets forth a true, complete and correct list of all holders of Company Capital Stock indicating the number and class or series of Company Capital Stock held by each of them and, for holders of Series A Stock, the number of shares of Company Common Stock (if any) into which such Series A Stock is convertible.</w:t>
      </w:r>
    </w:p>
    <w:p>
      <w:pPr>
        <w:spacing w:after="0" w:line="73" w:lineRule="exact"/>
        <w:rPr>
          <w:rFonts w:ascii="Arial" w:cs="Arial" w:eastAsia="Arial" w:hAnsi="Arial"/>
          <w:sz w:val="17"/>
          <w:szCs w:val="17"/>
          <w:color w:val="auto"/>
        </w:rPr>
      </w:pPr>
    </w:p>
    <w:p>
      <w:pPr>
        <w:jc w:val="both"/>
        <w:ind w:left="320" w:right="619" w:firstLine="260"/>
        <w:spacing w:after="0" w:line="253"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outstanding shares of Company Capital Stock are, and all shares which may be issued pursuant to the Company Stock Options and Company Warrants, will be, when issued against payment therefore in accordance with the terms thereof, duly authorized, validly issued, fully paid and non-assessable, and not subject to, or issued in violation of, any kind of preemptive, subscription or of similar rights, and were or will be issued in compliance in all material respects with all applicable federal and state securities laws.</w:t>
      </w:r>
    </w:p>
    <w:p>
      <w:pPr>
        <w:spacing w:after="0" w:line="85" w:lineRule="exact"/>
        <w:rPr>
          <w:rFonts w:ascii="Arial" w:cs="Arial" w:eastAsia="Arial" w:hAnsi="Arial"/>
          <w:sz w:val="18"/>
          <w:szCs w:val="18"/>
          <w:color w:val="auto"/>
        </w:rPr>
      </w:pPr>
    </w:p>
    <w:p>
      <w:pPr>
        <w:jc w:val="both"/>
        <w:ind w:left="320" w:right="639" w:firstLine="260"/>
        <w:spacing w:after="0" w:line="285" w:lineRule="auto"/>
        <w:tabs>
          <w:tab w:leader="none" w:pos="91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There are no bonds, debentures, notes or other indebtedness of the Company having the right to vote (or convertible into securities having the right to vote) on any matters on which the Company stockholders may vote. Except as described in subsection (b) above,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shares of capital stock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65" w:lineRule="exact"/>
        <w:rPr>
          <w:rFonts w:ascii="Arial" w:cs="Arial" w:eastAsia="Arial" w:hAnsi="Arial"/>
          <w:sz w:val="16"/>
          <w:szCs w:val="16"/>
          <w:color w:val="auto"/>
        </w:rPr>
      </w:pPr>
    </w:p>
    <w:p>
      <w:pPr>
        <w:jc w:val="both"/>
        <w:ind w:left="320" w:right="639" w:firstLine="260"/>
        <w:spacing w:after="0" w:line="259" w:lineRule="auto"/>
        <w:tabs>
          <w:tab w:leader="none" w:pos="91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Section 2.3(e) of the Company Disclosure Schedule sets forth a true, complete and correct list of the holders of all Company Stock Options and Company Warrants, including: (i) the number and class of Company Capital Stock subject to each such Company Stock Option or Company Warrant; (ii) the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2" w:name="page253"/>
    <w:bookmarkEnd w:id="2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date of grant; (iii) the exercise price; (iv) the date of grant, the vesting schedule, as applicable, and expiration date; and (v) any other material terms, including, without limitation, any terms regarding the acceleration of vesting.</w:t>
      </w:r>
    </w:p>
    <w:p>
      <w:pPr>
        <w:spacing w:after="0" w:line="69" w:lineRule="exact"/>
        <w:rPr>
          <w:sz w:val="20"/>
          <w:szCs w:val="20"/>
          <w:color w:val="auto"/>
        </w:rPr>
      </w:pPr>
    </w:p>
    <w:p>
      <w:pPr>
        <w:jc w:val="both"/>
        <w:ind w:left="320" w:right="619" w:firstLine="260"/>
        <w:spacing w:after="0" w:line="286" w:lineRule="auto"/>
        <w:tabs>
          <w:tab w:leader="none" w:pos="85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There are no outstanding contractual obligations of the Company to repurchase, redeem or otherwise acquire any shares of capital stock (or options to acquire any such shares) or other security or equity interest of the Company. Except as set forth in Section 2.3(f)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63" w:lineRule="exact"/>
        <w:rPr>
          <w:rFonts w:ascii="Arial" w:cs="Arial" w:eastAsia="Arial" w:hAnsi="Arial"/>
          <w:sz w:val="16"/>
          <w:szCs w:val="16"/>
          <w:color w:val="auto"/>
        </w:rPr>
      </w:pPr>
    </w:p>
    <w:p>
      <w:pPr>
        <w:jc w:val="both"/>
        <w:ind w:left="320" w:right="619" w:firstLine="260"/>
        <w:spacing w:after="0" w:line="297" w:lineRule="auto"/>
        <w:tabs>
          <w:tab w:leader="none" w:pos="90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Except as set forth in Section 2.3(g) of the Company Disclosure Schedule, there are no voting trusts, proxies or other agreements, arrangements, commitments or understandings of any character to which the Company or its Subsidiaries or, to the knowledge of the Company, is a party or by which the Company is bound with respect to the issuance, holding, acquisition, voting or disposition of any shares of capital stock or other security or equity interest of the Company or its Subsidiaries.</w:t>
      </w:r>
    </w:p>
    <w:p>
      <w:pPr>
        <w:spacing w:after="0" w:line="52"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Authority; No Conflict; Required Filings</w:t>
      </w:r>
      <w:r>
        <w:rPr>
          <w:rFonts w:ascii="Arial" w:cs="Arial" w:eastAsia="Arial" w:hAnsi="Arial"/>
          <w:sz w:val="16"/>
          <w:szCs w:val="16"/>
          <w:color w:val="auto"/>
        </w:rPr>
        <w:t>. (a) The Company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the Company and no other corporate proceedings are necessary other than, with respect to this Agreement and the Merger, the approval and adoption by by the affirmative vote each of (i) the holders of a majority of the outstanding Company Common Stock together with the holders of a majority of the outstanding shares of Series A Stock, voting as a single class; and (ii) the holders of a majority of the outstanding shares of Series A Stock, voting separately as a class in accordance with the DGCL and the Company’s Certificate of Incorporation (collectively, the “</w:t>
      </w:r>
      <w:r>
        <w:rPr>
          <w:rFonts w:ascii="Arial" w:cs="Arial" w:eastAsia="Arial" w:hAnsi="Arial"/>
          <w:sz w:val="16"/>
          <w:szCs w:val="16"/>
          <w:b w:val="1"/>
          <w:bCs w:val="1"/>
          <w:color w:val="auto"/>
        </w:rPr>
        <w:t>Company Stockholder Approval</w:t>
      </w:r>
      <w:r>
        <w:rPr>
          <w:rFonts w:ascii="Arial" w:cs="Arial" w:eastAsia="Arial" w:hAnsi="Arial"/>
          <w:sz w:val="16"/>
          <w:szCs w:val="16"/>
          <w:color w:val="auto"/>
        </w:rPr>
        <w:t>”).</w:t>
      </w:r>
    </w:p>
    <w:p>
      <w:pPr>
        <w:spacing w:after="0" w:line="65" w:lineRule="exact"/>
        <w:rPr>
          <w:sz w:val="20"/>
          <w:szCs w:val="20"/>
          <w:color w:val="auto"/>
        </w:rPr>
      </w:pPr>
    </w:p>
    <w:p>
      <w:pPr>
        <w:jc w:val="both"/>
        <w:ind w:left="320" w:right="619" w:firstLine="260"/>
        <w:spacing w:after="0" w:line="251" w:lineRule="auto"/>
        <w:tabs>
          <w:tab w:leader="none" w:pos="88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 (iv) the extent that any provision relating to indemnity and/or contribution is contrary to law or public policy as interpreted or applied by any court or governmental agency (collectively, the “</w:t>
      </w:r>
      <w:r>
        <w:rPr>
          <w:rFonts w:ascii="Arial" w:cs="Arial" w:eastAsia="Arial" w:hAnsi="Arial"/>
          <w:sz w:val="18"/>
          <w:szCs w:val="18"/>
          <w:b w:val="1"/>
          <w:bCs w:val="1"/>
          <w:color w:val="auto"/>
        </w:rPr>
        <w:t>Equitable</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jc w:val="both"/>
        <w:ind w:left="320" w:right="619" w:firstLine="260"/>
        <w:spacing w:after="0" w:line="282" w:lineRule="auto"/>
        <w:tabs>
          <w:tab w:leader="none" w:pos="875"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w:t>
      </w:r>
    </w:p>
    <w:p>
      <w:pPr>
        <w:spacing w:after="0" w:line="1" w:lineRule="exact"/>
        <w:rPr>
          <w:rFonts w:ascii="Arial" w:cs="Arial" w:eastAsia="Arial" w:hAnsi="Arial"/>
          <w:sz w:val="16"/>
          <w:szCs w:val="16"/>
          <w:color w:val="auto"/>
        </w:rPr>
      </w:pPr>
    </w:p>
    <w:p>
      <w:pPr>
        <w:jc w:val="both"/>
        <w:ind w:left="320" w:right="619" w:hanging="8"/>
        <w:spacing w:after="0" w:line="249" w:lineRule="auto"/>
        <w:tabs>
          <w:tab w:leader="none" w:pos="57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Certificate of Incorporation, Bylaws of the Company or other equivalent organizational documents of any of its Subsidiaries; (ii) subject to the governmental filings and other matters referred to in paragraph (d) below, any (A) permit, license, franchise, statute, law, ordinance or regulation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 except, in the case of clauses (ii) or (iii) above, for any</w:t>
      </w: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3" w:name="page254"/>
    <w:bookmarkEnd w:id="2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such conflicts, violations, defaults or other occurrences, if any, that could not, individually or in the aggregate, reasonably be expected to (x) result in a Company Material Adverse Effect or (y) impair in any material respect the ability of the Parties to consummate the Merger and the other transactions contemplated hereby on a timely basis.</w:t>
      </w:r>
    </w:p>
    <w:p>
      <w:pPr>
        <w:spacing w:after="0" w:line="78" w:lineRule="exact"/>
        <w:rPr>
          <w:sz w:val="20"/>
          <w:szCs w:val="20"/>
          <w:color w:val="auto"/>
        </w:rPr>
      </w:pPr>
    </w:p>
    <w:p>
      <w:pPr>
        <w:jc w:val="both"/>
        <w:ind w:left="320" w:right="619" w:firstLine="260"/>
        <w:spacing w:after="0" w:line="267" w:lineRule="auto"/>
        <w:tabs>
          <w:tab w:leader="none" w:pos="100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or filing with, any government, governmental, statutory, regulatory or administrative authority, agency, body or commission or any court, tribunal or judicial body, whether federal, state, local or foreign (each, a “</w:t>
      </w:r>
      <w:r>
        <w:rPr>
          <w:rFonts w:ascii="Arial" w:cs="Arial" w:eastAsia="Arial" w:hAnsi="Arial"/>
          <w:sz w:val="17"/>
          <w:szCs w:val="17"/>
          <w:b w:val="1"/>
          <w:bCs w:val="1"/>
          <w:color w:val="auto"/>
        </w:rPr>
        <w:t>Governmental Authority</w:t>
      </w:r>
      <w:r>
        <w:rPr>
          <w:rFonts w:ascii="Arial" w:cs="Arial" w:eastAsia="Arial" w:hAnsi="Arial"/>
          <w:sz w:val="17"/>
          <w:szCs w:val="17"/>
          <w:color w:val="auto"/>
        </w:rPr>
        <w:t>”) is required by or with respect to the Company or its Subsidiaries in connection with the execution and delivery of this Agreement or the consummation of the Merger and other transactions contemplated hereby except for: (i) the filing of the Certificate of Merger with the Secretary of State of the State of Delaware in accordance with the DGCL; and (ii) such consents, approvals, orders or authorizations, or registrations, declarations or filings which if not obtained or made, could not reasonably be expected to (A) result in a Company Material Adverse Effect or (B) impair in any material respect the ability of the Parties to consummate the Merger and the other transactions contemplated hereby on a timely basis.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Board Approval; Required Vote</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2" w:lineRule="auto"/>
        <w:tabs>
          <w:tab w:leader="none" w:pos="87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Board of Directors of the Company has, at a meeting duly called and held, by a unanimous vote of all directors: (i) approved and declared advisable this Agreement; (ii) determined that the Merger and other transactions contemplated by this Agreement are advisable, fair to and in the best interests of the Company and its stockholders; (iii) recommended to the Company stockholders (A) the approval of the Merger and the other transactions contemplated hereby and (B) the approval and adoption of this Agreement; and (iv) directed that this Agreement be submitted to the Company stockholders for their approval and adoption.</w:t>
      </w:r>
    </w:p>
    <w:p>
      <w:pPr>
        <w:spacing w:after="0" w:line="86" w:lineRule="exact"/>
        <w:rPr>
          <w:rFonts w:ascii="Arial" w:cs="Arial" w:eastAsia="Arial" w:hAnsi="Arial"/>
          <w:sz w:val="18"/>
          <w:szCs w:val="18"/>
          <w:color w:val="auto"/>
        </w:rPr>
      </w:pPr>
    </w:p>
    <w:p>
      <w:pPr>
        <w:ind w:left="320" w:right="639" w:firstLine="260"/>
        <w:spacing w:after="0" w:line="300" w:lineRule="auto"/>
        <w:tabs>
          <w:tab w:leader="none" w:pos="88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Company Stockholder Approval is the only vote of the holders of any class or series of the Company Capital Stock necessary to approve and adopt this Agreement, the Merger or the other transactions contemplated hereby.</w:t>
      </w:r>
    </w:p>
    <w:p>
      <w:pPr>
        <w:spacing w:after="0" w:line="46"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Financial Statements and Information</w:t>
      </w:r>
      <w:r>
        <w:rPr>
          <w:rFonts w:ascii="Arial" w:cs="Arial" w:eastAsia="Arial" w:hAnsi="Arial"/>
          <w:sz w:val="17"/>
          <w:szCs w:val="17"/>
          <w:color w:val="auto"/>
        </w:rPr>
        <w:t>. The Company has previously delivered to Parent true, complete and correct copies of its (i) audited balance sheet and the related audited consolidated statements of income, changes in stockholders’ equity, and cash flow for the fiscal year ended December 31, 2011 (the “</w:t>
      </w:r>
      <w:r>
        <w:rPr>
          <w:rFonts w:ascii="Arial" w:cs="Arial" w:eastAsia="Arial" w:hAnsi="Arial"/>
          <w:sz w:val="17"/>
          <w:szCs w:val="17"/>
          <w:b w:val="1"/>
          <w:bCs w:val="1"/>
          <w:color w:val="auto"/>
        </w:rPr>
        <w:t>Most Recent Balance Sheet Date</w:t>
      </w:r>
      <w:r>
        <w:rPr>
          <w:rFonts w:ascii="Arial" w:cs="Arial" w:eastAsia="Arial" w:hAnsi="Arial"/>
          <w:sz w:val="17"/>
          <w:szCs w:val="17"/>
          <w:color w:val="auto"/>
        </w:rPr>
        <w:t>”) (including the notes thereto, the “</w:t>
      </w:r>
      <w:r>
        <w:rPr>
          <w:rFonts w:ascii="Arial" w:cs="Arial" w:eastAsia="Arial" w:hAnsi="Arial"/>
          <w:sz w:val="17"/>
          <w:szCs w:val="17"/>
          <w:b w:val="1"/>
          <w:bCs w:val="1"/>
          <w:color w:val="auto"/>
        </w:rPr>
        <w:t>Most</w:t>
      </w:r>
      <w:r>
        <w:rPr>
          <w:rFonts w:ascii="Arial" w:cs="Arial" w:eastAsia="Arial" w:hAnsi="Arial"/>
          <w:sz w:val="17"/>
          <w:szCs w:val="17"/>
          <w:color w:val="auto"/>
        </w:rPr>
        <w:t xml:space="preserve"> </w:t>
      </w:r>
      <w:r>
        <w:rPr>
          <w:rFonts w:ascii="Arial" w:cs="Arial" w:eastAsia="Arial" w:hAnsi="Arial"/>
          <w:sz w:val="17"/>
          <w:szCs w:val="17"/>
          <w:b w:val="1"/>
          <w:bCs w:val="1"/>
          <w:color w:val="auto"/>
        </w:rPr>
        <w:t>Recent Balance Sheet</w:t>
      </w:r>
      <w:r>
        <w:rPr>
          <w:rFonts w:ascii="Arial" w:cs="Arial" w:eastAsia="Arial" w:hAnsi="Arial"/>
          <w:sz w:val="17"/>
          <w:szCs w:val="17"/>
          <w:color w:val="auto"/>
        </w:rPr>
        <w:t>”), and the related consolidated statements of income, changes in stockholders’ equity, and cash flow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Most Recent Balance Sheet Date, including in each case the notes thereto, together with the report thereon of Grant Thornton LLP, independent certified public accountants. Such financial statements and notes (i) fairly present the consolidated financial condition and the results of operations, changes in stockholders’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subject, in the case of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 and (iii) to the extent applicable, contain and reflect adequate provisions for all reasonably anticipated liabilities for all Taxes (as defined in Section 2.15) with respect to the periods then ended and all prior periods. The financial statements referred to in this Section 2.6 reflect the consistent application of such accounting principles throughout the periods involved, except as disclosed in the notes to such financial statements.</w:t>
      </w:r>
    </w:p>
    <w:p>
      <w:pPr>
        <w:spacing w:after="0" w:line="77"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Absence of Undisclosed Liabilities; Cash</w:t>
      </w:r>
      <w:r>
        <w:rPr>
          <w:rFonts w:ascii="Arial" w:cs="Arial" w:eastAsia="Arial" w:hAnsi="Arial"/>
          <w:sz w:val="17"/>
          <w:szCs w:val="17"/>
          <w:color w:val="auto"/>
        </w:rPr>
        <w:t>. The Company and its Subsidiaries do not have any liabilities or obligations, whether fixed, contingent, accrued or otherwise, liquidated or unliquidated and whether due or to become due, other than: (i) liabilities reflected or reserved against on the Most Recent Balance Sheet; (ii) obligations under any agreement disclosed in Section 2.9 of the Company Disclosure Schedule; (iii) liabilities or obligations incurred since the Most Recent Balance Sheet Date in the ordinary course of business, consistent with past practice in both type and amount; and (iv) liabilities or obligations not required to be reported by GAAP. As of the date hereof the Company has at least $4,000,000 in cash on hand</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4" w:name="page255"/>
    <w:bookmarkEnd w:id="2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spacing w:after="0" w:line="270" w:lineRule="auto"/>
        <w:rPr>
          <w:sz w:val="20"/>
          <w:szCs w:val="20"/>
          <w:color w:val="auto"/>
        </w:rPr>
      </w:pPr>
      <w:r>
        <w:rPr>
          <w:rFonts w:ascii="Arial" w:cs="Arial" w:eastAsia="Arial" w:hAnsi="Arial"/>
          <w:sz w:val="18"/>
          <w:szCs w:val="18"/>
          <w:color w:val="auto"/>
        </w:rPr>
        <w:t>and at the Effective Time will have at least $2,500,000 in cash on hand and the Company and its Subsidiaries (taken as a whole) are solvent, able to pay their indebtedness as it matures and has capital sufficient to carry on its business.</w:t>
      </w:r>
    </w:p>
    <w:p>
      <w:pPr>
        <w:spacing w:after="0" w:line="69" w:lineRule="exact"/>
        <w:rPr>
          <w:sz w:val="20"/>
          <w:szCs w:val="20"/>
          <w:color w:val="auto"/>
        </w:rPr>
      </w:pPr>
    </w:p>
    <w:p>
      <w:pPr>
        <w:jc w:val="both"/>
        <w:ind w:left="40" w:right="619" w:firstLine="267"/>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the Most Recent Balance Sheet Date, the Company and its Subsidiaries have conducted their respective businesses only in the ordinary course of business consistent with past practice, and there has not been:</w:t>
      </w:r>
    </w:p>
    <w:p>
      <w:pPr>
        <w:spacing w:after="0" w:line="1" w:lineRule="exact"/>
        <w:rPr>
          <w:sz w:val="20"/>
          <w:szCs w:val="20"/>
          <w:color w:val="auto"/>
        </w:rPr>
      </w:pPr>
    </w:p>
    <w:p>
      <w:pPr>
        <w:jc w:val="both"/>
        <w:ind w:left="40" w:right="639" w:firstLine="5"/>
        <w:spacing w:after="0" w:line="250" w:lineRule="auto"/>
        <w:tabs>
          <w:tab w:leader="none" w:pos="27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action, event or occurrence which has had, or could reasonably be expected to result in, a Company Material Adverse Effect; (ii) any action, event or occurrence which has had a loss or liability to the Company in excess of $500,000 or (iii) any other action, event or occurrence that would have required the consent of Parent pursuant to Section 4.1 had such action, event or occurrence taken place after the execution and delivery of this Agreement.</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4" w:lineRule="auto"/>
        <w:tabs>
          <w:tab w:leader="none" w:pos="8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Section 2.9(a) of the Company Disclosure Schedule set forth each agreement (or series of related agreements), contract or commitment (whether written or oral) to which the Company or its Subsidiaries is a party that (i) provides for payments to third parties which cannot be terminated by the Company without penalty or payment upon notice of thirty (30) days or less; (ii) grants any third party rights to license, market or sell any of the Company’s or its Subsidiaries products or services; (iii) grants any third party “most favored nation” pricing status; (iv) establishes a partnership or joint venture; (vi) creates, incurs, assumes or guarantees any obligation or indebtedness; (v) creates a security interest in, or allows for the transfer of, any assets of the Company or its Subsidiaries, whether tangible or intangible; (vii) provides for employment or consulting; (viii) involves any officer, director, stockholder or Affiliate (as defined in Section 2.21(a)) of the Company; (ix) imposes upon the Company or its Subsidiaries any obligation of confidentiality, non-competition or non-solicitation; (x) requires the Company or its Subsidiaries to indemnify any party thereto; (xi) could reasonably be expected to result in a Company Material Adverse Effect in the event of default or termination of such agreement; and (xii) any other agreement which was not entered into in the ordinary course of business (collectively, the “</w:t>
      </w:r>
      <w:r>
        <w:rPr>
          <w:rFonts w:ascii="Arial" w:cs="Arial" w:eastAsia="Arial" w:hAnsi="Arial"/>
          <w:sz w:val="16"/>
          <w:szCs w:val="16"/>
          <w:b w:val="1"/>
          <w:bCs w:val="1"/>
          <w:color w:val="auto"/>
        </w:rPr>
        <w:t>Company Material Contracts</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jc w:val="both"/>
        <w:ind w:left="320" w:right="619" w:firstLine="260"/>
        <w:spacing w:after="0" w:line="281" w:lineRule="auto"/>
        <w:tabs>
          <w:tab w:leader="none" w:pos="90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Neither the Company nor its Subsidiaries has breached, or received in writing any claim or threat that it has breached, any of the terms or conditions of any Company Material Contract in such a manner as would permit any other party thereto to cancel or terminate the same or to collect material damages from the Company or its Subsidiaries.</w:t>
      </w:r>
    </w:p>
    <w:p>
      <w:pPr>
        <w:spacing w:after="0" w:line="61" w:lineRule="exact"/>
        <w:rPr>
          <w:rFonts w:ascii="Arial" w:cs="Arial" w:eastAsia="Arial" w:hAnsi="Arial"/>
          <w:sz w:val="17"/>
          <w:szCs w:val="17"/>
          <w:color w:val="auto"/>
        </w:rPr>
      </w:pPr>
    </w:p>
    <w:p>
      <w:pPr>
        <w:jc w:val="both"/>
        <w:ind w:left="320" w:right="639" w:firstLine="260"/>
        <w:spacing w:after="0" w:line="259" w:lineRule="auto"/>
        <w:tabs>
          <w:tab w:leader="none" w:pos="9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78" w:lineRule="exact"/>
        <w:rPr>
          <w:rFonts w:ascii="Arial" w:cs="Arial" w:eastAsia="Arial" w:hAnsi="Arial"/>
          <w:sz w:val="18"/>
          <w:szCs w:val="18"/>
          <w:color w:val="auto"/>
        </w:rPr>
      </w:pPr>
    </w:p>
    <w:p>
      <w:pPr>
        <w:ind w:left="320" w:right="619" w:firstLine="260"/>
        <w:spacing w:after="0" w:line="270" w:lineRule="auto"/>
        <w:tabs>
          <w:tab w:leader="none" w:pos="88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has delivered to Parent a true, complete and correct copy of each agreement listed in Section 2.9(a) of the Company Disclosure Schedule.</w:t>
      </w:r>
    </w:p>
    <w:p>
      <w:pPr>
        <w:spacing w:after="0" w:line="6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the Company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Material Permits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9" w:lineRule="auto"/>
        <w:tabs>
          <w:tab w:leader="none" w:pos="87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Section 2.11(a)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8"/>
          <w:szCs w:val="18"/>
          <w:b w:val="1"/>
          <w:bCs w:val="1"/>
          <w:color w:val="auto"/>
        </w:rPr>
        <w:t>Material Permits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320" w:right="639" w:firstLine="260"/>
        <w:spacing w:after="0" w:line="270" w:lineRule="auto"/>
        <w:tabs>
          <w:tab w:leader="none" w:pos="8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of the Company and its Subsidiaries is in compliance in all material respects with the terms and conditions of the Material Permits.</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5" w:name="page256"/>
    <w:bookmarkEnd w:id="2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firstLine="260"/>
        <w:spacing w:after="0" w:line="259" w:lineRule="auto"/>
        <w:tabs>
          <w:tab w:leader="none" w:pos="96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Material Permit is in full force and effect and no action, proceeding, revocation proceeding, amendment procedure, writ, injunction or claim is pending or, to the knowledge of the Company, threatened, which seeks to revoke or limit any Material Permit.</w:t>
      </w:r>
    </w:p>
    <w:p>
      <w:pPr>
        <w:spacing w:after="0" w:line="78" w:lineRule="exact"/>
        <w:rPr>
          <w:rFonts w:ascii="Arial" w:cs="Arial" w:eastAsia="Arial" w:hAnsi="Arial"/>
          <w:sz w:val="18"/>
          <w:szCs w:val="18"/>
          <w:color w:val="auto"/>
        </w:rPr>
      </w:pPr>
    </w:p>
    <w:p>
      <w:pPr>
        <w:jc w:val="both"/>
        <w:ind w:left="320" w:right="639" w:firstLine="260"/>
        <w:spacing w:after="0" w:line="259" w:lineRule="auto"/>
        <w:tabs>
          <w:tab w:leader="none" w:pos="92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rights and benefits of each Material Permit will be available to the Surviving Corporation and its Subsidiaries immediately after the Effective Time on terms substantially identical to those enjoyed by the Company and its Subsidiaries immediately prior to the Effective Time.</w:t>
      </w:r>
    </w:p>
    <w:p>
      <w:pPr>
        <w:spacing w:after="0" w:line="78"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Section 2.12 of the Company Disclosure Schedule, there is no suit, action, arbitration, claim, governmental or other proceeding (collectively, “</w:t>
      </w:r>
      <w:r>
        <w:rPr>
          <w:rFonts w:ascii="Arial" w:cs="Arial" w:eastAsia="Arial" w:hAnsi="Arial"/>
          <w:sz w:val="17"/>
          <w:szCs w:val="17"/>
          <w:b w:val="1"/>
          <w:bCs w:val="1"/>
          <w:color w:val="auto"/>
        </w:rPr>
        <w:t>Action</w:t>
      </w:r>
      <w:r>
        <w:rPr>
          <w:rFonts w:ascii="Arial" w:cs="Arial" w:eastAsia="Arial" w:hAnsi="Arial"/>
          <w:sz w:val="17"/>
          <w:szCs w:val="17"/>
          <w:color w:val="auto"/>
        </w:rPr>
        <w:t>”) pending or, to the knowledge of the Company, threatened, against the Company or any of its Subsidiaries which, if decided adversely would (i) be considered reasonably likely to result in (A) a Company Material Adverse Effect or (B) damages payable by the Company or any of its Subsidiaries in excess of $500,000 in the aggregate; or (ii) otherwise impair in any material respect the ability of the Parties to consummate the Merger and other transactions contemplated by this Agreement on a timely basis.</w:t>
      </w:r>
    </w:p>
    <w:p>
      <w:pPr>
        <w:spacing w:after="0" w:line="71" w:lineRule="exact"/>
        <w:rPr>
          <w:sz w:val="20"/>
          <w:szCs w:val="20"/>
          <w:color w:val="auto"/>
        </w:rPr>
      </w:pPr>
    </w:p>
    <w:p>
      <w:pPr>
        <w:jc w:val="both"/>
        <w:ind w:left="40" w:right="639" w:firstLine="267"/>
        <w:spacing w:after="0" w:line="297"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Restrictions on Business Activities</w:t>
      </w:r>
      <w:r>
        <w:rPr>
          <w:rFonts w:ascii="Arial" w:cs="Arial" w:eastAsia="Arial" w:hAnsi="Arial"/>
          <w:sz w:val="16"/>
          <w:szCs w:val="16"/>
          <w:color w:val="auto"/>
        </w:rPr>
        <w:t>. Other than as contemplated by this Agreement, there is no agreement, judgment, injunction, order or decree binding upon or otherwise applicable to the Company or its Subsidiaries which has, or could reasonably be expected to have, the effect of prohibiting or materially impairing (i) any current or reasonably foreseeable business practice of the Company or its Subsidiaries; or (ii) any acquisition of any Person or property by the Company or its Subsidiaries.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72" w:lineRule="auto"/>
        <w:tabs>
          <w:tab w:leader="none" w:pos="887" w:val="left"/>
        </w:tabs>
        <w:numPr>
          <w:ilvl w:val="1"/>
          <w:numId w:val="177"/>
        </w:numPr>
        <w:rPr>
          <w:rFonts w:ascii="Arial" w:cs="Arial" w:eastAsia="Arial" w:hAnsi="Arial"/>
          <w:sz w:val="17"/>
          <w:szCs w:val="17"/>
          <w:color w:val="auto"/>
        </w:rPr>
      </w:pPr>
      <w:r>
        <w:rPr>
          <w:rFonts w:ascii="Arial" w:cs="Arial" w:eastAsia="Arial" w:hAnsi="Arial"/>
          <w:sz w:val="17"/>
          <w:szCs w:val="17"/>
          <w:color w:val="auto"/>
        </w:rPr>
        <w:t>Section 2.14(a) of the Company Disclosure Schedule sets forth a true, complete and correct list of all employees of the Company and its Subsidiaries, along with their position and actual rate of compensation. All full-time employees have entered into nondisclosure/assignment of inventions agreements with the Company or its Subsidiaries, true, complete and correct copies of which have previously been delivered to Parent. To the knowledge of the Company, no key employee or group of employees has any plans to terminate employment with the Company or its Subsidiaries.</w:t>
      </w:r>
    </w:p>
    <w:p>
      <w:pPr>
        <w:spacing w:after="0" w:line="68" w:lineRule="exact"/>
        <w:rPr>
          <w:rFonts w:ascii="Arial" w:cs="Arial" w:eastAsia="Arial" w:hAnsi="Arial"/>
          <w:sz w:val="17"/>
          <w:szCs w:val="17"/>
          <w:color w:val="auto"/>
        </w:rPr>
      </w:pPr>
    </w:p>
    <w:p>
      <w:pPr>
        <w:ind w:left="320" w:right="639" w:firstLine="260"/>
        <w:spacing w:after="0" w:line="300" w:lineRule="auto"/>
        <w:tabs>
          <w:tab w:leader="none" w:pos="89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Neither the Company nor its Subsidiaries is a party to or bound by any collective bargaining agreement, nor has any of them experienced any strikes, grievances, claims of unfair labor practices or other collective bargaining disputes.</w:t>
      </w:r>
    </w:p>
    <w:p>
      <w:pPr>
        <w:spacing w:after="0" w:line="45" w:lineRule="exact"/>
        <w:rPr>
          <w:rFonts w:ascii="Arial" w:cs="Arial" w:eastAsia="Arial" w:hAnsi="Arial"/>
          <w:sz w:val="17"/>
          <w:szCs w:val="17"/>
          <w:color w:val="auto"/>
        </w:rPr>
      </w:pPr>
    </w:p>
    <w:p>
      <w:pPr>
        <w:ind w:left="880" w:hanging="300"/>
        <w:spacing w:after="0"/>
        <w:tabs>
          <w:tab w:leader="none" w:pos="8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Neither the Company nor its Subsidiaries is a party to any written or oral: (i) union or collective bargaining agreement;</w:t>
      </w:r>
    </w:p>
    <w:p>
      <w:pPr>
        <w:spacing w:after="0" w:line="42" w:lineRule="exact"/>
        <w:rPr>
          <w:rFonts w:ascii="Arial" w:cs="Arial" w:eastAsia="Arial" w:hAnsi="Arial"/>
          <w:sz w:val="16"/>
          <w:szCs w:val="16"/>
          <w:color w:val="auto"/>
        </w:rPr>
      </w:pPr>
    </w:p>
    <w:p>
      <w:pPr>
        <w:jc w:val="both"/>
        <w:ind w:left="320" w:right="619" w:hanging="8"/>
        <w:spacing w:after="0" w:line="267" w:lineRule="auto"/>
        <w:tabs>
          <w:tab w:leader="none" w:pos="59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Company or its Subsidiaries providing any term of employment or compensation guarantee extending for a period longer than one year from the date hereof or for the payment of cash compensation in excess of $400,000 per annum; or (iv) agreement or plan the benefits of which will be increased, or the vesting of the benefits of which will be accelerated, upon the consummation of the Merger.</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0" w:lineRule="exact"/>
        <w:rPr>
          <w:sz w:val="20"/>
          <w:szCs w:val="20"/>
          <w:color w:val="auto"/>
        </w:rPr>
      </w:pPr>
    </w:p>
    <w:p>
      <w:pPr>
        <w:jc w:val="both"/>
        <w:ind w:left="320" w:right="639" w:firstLine="260"/>
        <w:spacing w:after="0" w:line="271" w:lineRule="auto"/>
        <w:tabs>
          <w:tab w:leader="none" w:pos="87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For purposes of this Agreement, a “</w:t>
      </w:r>
      <w:r>
        <w:rPr>
          <w:rFonts w:ascii="Arial" w:cs="Arial" w:eastAsia="Arial" w:hAnsi="Arial"/>
          <w:sz w:val="17"/>
          <w:szCs w:val="17"/>
          <w:b w:val="1"/>
          <w:bCs w:val="1"/>
          <w:color w:val="auto"/>
        </w:rPr>
        <w:t>Tax</w:t>
      </w:r>
      <w:r>
        <w:rPr>
          <w:rFonts w:ascii="Arial" w:cs="Arial" w:eastAsia="Arial" w:hAnsi="Arial"/>
          <w:sz w:val="17"/>
          <w:szCs w:val="17"/>
          <w:color w:val="auto"/>
        </w:rPr>
        <w:t>” means any and all federal, state, local and foreign taxes, assessments and other governmental charges, duties, impositions and liabilities, including, without limitation, taxes based upon or measured by gross receipts, income, profits, sales, use and occupation, value added, ad valorem, transfer, franchise, withholding, payroll, recapture, employment, excise and property taxes, together with all interest, penalties and additions imposed with respect to such amounts and any obligations under any agreements or arrangements with any other Person with respect to such amounts and including any liability for Taxes of a predecessor entity.</w:t>
      </w:r>
    </w:p>
    <w:p>
      <w:pPr>
        <w:spacing w:after="0" w:line="69" w:lineRule="exact"/>
        <w:rPr>
          <w:rFonts w:ascii="Arial" w:cs="Arial" w:eastAsia="Arial" w:hAnsi="Arial"/>
          <w:sz w:val="17"/>
          <w:szCs w:val="17"/>
          <w:color w:val="auto"/>
        </w:rPr>
      </w:pPr>
    </w:p>
    <w:p>
      <w:pPr>
        <w:jc w:val="both"/>
        <w:ind w:left="320" w:right="619" w:firstLine="260"/>
        <w:spacing w:after="0" w:line="255" w:lineRule="auto"/>
        <w:tabs>
          <w:tab w:leader="none" w:pos="9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and its Subsidiaries have accurately prepared and have or will timely, including within extended deadlines, file all federal, state, local and foreign returns, estimates, information statements and reports required to be filed by it (collectively, “</w:t>
      </w:r>
      <w:r>
        <w:rPr>
          <w:rFonts w:ascii="Arial" w:cs="Arial" w:eastAsia="Arial" w:hAnsi="Arial"/>
          <w:sz w:val="18"/>
          <w:szCs w:val="18"/>
          <w:b w:val="1"/>
          <w:bCs w:val="1"/>
          <w:color w:val="auto"/>
        </w:rPr>
        <w:t>Returns</w:t>
      </w:r>
      <w:r>
        <w:rPr>
          <w:rFonts w:ascii="Arial" w:cs="Arial" w:eastAsia="Arial" w:hAnsi="Arial"/>
          <w:sz w:val="18"/>
          <w:szCs w:val="18"/>
          <w:color w:val="auto"/>
        </w:rPr>
        <w:t>”) relating to any and all Taxes concerning or attributable to the Company or its Subsidiaries or to their operations, and all such Returns</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6" w:name="page257"/>
    <w:bookmarkEnd w:id="2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19"/>
        <w:spacing w:after="0" w:line="270" w:lineRule="auto"/>
        <w:rPr>
          <w:sz w:val="20"/>
          <w:szCs w:val="20"/>
          <w:color w:val="auto"/>
        </w:rPr>
      </w:pPr>
      <w:r>
        <w:rPr>
          <w:rFonts w:ascii="Arial" w:cs="Arial" w:eastAsia="Arial" w:hAnsi="Arial"/>
          <w:sz w:val="18"/>
          <w:szCs w:val="18"/>
          <w:color w:val="auto"/>
        </w:rPr>
        <w:t>are or will be, to the knowledge and belief of the signer, true, complete and correct in all material respects. Copies of all such returns have been previously provided to Parent or will be provided to Parent when filed.</w:t>
      </w:r>
    </w:p>
    <w:p>
      <w:pPr>
        <w:spacing w:after="0" w:line="69" w:lineRule="exact"/>
        <w:rPr>
          <w:sz w:val="20"/>
          <w:szCs w:val="20"/>
          <w:color w:val="auto"/>
        </w:rPr>
      </w:pPr>
    </w:p>
    <w:p>
      <w:pPr>
        <w:jc w:val="both"/>
        <w:ind w:left="320" w:right="639" w:firstLine="260"/>
        <w:spacing w:after="0" w:line="259" w:lineRule="auto"/>
        <w:tabs>
          <w:tab w:leader="none" w:pos="90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of the Company and its Subsidiaries: (i) has paid all Taxes it is obligated to pay as reflected on the Returns or otherwise; and (ii) has withheld all federal, state, local and foreign Taxes required to be withheld with respect to its employees or otherwise.</w:t>
      </w:r>
    </w:p>
    <w:p>
      <w:pPr>
        <w:spacing w:after="0" w:line="78" w:lineRule="exact"/>
        <w:rPr>
          <w:rFonts w:ascii="Arial" w:cs="Arial" w:eastAsia="Arial" w:hAnsi="Arial"/>
          <w:sz w:val="18"/>
          <w:szCs w:val="18"/>
          <w:color w:val="auto"/>
        </w:rPr>
      </w:pPr>
    </w:p>
    <w:p>
      <w:pPr>
        <w:jc w:val="both"/>
        <w:ind w:left="320" w:right="639" w:firstLine="260"/>
        <w:spacing w:after="0" w:line="281" w:lineRule="auto"/>
        <w:tabs>
          <w:tab w:leader="none" w:pos="94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There is no Tax deficiency outstanding, proposed or assessed against the Company or its Subsidiaries that is not accurately reflected as a liability on the Most Recent Balance Sheet, nor has the Company or its Subsidiaries executed any waiver of any statute of limitations on or extending the period for the assessment or collection of any Tax.</w:t>
      </w:r>
    </w:p>
    <w:p>
      <w:pPr>
        <w:spacing w:after="0" w:line="61" w:lineRule="exact"/>
        <w:rPr>
          <w:rFonts w:ascii="Arial" w:cs="Arial" w:eastAsia="Arial" w:hAnsi="Arial"/>
          <w:sz w:val="17"/>
          <w:szCs w:val="17"/>
          <w:color w:val="auto"/>
        </w:rPr>
      </w:pPr>
    </w:p>
    <w:p>
      <w:pPr>
        <w:ind w:left="320" w:right="619" w:firstLine="260"/>
        <w:spacing w:after="0" w:line="334" w:lineRule="auto"/>
        <w:tabs>
          <w:tab w:leader="none" w:pos="87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Neither the Company nor its Subsidiaries has any liability for unpaid Taxes that has not been properly accrued for under GAAP and reserved for on the Most Recent Balance Sheet, whether asserted or unasserted, contingent or otherwise.</w:t>
      </w:r>
    </w:p>
    <w:p>
      <w:pPr>
        <w:spacing w:after="0" w:line="22" w:lineRule="exact"/>
        <w:rPr>
          <w:rFonts w:ascii="Arial" w:cs="Arial" w:eastAsia="Arial" w:hAnsi="Arial"/>
          <w:sz w:val="16"/>
          <w:szCs w:val="16"/>
          <w:color w:val="auto"/>
        </w:rPr>
      </w:pPr>
    </w:p>
    <w:p>
      <w:pPr>
        <w:jc w:val="both"/>
        <w:ind w:left="320" w:right="619" w:firstLine="260"/>
        <w:spacing w:after="0" w:line="272" w:lineRule="auto"/>
        <w:tabs>
          <w:tab w:leader="none" w:pos="893"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Except as listed in Section 2.15 of the Company Disclosure Schedule, neither the Company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68" w:lineRule="exact"/>
        <w:rPr>
          <w:rFonts w:ascii="Arial" w:cs="Arial" w:eastAsia="Arial" w:hAnsi="Arial"/>
          <w:sz w:val="17"/>
          <w:szCs w:val="17"/>
          <w:color w:val="auto"/>
        </w:rPr>
      </w:pPr>
    </w:p>
    <w:p>
      <w:pPr>
        <w:ind w:left="320" w:right="639" w:firstLine="260"/>
        <w:spacing w:after="0" w:line="270" w:lineRule="auto"/>
        <w:tabs>
          <w:tab w:leader="none" w:pos="8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Neither the Company nor its Subsidiaries is, or has ever been, a party to or bound by any tax indemnity agreement, tax sharing agreement, tax allocation agreement or similar contract or agreement.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8" w:lineRule="auto"/>
        <w:tabs>
          <w:tab w:leader="none" w:pos="95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Company does not participate in any employee benefit plans (as defined in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or any bonus, stock option, stock purchase, incentive, deferred compensation, supplemental retirement, severance and other similar employee benefit plans, and all unexpired severance agreements (pursuant to which any payments are still due and payable by the Company), written or otherwise (together, the “</w:t>
      </w:r>
      <w:r>
        <w:rPr>
          <w:rFonts w:ascii="Arial" w:cs="Arial" w:eastAsia="Arial" w:hAnsi="Arial"/>
          <w:sz w:val="17"/>
          <w:szCs w:val="17"/>
          <w:b w:val="1"/>
          <w:bCs w:val="1"/>
          <w:color w:val="auto"/>
        </w:rPr>
        <w:t>Company Employee Plans</w:t>
      </w:r>
      <w:r>
        <w:rPr>
          <w:rFonts w:ascii="Arial" w:cs="Arial" w:eastAsia="Arial" w:hAnsi="Arial"/>
          <w:sz w:val="17"/>
          <w:szCs w:val="17"/>
          <w:color w:val="auto"/>
        </w:rPr>
        <w:t>”), for the benefit of, or relating to, any current or former employee of the Company or its Subsidiaries or any trade or business (whether or not incorporated) which is a member or which is under common control with the Company within the meaning of Section 414 of the Code (an “</w:t>
      </w:r>
      <w:r>
        <w:rPr>
          <w:rFonts w:ascii="Arial" w:cs="Arial" w:eastAsia="Arial" w:hAnsi="Arial"/>
          <w:sz w:val="17"/>
          <w:szCs w:val="17"/>
          <w:b w:val="1"/>
          <w:bCs w:val="1"/>
          <w:color w:val="auto"/>
        </w:rPr>
        <w:t>ERISA Affiliate</w:t>
      </w:r>
      <w:r>
        <w:rPr>
          <w:rFonts w:ascii="Arial" w:cs="Arial" w:eastAsia="Arial" w:hAnsi="Arial"/>
          <w:sz w:val="17"/>
          <w:szCs w:val="17"/>
          <w:color w:val="auto"/>
        </w:rPr>
        <w:t>”).</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Tangible Assets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5" w:lineRule="auto"/>
        <w:tabs>
          <w:tab w:leader="none" w:pos="88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of the Company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82" w:lineRule="exact"/>
        <w:rPr>
          <w:rFonts w:ascii="Arial" w:cs="Arial" w:eastAsia="Arial" w:hAnsi="Arial"/>
          <w:sz w:val="18"/>
          <w:szCs w:val="18"/>
          <w:color w:val="auto"/>
        </w:rPr>
      </w:pPr>
    </w:p>
    <w:p>
      <w:pPr>
        <w:jc w:val="both"/>
        <w:ind w:left="320" w:right="619" w:firstLine="260"/>
        <w:spacing w:after="0" w:line="252" w:lineRule="auto"/>
        <w:tabs>
          <w:tab w:leader="none" w:pos="93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Section 2.17(b) of the Company Disclosure Schedule sets forth (i) a true, complete and correct list of all items of tangible personal property owned by the Company or its Subsidiaries as of the date hereof, or not owned by the Company or its Subsidiaries but in the possession of or used in the business of the Company or its Subsidiaries with a book value in excess of $10,000 (the “</w:t>
      </w:r>
      <w:r>
        <w:rPr>
          <w:rFonts w:ascii="Arial" w:cs="Arial" w:eastAsia="Arial" w:hAnsi="Arial"/>
          <w:sz w:val="18"/>
          <w:szCs w:val="18"/>
          <w:b w:val="1"/>
          <w:bCs w:val="1"/>
          <w:color w:val="auto"/>
        </w:rPr>
        <w:t>Personal Property</w:t>
      </w:r>
      <w:r>
        <w:rPr>
          <w:rFonts w:ascii="Arial" w:cs="Arial" w:eastAsia="Arial" w:hAnsi="Arial"/>
          <w:sz w:val="18"/>
          <w:szCs w:val="18"/>
          <w:color w:val="auto"/>
        </w:rPr>
        <w:t>”); and (ii) a description of the owner of, and any agreement relating to the use of, each item of Personal Property not owned by the Company or its Subsidiaries and the circumstances under which such Personal Property is used.</w:t>
      </w:r>
    </w:p>
    <w:p>
      <w:pPr>
        <w:spacing w:after="0" w:line="86" w:lineRule="exact"/>
        <w:rPr>
          <w:rFonts w:ascii="Arial" w:cs="Arial" w:eastAsia="Arial" w:hAnsi="Arial"/>
          <w:sz w:val="18"/>
          <w:szCs w:val="18"/>
          <w:color w:val="auto"/>
        </w:rPr>
      </w:pPr>
    </w:p>
    <w:p>
      <w:pPr>
        <w:jc w:val="both"/>
        <w:ind w:left="320" w:right="619" w:firstLine="260"/>
        <w:spacing w:after="0" w:line="259" w:lineRule="auto"/>
        <w:tabs>
          <w:tab w:leader="none" w:pos="88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item of Personal Property not owned by the Company or its Subsidiaries is in such condition that upon the return of such property to its owner in its present condition at the end of the relevant lease term or as otherwise contemplated by the applicable agreement between the Company or</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7" w:name="page258"/>
    <w:bookmarkEnd w:id="2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its Subsidiaries and the owner or lessor thereof, the obligations of the Company or its Subsidiaries to such owner or lessor will be discharged.</w:t>
      </w:r>
    </w:p>
    <w:p>
      <w:pPr>
        <w:spacing w:after="0" w:line="69" w:lineRule="exact"/>
        <w:rPr>
          <w:sz w:val="20"/>
          <w:szCs w:val="20"/>
          <w:color w:val="auto"/>
        </w:rPr>
      </w:pPr>
    </w:p>
    <w:p>
      <w:pPr>
        <w:jc w:val="both"/>
        <w:ind w:left="320" w:right="619" w:firstLine="260"/>
        <w:spacing w:after="0" w:line="255" w:lineRule="auto"/>
        <w:tabs>
          <w:tab w:leader="none" w:pos="96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Immediately after the Effective Time, the tangible assets owned or leased by the Surviving Corporation and its Subsidiaries, together with its intangible assets, when utilized by a labor force substantially similar to that employed by the Company and its Subsidiaries on the date hereof, will be adequate to conduct the business and operations of the Surviving Company and its Subsidiaries as currently conducted by the Company.</w:t>
      </w:r>
    </w:p>
    <w:p>
      <w:pPr>
        <w:spacing w:after="0" w:line="83"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Section 2.18 of the Company Disclosure Schedule sets forth all real property leases or subleases or license agreements for the use of real property to or by the Company or its Subsidiaries, including the term of such lease, any extension and expansion options and the rent payable under it. The Company has delivered to the Parent true, complete and correct copies of the leases and subleases (as amended to date) listed in Section 2.18 of the Company Disclosure Schedule. With respect to each agreement listed in Section 2.18 of the Company Disclosure Schedule:</w:t>
      </w:r>
    </w:p>
    <w:p>
      <w:pPr>
        <w:spacing w:after="0" w:line="68" w:lineRule="exact"/>
        <w:rPr>
          <w:sz w:val="20"/>
          <w:szCs w:val="20"/>
          <w:color w:val="auto"/>
        </w:rPr>
      </w:pPr>
    </w:p>
    <w:p>
      <w:pPr>
        <w:jc w:val="both"/>
        <w:ind w:left="580" w:right="619" w:firstLine="267"/>
        <w:spacing w:after="0" w:line="259" w:lineRule="auto"/>
        <w:tabs>
          <w:tab w:leader="none" w:pos="113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8" w:lineRule="exact"/>
        <w:rPr>
          <w:rFonts w:ascii="Arial" w:cs="Arial" w:eastAsia="Arial" w:hAnsi="Arial"/>
          <w:sz w:val="18"/>
          <w:szCs w:val="18"/>
          <w:color w:val="auto"/>
        </w:rPr>
      </w:pPr>
    </w:p>
    <w:p>
      <w:pPr>
        <w:jc w:val="both"/>
        <w:ind w:left="580" w:right="639" w:firstLine="267"/>
        <w:spacing w:after="0" w:line="297" w:lineRule="auto"/>
        <w:tabs>
          <w:tab w:leader="none" w:pos="118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neither the Company nor its Subsidiaries nor, to the knowledge of the Company, any other party, is in breach or violation of, or default under,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51" w:lineRule="exact"/>
        <w:rPr>
          <w:rFonts w:ascii="Arial" w:cs="Arial" w:eastAsia="Arial" w:hAnsi="Arial"/>
          <w:sz w:val="16"/>
          <w:szCs w:val="16"/>
          <w:color w:val="auto"/>
        </w:rPr>
      </w:pPr>
    </w:p>
    <w:p>
      <w:pPr>
        <w:ind w:left="580" w:right="639" w:firstLine="267"/>
        <w:spacing w:after="0" w:line="270" w:lineRule="auto"/>
        <w:tabs>
          <w:tab w:leader="none" w:pos="127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neither the Company nor its Subsidiaries has assigned, transferred, conveyed, mortgaged, deeded in trust or encumbered any interest in any lease, sublease or license; and</w:t>
      </w:r>
    </w:p>
    <w:p>
      <w:pPr>
        <w:spacing w:after="0" w:line="68" w:lineRule="exact"/>
        <w:rPr>
          <w:rFonts w:ascii="Arial" w:cs="Arial" w:eastAsia="Arial" w:hAnsi="Arial"/>
          <w:sz w:val="18"/>
          <w:szCs w:val="18"/>
          <w:color w:val="auto"/>
        </w:rPr>
      </w:pPr>
    </w:p>
    <w:p>
      <w:pPr>
        <w:jc w:val="both"/>
        <w:ind w:left="580" w:right="619" w:firstLine="267"/>
        <w:spacing w:after="0" w:line="259" w:lineRule="auto"/>
        <w:tabs>
          <w:tab w:leader="none" w:pos="121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there are no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6" w:lineRule="auto"/>
        <w:tabs>
          <w:tab w:leader="none" w:pos="91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Section 2.19(a) of the Company Disclosure Schedule sets forth each insurance policy (including fire, theft, casualty, general liability, workers compensation, business interruption, environmental, product liability and automobile insurance policies and bond and surety arrangements) to which the Company or its Subsidiaries is a party (the “</w:t>
      </w:r>
      <w:r>
        <w:rPr>
          <w:rFonts w:ascii="Arial" w:cs="Arial" w:eastAsia="Arial" w:hAnsi="Arial"/>
          <w:sz w:val="16"/>
          <w:szCs w:val="16"/>
          <w:b w:val="1"/>
          <w:bCs w:val="1"/>
          <w:color w:val="auto"/>
        </w:rPr>
        <w:t>Insurance Policies</w:t>
      </w:r>
      <w:r>
        <w:rPr>
          <w:rFonts w:ascii="Arial" w:cs="Arial" w:eastAsia="Arial" w:hAnsi="Arial"/>
          <w:sz w:val="16"/>
          <w:szCs w:val="16"/>
          <w:color w:val="auto"/>
        </w:rPr>
        <w:t>”). The Insurance Policies are in full force and effect, maintained with reputable companies against loss relating to the business, operations and properties and such other risks as companies engaged in similar business as the Company and its Subsidiaries would, in accordance with good business practice, customarily insure. All premiums due and payable under the Insurance Policies have been paid on a timely basis and the Company and its Subsidiaries are in compliance in all material respects with all other terms thereof. True, complete and correct copies of the Insurance Policies have been made available to Parent.</w:t>
      </w:r>
    </w:p>
    <w:p>
      <w:pPr>
        <w:spacing w:after="0" w:line="63" w:lineRule="exact"/>
        <w:rPr>
          <w:rFonts w:ascii="Arial" w:cs="Arial" w:eastAsia="Arial" w:hAnsi="Arial"/>
          <w:sz w:val="16"/>
          <w:szCs w:val="16"/>
          <w:color w:val="auto"/>
        </w:rPr>
      </w:pPr>
    </w:p>
    <w:p>
      <w:pPr>
        <w:jc w:val="both"/>
        <w:ind w:left="320" w:right="619" w:firstLine="260"/>
        <w:spacing w:after="0" w:line="252" w:lineRule="auto"/>
        <w:tabs>
          <w:tab w:leader="none" w:pos="94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There are no material claims pending as to which coverage has been questioned, denied or disputed. Neither the Company nor its Subsidiaries has been refused insurance for which it has applied or had any policy of insurance terminated (other than at its request), nor has the Company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8" w:name="page259"/>
    <w:bookmarkEnd w:id="2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5" w:lineRule="auto"/>
        <w:tabs>
          <w:tab w:leader="none" w:pos="89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Neither the Company nor any of its Subsidiaries owns, is licensed or otherwise possesses legally enforceable rights, to any copyrights, trademarks, service marks, trade names, Uniform Resource Locators and Internet URLs, designs, slogans or general intangibles of like nature. Each of the Company and its Subsidiaries owns, is licensed or otherwise possesses legally enforceable rights, to all computer programs or other computer software, databases, technology, trade secrets and other confidential information, know-how, proprietary technology, processes, formulae, algorithms, models, user interfaces, customer lists, inventions, source codes and object codes and methodologies, architecture, structure, display screens, layouts, development tools, instructions, templates, inventions, trade dress, logos and designs and all documentation and media constituting, describing or relating to each of the foregoing, together with all goodwill related to any of the foregoing, in each case as is used to conduct their respective businesses as presently conducted and as is reasonably foreseeable to be conducted. Each of the Company and its Subsidiaries owns, is licensed or otherwise possesses legally enforceable rights, to all patents (including, without limitation, any registrations, continuations, continuations in part, renewals and applications therefor) (collectively,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Except for United States Patent Nos. 6,314,420 and 6,775,664, none of the Company Intellectual Property is the subject of any pending or, to the knowledge of the Company, threatened suit, action or proceeding. None of the Company Intellectual Property is subject to any outstanding injunction, judgment, final order or settlement.</w:t>
      </w:r>
    </w:p>
    <w:p>
      <w:pPr>
        <w:spacing w:after="0" w:line="77" w:lineRule="exact"/>
        <w:rPr>
          <w:rFonts w:ascii="Arial" w:cs="Arial" w:eastAsia="Arial" w:hAnsi="Arial"/>
          <w:sz w:val="17"/>
          <w:szCs w:val="17"/>
          <w:color w:val="auto"/>
        </w:rPr>
      </w:pPr>
    </w:p>
    <w:p>
      <w:pPr>
        <w:jc w:val="both"/>
        <w:ind w:left="320" w:right="619" w:firstLine="260"/>
        <w:spacing w:after="0" w:line="297" w:lineRule="auto"/>
        <w:tabs>
          <w:tab w:leader="none" w:pos="88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Section 2.20(b) of the Company Disclosure Schedule sets forth a true, complete and correct list of each patent owned by the Company or any of its Subsidiaries. All patents which are held by the Company or its Subsidiaries and which are material to the business of the Company and its Subsidiaries are presumed valid pursuant to 35 U.S.C. 282. Except for United States Patent Nos. 6,314,420 and 6,775,664, no allegation of invalidity has been received by the Company.</w:t>
      </w:r>
    </w:p>
    <w:p>
      <w:pPr>
        <w:spacing w:after="0" w:line="51" w:lineRule="exact"/>
        <w:rPr>
          <w:rFonts w:ascii="Arial" w:cs="Arial" w:eastAsia="Arial" w:hAnsi="Arial"/>
          <w:sz w:val="16"/>
          <w:szCs w:val="16"/>
          <w:color w:val="auto"/>
        </w:rPr>
      </w:pPr>
    </w:p>
    <w:p>
      <w:pPr>
        <w:jc w:val="both"/>
        <w:ind w:left="320" w:right="639" w:firstLine="260"/>
        <w:spacing w:after="0" w:line="259" w:lineRule="auto"/>
        <w:tabs>
          <w:tab w:leader="none" w:pos="87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Additional Tax Matters</w:t>
      </w:r>
      <w:r>
        <w:rPr>
          <w:rFonts w:ascii="Arial" w:cs="Arial" w:eastAsia="Arial" w:hAnsi="Arial"/>
          <w:sz w:val="18"/>
          <w:szCs w:val="18"/>
          <w:color w:val="auto"/>
        </w:rPr>
        <w:t>.</w:t>
      </w:r>
    </w:p>
    <w:p>
      <w:pPr>
        <w:spacing w:after="0" w:line="110" w:lineRule="exact"/>
        <w:rPr>
          <w:sz w:val="20"/>
          <w:szCs w:val="20"/>
          <w:color w:val="auto"/>
        </w:rPr>
      </w:pPr>
    </w:p>
    <w:p>
      <w:pPr>
        <w:jc w:val="both"/>
        <w:ind w:left="320" w:right="619" w:firstLine="260"/>
        <w:spacing w:after="0" w:line="276" w:lineRule="auto"/>
        <w:tabs>
          <w:tab w:leader="none" w:pos="87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of its affiliates (“</w:t>
      </w:r>
      <w:r>
        <w:rPr>
          <w:rFonts w:ascii="Arial" w:cs="Arial" w:eastAsia="Arial" w:hAnsi="Arial"/>
          <w:sz w:val="17"/>
          <w:szCs w:val="17"/>
          <w:b w:val="1"/>
          <w:bCs w:val="1"/>
          <w:color w:val="auto"/>
        </w:rPr>
        <w:t>Affiliates</w:t>
      </w:r>
      <w:r>
        <w:rPr>
          <w:rFonts w:ascii="Arial" w:cs="Arial" w:eastAsia="Arial" w:hAnsi="Arial"/>
          <w:sz w:val="17"/>
          <w:szCs w:val="17"/>
          <w:color w:val="auto"/>
        </w:rPr>
        <w:t>”), as defined by Rule 12b-2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knows of any fact or has taken or agreed to take any action, failed to take any action or is aware of any fact or circumstance, that could reasonably be expected to prevent the Merger from constituting a reorganization within the meaning of Section 368(a) of the Code.</w:t>
      </w:r>
    </w:p>
    <w:p>
      <w:pPr>
        <w:spacing w:after="0" w:line="67" w:lineRule="exact"/>
        <w:rPr>
          <w:rFonts w:ascii="Arial" w:cs="Arial" w:eastAsia="Arial" w:hAnsi="Arial"/>
          <w:sz w:val="17"/>
          <w:szCs w:val="17"/>
          <w:color w:val="auto"/>
        </w:rPr>
      </w:pPr>
    </w:p>
    <w:p>
      <w:pPr>
        <w:jc w:val="both"/>
        <w:ind w:left="320" w:right="639" w:firstLine="260"/>
        <w:spacing w:after="0" w:line="259" w:lineRule="auto"/>
        <w:tabs>
          <w:tab w:leader="none" w:pos="9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Section 2.21(b) of the Company Disclosure Schedule sets forth a true, complete and correct list of all Persons who, to the knowledge of the Company, may be deemed to be Affiliates of the Company, excluding its Subsidiaries but including all directors and executive officers of the Company as of the date hereof.</w:t>
      </w:r>
    </w:p>
    <w:p>
      <w:pPr>
        <w:spacing w:after="0" w:line="78"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Certain Business Practices</w:t>
      </w:r>
      <w:r>
        <w:rPr>
          <w:rFonts w:ascii="Arial" w:cs="Arial" w:eastAsia="Arial" w:hAnsi="Arial"/>
          <w:sz w:val="17"/>
          <w:szCs w:val="17"/>
          <w:color w:val="auto"/>
        </w:rPr>
        <w:t>. Neither the Company, its Subsidiaries nor, to the knowledge of the Company, any director, officer, employee or agent of the Company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Powers of Attorney</w:t>
      </w:r>
      <w:r>
        <w:rPr>
          <w:rFonts w:ascii="Arial" w:cs="Arial" w:eastAsia="Arial" w:hAnsi="Arial"/>
          <w:sz w:val="16"/>
          <w:szCs w:val="16"/>
          <w:color w:val="auto"/>
        </w:rPr>
        <w:t>. There are no outstanding powers of attorney executed on behalf of the Company or its Subsidiaries.</w:t>
      </w:r>
    </w:p>
    <w:p>
      <w:pPr>
        <w:spacing w:after="0" w:line="200" w:lineRule="exact"/>
        <w:rPr>
          <w:sz w:val="20"/>
          <w:szCs w:val="20"/>
          <w:color w:val="auto"/>
        </w:rPr>
      </w:pP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Interested Party Transactions</w:t>
      </w:r>
      <w:r>
        <w:rPr>
          <w:rFonts w:ascii="Arial" w:cs="Arial" w:eastAsia="Arial" w:hAnsi="Arial"/>
          <w:sz w:val="17"/>
          <w:szCs w:val="17"/>
          <w:color w:val="auto"/>
        </w:rPr>
        <w:t>. Since January 1, 2011, no event has occurred that would be required to be reported by the Company as a Certain Relationship or Related Transaction pursuant to Item 404 of Regulation S-K, if the Company and its Subsidiaries were required to report such information in periodic reports pursuant to the Exchange Act.</w:t>
      </w:r>
    </w:p>
    <w:p>
      <w:pPr>
        <w:spacing w:after="0" w:line="62"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minute books and other similar records of the Company and each of its Subsidiaries contains true, complete and correct records of all actions taken at any meetings of the Company stockholders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86"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78"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Proxy Statement</w:t>
      </w:r>
      <w:r>
        <w:rPr>
          <w:rFonts w:ascii="Arial" w:cs="Arial" w:eastAsia="Arial" w:hAnsi="Arial"/>
          <w:sz w:val="16"/>
          <w:szCs w:val="16"/>
          <w:color w:val="auto"/>
        </w:rPr>
        <w:t>. The information regarding the Company and the Company Subsidiaries supplied by the Company for inclusion in the Registration Statement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information regarding the Company and the Company Subsidiaries supplied by the Company for inclusion in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6"/>
          <w:szCs w:val="16"/>
          <w:b w:val="1"/>
          <w:bCs w:val="1"/>
          <w:color w:val="auto"/>
        </w:rPr>
        <w:t>Proxy Statement</w:t>
      </w:r>
      <w:r>
        <w:rPr>
          <w:rFonts w:ascii="Arial" w:cs="Arial" w:eastAsia="Arial" w:hAnsi="Arial"/>
          <w:sz w:val="16"/>
          <w:szCs w:val="16"/>
          <w:color w:val="auto"/>
        </w:rPr>
        <w:t>”), at the date the Proxy Statement (and any amendment or supplement thereto) is first mailed to Parent stockholders and at the time of the Parent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2.27 will not apply to statements or omissions included in the Proxy Statement (and, in each case, any amendment or supplement thereto) based upon information regarding Parent supplied to the Company in writing by Parent for use therein.</w:t>
      </w:r>
    </w:p>
    <w:p>
      <w:pPr>
        <w:spacing w:after="0" w:line="17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III</w:t>
      </w:r>
    </w:p>
    <w:p>
      <w:pPr>
        <w:spacing w:after="0" w:line="22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18"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Except as set forth in the disclosure schedule provided by Parent to the Company on the date hereof and accepted in writing by the Company (the “</w:t>
      </w:r>
      <w:r>
        <w:rPr>
          <w:rFonts w:ascii="Arial" w:cs="Arial" w:eastAsia="Arial" w:hAnsi="Arial"/>
          <w:sz w:val="17"/>
          <w:szCs w:val="17"/>
          <w:b w:val="1"/>
          <w:bCs w:val="1"/>
          <w:color w:val="auto"/>
        </w:rPr>
        <w:t>Parent Disclosure Schedule</w:t>
      </w:r>
      <w:r>
        <w:rPr>
          <w:rFonts w:ascii="Arial" w:cs="Arial" w:eastAsia="Arial" w:hAnsi="Arial"/>
          <w:sz w:val="17"/>
          <w:szCs w:val="17"/>
          <w:color w:val="auto"/>
        </w:rPr>
        <w:t>”), Parent, on behalf of itself and its Subsidiaries, represents and warrants to the Company that the statements contained in this Article III are true, complete and correct. The Parent Disclosure Schedule shall be arranged in paragraphs corresponding to the numbered and lettered paragraphs contained in this Article III, and the disclosure in any paragraph shall be deemed to qualify only the corresponding paragraph of this Article III, unless a reasonable person would determine that the disclosure contained in such paragraph contains enough information to qualify or otherwise apply to other paragraphs of this Article III. As used in this Agreement, a “</w:t>
      </w:r>
      <w:r>
        <w:rPr>
          <w:rFonts w:ascii="Arial" w:cs="Arial" w:eastAsia="Arial" w:hAnsi="Arial"/>
          <w:sz w:val="17"/>
          <w:szCs w:val="17"/>
          <w:b w:val="1"/>
          <w:bCs w:val="1"/>
          <w:color w:val="auto"/>
        </w:rPr>
        <w:t>Parent Material Adverse Effect</w:t>
      </w:r>
      <w:r>
        <w:rPr>
          <w:rFonts w:ascii="Arial" w:cs="Arial" w:eastAsia="Arial" w:hAnsi="Arial"/>
          <w:sz w:val="17"/>
          <w:szCs w:val="17"/>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w:t>
      </w:r>
    </w:p>
    <w:p>
      <w:pPr>
        <w:spacing w:after="0" w:line="200" w:lineRule="exact"/>
        <w:rPr>
          <w:sz w:val="20"/>
          <w:szCs w:val="20"/>
          <w:color w:val="auto"/>
        </w:rPr>
      </w:pPr>
    </w:p>
    <w:p>
      <w:pPr>
        <w:spacing w:after="0" w:line="3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0" w:name="page261"/>
    <w:bookmarkEnd w:id="2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3" w:lineRule="auto"/>
        <w:rPr>
          <w:sz w:val="20"/>
          <w:szCs w:val="20"/>
          <w:color w:val="auto"/>
        </w:rPr>
      </w:pPr>
      <w:r>
        <w:rPr>
          <w:rFonts w:ascii="Arial" w:cs="Arial" w:eastAsia="Arial" w:hAnsi="Arial"/>
          <w:sz w:val="16"/>
          <w:szCs w:val="16"/>
          <w:color w:val="auto"/>
        </w:rPr>
        <w:t>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67"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Parent is a corporation duly organized, validly existing and in corporate and tax good standing under the laws of the State of Delaware. Parent is duly qualified or licensed as a foreign corporation to conduct business, and is in corporate and tax good standing, under the laws of each jurisdiction where the character of the properties owned, leased or operated by it, or the nature of its activities, makes such qualification or licensing necessary, except where the failure to be so qualified, licensed or in good standing, individually or in the aggregate, has not had and would not have a Parent Material Adverse Effect. Parent has all requisite corporate power and authority to carry on the businesses in which it is engaged and to own and use the properties owned and used by it. Parent has made available to the Company true, complete and correct copies of its Certificate of Incorporation and Bylaws, each as amended to date. Parent is not in default under or in violation of any provision of its Certificate of Incorporation or Bylaws.</w:t>
      </w:r>
    </w:p>
    <w:p>
      <w:pPr>
        <w:spacing w:after="0" w:line="7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Subsidiaries</w:t>
      </w:r>
      <w:r>
        <w:rPr>
          <w:rFonts w:ascii="Arial" w:cs="Arial" w:eastAsia="Arial" w:hAnsi="Arial"/>
          <w:sz w:val="18"/>
          <w:szCs w:val="18"/>
          <w:color w:val="auto"/>
        </w:rPr>
        <w:t>. Exhibit 21 to Parent’s Annual Report on Form 10-K for the fiscal year ended December 31, 2010 sets forth a true, complete and correct list of each Subsidiary of Parent that is a Significant Subsidiary (as defined in Rule 1-02 of Regulation S-X).</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4" w:lineRule="exact"/>
        <w:rPr>
          <w:sz w:val="20"/>
          <w:szCs w:val="20"/>
          <w:color w:val="auto"/>
        </w:rPr>
      </w:pPr>
    </w:p>
    <w:p>
      <w:pPr>
        <w:ind w:left="320" w:right="639" w:firstLine="260"/>
        <w:spacing w:after="0" w:line="270" w:lineRule="auto"/>
        <w:tabs>
          <w:tab w:leader="none" w:pos="90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authorized capital stock of Parent consists of (i) 28,000,000 shares of Parent Common Stock; and (ii) 5,000,000 shares of preferred stock, $0.01 par value per share.</w:t>
      </w:r>
    </w:p>
    <w:p>
      <w:pPr>
        <w:spacing w:after="0" w:line="68" w:lineRule="exact"/>
        <w:rPr>
          <w:rFonts w:ascii="Arial" w:cs="Arial" w:eastAsia="Arial" w:hAnsi="Arial"/>
          <w:sz w:val="18"/>
          <w:szCs w:val="18"/>
          <w:color w:val="auto"/>
        </w:rPr>
      </w:pPr>
    </w:p>
    <w:p>
      <w:pPr>
        <w:jc w:val="both"/>
        <w:ind w:left="320" w:right="619" w:firstLine="260"/>
        <w:spacing w:after="0" w:line="251" w:lineRule="auto"/>
        <w:tabs>
          <w:tab w:leader="none" w:pos="94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As of the close of business on the date hereof: (i) 13,861,423 shares of Parent Common Stock were issued and outstanding; (ii) no shares of preferred stock were issued or outstanding; (iii) no shares of Parent Common Stock were held in the treasury of Parent; (iv) 4,718,450 shares of Parent Common Stock were duly reserved for future issuance pursuant to stock options granted pursuant to Parent’s 2006 Stock Option Plan; and (v) 7,885,042 shares of Parent Common Stock were duly reserved for future issuance pursuant to warrants issued by Parent. Except as described above, as of such date, there were no shares of voting or non-voting capital stock, equity interests or other securities of Parent authorized, issued, reserved for issuance or otherwise outstanding.</w:t>
      </w:r>
    </w:p>
    <w:p>
      <w:pPr>
        <w:spacing w:after="0" w:line="88" w:lineRule="exact"/>
        <w:rPr>
          <w:rFonts w:ascii="Arial" w:cs="Arial" w:eastAsia="Arial" w:hAnsi="Arial"/>
          <w:sz w:val="18"/>
          <w:szCs w:val="18"/>
          <w:color w:val="auto"/>
        </w:rPr>
      </w:pPr>
    </w:p>
    <w:p>
      <w:pPr>
        <w:jc w:val="both"/>
        <w:ind w:left="320" w:right="639" w:firstLine="260"/>
        <w:spacing w:after="0" w:line="297" w:lineRule="auto"/>
        <w:tabs>
          <w:tab w:leader="none" w:pos="87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outstanding shares of Parent Common Stock are, and all shares of Parent Common Stock to be issued in connection with the Merger will be, when issued in accordance with the terms hereof, duly authorized, validly issued, fully paid and non-assessable, and not subject to, or issued in violation of, any kind of preemptive, subscription or similar rights and were or will be issued in compliance in all material respects with all applicable federal and state securities laws.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Authority; No Conflict; Required Filings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5" w:lineRule="auto"/>
        <w:tabs>
          <w:tab w:leader="none" w:pos="87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of Parent and Merger Sub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1" w:name="page262"/>
    <w:bookmarkEnd w:id="2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8" w:lineRule="auto"/>
        <w:rPr>
          <w:sz w:val="20"/>
          <w:szCs w:val="20"/>
          <w:color w:val="auto"/>
        </w:rPr>
      </w:pPr>
      <w:r>
        <w:rPr>
          <w:rFonts w:ascii="Arial" w:cs="Arial" w:eastAsia="Arial" w:hAnsi="Arial"/>
          <w:sz w:val="16"/>
          <w:szCs w:val="16"/>
          <w:color w:val="auto"/>
        </w:rPr>
        <w:t>have been duly authorized by all corporate action on the part of Parent and Merger Sub and no other corporate proceedings are necessary other than, with respect to the Merger, the approval and adoption of this Agreement, the adoption of an amended and restated certificate of incorporation of the Parent (the “</w:t>
      </w:r>
      <w:r>
        <w:rPr>
          <w:rFonts w:ascii="Arial" w:cs="Arial" w:eastAsia="Arial" w:hAnsi="Arial"/>
          <w:sz w:val="16"/>
          <w:szCs w:val="16"/>
          <w:b w:val="1"/>
          <w:bCs w:val="1"/>
          <w:color w:val="auto"/>
        </w:rPr>
        <w:t>Restated Parent Certificate</w:t>
      </w:r>
      <w:r>
        <w:rPr>
          <w:rFonts w:ascii="Arial" w:cs="Arial" w:eastAsia="Arial" w:hAnsi="Arial"/>
          <w:sz w:val="16"/>
          <w:szCs w:val="16"/>
          <w:color w:val="auto"/>
        </w:rPr>
        <w:t>”), increasing the number of authorized shares of Parent Common Stock to up to 150,000,000 shares and effecting a reverse split of the shares of Parent Common Stock, if the Parent reasonably believes that such reverse split is required as a result of the Merger in order to comply with the applicable listing requirements of the NYSE Amex, in each case by the affirmative vote of the holders of a majority of the outstanding shares of Parent Common Stock (the “</w:t>
      </w:r>
      <w:r>
        <w:rPr>
          <w:rFonts w:ascii="Arial" w:cs="Arial" w:eastAsia="Arial" w:hAnsi="Arial"/>
          <w:sz w:val="16"/>
          <w:szCs w:val="16"/>
          <w:b w:val="1"/>
          <w:bCs w:val="1"/>
          <w:color w:val="auto"/>
        </w:rPr>
        <w:t>Parent Stockholder Approval</w:t>
      </w:r>
      <w:r>
        <w:rPr>
          <w:rFonts w:ascii="Arial" w:cs="Arial" w:eastAsia="Arial" w:hAnsi="Arial"/>
          <w:sz w:val="16"/>
          <w:szCs w:val="16"/>
          <w:color w:val="auto"/>
        </w:rPr>
        <w:t>”).</w:t>
      </w:r>
    </w:p>
    <w:p>
      <w:pPr>
        <w:spacing w:after="0" w:line="58" w:lineRule="exact"/>
        <w:rPr>
          <w:sz w:val="20"/>
          <w:szCs w:val="20"/>
          <w:color w:val="auto"/>
        </w:rPr>
      </w:pPr>
    </w:p>
    <w:p>
      <w:pPr>
        <w:jc w:val="both"/>
        <w:ind w:left="320" w:right="639" w:firstLine="260"/>
        <w:spacing w:after="0" w:line="284" w:lineRule="auto"/>
        <w:tabs>
          <w:tab w:leader="none" w:pos="895"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Board of Directors of each of Parent and Merger Sub has, at meetings duly called and held, by unanimous vote of their respective directors: (i) approved and declared advisable this Agreement; (ii) determined that the Merger and other transactions contemplated by this Agreement are advisable, fair to and in the best interests of the Parent and its stockholders;</w:t>
      </w:r>
    </w:p>
    <w:p>
      <w:pPr>
        <w:spacing w:after="0" w:line="1" w:lineRule="exact"/>
        <w:rPr>
          <w:rFonts w:ascii="Arial" w:cs="Arial" w:eastAsia="Arial" w:hAnsi="Arial"/>
          <w:sz w:val="16"/>
          <w:szCs w:val="16"/>
          <w:color w:val="auto"/>
        </w:rPr>
      </w:pPr>
    </w:p>
    <w:p>
      <w:pPr>
        <w:jc w:val="both"/>
        <w:ind w:left="320" w:right="619" w:hanging="8"/>
        <w:spacing w:after="0" w:line="265" w:lineRule="auto"/>
        <w:tabs>
          <w:tab w:leader="none" w:pos="64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the case of the Board of Directors of the Parent, resolved to recommend to the Parent stockholders (A) the approval of the Merger and the other transactions contemplated hereby, (B) the approval and adoption of this Agreement, (C) the adoption of the Restated Parent Certificate and (D) the issuance of the Parent Common Stock as contemplated herein; (v) resolved that Section 203 of the DGCL or any other applicable “takeover” statute, regulation or law be rendered inapplicable to the transactions contemplated hereby, including, without limitation, the Merger, and (v) directed that this Agreement be submitted to the Parent stockholders for their approval and adoption. This Agreement has been duly executed and delivered by Parent and Merger Sub and constitutes a valid and binding obligation of Parent and Merger Sub, enforceable against each of them in accordance with its terms, subject only to the Equitable Exceptions.</w:t>
      </w:r>
    </w:p>
    <w:p>
      <w:pPr>
        <w:spacing w:after="0" w:line="78" w:lineRule="exact"/>
        <w:rPr>
          <w:rFonts w:ascii="Arial" w:cs="Arial" w:eastAsia="Arial" w:hAnsi="Arial"/>
          <w:sz w:val="17"/>
          <w:szCs w:val="17"/>
          <w:color w:val="auto"/>
        </w:rPr>
      </w:pPr>
    </w:p>
    <w:p>
      <w:pPr>
        <w:jc w:val="both"/>
        <w:ind w:left="320" w:right="619" w:firstLine="260"/>
        <w:spacing w:after="0" w:line="281" w:lineRule="auto"/>
        <w:tabs>
          <w:tab w:leader="none" w:pos="87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execution and delivery of this Agreement do not, the performance by either Parent or Merger Sub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or result in the creation of any Liens in or upon any of the properties or other assets of Parent or any of its Subsidiaries under any provision of: (i) the Certificate of Incorporation, Bylaws or other equivalent organizational documents of Parent or any of its Subsidiaries;</w:t>
      </w:r>
    </w:p>
    <w:p>
      <w:pPr>
        <w:spacing w:after="0" w:line="3" w:lineRule="exact"/>
        <w:rPr>
          <w:rFonts w:ascii="Arial" w:cs="Arial" w:eastAsia="Arial" w:hAnsi="Arial"/>
          <w:sz w:val="16"/>
          <w:szCs w:val="16"/>
          <w:color w:val="auto"/>
        </w:rPr>
      </w:pPr>
    </w:p>
    <w:p>
      <w:pPr>
        <w:jc w:val="both"/>
        <w:ind w:left="320" w:right="619" w:hanging="8"/>
        <w:spacing w:after="0" w:line="248" w:lineRule="auto"/>
        <w:tabs>
          <w:tab w:leader="none" w:pos="59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to the governmental filings and other matters referred to in paragraph (d) below, any (A) permit, license, franchise, statute, law, ordinance or regulation or (B) judgment, decree or order, in each case applicable to Parent or any of its Subsidiaries, or by which any of their respective properties or assets may be bound or affected; or (iii) any loan or credit agreement, note, bond, mortgage, indenture, contract, agreement, lease or other instrument or obligation to which Parent or any of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result in (x) a Parent Material Adverse Effect or (y) impair in any material respect the ability of the Parties to consummate the Merger and the other transactions contemplated hereby on a timely basis.</w:t>
      </w:r>
    </w:p>
    <w:p>
      <w:pPr>
        <w:spacing w:after="0" w:line="93" w:lineRule="exact"/>
        <w:rPr>
          <w:rFonts w:ascii="Arial" w:cs="Arial" w:eastAsia="Arial" w:hAnsi="Arial"/>
          <w:sz w:val="18"/>
          <w:szCs w:val="18"/>
          <w:color w:val="auto"/>
        </w:rPr>
      </w:pPr>
    </w:p>
    <w:p>
      <w:pPr>
        <w:jc w:val="both"/>
        <w:ind w:left="320" w:right="619" w:firstLine="260"/>
        <w:spacing w:after="0" w:line="250" w:lineRule="auto"/>
        <w:tabs>
          <w:tab w:leader="none" w:pos="89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 consent, approval, order or authorization of, or registration, declaration or filing with, any Governmental Authority is required by or with respect to Parent or its Subsidiaries in connection with the execution and delivery of this Agreement or the consummation of the Merger or other transactions contemplated hereby except for: (i) the filing of the Certificate of Merger with the Secretary of State of the State of Delaware in accordance with the DGCL; (ii) compliance with any applicable requirements under the Securities Act; (iii) compliance with any applicable requirements under the Exchange Act; (iv) compliance with any applicable state securities, takeover or so-called “</w:t>
      </w:r>
      <w:r>
        <w:rPr>
          <w:rFonts w:ascii="Arial" w:cs="Arial" w:eastAsia="Arial" w:hAnsi="Arial"/>
          <w:sz w:val="18"/>
          <w:szCs w:val="18"/>
          <w:b w:val="1"/>
          <w:bCs w:val="1"/>
          <w:color w:val="auto"/>
        </w:rPr>
        <w:t>Blue Sky</w:t>
      </w:r>
      <w:r>
        <w:rPr>
          <w:rFonts w:ascii="Arial" w:cs="Arial" w:eastAsia="Arial" w:hAnsi="Arial"/>
          <w:sz w:val="18"/>
          <w:szCs w:val="18"/>
          <w:color w:val="auto"/>
        </w:rPr>
        <w:t>” Laws; (v) compliance with any applicable requirements of the Financial Industry Regulatory Authority, Inc., the NYSE Amex or other exchange on which the Parent Common Stock is traded; and (vi) such consents, approvals, orders or authorizations, or registrations, declarations or filings which if not obtained or made, could not reasonably be expected to (A) result in a Parent Material Adverse Effect; or (B) impair in any</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2" w:name="page263"/>
    <w:bookmarkEnd w:id="2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material respect the ability of the Parties to consummate the Merger and the other transactions contemplated hereby on a timely basis.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SEC Filings; Financial Statements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6" w:lineRule="auto"/>
        <w:tabs>
          <w:tab w:leader="none" w:pos="91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Parent has timely filed all forms, reports and documents required to be filed by Parent with the SEC since June 21, 2010, including, without limitation, all exhibits required to be filed therewith, and has made available to the Company true, complete and correct copies of all of the same so filed (including any forms, reports and documents filed after the date hereof, the “</w:t>
      </w:r>
      <w:r>
        <w:rPr>
          <w:rFonts w:ascii="Arial" w:cs="Arial" w:eastAsia="Arial" w:hAnsi="Arial"/>
          <w:sz w:val="17"/>
          <w:szCs w:val="17"/>
          <w:b w:val="1"/>
          <w:bCs w:val="1"/>
          <w:color w:val="auto"/>
        </w:rPr>
        <w:t>Parent SEC Reports</w:t>
      </w:r>
      <w:r>
        <w:rPr>
          <w:rFonts w:ascii="Arial" w:cs="Arial" w:eastAsia="Arial" w:hAnsi="Arial"/>
          <w:sz w:val="17"/>
          <w:szCs w:val="17"/>
          <w:color w:val="auto"/>
        </w:rPr>
        <w:t>”), other than the unredacted version of documents for which confidential treatment has been granted by the SEC or for which such treatment has been applied and is pending. The Parent SEC Reports: (i) at the time filed complied (or will comply when filed, as the case may be) in all material respects with the applicable requirements of the Securities Act and/or the Exchange Act; and (ii) did not at the time they were filed (or, if later filed, amended or superseded, then on the date of such later filing) contain any untrue statement of a material fact or omit to state a material fact required to be stated therein or necessary in order to make the statements contained therein, in the light of the circumstances under which they were made, not misleading.</w:t>
      </w:r>
    </w:p>
    <w:p>
      <w:pPr>
        <w:spacing w:after="0" w:line="78" w:lineRule="exact"/>
        <w:rPr>
          <w:rFonts w:ascii="Arial" w:cs="Arial" w:eastAsia="Arial" w:hAnsi="Arial"/>
          <w:sz w:val="17"/>
          <w:szCs w:val="17"/>
          <w:color w:val="auto"/>
        </w:rPr>
      </w:pPr>
    </w:p>
    <w:p>
      <w:pPr>
        <w:jc w:val="both"/>
        <w:ind w:left="320" w:right="619" w:firstLine="260"/>
        <w:spacing w:after="0" w:line="267" w:lineRule="auto"/>
        <w:tabs>
          <w:tab w:leader="none" w:pos="89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Each of the consolidated financial statements (including, in each case, any related notes thereto) contained in the Parent SEC Reports, complied or will comply, as the case may be, as to form in all material respects with the applicable published rules and regulations of the SEC with respect thereto, was or will be prepared in accordance with GAAP applied on a consistent basis throughout the periods involved except as may otherwise be indicated in the notes thereto or, in the case of unaudited interim financial statements, as permitted by Form 10-Q promulgated by the SEC, and fairly presented or will fairly present, as the case may be, in all material respects, the consolidated financial position of Parent and its Subsidiaries as at the respective dates and the consolidated results of operations and cash flows for the periods therein indicated, except, in the case of the unaudited interim financial statements for the absence of footnotes and normal year-end adjustments which were not and will not be material in amount.</w:t>
      </w:r>
    </w:p>
    <w:p>
      <w:pPr>
        <w:spacing w:after="0" w:line="7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Absence of Undisclosed Liabilities; Cash</w:t>
      </w:r>
      <w:r>
        <w:rPr>
          <w:rFonts w:ascii="Arial" w:cs="Arial" w:eastAsia="Arial" w:hAnsi="Arial"/>
          <w:sz w:val="16"/>
          <w:szCs w:val="16"/>
          <w:color w:val="auto"/>
        </w:rPr>
        <w:t>. Parent and its Subsidiaries do not have any liabilities or obligations, whether fixed, contingent, accrued or otherwise, liquidated or unliquidated and whether due or to become due, other than: (i) liabilities reflected or reserved against on the balance sheet contained in Parent’s Quarterly Report on Form 10-Q (the “</w:t>
      </w:r>
      <w:r>
        <w:rPr>
          <w:rFonts w:ascii="Arial" w:cs="Arial" w:eastAsia="Arial" w:hAnsi="Arial"/>
          <w:sz w:val="16"/>
          <w:szCs w:val="16"/>
          <w:b w:val="1"/>
          <w:bCs w:val="1"/>
          <w:color w:val="auto"/>
        </w:rPr>
        <w:t>Parent’s Most</w:t>
      </w:r>
      <w:r>
        <w:rPr>
          <w:rFonts w:ascii="Arial" w:cs="Arial" w:eastAsia="Arial" w:hAnsi="Arial"/>
          <w:sz w:val="16"/>
          <w:szCs w:val="16"/>
          <w:color w:val="auto"/>
        </w:rPr>
        <w:t xml:space="preserve"> </w:t>
      </w:r>
      <w:r>
        <w:rPr>
          <w:rFonts w:ascii="Arial" w:cs="Arial" w:eastAsia="Arial" w:hAnsi="Arial"/>
          <w:sz w:val="16"/>
          <w:szCs w:val="16"/>
          <w:b w:val="1"/>
          <w:bCs w:val="1"/>
          <w:color w:val="auto"/>
        </w:rPr>
        <w:t>Recent Balance Sheet</w:t>
      </w:r>
      <w:r>
        <w:rPr>
          <w:rFonts w:ascii="Arial" w:cs="Arial" w:eastAsia="Arial" w:hAnsi="Arial"/>
          <w:sz w:val="16"/>
          <w:szCs w:val="16"/>
          <w:color w:val="auto"/>
        </w:rPr>
        <w:t>”) for the quarter ended September 30, 2011 (the “Parent’s</w:t>
      </w:r>
      <w:r>
        <w:rPr>
          <w:rFonts w:ascii="Arial" w:cs="Arial" w:eastAsia="Arial" w:hAnsi="Arial"/>
          <w:sz w:val="16"/>
          <w:szCs w:val="16"/>
          <w:b w:val="1"/>
          <w:bCs w:val="1"/>
          <w:color w:val="auto"/>
        </w:rPr>
        <w:t xml:space="preserve"> Most Recent Balance Sheet Date</w:t>
      </w:r>
      <w:r>
        <w:rPr>
          <w:rFonts w:ascii="Arial" w:cs="Arial" w:eastAsia="Arial" w:hAnsi="Arial"/>
          <w:sz w:val="16"/>
          <w:szCs w:val="16"/>
          <w:color w:val="auto"/>
        </w:rPr>
        <w:t>”); (ii)</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any Parent Material Contract (as defined in Section 3.8); (iii) liabilities or obligations incurred since Parent’s Most Recent Balance Sheet Date in the ordinary course of business, consistent with past practice in both type and amount; and (iv) liabilities or obligations not required to be reported by GAAP. As of the date hereof Parent has at least $4,200,000 in cash on hand and at the Effective Time will have at least $2,000,000 in cash on hand and Parent and its Subsidiaries (taken as a whole) are solvent, able to pay their indebtedness as it matures and has capital sufficient to carry on its business.</w:t>
      </w:r>
    </w:p>
    <w:p>
      <w:pPr>
        <w:spacing w:after="0" w:line="65"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Parent’s Most Recent Balance Sheet Date, Parent and its Subsidiaries have conducted their respective businesses only in the ordinary course of business consistent with past practice and there has not been any action, event or occurrence which (i) except as otherwise set forth in Section 3.7 of the Parent Disclosure Schedule, would require disclosure in a periodic report filed pursuant to the Exchange Act; (ii) has had, or could reasonably be expected to result in, a Parent Material Adverse Effect; (iii) any action, event or occurrence which has had a loss or liability to Parent in excess of $500,000 or (iv) any other action, event or occurrence that would have required the consent of Company pursuant to Section 4.1 had such action, event or occurrence taken place after the execution and delivery of this Agreement.</w:t>
      </w:r>
    </w:p>
    <w:p>
      <w:pPr>
        <w:spacing w:after="0" w:line="5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Parent and its Subsidiaries has at all times complied with all federal, state, local and foreign statutes, laws and regulations, and is not in violation of, and has not received any written claim or notice of violation of, any such statutes, laws and regulations with respect to the conduct</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3" w:name="page264"/>
    <w:bookmarkEnd w:id="2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spacing w:after="0" w:line="270" w:lineRule="auto"/>
        <w:rPr>
          <w:sz w:val="20"/>
          <w:szCs w:val="20"/>
          <w:color w:val="auto"/>
        </w:rPr>
      </w:pPr>
      <w:r>
        <w:rPr>
          <w:rFonts w:ascii="Arial" w:cs="Arial" w:eastAsia="Arial" w:hAnsi="Arial"/>
          <w:sz w:val="18"/>
          <w:szCs w:val="18"/>
          <w:color w:val="auto"/>
        </w:rPr>
        <w:t>of its business or the ownership and operation of its properties and other assets, except for such instances of non-compliance or violation, if any, which could not reasonably be expected to result in a Parent Material Adverse Effect.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92" w:lineRule="auto"/>
        <w:tabs>
          <w:tab w:leader="none" w:pos="97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Parent has made available to the Company true, complete and correct copies of each agreement, contract or commitment that (i) is required to be filed as an exhibit to, or otherwise incorporated by reference in, the Parent SEC Reports pursuant to Regulation S-K; or (ii) except as otherwise set forth in Section 3.7 of the Parent Disclosure Schedule, which has been entered into by Parent or any of its Subsidiaries since Parent’s Most Recent Balance Sheet Date and is required to be filed by Parent with the SEC pursuant to Item 601(a)(1) of Regulation S-K (collectively, the “</w:t>
      </w:r>
      <w:r>
        <w:rPr>
          <w:rFonts w:ascii="Arial" w:cs="Arial" w:eastAsia="Arial" w:hAnsi="Arial"/>
          <w:sz w:val="16"/>
          <w:szCs w:val="16"/>
          <w:b w:val="1"/>
          <w:bCs w:val="1"/>
          <w:color w:val="auto"/>
        </w:rPr>
        <w:t>Parent Material Contracts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left="320" w:right="619" w:firstLine="260"/>
        <w:spacing w:after="0" w:line="281" w:lineRule="auto"/>
        <w:tabs>
          <w:tab w:leader="none" w:pos="90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Neither Parent nor any of its Subsidiaries has breached, or received in writing any claim or threat that it has breached, any of the terms or conditions of any Parent Material Contract in such a manner as would permit any other party thereto to cancel or terminate the same or to collect material damages from Parent or any of its Subsidiaries.</w:t>
      </w:r>
    </w:p>
    <w:p>
      <w:pPr>
        <w:spacing w:after="0" w:line="61" w:lineRule="exact"/>
        <w:rPr>
          <w:rFonts w:ascii="Arial" w:cs="Arial" w:eastAsia="Arial" w:hAnsi="Arial"/>
          <w:sz w:val="17"/>
          <w:szCs w:val="17"/>
          <w:color w:val="auto"/>
        </w:rPr>
      </w:pPr>
    </w:p>
    <w:p>
      <w:pPr>
        <w:jc w:val="both"/>
        <w:ind w:left="320" w:right="639" w:firstLine="260"/>
        <w:spacing w:after="0" w:line="259" w:lineRule="auto"/>
        <w:tabs>
          <w:tab w:leader="none" w:pos="89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Parent Material Contract that has not expired or otherwise been terminated in accordance with its terms is valid, binding, enforceable and in full force and effect and, to the knowledge of the Parent, no other party to such contract is in default in any material respect.</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Material Permits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9" w:lineRule="auto"/>
        <w:tabs>
          <w:tab w:leader="none" w:pos="89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Section 3.10(a) of the Parent Disclosure Schedule sets forth a true, complete and correct list of all federal, state, local and foreign governmental licenses, permits, franchises and authorizations issued to or held by Parent or its Subsidiaries (collectively, the “</w:t>
      </w:r>
      <w:r>
        <w:rPr>
          <w:rFonts w:ascii="Arial" w:cs="Arial" w:eastAsia="Arial" w:hAnsi="Arial"/>
          <w:sz w:val="18"/>
          <w:szCs w:val="18"/>
          <w:b w:val="1"/>
          <w:bCs w:val="1"/>
          <w:color w:val="auto"/>
        </w:rPr>
        <w:t>Parent Permits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320" w:right="639" w:firstLine="260"/>
        <w:spacing w:after="0" w:line="270" w:lineRule="auto"/>
        <w:tabs>
          <w:tab w:leader="none" w:pos="91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of the Parent and its Subsidiaries is in compliance in all material respects with the terms and conditions of the Parent Permits.</w:t>
      </w:r>
    </w:p>
    <w:p>
      <w:pPr>
        <w:spacing w:after="0" w:line="68" w:lineRule="exact"/>
        <w:rPr>
          <w:rFonts w:ascii="Arial" w:cs="Arial" w:eastAsia="Arial" w:hAnsi="Arial"/>
          <w:sz w:val="18"/>
          <w:szCs w:val="18"/>
          <w:color w:val="auto"/>
        </w:rPr>
      </w:pPr>
    </w:p>
    <w:p>
      <w:pPr>
        <w:jc w:val="both"/>
        <w:ind w:left="320" w:right="639" w:firstLine="260"/>
        <w:spacing w:after="0" w:line="259" w:lineRule="auto"/>
        <w:tabs>
          <w:tab w:leader="none" w:pos="88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Parent Permit is in full force and effect and no action, proceeding, revocation proceeding, amendment procedure, writ, injunction or claim is pending or, to the knowledge of the Parent, threatened, which seeks to revoke or limit any Parent Permit.</w:t>
      </w:r>
    </w:p>
    <w:p>
      <w:pPr>
        <w:spacing w:after="0" w:line="78" w:lineRule="exact"/>
        <w:rPr>
          <w:rFonts w:ascii="Arial" w:cs="Arial" w:eastAsia="Arial" w:hAnsi="Arial"/>
          <w:sz w:val="18"/>
          <w:szCs w:val="18"/>
          <w:color w:val="auto"/>
        </w:rPr>
      </w:pPr>
    </w:p>
    <w:p>
      <w:pPr>
        <w:jc w:val="both"/>
        <w:ind w:left="320" w:right="619" w:firstLine="260"/>
        <w:spacing w:after="0" w:line="259" w:lineRule="auto"/>
        <w:tabs>
          <w:tab w:leader="none" w:pos="94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rights and benefits of each Parent Permit will be available to the Surviving Corporation and its Subsidiaries immediately after the Effective Time on terms substantially identical to those enjoyed by the Parent and its Subsidiaries immediately prior to the Effective Time.</w:t>
      </w:r>
    </w:p>
    <w:p>
      <w:pPr>
        <w:spacing w:after="0" w:line="78"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Parent, threatened, against Parent or any of its Subsidiaries which, if decided adversely would (i) be considered reasonably likely to result in (A) a Parent Material Adverse Effect or (B) damages payable by Parent or any of its Subsidiaries in excess of $500,000 in the aggregate; or (ii) otherwise impair in any material respect the ability of the Parties to consummate the Merger and other transactions contemplated by this Agreement on a timely basis.</w:t>
      </w:r>
    </w:p>
    <w:p>
      <w:pPr>
        <w:spacing w:after="0" w:line="85"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Restrictions on Business Activities</w:t>
      </w:r>
      <w:r>
        <w:rPr>
          <w:rFonts w:ascii="Arial" w:cs="Arial" w:eastAsia="Arial" w:hAnsi="Arial"/>
          <w:sz w:val="16"/>
          <w:szCs w:val="16"/>
          <w:color w:val="auto"/>
        </w:rPr>
        <w:t>. Other than as contemplated by this Agreement, there is no agreement, judgment, injunction, order or decree binding upon or otherwise applicable to the Parent or its Subsidiaries which has, or could reasonably be expected to have, the effect of prohibiting or materially impairing (i) any current or reasonably foreseeable business practice of the Parent or its Subsidiaries; or (ii) any acquisition of any Person or property by the Parent or its Subsidiaries.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72" w:lineRule="auto"/>
        <w:tabs>
          <w:tab w:leader="none" w:pos="8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Section 3.13(a) of the Parent Disclosure Schedule sets forth a true, complete and correct list of all key employees of the Parent and its Subsidiaries, along with their position and actual annual rate of compensation. All key employees have entered into nondisclosure/assignment of inventions agreements with the Parent or its Subsidiaries, true, complete and correct copies of which have previously been delivered to the Company. To the knowledge of Parent, no key employee or group of employees has any plans to terminate employment with the Parent or its Subsidiaries.</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4" w:name="page265"/>
    <w:bookmarkEnd w:id="2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firstLine="260"/>
        <w:spacing w:after="0" w:line="300" w:lineRule="auto"/>
        <w:tabs>
          <w:tab w:leader="none" w:pos="91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Neither the Parent nor its Subsidiaries is a party to or bound by any collective bargaining agreement, nor has any of them experienced any strikes, grievances, claims of unfair labor practices or other collective bargaining disputes.</w:t>
      </w:r>
    </w:p>
    <w:p>
      <w:pPr>
        <w:spacing w:after="0" w:line="45" w:lineRule="exact"/>
        <w:rPr>
          <w:rFonts w:ascii="Arial" w:cs="Arial" w:eastAsia="Arial" w:hAnsi="Arial"/>
          <w:sz w:val="17"/>
          <w:szCs w:val="17"/>
          <w:color w:val="auto"/>
        </w:rPr>
      </w:pPr>
    </w:p>
    <w:p>
      <w:pPr>
        <w:jc w:val="both"/>
        <w:ind w:left="320" w:right="639" w:firstLine="260"/>
        <w:spacing w:after="0" w:line="288" w:lineRule="auto"/>
        <w:tabs>
          <w:tab w:leader="none" w:pos="88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Neither the Parent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Parent or its Subsidiaries providing any term of employment or compensation guarantee extending for a period longer than one year from the date hereof or for the payment of compensation in excess of $350,000 per annum; or (iv) agreement or plan the benefits of which will be increased, or (except with respect to acceleration of certain outstanding options) the vesting of the benefits of which will be accelerated, upon the consummation of the Merger.</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97" w:lineRule="auto"/>
        <w:tabs>
          <w:tab w:leader="none" w:pos="88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Parent and its Subsidiaries have accurately prepared and have or will timely, including within extended deadlines, file all Returns relating to any and all Taxes concerning or attributable to the Parent or its Subsidiaries or to their operations, and all such Returns are or will be, to the knowledge and belief of the signer, true, complete and correct in all material respects. Copies of all such returns have been previously provided to the Company or will be provided to the Company when filed.</w:t>
      </w:r>
    </w:p>
    <w:p>
      <w:pPr>
        <w:spacing w:after="0" w:line="51" w:lineRule="exact"/>
        <w:rPr>
          <w:rFonts w:ascii="Arial" w:cs="Arial" w:eastAsia="Arial" w:hAnsi="Arial"/>
          <w:sz w:val="16"/>
          <w:szCs w:val="16"/>
          <w:color w:val="auto"/>
        </w:rPr>
      </w:pPr>
    </w:p>
    <w:p>
      <w:pPr>
        <w:jc w:val="both"/>
        <w:ind w:left="320" w:right="639" w:firstLine="260"/>
        <w:spacing w:after="0" w:line="259" w:lineRule="auto"/>
        <w:tabs>
          <w:tab w:leader="none" w:pos="93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of the Parent and its Subsidiaries: (i) has paid all Taxes it is obligated to pay as reflected on the Returns or otherwise; and (ii) has withheld all federal, state, local and foreign Taxes required to be withheld with respect to its employees or otherwise.</w:t>
      </w:r>
    </w:p>
    <w:p>
      <w:pPr>
        <w:spacing w:after="0" w:line="78" w:lineRule="exact"/>
        <w:rPr>
          <w:rFonts w:ascii="Arial" w:cs="Arial" w:eastAsia="Arial" w:hAnsi="Arial"/>
          <w:sz w:val="18"/>
          <w:szCs w:val="18"/>
          <w:color w:val="auto"/>
        </w:rPr>
      </w:pPr>
    </w:p>
    <w:p>
      <w:pPr>
        <w:jc w:val="both"/>
        <w:ind w:left="320" w:right="619" w:firstLine="260"/>
        <w:spacing w:after="0" w:line="281" w:lineRule="auto"/>
        <w:tabs>
          <w:tab w:leader="none" w:pos="87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There is no Tax deficiency outstanding, proposed or assessed against the Parent or its Subsidiaries that is not accurately reflected as a liability on the Most Recent Balance Sheet, nor has the Parent or its Subsidiaries executed any waiver of any statute of limitations on or extending the period for the assessment or collection of any Tax.</w:t>
      </w:r>
    </w:p>
    <w:p>
      <w:pPr>
        <w:spacing w:after="0" w:line="61" w:lineRule="exact"/>
        <w:rPr>
          <w:rFonts w:ascii="Arial" w:cs="Arial" w:eastAsia="Arial" w:hAnsi="Arial"/>
          <w:sz w:val="17"/>
          <w:szCs w:val="17"/>
          <w:color w:val="auto"/>
        </w:rPr>
      </w:pPr>
    </w:p>
    <w:p>
      <w:pPr>
        <w:ind w:left="320" w:right="619" w:firstLine="260"/>
        <w:spacing w:after="0" w:line="334" w:lineRule="auto"/>
        <w:tabs>
          <w:tab w:leader="none" w:pos="90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Neither the Parent nor its Subsidiaries has any liability for unpaid Taxes that has not been properly accrued for under GAAP and reserved for as reflected in the Parent SEC Reports, whether asserted or unasserted, contingent or otherwise.</w:t>
      </w:r>
    </w:p>
    <w:p>
      <w:pPr>
        <w:spacing w:after="0" w:line="22" w:lineRule="exact"/>
        <w:rPr>
          <w:rFonts w:ascii="Arial" w:cs="Arial" w:eastAsia="Arial" w:hAnsi="Arial"/>
          <w:sz w:val="16"/>
          <w:szCs w:val="16"/>
          <w:color w:val="auto"/>
        </w:rPr>
      </w:pPr>
    </w:p>
    <w:p>
      <w:pPr>
        <w:jc w:val="both"/>
        <w:ind w:left="320" w:right="639" w:firstLine="260"/>
        <w:spacing w:after="0" w:line="253" w:lineRule="auto"/>
        <w:tabs>
          <w:tab w:leader="none" w:pos="90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Neither the Parent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85" w:lineRule="exact"/>
        <w:rPr>
          <w:rFonts w:ascii="Arial" w:cs="Arial" w:eastAsia="Arial" w:hAnsi="Arial"/>
          <w:sz w:val="18"/>
          <w:szCs w:val="18"/>
          <w:color w:val="auto"/>
        </w:rPr>
      </w:pPr>
    </w:p>
    <w:p>
      <w:pPr>
        <w:ind w:left="320" w:right="639" w:firstLine="260"/>
        <w:spacing w:after="0" w:line="270" w:lineRule="auto"/>
        <w:tabs>
          <w:tab w:leader="none" w:pos="8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Neither the Parent nor its Subsidiaries is, or has ever been, a party to or bound by any tax indemnity agreement, tax sharing agreement, tax allocation agreement or similar contract or agreement.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5" w:lineRule="auto"/>
        <w:tabs>
          <w:tab w:leader="none" w:pos="87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of Parent and its Subsidiaries owns, is licensed or otherwise possesses legally enforceable rights to use, all patents, registered trademarks, service marks and copyrights as is necessary to conduct their respective businesses as presently conducted and as is reasonably foreseeable to be conducted, the absence of which would not reasonably be expected to result in a Parent Material Adverse Effect.</w:t>
      </w:r>
    </w:p>
    <w:p>
      <w:pPr>
        <w:spacing w:after="0" w:line="82" w:lineRule="exact"/>
        <w:rPr>
          <w:rFonts w:ascii="Arial" w:cs="Arial" w:eastAsia="Arial" w:hAnsi="Arial"/>
          <w:sz w:val="18"/>
          <w:szCs w:val="18"/>
          <w:color w:val="auto"/>
        </w:rPr>
      </w:pPr>
    </w:p>
    <w:p>
      <w:pPr>
        <w:jc w:val="both"/>
        <w:ind w:left="320" w:right="619" w:firstLine="260"/>
        <w:spacing w:after="0" w:line="255" w:lineRule="auto"/>
        <w:tabs>
          <w:tab w:leader="none" w:pos="9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patents, registered trademarks, service marks and copyrights, which are held by Parent and its Subsidiaries and which are material to the business of Parent and its Subsidiaries, taken as a whole, are valid, enforceable and subsisting and no allegation of invalidity or conflicting ownership, or inventorship with respect to patents, in whole or in part, has been received by Parent or any of its Subsidiaries.</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5" w:name="page266"/>
    <w:bookmarkEnd w:id="2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Brokers</w:t>
      </w:r>
      <w:r>
        <w:rPr>
          <w:rFonts w:ascii="Arial" w:cs="Arial" w:eastAsia="Arial" w:hAnsi="Arial"/>
          <w:sz w:val="17"/>
          <w:szCs w:val="17"/>
          <w:color w:val="auto"/>
        </w:rPr>
        <w:t>. Except for Etico Capital (a division of Olympus Securities LLC), no broker, financial advisor, investment banker or other Person is entitled to any fee, commission or expense reimbursement in connection with the Merger or other transactions contemplated by this Agreement based upon arrangements made by or on behalf of Parent.</w:t>
      </w:r>
    </w:p>
    <w:p>
      <w:pPr>
        <w:spacing w:after="0" w:line="62"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Interim Operations of Merger Sub</w:t>
      </w:r>
      <w:r>
        <w:rPr>
          <w:rFonts w:ascii="Arial" w:cs="Arial" w:eastAsia="Arial" w:hAnsi="Arial"/>
          <w:sz w:val="18"/>
          <w:szCs w:val="18"/>
          <w:color w:val="auto"/>
        </w:rPr>
        <w:t>. Merger Sub was formed solely for the purpose of engaging in the transactions contemplated by this Agreement, has engaged in no other business activities and has conducted its operations only as contemplated in this Agreement.</w:t>
      </w:r>
    </w:p>
    <w:p>
      <w:pPr>
        <w:spacing w:after="0" w:line="78"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on Form S-4 to be filed with the SEC by Parent in connection with the issuance of Parent Common Stock pursuant to this Agreement which shall include for registration (a) the Parent Common Stock issued pursuant to this Agreement, (b) the Parent Common Stock issuable upon the conversion of such Parent Preferred Stock issued pursuant to this Agreement, (c) the Parent Common Stock issuable upon the exercise of any New Company Options (to the extent permitted to be registered on a Form S-4) or New Company Warrants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at the date the Proxy Statement (and any amendment or supplement thereto) is first mailed to Parent and Company stockholders and at the time of the Parent Special Meeting and the Company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3.18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subject to Section 4.3, the Proxy Statement will include the Parent Board Recommendation.</w:t>
      </w:r>
    </w:p>
    <w:p>
      <w:pPr>
        <w:spacing w:after="0" w:line="76"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Certain Business Practices</w:t>
      </w:r>
      <w:r>
        <w:rPr>
          <w:rFonts w:ascii="Arial" w:cs="Arial" w:eastAsia="Arial" w:hAnsi="Arial"/>
          <w:sz w:val="17"/>
          <w:szCs w:val="17"/>
          <w:color w:val="auto"/>
        </w:rPr>
        <w:t>. Neither the Parent, its Subsidiaries nor, to the knowledge of the Parent, any director, officer, employee or agent of the Parent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Powers of Attorney</w:t>
      </w:r>
      <w:r>
        <w:rPr>
          <w:rFonts w:ascii="Arial" w:cs="Arial" w:eastAsia="Arial" w:hAnsi="Arial"/>
          <w:sz w:val="16"/>
          <w:szCs w:val="16"/>
          <w:color w:val="auto"/>
        </w:rPr>
        <w:t>. There are no outstanding powers of attorney executed on behalf of the Parent or its Subsidiaries.</w:t>
      </w:r>
    </w:p>
    <w:p>
      <w:pPr>
        <w:spacing w:after="0" w:line="137"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minute books and other similar records of the Parent and each of its Subsidiaries contains true, complete and correct records of all actions taken at any meetings of the Parent stockholders or its Subsidiaries, Board of Directors or any committee thereof and of all written consents in lieu of the holding of any such meeting. The books and records of the Parent and its Subsidiaries accurately reflect in all material respects the assets, liabilities, business, financial condition and results of operations of the Parent or such Subsidiary and have been maintained in accordance with good business and bookkeeping practices.</w:t>
      </w:r>
    </w:p>
    <w:p>
      <w:pPr>
        <w:spacing w:after="0" w:line="57"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Section 3.23 of the Parent Disclosure Schedule sets forth the employee benefit plans (as defined in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or any bonus, stock option, stock purchase, incentive, deferred compensation, supplemental retirement, severance and other similar employee benefit plans, and all unexpired severance</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6" w:name="page267"/>
    <w:bookmarkEnd w:id="2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40" w:right="619"/>
        <w:spacing w:after="0" w:line="257" w:lineRule="auto"/>
        <w:rPr>
          <w:sz w:val="20"/>
          <w:szCs w:val="20"/>
          <w:color w:val="auto"/>
        </w:rPr>
      </w:pPr>
      <w:r>
        <w:rPr>
          <w:rFonts w:ascii="Arial" w:cs="Arial" w:eastAsia="Arial" w:hAnsi="Arial"/>
          <w:sz w:val="18"/>
          <w:szCs w:val="18"/>
          <w:color w:val="auto"/>
        </w:rPr>
        <w:t>agreements (pursuant to which any payments are still due and payable by the Parent), written or otherwise (together, the “</w:t>
      </w:r>
      <w:r>
        <w:rPr>
          <w:rFonts w:ascii="Arial" w:cs="Arial" w:eastAsia="Arial" w:hAnsi="Arial"/>
          <w:sz w:val="18"/>
          <w:szCs w:val="18"/>
          <w:b w:val="1"/>
          <w:b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Plans</w:t>
      </w:r>
      <w:r>
        <w:rPr>
          <w:rFonts w:ascii="Arial" w:cs="Arial" w:eastAsia="Arial" w:hAnsi="Arial"/>
          <w:sz w:val="18"/>
          <w:szCs w:val="18"/>
          <w:color w:val="auto"/>
        </w:rPr>
        <w:t>”), for the benefit of, or relating to, any current or former employee of the Parent or its Subsidiaries or any trade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(whether or not incorporated) which is a member or which is under common control with the Parent within the meaning of Section 414 of the Code (an “</w:t>
      </w:r>
      <w:r>
        <w:rPr>
          <w:rFonts w:ascii="Arial" w:cs="Arial" w:eastAsia="Arial" w:hAnsi="Arial"/>
          <w:sz w:val="18"/>
          <w:szCs w:val="18"/>
          <w:b w:val="1"/>
          <w:bCs w:val="1"/>
          <w:color w:val="auto"/>
        </w:rPr>
        <w:t>ERISA Affiliate</w:t>
      </w:r>
      <w:r>
        <w:rPr>
          <w:rFonts w:ascii="Arial" w:cs="Arial" w:eastAsia="Arial" w:hAnsi="Arial"/>
          <w:sz w:val="18"/>
          <w:szCs w:val="18"/>
          <w:color w:val="auto"/>
        </w:rPr>
        <w: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Tangible Assets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5" w:lineRule="auto"/>
        <w:tabs>
          <w:tab w:leader="none" w:pos="89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of the Parent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82" w:lineRule="exact"/>
        <w:rPr>
          <w:rFonts w:ascii="Arial" w:cs="Arial" w:eastAsia="Arial" w:hAnsi="Arial"/>
          <w:sz w:val="18"/>
          <w:szCs w:val="18"/>
          <w:color w:val="auto"/>
        </w:rPr>
      </w:pPr>
    </w:p>
    <w:p>
      <w:pPr>
        <w:jc w:val="both"/>
        <w:ind w:left="320" w:right="619" w:firstLine="260"/>
        <w:spacing w:after="0" w:line="292" w:lineRule="auto"/>
        <w:tabs>
          <w:tab w:leader="none" w:pos="89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Section 3.24(b) of the Parent Disclosure Schedule sets forth (i) a true, complete and correct list of all items of tangible personal property owned by the Parent or its Subsidiaries as of the date hereof, or not owned by the Parent or its Subsidiaries but in the possession of or used in the business of the Parent or its Subsidiaries with a book value in excess of $10,000 (the “</w:t>
      </w:r>
      <w:r>
        <w:rPr>
          <w:rFonts w:ascii="Arial" w:cs="Arial" w:eastAsia="Arial" w:hAnsi="Arial"/>
          <w:sz w:val="16"/>
          <w:szCs w:val="16"/>
          <w:b w:val="1"/>
          <w:bCs w:val="1"/>
          <w:color w:val="auto"/>
        </w:rPr>
        <w:t>Personal Property</w:t>
      </w:r>
      <w:r>
        <w:rPr>
          <w:rFonts w:ascii="Arial" w:cs="Arial" w:eastAsia="Arial" w:hAnsi="Arial"/>
          <w:sz w:val="16"/>
          <w:szCs w:val="16"/>
          <w:color w:val="auto"/>
        </w:rPr>
        <w:t>”); and (ii) a description of the owner of, and any agreement relating to the use of, each item of Personal Property not owned by the Parent or its Subsidiaries and the circumstances under which such Personal Property is used.</w:t>
      </w:r>
    </w:p>
    <w:p>
      <w:pPr>
        <w:spacing w:after="0" w:line="57"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Section 3.25 of the Parent Disclosure Schedule sets forth all real property leases or subleases or license agreements for the use of real property to or by the Parent or its Subsidiaries, including the term of such lease, any extension and expansion options and the rent payable under it. The Parent has delivered true, complete and correct copies of the leases and subleases (as amended to date) listed in Section 3.25 of the Parent Disclosure Schedule With respect to each agreement listed in Section 3.25 of the Parent Disclosure Schedule:</w:t>
      </w:r>
    </w:p>
    <w:p>
      <w:pPr>
        <w:spacing w:after="0" w:line="85" w:lineRule="exact"/>
        <w:rPr>
          <w:sz w:val="20"/>
          <w:szCs w:val="20"/>
          <w:color w:val="auto"/>
        </w:rPr>
      </w:pPr>
    </w:p>
    <w:p>
      <w:pPr>
        <w:jc w:val="both"/>
        <w:ind w:left="320" w:right="619" w:firstLine="260"/>
        <w:spacing w:after="0" w:line="259" w:lineRule="auto"/>
        <w:tabs>
          <w:tab w:leader="none" w:pos="92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8" w:lineRule="exact"/>
        <w:rPr>
          <w:rFonts w:ascii="Arial" w:cs="Arial" w:eastAsia="Arial" w:hAnsi="Arial"/>
          <w:sz w:val="18"/>
          <w:szCs w:val="18"/>
          <w:color w:val="auto"/>
        </w:rPr>
      </w:pPr>
    </w:p>
    <w:p>
      <w:pPr>
        <w:jc w:val="both"/>
        <w:ind w:left="320" w:right="639" w:firstLine="260"/>
        <w:spacing w:after="0" w:line="275" w:lineRule="auto"/>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neither the Parent nor its Subsidiaries nor, to the knowledge of the Parent, any other party, is in breach or violation of, or default under, any such agreement, and no event has occurred, is pending or, to the knowledge of the Parent, is threatened, which, after the giving of notice, with lapse of time, or otherwise, would constitute a breach or default by the Parent or its Subsidiaries or, to the knowledge of Parent, any other under such agreement;</w:t>
      </w:r>
    </w:p>
    <w:p>
      <w:pPr>
        <w:spacing w:after="0" w:line="66" w:lineRule="exact"/>
        <w:rPr>
          <w:rFonts w:ascii="Arial" w:cs="Arial" w:eastAsia="Arial" w:hAnsi="Arial"/>
          <w:sz w:val="17"/>
          <w:szCs w:val="17"/>
          <w:color w:val="auto"/>
        </w:rPr>
      </w:pPr>
    </w:p>
    <w:p>
      <w:pPr>
        <w:ind w:left="320" w:right="639" w:firstLine="260"/>
        <w:spacing w:after="0" w:line="270" w:lineRule="auto"/>
        <w:tabs>
          <w:tab w:leader="none" w:pos="90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neither the Parent nor its Subsidiaries has assigned, transferred, conveyed, mortgaged, deeded in trust or encumbered any interest in any lease, sublease or license;</w:t>
      </w:r>
    </w:p>
    <w:p>
      <w:pPr>
        <w:spacing w:after="0" w:line="68" w:lineRule="exact"/>
        <w:rPr>
          <w:rFonts w:ascii="Arial" w:cs="Arial" w:eastAsia="Arial" w:hAnsi="Arial"/>
          <w:sz w:val="18"/>
          <w:szCs w:val="18"/>
          <w:color w:val="auto"/>
        </w:rPr>
      </w:pPr>
    </w:p>
    <w:p>
      <w:pPr>
        <w:jc w:val="both"/>
        <w:ind w:left="320" w:right="639" w:firstLine="260"/>
        <w:spacing w:after="0" w:line="259" w:lineRule="auto"/>
        <w:tabs>
          <w:tab w:leader="none" w:pos="9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there are no Liens, easements, covenants or other restrictions applicable to the real property subject to such lease, except for recorded easements, covenants and other restrictions which do not materially impair the Intended Use or the occupancy by the Parent or its Subsidiaries of the property subject thereto.</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6" w:lineRule="auto"/>
        <w:tabs>
          <w:tab w:leader="none" w:pos="93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Section 3.26(a) of the Parent Disclosure Schedule sets forth each insurance policy (including fire, theft, casualty, general liability, workers compensation, business interruption, environmental, product liability and automobile insurance policies and bond and surety arrangements) to which the Parent or its Subsidiaries is a party (the “</w:t>
      </w:r>
      <w:r>
        <w:rPr>
          <w:rFonts w:ascii="Arial" w:cs="Arial" w:eastAsia="Arial" w:hAnsi="Arial"/>
          <w:sz w:val="16"/>
          <w:szCs w:val="16"/>
          <w:b w:val="1"/>
          <w:bCs w:val="1"/>
          <w:color w:val="auto"/>
        </w:rPr>
        <w:t>Insurance Policies</w:t>
      </w:r>
      <w:r>
        <w:rPr>
          <w:rFonts w:ascii="Arial" w:cs="Arial" w:eastAsia="Arial" w:hAnsi="Arial"/>
          <w:sz w:val="16"/>
          <w:szCs w:val="16"/>
          <w:color w:val="auto"/>
        </w:rPr>
        <w:t>”). The Insurance Policies are in full force and effect, maintained with reputable companies against loss relating to the business, operations and properties and such other risks as companies engaged in similar business as the Parent and its Subsidiaries would, in accordance with good business practice, customarily insure. All premiums due and payable under the Insurance Policies have been paid on a timely basis and the Parent and its Subsidiaries are in compliance in all material respects with all other terms thereof. True, complete and correct copies of the Insurance Policies have been made available to Parent.</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7" w:name="page268"/>
    <w:bookmarkEnd w:id="2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2" w:lineRule="auto"/>
        <w:tabs>
          <w:tab w:leader="none" w:pos="89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There are no material claims pending as to which coverage has been questioned, denied or disputed. Neither the Parent nor its Subsidiaries has been refused insurance for which it has applied or had any policy of insurance terminated (other than at its request), nor has the Parent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18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IV</w:t>
      </w:r>
    </w:p>
    <w:p>
      <w:pPr>
        <w:spacing w:after="0" w:line="221" w:lineRule="exact"/>
        <w:rPr>
          <w:sz w:val="20"/>
          <w:szCs w:val="20"/>
          <w:color w:val="auto"/>
        </w:rPr>
      </w:pPr>
    </w:p>
    <w:p>
      <w:pPr>
        <w:ind w:left="320" w:right="3239" w:firstLine="2295"/>
        <w:spacing w:after="0" w:line="374" w:lineRule="auto"/>
        <w:rPr>
          <w:sz w:val="20"/>
          <w:szCs w:val="20"/>
          <w:color w:val="auto"/>
        </w:rPr>
      </w:pPr>
      <w:r>
        <w:rPr>
          <w:rFonts w:ascii="Arial" w:cs="Arial" w:eastAsia="Arial" w:hAnsi="Arial"/>
          <w:sz w:val="18"/>
          <w:szCs w:val="18"/>
          <w:b w:val="1"/>
          <w:bCs w:val="1"/>
          <w:color w:val="auto"/>
        </w:rPr>
        <w:t xml:space="preserve">CONDUCT OF BUSINESS PENDING THE MERGER </w:t>
      </w:r>
      <w:r>
        <w:rPr>
          <w:rFonts w:ascii="Arial" w:cs="Arial" w:eastAsia="Arial" w:hAnsi="Arial"/>
          <w:sz w:val="18"/>
          <w:szCs w:val="18"/>
          <w:color w:val="auto"/>
        </w:rPr>
        <w:t xml:space="preserve">4.1 </w:t>
      </w:r>
      <w:r>
        <w:rPr>
          <w:rFonts w:ascii="Arial" w:cs="Arial" w:eastAsia="Arial" w:hAnsi="Arial"/>
          <w:sz w:val="18"/>
          <w:szCs w:val="18"/>
          <w:u w:val="single" w:color="auto"/>
          <w:color w:val="auto"/>
        </w:rPr>
        <w:t>Conduct of Business Pending the Merger</w:t>
      </w:r>
      <w:r>
        <w:rPr>
          <w:rFonts w:ascii="Arial" w:cs="Arial" w:eastAsia="Arial" w:hAnsi="Arial"/>
          <w:sz w:val="18"/>
          <w:szCs w:val="18"/>
          <w:color w:val="auto"/>
        </w:rPr>
        <w:t>.</w:t>
      </w:r>
    </w:p>
    <w:p>
      <w:pPr>
        <w:jc w:val="both"/>
        <w:ind w:left="320" w:right="619" w:firstLine="260"/>
        <w:spacing w:after="0" w:line="283" w:lineRule="auto"/>
        <w:tabs>
          <w:tab w:leader="none" w:pos="87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of the Parent and the Company covenants and agrees with the other that, between the date hereof and the earlier to occur of the Effective Time or such earlier time as this Agreement is terminated in accordance with Article VIII (such period being hereinafter referred to as the “</w:t>
      </w:r>
      <w:r>
        <w:rPr>
          <w:rFonts w:ascii="Arial" w:cs="Arial" w:eastAsia="Arial" w:hAnsi="Arial"/>
          <w:sz w:val="16"/>
          <w:szCs w:val="16"/>
          <w:b w:val="1"/>
          <w:bCs w:val="1"/>
          <w:color w:val="auto"/>
        </w:rPr>
        <w:t>Interim Period</w:t>
      </w:r>
      <w:r>
        <w:rPr>
          <w:rFonts w:ascii="Arial" w:cs="Arial" w:eastAsia="Arial" w:hAnsi="Arial"/>
          <w:sz w:val="16"/>
          <w:szCs w:val="16"/>
          <w:color w:val="auto"/>
        </w:rPr>
        <w:t>”), except as expressly required by this Agreement or unless Parent or the Company, as applicable, shall otherwise consent in writing, which consent shall not be unreasonably withheld, conditioned or delayed, each of the Company and its Subsidiaries on the one hand and the Parent and its Subsidiaries on the other hand: (x) shall conduct its business only in the ordinary course of business, consistent with past practice; (y) shall not take any action, or fail to take any action, except in the ordinary course of business, consistent with past practice; and (z) shall use their reasonable best efforts to preserve intact their business organization, properties and assets, keep available the services of their officers, employees and consultants, maintain in effect all Company Material Contracts and the Parent Material Contracts, as applicable, and preserve their relationships, customers, licensees, suppliers and other Persons with which they have business relations. By way of amplification and not limitation, except as expressly permitted by this Agreement, neither the Company nor its Subsidiaries on the one hand nor the Parent and its Subsidiaries on the other hand shall, during the Interim Period, directly or indirectly, do any of the following without the prior written consent of the other:</w:t>
      </w:r>
    </w:p>
    <w:p>
      <w:pPr>
        <w:spacing w:after="0" w:line="66" w:lineRule="exact"/>
        <w:rPr>
          <w:rFonts w:ascii="Arial" w:cs="Arial" w:eastAsia="Arial" w:hAnsi="Arial"/>
          <w:sz w:val="16"/>
          <w:szCs w:val="16"/>
          <w:color w:val="auto"/>
        </w:rPr>
      </w:pPr>
    </w:p>
    <w:p>
      <w:pPr>
        <w:ind w:left="580" w:right="639" w:firstLine="267"/>
        <w:spacing w:after="0" w:line="270" w:lineRule="auto"/>
        <w:tabs>
          <w:tab w:leader="none" w:pos="113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amend its Certificate of Incorporation, Bylaws or other equivalent organizational documents, or otherwise alter its corporate structure through merger, liquidation, reorganization or otherwise;</w:t>
      </w:r>
    </w:p>
    <w:p>
      <w:pPr>
        <w:spacing w:after="0" w:line="68" w:lineRule="exact"/>
        <w:rPr>
          <w:rFonts w:ascii="Arial" w:cs="Arial" w:eastAsia="Arial" w:hAnsi="Arial"/>
          <w:sz w:val="18"/>
          <w:szCs w:val="18"/>
          <w:color w:val="auto"/>
        </w:rPr>
      </w:pPr>
    </w:p>
    <w:p>
      <w:pPr>
        <w:jc w:val="both"/>
        <w:ind w:left="580" w:right="619" w:firstLine="267"/>
        <w:spacing w:after="0" w:line="306" w:lineRule="auto"/>
        <w:tabs>
          <w:tab w:leader="none" w:pos="1185"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issue, transfer, pledge or encumber any shares of capital stock of any class, or any options, warrants, convertible securities or other rights of any kind to acquire any shares of capital stock, or any other ownership interest (except for the issuance of shares of Company Common Stock or Parent Common Stock issuable pursuant to options or warrants);</w:t>
      </w:r>
    </w:p>
    <w:p>
      <w:pPr>
        <w:spacing w:after="0" w:line="44" w:lineRule="exact"/>
        <w:rPr>
          <w:rFonts w:ascii="Arial" w:cs="Arial" w:eastAsia="Arial" w:hAnsi="Arial"/>
          <w:sz w:val="16"/>
          <w:szCs w:val="16"/>
          <w:color w:val="auto"/>
        </w:rPr>
      </w:pPr>
    </w:p>
    <w:p>
      <w:pPr>
        <w:ind w:left="580" w:right="619" w:firstLine="267"/>
        <w:spacing w:after="0" w:line="270" w:lineRule="auto"/>
        <w:tabs>
          <w:tab w:leader="none" w:pos="12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redeem, repurchase or otherwise acquire, directly or indirectly, any shares of their capital stock or interest in or securities of its Subsidiaries;</w:t>
      </w:r>
    </w:p>
    <w:p>
      <w:pPr>
        <w:spacing w:after="0" w:line="68" w:lineRule="exact"/>
        <w:rPr>
          <w:rFonts w:ascii="Arial" w:cs="Arial" w:eastAsia="Arial" w:hAnsi="Arial"/>
          <w:sz w:val="18"/>
          <w:szCs w:val="18"/>
          <w:color w:val="auto"/>
        </w:rPr>
      </w:pPr>
    </w:p>
    <w:p>
      <w:pPr>
        <w:ind w:left="580" w:right="619" w:firstLine="267"/>
        <w:spacing w:after="0" w:line="334" w:lineRule="auto"/>
        <w:tabs>
          <w:tab w:leader="none" w:pos="125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transfer, lease, license, mortgage, pledge, encumber or incur or assume any Lien on any properties, facilities, equipment or other tangible or intangible assets, except in the ordinary course of business and consistent with past practice;</w:t>
      </w:r>
    </w:p>
    <w:p>
      <w:pPr>
        <w:spacing w:after="0" w:line="22" w:lineRule="exact"/>
        <w:rPr>
          <w:rFonts w:ascii="Arial" w:cs="Arial" w:eastAsia="Arial" w:hAnsi="Arial"/>
          <w:sz w:val="16"/>
          <w:szCs w:val="16"/>
          <w:color w:val="auto"/>
        </w:rPr>
      </w:pPr>
    </w:p>
    <w:p>
      <w:pPr>
        <w:ind w:left="580" w:right="639" w:firstLine="267"/>
        <w:spacing w:after="0" w:line="270" w:lineRule="auto"/>
        <w:tabs>
          <w:tab w:leader="none" w:pos="118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in respect of any of its capital stock or other equity interests;</w:t>
      </w:r>
    </w:p>
    <w:p>
      <w:pPr>
        <w:spacing w:after="0" w:line="68" w:lineRule="exact"/>
        <w:rPr>
          <w:rFonts w:ascii="Arial" w:cs="Arial" w:eastAsia="Arial" w:hAnsi="Arial"/>
          <w:sz w:val="18"/>
          <w:szCs w:val="18"/>
          <w:color w:val="auto"/>
        </w:rPr>
      </w:pPr>
    </w:p>
    <w:p>
      <w:pPr>
        <w:ind w:left="580" w:right="619" w:firstLine="267"/>
        <w:spacing w:after="0" w:line="270" w:lineRule="auto"/>
        <w:tabs>
          <w:tab w:leader="none" w:pos="121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split, combine or reclassify any shares of its capital stock or other securities or equity interests, or issue any other securities in respect of, in lieu of or in substitution for shares of its capital stock or equity interests;</w:t>
      </w:r>
    </w:p>
    <w:p>
      <w:pPr>
        <w:spacing w:after="0" w:line="68" w:lineRule="exact"/>
        <w:rPr>
          <w:rFonts w:ascii="Arial" w:cs="Arial" w:eastAsia="Arial" w:hAnsi="Arial"/>
          <w:sz w:val="18"/>
          <w:szCs w:val="18"/>
          <w:color w:val="auto"/>
        </w:rPr>
      </w:pPr>
    </w:p>
    <w:p>
      <w:pPr>
        <w:ind w:left="1240" w:hanging="393"/>
        <w:spacing w:after="0"/>
        <w:tabs>
          <w:tab w:leader="none" w:pos="12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any Person;</w:t>
      </w:r>
    </w:p>
    <w:p>
      <w:pPr>
        <w:spacing w:after="0" w:line="113" w:lineRule="exact"/>
        <w:rPr>
          <w:rFonts w:ascii="Arial" w:cs="Arial" w:eastAsia="Arial" w:hAnsi="Arial"/>
          <w:sz w:val="18"/>
          <w:szCs w:val="18"/>
          <w:color w:val="auto"/>
        </w:rPr>
      </w:pPr>
    </w:p>
    <w:p>
      <w:pPr>
        <w:ind w:left="580" w:right="639" w:firstLine="267"/>
        <w:spacing w:after="0" w:line="334" w:lineRule="auto"/>
        <w:tabs>
          <w:tab w:leader="none" w:pos="135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incur indebtedness for borrowed money or issue debt securities or assume, guarantee or endorse or become responsible for the obligations of any Person, or make any loans, advances or enter into any financial commitments;</w:t>
      </w:r>
    </w:p>
    <w:p>
      <w:pPr>
        <w:spacing w:after="0" w:line="200" w:lineRule="exact"/>
        <w:rPr>
          <w:sz w:val="20"/>
          <w:szCs w:val="20"/>
          <w:color w:val="auto"/>
        </w:rPr>
      </w:pPr>
    </w:p>
    <w:p>
      <w:pPr>
        <w:spacing w:after="0" w:line="2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8" w:name="page269"/>
    <w:bookmarkEnd w:id="2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1200" w:hanging="353"/>
        <w:spacing w:after="0"/>
        <w:tabs>
          <w:tab w:leader="none" w:pos="1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authorize any capital expenditure in excess of $50,000 individually or $125,000 in the aggregate;</w:t>
      </w:r>
    </w:p>
    <w:p>
      <w:pPr>
        <w:spacing w:after="0" w:line="113" w:lineRule="exact"/>
        <w:rPr>
          <w:rFonts w:ascii="Arial" w:cs="Arial" w:eastAsia="Arial" w:hAnsi="Arial"/>
          <w:sz w:val="18"/>
          <w:szCs w:val="18"/>
          <w:color w:val="auto"/>
        </w:rPr>
      </w:pPr>
    </w:p>
    <w:p>
      <w:pPr>
        <w:jc w:val="both"/>
        <w:ind w:left="580" w:right="619" w:firstLine="267"/>
        <w:spacing w:after="0" w:line="286" w:lineRule="auto"/>
        <w:tabs>
          <w:tab w:leader="none" w:pos="1151"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 hire or terminate any employees, independent contractors or consultants, having a total salary or severance package that is individually in excess of $50,000, or that collectively is in excess of $50,000; or (D) establish, adopt, enter into or amend in any material respect any bonus, profit sharing, thrift, compensation, stock option, restricted stock, pension, retirement, deferred compensation, employment, termination, severance or other plan, trust, fund, policy, agreement or arrangement for the benefit of any of its directors, officers or employees, except in accordance with the provisions of Sections 1.10, 5.4, 5.9 and 5.10 of this Agreement;</w:t>
      </w:r>
    </w:p>
    <w:p>
      <w:pPr>
        <w:spacing w:after="0" w:line="63" w:lineRule="exact"/>
        <w:rPr>
          <w:rFonts w:ascii="Arial" w:cs="Arial" w:eastAsia="Arial" w:hAnsi="Arial"/>
          <w:sz w:val="16"/>
          <w:szCs w:val="16"/>
          <w:color w:val="auto"/>
        </w:rPr>
      </w:pPr>
    </w:p>
    <w:p>
      <w:pPr>
        <w:ind w:left="1200" w:hanging="353"/>
        <w:spacing w:after="0"/>
        <w:tabs>
          <w:tab w:leader="none" w:pos="120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change any accounting policies or procedures unless required by statutory accounting principles or GAAP;</w:t>
      </w:r>
    </w:p>
    <w:p>
      <w:pPr>
        <w:spacing w:after="0" w:line="125" w:lineRule="exact"/>
        <w:rPr>
          <w:rFonts w:ascii="Arial" w:cs="Arial" w:eastAsia="Arial" w:hAnsi="Arial"/>
          <w:sz w:val="17"/>
          <w:szCs w:val="17"/>
          <w:color w:val="auto"/>
        </w:rPr>
      </w:pPr>
    </w:p>
    <w:p>
      <w:pPr>
        <w:ind w:left="580" w:right="639" w:firstLine="267"/>
        <w:spacing w:after="0" w:line="270" w:lineRule="auto"/>
        <w:tabs>
          <w:tab w:leader="none" w:pos="129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make any payments to any Affiliate, except normal recurring payments pursuant to any existing employment agreement as of the date of this Agreement;</w:t>
      </w:r>
    </w:p>
    <w:p>
      <w:pPr>
        <w:spacing w:after="0" w:line="68" w:lineRule="exact"/>
        <w:rPr>
          <w:rFonts w:ascii="Arial" w:cs="Arial" w:eastAsia="Arial" w:hAnsi="Arial"/>
          <w:sz w:val="18"/>
          <w:szCs w:val="18"/>
          <w:color w:val="auto"/>
        </w:rPr>
      </w:pPr>
    </w:p>
    <w:p>
      <w:pPr>
        <w:jc w:val="both"/>
        <w:ind w:left="580" w:right="619" w:firstLine="267"/>
        <w:spacing w:after="0" w:line="259" w:lineRule="auto"/>
        <w:tabs>
          <w:tab w:leader="none" w:pos="129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fail to make any expenditures that are necessary and sufficient to maintain or, to the extent budgeted or consistent with the past practice, improve the conditions of its properties, facilities and equipment, including, without limitation, budgeted expenditures relating to maintenance, repair and replacement;</w:t>
      </w:r>
    </w:p>
    <w:p>
      <w:pPr>
        <w:spacing w:after="0" w:line="78" w:lineRule="exact"/>
        <w:rPr>
          <w:rFonts w:ascii="Arial" w:cs="Arial" w:eastAsia="Arial" w:hAnsi="Arial"/>
          <w:sz w:val="18"/>
          <w:szCs w:val="18"/>
          <w:color w:val="auto"/>
        </w:rPr>
      </w:pPr>
    </w:p>
    <w:p>
      <w:pPr>
        <w:jc w:val="both"/>
        <w:ind w:left="580" w:right="619" w:firstLine="267"/>
        <w:spacing w:after="0" w:line="281" w:lineRule="auto"/>
        <w:tabs>
          <w:tab w:leader="none" w:pos="1289" w:val="left"/>
        </w:tabs>
        <w:numPr>
          <w:ilvl w:val="1"/>
          <w:numId w:val="205"/>
        </w:numPr>
        <w:rPr>
          <w:rFonts w:ascii="Arial" w:cs="Arial" w:eastAsia="Arial" w:hAnsi="Arial"/>
          <w:sz w:val="17"/>
          <w:szCs w:val="17"/>
          <w:color w:val="auto"/>
        </w:rPr>
      </w:pPr>
      <w:r>
        <w:rPr>
          <w:rFonts w:ascii="Arial" w:cs="Arial" w:eastAsia="Arial" w:hAnsi="Arial"/>
          <w:sz w:val="17"/>
          <w:szCs w:val="17"/>
          <w:color w:val="auto"/>
        </w:rPr>
        <w:t>take any action or fail to take any action permitted by this Agreement if such action or failure to take action could reasonably be expected to result in either (A) any of their representations and warranties of set forth in this Agreement becoming untrue or (B) any of the conditions to the Closing set forth in Article VI not being satisfied; or</w:t>
      </w:r>
    </w:p>
    <w:p>
      <w:pPr>
        <w:spacing w:after="0" w:line="61" w:lineRule="exact"/>
        <w:rPr>
          <w:rFonts w:ascii="Arial" w:cs="Arial" w:eastAsia="Arial" w:hAnsi="Arial"/>
          <w:sz w:val="17"/>
          <w:szCs w:val="17"/>
          <w:color w:val="auto"/>
        </w:rPr>
      </w:pPr>
    </w:p>
    <w:p>
      <w:pPr>
        <w:ind w:left="580" w:right="619" w:firstLine="267"/>
        <w:spacing w:after="0" w:line="270" w:lineRule="auto"/>
        <w:tabs>
          <w:tab w:leader="none" w:pos="123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authorize, recommend, propose, announce or enter into any agreement, contract, commitment or arrangement to do any of the foregoing.</w:t>
      </w:r>
    </w:p>
    <w:p>
      <w:pPr>
        <w:spacing w:after="0" w:line="68" w:lineRule="exact"/>
        <w:rPr>
          <w:rFonts w:ascii="Arial" w:cs="Arial" w:eastAsia="Arial" w:hAnsi="Arial"/>
          <w:sz w:val="18"/>
          <w:szCs w:val="18"/>
          <w:color w:val="auto"/>
        </w:rPr>
      </w:pPr>
    </w:p>
    <w:p>
      <w:pPr>
        <w:jc w:val="both"/>
        <w:ind w:left="320" w:right="619" w:firstLine="260"/>
        <w:spacing w:after="0" w:line="255" w:lineRule="auto"/>
        <w:tabs>
          <w:tab w:leader="none" w:pos="91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During the Interim Period, each of the Parent and the Company shall, and shall cause each of its Subsidiaries to: (i) solicit and accept customer orders in the ordinary course of business; and (ii) cooperate with the other in communicating with suppliers and customers to accomplish the orderly transfer of the business and operations of the Company and its Subsidiaries to the control of Parent on the Closing Date.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Solicitation of Other Proposals by Company</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3" w:lineRule="auto"/>
        <w:tabs>
          <w:tab w:leader="none" w:pos="87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to, immediately cease and cause to be terminated any and all existing activities, discussions or negotiations with any persons conducted heretofore with respect to any Company Acquisition Proposal (as defined herein). Except as expressly provided in this Section 4.2, Company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Company Acquisition Proposal; (ii) enter into, participate or engage in discussions or negotiations in any way with any Person concerning, any Company Acquisition Proposal, (iii) furnish to any Person (other than the Parent and its designees) any information relating to Company or any of its Subsidiaries, or afford to any Person (other than the Parent or its designees) access to the business, properties, assets, books, records or other information, or to any personnel, of Company or any of its Subsidiaries, in any such case, with the intent to induce or solicit the making, submission or announcement of, or the intent to encourage or assist, a Company Acquisition Proposal or any inquiries or the making of any proposal that would reasonably be expected to lead to a Company Acquisition Proposal, (iv) approve, endorse or recommend a Company Acquisition Proposal; (v) enter into any agreement in principle, letter or intent,</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69" w:name="page270"/>
    <w:bookmarkEnd w:id="2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64" w:lineRule="auto"/>
        <w:rPr>
          <w:sz w:val="20"/>
          <w:szCs w:val="20"/>
          <w:color w:val="auto"/>
        </w:rPr>
      </w:pPr>
      <w:r>
        <w:rPr>
          <w:rFonts w:ascii="Arial" w:cs="Arial" w:eastAsia="Arial" w:hAnsi="Arial"/>
          <w:sz w:val="17"/>
          <w:szCs w:val="17"/>
          <w:color w:val="auto"/>
        </w:rPr>
        <w:t>term sheet, merger agreement, acquisition agreement or other similar instrument (whether binding or not) or contract constituting or otherwise relating to a Company Acquisition Proposal or requiring it to abandon, terminate or fail to consummate, or that is intended to or that would reasonably be expected to result in the abandonment of, termination of or failure to consummate, the Merger (other than executed non-disclosure agreement having provisions no less favorable to the party hereto delivering such agreement than that certain Non-Disclosure Agreement (the “</w:t>
      </w:r>
      <w:r>
        <w:rPr>
          <w:rFonts w:ascii="Arial" w:cs="Arial" w:eastAsia="Arial" w:hAnsi="Arial"/>
          <w:sz w:val="17"/>
          <w:szCs w:val="17"/>
          <w:b w:val="1"/>
          <w:bCs w:val="1"/>
          <w:color w:val="auto"/>
        </w:rPr>
        <w:t>NDA</w:t>
      </w:r>
      <w:r>
        <w:rPr>
          <w:rFonts w:ascii="Arial" w:cs="Arial" w:eastAsia="Arial" w:hAnsi="Arial"/>
          <w:sz w:val="17"/>
          <w:szCs w:val="17"/>
          <w:color w:val="auto"/>
        </w:rPr>
        <w:t>”), by and between the Company and the Parent, dated as of February 3, 2012 (an “</w:t>
      </w:r>
      <w:r>
        <w:rPr>
          <w:rFonts w:ascii="Arial" w:cs="Arial" w:eastAsia="Arial" w:hAnsi="Arial"/>
          <w:sz w:val="17"/>
          <w:szCs w:val="17"/>
          <w:b w:val="1"/>
          <w:bCs w:val="1"/>
          <w:color w:val="auto"/>
        </w:rPr>
        <w:t>Acceptable NDA</w:t>
      </w:r>
      <w:r>
        <w:rPr>
          <w:rFonts w:ascii="Arial" w:cs="Arial" w:eastAsia="Arial" w:hAnsi="Arial"/>
          <w:sz w:val="17"/>
          <w:szCs w:val="17"/>
          <w:color w:val="auto"/>
        </w:rPr>
        <w:t>”)); or (vi) grant any approval pursuant to any “moratorium,” “control share acquisition,” “business combination,” “fair price” or other form of anti-takeover law (collectively, “</w:t>
      </w:r>
      <w:r>
        <w:rPr>
          <w:rFonts w:ascii="Arial" w:cs="Arial" w:eastAsia="Arial" w:hAnsi="Arial"/>
          <w:sz w:val="17"/>
          <w:szCs w:val="17"/>
          <w:b w:val="1"/>
          <w:bCs w:val="1"/>
          <w:color w:val="auto"/>
        </w:rPr>
        <w:t>Takeover Laws</w:t>
      </w:r>
      <w:r>
        <w:rPr>
          <w:rFonts w:ascii="Arial" w:cs="Arial" w:eastAsia="Arial" w:hAnsi="Arial"/>
          <w:sz w:val="17"/>
          <w:szCs w:val="17"/>
          <w:color w:val="auto"/>
        </w:rPr>
        <w:t xml:space="preserve">”), including without limitation Section 203 of the DGCL, to any Person (other than as contemplated herein) or transaction (other than the Merger) or any waiver or release under any standstill or any similar agreement with respect to equity securities of Company. Notwithstanding the foregoing sentence or any other provision of this Agreement, subject to compliance with Section 4.2(b), the Company or its Board of Directors may enter into discussions with any Person in response to an unsolicited </w:t>
      </w:r>
      <w:r>
        <w:rPr>
          <w:rFonts w:ascii="Arial" w:cs="Arial" w:eastAsia="Arial" w:hAnsi="Arial"/>
          <w:sz w:val="17"/>
          <w:szCs w:val="17"/>
          <w:u w:val="single" w:color="auto"/>
          <w:color w:val="auto"/>
        </w:rPr>
        <w:t>bona fide</w:t>
      </w:r>
      <w:r>
        <w:rPr>
          <w:rFonts w:ascii="Arial" w:cs="Arial" w:eastAsia="Arial" w:hAnsi="Arial"/>
          <w:sz w:val="17"/>
          <w:szCs w:val="17"/>
          <w:color w:val="auto"/>
        </w:rPr>
        <w:t xml:space="preserve"> written Company Acquisition Proposal by such Person, which Company Acquisition Proposal was made after the date of this Agreement and did not result from a breach of this Section 4.2(a),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 (y) the Company’s Board of Directors receives from such Person an Acceptable NDA.</w:t>
      </w:r>
    </w:p>
    <w:p>
      <w:pPr>
        <w:spacing w:after="0" w:line="87" w:lineRule="exact"/>
        <w:rPr>
          <w:sz w:val="20"/>
          <w:szCs w:val="20"/>
          <w:color w:val="auto"/>
        </w:rPr>
      </w:pPr>
    </w:p>
    <w:p>
      <w:pPr>
        <w:jc w:val="both"/>
        <w:ind w:left="320" w:right="619" w:firstLine="260"/>
        <w:spacing w:after="0" w:line="266" w:lineRule="auto"/>
        <w:tabs>
          <w:tab w:leader="none" w:pos="887"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Company shall notify the Parent orally as soon as practicable, and in writing, promptly (and in any event within 24 hours) after receipt by the Company of (i) any Company Acquisition Proposal or (ii) any inquiry or request for access to the properties, books, records or other information of the Company by any Person that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discussions with any such Person regarding a Company Acquisition Proposal and shall disclose the substance of such discussions and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78" w:lineRule="exact"/>
        <w:rPr>
          <w:rFonts w:ascii="Arial" w:cs="Arial" w:eastAsia="Arial" w:hAnsi="Arial"/>
          <w:sz w:val="17"/>
          <w:szCs w:val="17"/>
          <w:color w:val="auto"/>
        </w:rPr>
      </w:pPr>
    </w:p>
    <w:p>
      <w:pPr>
        <w:ind w:left="880" w:hanging="300"/>
        <w:spacing w:after="0"/>
        <w:tabs>
          <w:tab w:leader="none" w:pos="88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Subject to the provisions of this Section 4.2, neither the Company’s Board of Directors nor any committee thereof shall</w:t>
      </w:r>
    </w:p>
    <w:p>
      <w:pPr>
        <w:spacing w:after="0" w:line="42" w:lineRule="exact"/>
        <w:rPr>
          <w:rFonts w:ascii="Arial" w:cs="Arial" w:eastAsia="Arial" w:hAnsi="Arial"/>
          <w:sz w:val="16"/>
          <w:szCs w:val="16"/>
          <w:color w:val="auto"/>
        </w:rPr>
      </w:pPr>
    </w:p>
    <w:p>
      <w:pPr>
        <w:jc w:val="both"/>
        <w:ind w:left="320" w:right="619" w:hanging="8"/>
        <w:spacing w:after="0" w:line="249" w:lineRule="auto"/>
        <w:tabs>
          <w:tab w:leader="none" w:pos="53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withhold, withdraw, amend, qualify or modify in a manner adverse to Parent, or publicly propose to withhold, withdraw, amend, qualify or modify in a manner adverse to the Parent, the Company Board Recommendation, or (B) approve, adopt or recommend, or publicly propose to approve, adopt or recommend, any Company Acquisition Proposal (any action described in clauses (A) and (B) or (ii) enter into any agreement in principle, letter of intent, term sheet, merger agreement, acquisition agreement or other similar instrument (whether binding or not) or contract constituting or otherwise relating to a Company Acquisition Proposal (other than an Acceptable NDA).</w:t>
      </w:r>
    </w:p>
    <w:p>
      <w:pPr>
        <w:spacing w:after="0" w:line="88" w:lineRule="exact"/>
        <w:rPr>
          <w:rFonts w:ascii="Arial" w:cs="Arial" w:eastAsia="Arial" w:hAnsi="Arial"/>
          <w:sz w:val="18"/>
          <w:szCs w:val="18"/>
          <w:color w:val="auto"/>
        </w:rPr>
      </w:pPr>
    </w:p>
    <w:p>
      <w:pPr>
        <w:jc w:val="both"/>
        <w:ind w:left="320" w:right="639" w:firstLine="260"/>
        <w:spacing w:after="0" w:line="251" w:lineRule="auto"/>
        <w:tabs>
          <w:tab w:leader="none" w:pos="88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set forth in this Agreement, at any time prior to obtaining the Company Stockholder Approval, Company’s Board of Directors (or any committee thereof) may effect a Company Board Recommendation Change if, at any time prior to the receipt of the Company Stockholder Approval, (1) the Company has complied with its obligations under this Section 4.2 and (2) the Company’s Board of Directors (or any committee thereof) determines in good faith (after consultation with outside legal counsel) that as a result of a (x) Parent Superior Proposal or (y) an event, development or change in circumstances that occurs or arises following the date of this Agreement, the failure to effect a Company Board Recommendation Change would be inconsistent with its fiduciary duties to the Company’s stockholders.</w:t>
      </w: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0" w:name="page271"/>
    <w:bookmarkEnd w:id="2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60" w:hanging="280"/>
        <w:spacing w:after="0"/>
        <w:tabs>
          <w:tab w:leader="none" w:pos="8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09" w:lineRule="exact"/>
        <w:rPr>
          <w:rFonts w:ascii="Arial" w:cs="Arial" w:eastAsia="Arial" w:hAnsi="Arial"/>
          <w:sz w:val="18"/>
          <w:szCs w:val="18"/>
          <w:color w:val="auto"/>
        </w:rPr>
      </w:pPr>
    </w:p>
    <w:p>
      <w:pPr>
        <w:jc w:val="both"/>
        <w:ind w:left="580" w:right="619" w:firstLine="267"/>
        <w:spacing w:after="0" w:line="266" w:lineRule="auto"/>
        <w:tabs>
          <w:tab w:leader="none" w:pos="1145" w:val="left"/>
        </w:tabs>
        <w:numPr>
          <w:ilvl w:val="1"/>
          <w:numId w:val="2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Acquisition Proposal</w:t>
      </w:r>
      <w:r>
        <w:rPr>
          <w:rFonts w:ascii="Arial" w:cs="Arial" w:eastAsia="Arial" w:hAnsi="Arial"/>
          <w:sz w:val="17"/>
          <w:szCs w:val="17"/>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(ii) any direct or indirect sale, transfer, acquisition or disposition of more than 20% of the consolidated assets of Company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Company or any Subsidiary.</w:t>
      </w:r>
    </w:p>
    <w:p>
      <w:pPr>
        <w:spacing w:after="0" w:line="73" w:lineRule="exact"/>
        <w:rPr>
          <w:rFonts w:ascii="Arial" w:cs="Arial" w:eastAsia="Arial" w:hAnsi="Arial"/>
          <w:sz w:val="17"/>
          <w:szCs w:val="17"/>
          <w:color w:val="auto"/>
        </w:rPr>
      </w:pPr>
    </w:p>
    <w:p>
      <w:pPr>
        <w:jc w:val="both"/>
        <w:ind w:left="580" w:right="619" w:firstLine="267"/>
        <w:spacing w:after="0" w:line="267" w:lineRule="auto"/>
        <w:tabs>
          <w:tab w:leader="none" w:pos="119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Superior Proposal</w:t>
      </w:r>
      <w:r>
        <w:rPr>
          <w:rFonts w:ascii="Arial" w:cs="Arial" w:eastAsia="Arial" w:hAnsi="Arial"/>
          <w:sz w:val="17"/>
          <w:szCs w:val="17"/>
          <w:color w:val="auto"/>
        </w:rPr>
        <w:t>” means any bona fide offer or proposal that constitutes a Company Acquisition Proposal on terms that the Company Board of Directors (or any committee thereof) shall have determined in good faith (after consultation with its financial advisor and outside legal counsel), taking into account all relevant legal (including conditions), financial, regulatory, timing and other aspects of such Company Acquisition Proposal, is reasonably likely to be consummated and would be more favorable to Company’s stockholders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Solicitation of other Proposals by Parent</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1" w:lineRule="auto"/>
        <w:tabs>
          <w:tab w:leader="none" w:pos="89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Parent agrees that it will, and will cause its Subsidiaries and Affiliates and each of their respective Representatives to, immediately cease and cause to be terminated any and all existing activities, discussions or negotiations with any persons conducted heretofore with respect to any Parent Acquisition Proposal (as defined herein). Except as expressly provided in this Section 4.3, Parent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Parent Acquisition Proposal; (ii) enter into, participate or engage in discussions or negotiations in any way with any Person concerning, any Parent Acquisition Proposal, (iii) furnish to any Person (other than the Company and its designees) any information relating to Parent or any of its Subsidiaries, or afford to any Person (other than the Company or its designees) access to the business, properties, assets, books, records or other information, or to any personnel, of Parent or any of its Subsidiaries, in any such case, with the intent to induce or solicit the making, submission or announcement of, or the intent to encourage or assist, a Parent Acquisition Proposal or any inquiries or the making of any proposal that would reasonably be expected to lead to a Parent Acquisition Proposal, (iv) approve, endorse or recommend a Parent Acquisition Proposal; (v) enter into any agreement in principle, letter or intent, term sheet, merger agreement, acquisition agreement or other similar instrument (whether binding or not) or Contract constituting or otherwise relating to a Parent Acquisition Proposal or requiring it to abandon, terminate or fail to consummate, or that is intended to or that would reasonably be expected to result in the abandonment of, termination of or failure to consummate, the Merger (other than an Acceptable NDA); or (vi) grant any approval pursuant to any Takeover Laws, including without limitation Section 203 of the DGCL, to any Person (other than as contemplated herein) or transaction (other than the Merger) or any waiver or release under any standstill or any similar agreement with respect to equity securities of Parent. Notwithstanding the foregoing sentence or any other provision of this Agreement, subject to compliance with Section 4.3(b), Parent or its Board of Directors may enter into discussions with any</w:t>
      </w:r>
    </w:p>
    <w:p>
      <w:pPr>
        <w:spacing w:after="0" w:line="200" w:lineRule="exact"/>
        <w:rPr>
          <w:sz w:val="20"/>
          <w:szCs w:val="20"/>
          <w:color w:val="auto"/>
        </w:rPr>
      </w:pPr>
    </w:p>
    <w:p>
      <w:pPr>
        <w:spacing w:after="0" w:line="3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1" w:name="page272"/>
    <w:bookmarkEnd w:id="2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2" w:lineRule="auto"/>
        <w:rPr>
          <w:sz w:val="20"/>
          <w:szCs w:val="20"/>
          <w:color w:val="auto"/>
        </w:rPr>
      </w:pPr>
      <w:r>
        <w:rPr>
          <w:rFonts w:ascii="Arial" w:cs="Arial" w:eastAsia="Arial" w:hAnsi="Arial"/>
          <w:sz w:val="18"/>
          <w:szCs w:val="18"/>
          <w:color w:val="auto"/>
        </w:rPr>
        <w:t xml:space="preserve">Person in response to an unsolicited </w:t>
      </w:r>
      <w:r>
        <w:rPr>
          <w:rFonts w:ascii="Arial" w:cs="Arial" w:eastAsia="Arial" w:hAnsi="Arial"/>
          <w:sz w:val="18"/>
          <w:szCs w:val="18"/>
          <w:u w:val="single" w:color="auto"/>
          <w:color w:val="auto"/>
        </w:rPr>
        <w:t>bona fide</w:t>
      </w:r>
      <w:r>
        <w:rPr>
          <w:rFonts w:ascii="Arial" w:cs="Arial" w:eastAsia="Arial" w:hAnsi="Arial"/>
          <w:sz w:val="18"/>
          <w:szCs w:val="18"/>
          <w:color w:val="auto"/>
        </w:rPr>
        <w:t xml:space="preserve"> written Parent Acquisition Proposal by such Person, which Parent Acquisition Proposal was made after the date of this Agreement and did not result from a breach of this Section 4.3(a), if and only to the extent that and prior to engaging in any such discussions with such Person (x) the Board of Directors of the Parent determines in good faith after consultation with its outside legal counsel and other advisors, that such Parent Acquisition Proposal either constitutes or could reasonably be expected to lead to a Parent Superior Proposal and (y) the Parent’s Board of Directors receives from such Person an Acceptable NDA.</w:t>
      </w:r>
    </w:p>
    <w:p>
      <w:pPr>
        <w:spacing w:after="0" w:line="86" w:lineRule="exact"/>
        <w:rPr>
          <w:sz w:val="20"/>
          <w:szCs w:val="20"/>
          <w:color w:val="auto"/>
        </w:rPr>
      </w:pPr>
    </w:p>
    <w:p>
      <w:pPr>
        <w:jc w:val="both"/>
        <w:ind w:left="320" w:right="619" w:firstLine="260"/>
        <w:spacing w:after="0" w:line="266" w:lineRule="auto"/>
        <w:tabs>
          <w:tab w:leader="none" w:pos="887"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Parent shall notify the Company orally as soon as practicable, and in writing, promptly (and in any event within 24 hours) after receipt by the Parent of (i) any Parent Acquisition Proposal or (ii) any inquiry or request for access to the properties, books, records or other information of the Parent by any Person that relates to or could reasonably be expected to lead to a Parent Acquisition Proposal and such notice shall indicate in reasonable detail the identity of the offeror, the terms and conditions of such proposal or inquiry and a copy of any written Parent Acquisition Proposal. The Parent shall promptly notify the Company of any discussions with any such Person regarding a Parent Acquisition Proposal and shall disclose the substance of such discussions and Parent shall otherwise keep the Company reasonably informed of the status of such Parent Acquisition Proposal, and any material changes to the terms thereof, and shall provide to the Company as soon as practicable and in any event within 24 hours after receipt by the Company copies of all written correspondence or other written material relating to such Parent Acquisition Proposal.</w:t>
      </w:r>
    </w:p>
    <w:p>
      <w:pPr>
        <w:spacing w:after="0" w:line="78" w:lineRule="exact"/>
        <w:rPr>
          <w:rFonts w:ascii="Arial" w:cs="Arial" w:eastAsia="Arial" w:hAnsi="Arial"/>
          <w:sz w:val="17"/>
          <w:szCs w:val="17"/>
          <w:color w:val="auto"/>
        </w:rPr>
      </w:pPr>
    </w:p>
    <w:p>
      <w:pPr>
        <w:ind w:left="880" w:hanging="300"/>
        <w:spacing w:after="0"/>
        <w:tabs>
          <w:tab w:leader="none" w:pos="88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Subject to the provisions of this Section 4.3, neither the Parent’s Board of Directors nor any committee thereof shall (i)</w:t>
      </w:r>
    </w:p>
    <w:p>
      <w:pPr>
        <w:spacing w:after="0" w:line="42" w:lineRule="exact"/>
        <w:rPr>
          <w:rFonts w:ascii="Arial" w:cs="Arial" w:eastAsia="Arial" w:hAnsi="Arial"/>
          <w:sz w:val="16"/>
          <w:szCs w:val="16"/>
          <w:color w:val="auto"/>
        </w:rPr>
      </w:pPr>
    </w:p>
    <w:p>
      <w:pPr>
        <w:jc w:val="both"/>
        <w:ind w:left="320" w:right="619" w:hanging="8"/>
        <w:spacing w:after="0" w:line="280" w:lineRule="auto"/>
        <w:tabs>
          <w:tab w:leader="none" w:pos="64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withhold, withdraw, amend, qualify or modify in a manner adverse to the Company, or publicly propose to withhold, withdraw, amend, qualify or modify in a manner adverse to the Company, the Parent Board Recommendation, or (B) approve, adopt or recommend, or publicly propose to approve, adopt or recommend, any Parent Acquisition Proposal (any action described in clauses (A) and (B) as well as any failure by the Company to timely respond to the commencement of (i) a tender or exchange offer relating to any shares of Parent Common Stock by issuing a public statement reaffirming, filing a Schedule 14D-9 pursuant to Rule 14e-2 and Rule 14d-9 promulgated under the Exchange Act a statement reaffirming, and sending to Parent’s stockholders, within 10 Business Days after the commencement of such tender or exchange offer, a statement reaffirming, the Parent Board Recommendation and (in the case of each such communication) disclosing that Parent’s Board of Directors recommends rejection of such tender offer or exchange offer or (ii) a publicly announced Parent Acquisition Proposal by issuing, within 10 Business Days after such Parent Acquisition Proposal is announced, a press release that reaffirms the recommendation of Parent’s Board of Directors that Parent’s stockholders vote in favor of the Merger and the other transactions contemplated hereby, being referred to as a “</w:t>
      </w:r>
      <w:r>
        <w:rPr>
          <w:rFonts w:ascii="Arial" w:cs="Arial" w:eastAsia="Arial" w:hAnsi="Arial"/>
          <w:sz w:val="16"/>
          <w:szCs w:val="16"/>
          <w:b w:val="1"/>
          <w:bCs w:val="1"/>
          <w:color w:val="auto"/>
        </w:rPr>
        <w:t>Parent Board Recommendation Change</w:t>
      </w:r>
      <w:r>
        <w:rPr>
          <w:rFonts w:ascii="Arial" w:cs="Arial" w:eastAsia="Arial" w:hAnsi="Arial"/>
          <w:sz w:val="16"/>
          <w:szCs w:val="16"/>
          <w:color w:val="auto"/>
        </w:rPr>
        <w:t xml:space="preserve">”) or (ii) enter into any agreement in principle, letter of intent, term sheet, merger agreement, acquisition agreement or other similar instrument (whether binding or not) or contract constituting or otherwise relating to a Parent Acquisition Proposal (other than an Acceptable NDA pursuant to Section 4.3(a));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“stop, look and listen” communication by the Parent’s Board of Directors (or committee thereof) to Parent’s stockholders pursuant to Rule 14d-9(f) of the Exchange Act, or any substantially similar communication, shall not be deemed to be a Parent Board Recommendation Change. Notwithstanding the foregoing or anything to the contrary set forth in this Agreement, at any time prior to obtaining the Parent Stockholder Approval, the Parent’s Board of Directors (or any committee thereof) may effect a Parent Board Recommendation Change if, at any time prior to the receipt of the Parent Stockholder Approval, (1) Parent has complied with its obligations under this Section 4.3 and (2) the Parent’s Board of Directors (or any committee thereof) determines in good faith (after consultation with outside legal counsel) that as a result of (A) a Parent Superior Proposal or (B) an event, development or change in circumstances that occurs or arises following the date of this Agreement, the failure to effect a Parent Board Recommendation Change would be inconsistent with its fiduciary duties to Parent’s stockholders.</w:t>
      </w:r>
    </w:p>
    <w:p>
      <w:pPr>
        <w:spacing w:after="0" w:line="74" w:lineRule="exact"/>
        <w:rPr>
          <w:rFonts w:ascii="Arial" w:cs="Arial" w:eastAsia="Arial" w:hAnsi="Arial"/>
          <w:sz w:val="16"/>
          <w:szCs w:val="16"/>
          <w:color w:val="auto"/>
        </w:rPr>
      </w:pPr>
    </w:p>
    <w:p>
      <w:pPr>
        <w:jc w:val="both"/>
        <w:ind w:left="320" w:right="639" w:firstLine="260"/>
        <w:spacing w:after="0" w:line="259" w:lineRule="auto"/>
        <w:tabs>
          <w:tab w:leader="none" w:pos="91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Nothing in this Agreement shall prohibit Parent’s Board of Directors (or any committee thereof) from (i) taking and disclosing to Parent’s stockholders a position contemplated by Rule 14e-2(a) under the Exchange Act or complying with the provisions of Rule 14d-9 promulgated under the</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2" w:name="page273"/>
    <w:bookmarkEnd w:id="2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 xml:space="preserve">Exchange Act with respect to any tender offer or exchange offer not made in violation of this </w:t>
      </w:r>
      <w:r>
        <w:rPr>
          <w:rFonts w:ascii="Arial" w:cs="Arial" w:eastAsia="Arial" w:hAnsi="Arial"/>
          <w:sz w:val="18"/>
          <w:szCs w:val="18"/>
          <w:u w:val="single" w:color="auto"/>
          <w:color w:val="auto"/>
        </w:rPr>
        <w:t>Section 4.3</w:t>
      </w:r>
      <w:r>
        <w:rPr>
          <w:rFonts w:ascii="Arial" w:cs="Arial" w:eastAsia="Arial" w:hAnsi="Arial"/>
          <w:sz w:val="18"/>
          <w:szCs w:val="18"/>
          <w:color w:val="auto"/>
        </w:rPr>
        <w:t>, and/or (ii) making any disclosure to Parent’s stockholders if Parent’s Board of Directors (or any committee thereof) determines in good faith (after consultation with its outside legal counsel) that the failure to make such disclosure would violate applicable law or be inconsistent with its fiduciary duties to Parent’s stockholders.</w:t>
      </w:r>
    </w:p>
    <w:p>
      <w:pPr>
        <w:spacing w:after="0" w:line="83" w:lineRule="exact"/>
        <w:rPr>
          <w:sz w:val="20"/>
          <w:szCs w:val="20"/>
          <w:color w:val="auto"/>
        </w:rPr>
      </w:pPr>
    </w:p>
    <w:p>
      <w:pPr>
        <w:ind w:left="860" w:hanging="280"/>
        <w:spacing w:after="0"/>
        <w:tabs>
          <w:tab w:leader="none" w:pos="8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09" w:lineRule="exact"/>
        <w:rPr>
          <w:rFonts w:ascii="Arial" w:cs="Arial" w:eastAsia="Arial" w:hAnsi="Arial"/>
          <w:sz w:val="18"/>
          <w:szCs w:val="18"/>
          <w:color w:val="auto"/>
        </w:rPr>
      </w:pPr>
    </w:p>
    <w:p>
      <w:pPr>
        <w:jc w:val="both"/>
        <w:ind w:left="580" w:right="619" w:firstLine="267"/>
        <w:spacing w:after="0" w:line="283" w:lineRule="auto"/>
        <w:tabs>
          <w:tab w:leader="none" w:pos="1171" w:val="left"/>
        </w:tabs>
        <w:numPr>
          <w:ilvl w:val="1"/>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Acquisition Proposal</w:t>
      </w:r>
      <w:r>
        <w:rPr>
          <w:rFonts w:ascii="Arial" w:cs="Arial" w:eastAsia="Arial" w:hAnsi="Arial"/>
          <w:sz w:val="16"/>
          <w:szCs w:val="16"/>
          <w:color w:val="auto"/>
        </w:rPr>
        <w:t>” means any offer, proposal, discussions, negotiations, indication of interest or inquiry (whether in writing or otherwise) by any Person (other than Company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Parent or any Subsidiary (including, for the avoidance of doubt, any issuance of equity securities of Parent), (ii) any tender offer, exchange offer, stock purchase or other transaction in which, if consummated, any person or “group” (as such term is defined under the Exchange Act) shall acquire beneficial ownership (as such term is defined in Rule 13d-3 under the Exchange Act), or the right to acquire beneficial ownership, of 20% or more of the voting power or economic interests of Parent or any Subsidiary, (iii) any direct or indirect sale, transfer, acquisition or disposition of more than 20% of the consolidated assets of Parent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Parent or any Subsidiary.</w:t>
      </w:r>
    </w:p>
    <w:p>
      <w:pPr>
        <w:spacing w:after="0" w:line="60" w:lineRule="exact"/>
        <w:rPr>
          <w:rFonts w:ascii="Arial" w:cs="Arial" w:eastAsia="Arial" w:hAnsi="Arial"/>
          <w:sz w:val="16"/>
          <w:szCs w:val="16"/>
          <w:color w:val="auto"/>
        </w:rPr>
      </w:pPr>
    </w:p>
    <w:p>
      <w:pPr>
        <w:jc w:val="both"/>
        <w:ind w:left="580" w:right="619" w:firstLine="267"/>
        <w:spacing w:after="0" w:line="251" w:lineRule="auto"/>
        <w:tabs>
          <w:tab w:leader="none" w:pos="116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Superior Proposal</w:t>
      </w:r>
      <w:r>
        <w:rPr>
          <w:rFonts w:ascii="Arial" w:cs="Arial" w:eastAsia="Arial" w:hAnsi="Arial"/>
          <w:sz w:val="18"/>
          <w:szCs w:val="18"/>
          <w:color w:val="auto"/>
        </w:rPr>
        <w:t>” means any bona fide offer or proposal that constitutes a Parent Acquisition Proposal on terms that the Parent Board of Directors (or any committee thereof) shall have determined in good faith (after consultation with its financial advisor and outside legal counsel), taking into account all relevant legal (including conditions), financial, regulatory, timing and other aspects of such Parent Acquisition Proposal, is reasonably likely to be consummated and would be more favorable to Parent’s stockholders (in their capacity as such) than the Merger, if consummated (including after taking into account any changes to the terms of this Agreement proposed by the Company in response to such Parent Acquisition Proposal); provided that, for purposes of the definition of “Parent Superior Proposal,”, the references to “20%” in the definition of “Parent Acquisition Proposal” shall be deemed to be references to “more than 50%.”</w:t>
      </w:r>
    </w:p>
    <w:p>
      <w:pPr>
        <w:spacing w:after="0" w:line="1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V</w:t>
      </w:r>
    </w:p>
    <w:p>
      <w:pPr>
        <w:spacing w:after="0" w:line="22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ADDITIONAL AGREEMENTS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Stockholder Approvals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4" w:lineRule="auto"/>
        <w:tabs>
          <w:tab w:leader="none" w:pos="8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Following the date hereof, as soon as reasonably practicable, but in no event to exceed 15 Business Days from the date hereof,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the Merger. In connection with the foregoing, each party shall promptly notify the other of the receipt of all comments of the SEC with respect to the Registration Statement containing the Proxy Statement and of any request by the SEC for any amendment or supplement thereto or for additional information and shall promptly provide to the other party copies of all correspondence between such party and/or any of its Representatives and the SEC with respect to the Registration Statement containing the Proxy Statement. The Company and its representatives will be given a reasonable opportunity to be</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3" w:name="page274"/>
    <w:bookmarkEnd w:id="2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66" w:lineRule="auto"/>
        <w:rPr>
          <w:sz w:val="20"/>
          <w:szCs w:val="20"/>
          <w:color w:val="auto"/>
        </w:rPr>
      </w:pPr>
      <w:r>
        <w:rPr>
          <w:rFonts w:ascii="Arial" w:cs="Arial" w:eastAsia="Arial" w:hAnsi="Arial"/>
          <w:sz w:val="17"/>
          <w:szCs w:val="17"/>
          <w:color w:val="auto"/>
        </w:rPr>
        <w:t>involved in the drafting of the Registration Statement containing the Proxy Statement and any amendment or supplement thereto and any such correspondence prior to its filing with the SEC.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Section 5.1(a). Whenever any Party hereto learns of the occurrence of any event or the existence of any fact which is required to be set forth in an amendment or supplement to the Registration Statement containing the Proxy Statement pursuant to applicable law, such party shall promptly inform the other of such event or fact and comply with all of its obligations pursuant to this Section 5.1(a) relating to effecting such amendment or supplement to the Registration Statement containing the Proxy Statement.</w:t>
      </w:r>
    </w:p>
    <w:p>
      <w:pPr>
        <w:spacing w:after="0" w:line="76" w:lineRule="exact"/>
        <w:rPr>
          <w:sz w:val="20"/>
          <w:szCs w:val="20"/>
          <w:color w:val="auto"/>
        </w:rPr>
      </w:pPr>
    </w:p>
    <w:p>
      <w:pPr>
        <w:jc w:val="both"/>
        <w:ind w:left="320" w:right="619" w:firstLine="260"/>
        <w:spacing w:after="0" w:line="282" w:lineRule="auto"/>
        <w:tabs>
          <w:tab w:leader="none" w:pos="89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As promptly as practicable after the date of this Agreement, the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6"/>
          <w:szCs w:val="16"/>
          <w:b w:val="1"/>
          <w:bCs w:val="1"/>
          <w:color w:val="auto"/>
        </w:rPr>
        <w:t>Other Filings</w:t>
      </w:r>
      <w:r>
        <w:rPr>
          <w:rFonts w:ascii="Arial" w:cs="Arial" w:eastAsia="Arial" w:hAnsi="Arial"/>
          <w:sz w:val="16"/>
          <w:szCs w:val="16"/>
          <w:color w:val="auto"/>
        </w:rPr>
        <w:t>”). Parent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Parent Common Stock in the Merger, and the Company shall furnish all information concerning the Company and the holders of Company Common Stock as may be reasonably required in connection with the foregoing. At least five (5) days prior to Closing, Parent shall prepare a draft Form 8-K announcing the Closing, together with, or incorporating by reference, the financial statements prepared by the Company and its accountant, and such other information that may be required to be disclosed with respect to the Merger in any report or form to be filed with the SEC (“</w:t>
      </w:r>
      <w:r>
        <w:rPr>
          <w:rFonts w:ascii="Arial" w:cs="Arial" w:eastAsia="Arial" w:hAnsi="Arial"/>
          <w:sz w:val="16"/>
          <w:szCs w:val="16"/>
          <w:b w:val="1"/>
          <w:bCs w:val="1"/>
          <w:color w:val="auto"/>
        </w:rPr>
        <w:t>Merger Form 8-K</w:t>
      </w:r>
      <w:r>
        <w:rPr>
          <w:rFonts w:ascii="Arial" w:cs="Arial" w:eastAsia="Arial" w:hAnsi="Arial"/>
          <w:sz w:val="16"/>
          <w:szCs w:val="16"/>
          <w:color w:val="auto"/>
        </w:rPr>
        <w:t>”), which shall be in a form reasonably acceptable to the Company and in a format acceptable for EDGAR filing. Prior to Closing, Parent and the Company shall prepare the press release announcing the consummation of the Merger hereunder (“</w:t>
      </w:r>
      <w:r>
        <w:rPr>
          <w:rFonts w:ascii="Arial" w:cs="Arial" w:eastAsia="Arial" w:hAnsi="Arial"/>
          <w:sz w:val="16"/>
          <w:szCs w:val="16"/>
          <w:b w:val="1"/>
          <w:bCs w:val="1"/>
          <w:color w:val="auto"/>
        </w:rPr>
        <w:t>Press Release</w:t>
      </w:r>
      <w:r>
        <w:rPr>
          <w:rFonts w:ascii="Arial" w:cs="Arial" w:eastAsia="Arial" w:hAnsi="Arial"/>
          <w:sz w:val="16"/>
          <w:szCs w:val="16"/>
          <w:color w:val="auto"/>
        </w:rPr>
        <w:t>”). Simultaneously with the Closing, Parent shall file the Merger Form 8-K with the SEC and distribute the Press Release. Prior to execution and delivery of this Agreement, Parent and the Company shall prepare the press release announcing the execution and delivery of this agreement (“</w:t>
      </w:r>
      <w:r>
        <w:rPr>
          <w:rFonts w:ascii="Arial" w:cs="Arial" w:eastAsia="Arial" w:hAnsi="Arial"/>
          <w:sz w:val="16"/>
          <w:szCs w:val="16"/>
          <w:b w:val="1"/>
          <w:bCs w:val="1"/>
          <w:color w:val="auto"/>
        </w:rPr>
        <w:t>Agreement Press Release</w:t>
      </w:r>
      <w:r>
        <w:rPr>
          <w:rFonts w:ascii="Arial" w:cs="Arial" w:eastAsia="Arial" w:hAnsi="Arial"/>
          <w:sz w:val="16"/>
          <w:szCs w:val="16"/>
          <w:color w:val="auto"/>
        </w:rPr>
        <w:t>”). Parent shall, within the time period required by applicable securities laws, issue and distribute such Agreement Press Release. Concurrent with the Agreement Press Release, the Parent shall have publicly disclosed any material non-public information of Parent or Parent’s Subsidiaries that has been provided to Company or any representative thereof, whether in writing or otherwise.</w:t>
      </w:r>
    </w:p>
    <w:p>
      <w:pPr>
        <w:spacing w:after="0" w:line="64" w:lineRule="exact"/>
        <w:rPr>
          <w:rFonts w:ascii="Arial" w:cs="Arial" w:eastAsia="Arial" w:hAnsi="Arial"/>
          <w:sz w:val="16"/>
          <w:szCs w:val="16"/>
          <w:color w:val="auto"/>
        </w:rPr>
      </w:pPr>
    </w:p>
    <w:p>
      <w:pPr>
        <w:jc w:val="both"/>
        <w:ind w:left="320" w:right="619" w:firstLine="260"/>
        <w:spacing w:after="0" w:line="268" w:lineRule="auto"/>
        <w:tabs>
          <w:tab w:leader="none" w:pos="89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Parties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each Party, as the case may be, shall promptly inform the other of such occurrence, provide the other Party reasonable opportunity to review and comment, and cooperate in filing with the SEC, its staff or any other Governmental Authority, as applicable, and/or mailing to stockholders of the Company, such amendment or supplement.</w:t>
      </w:r>
    </w:p>
    <w:p>
      <w:pPr>
        <w:spacing w:after="0" w:line="75" w:lineRule="exact"/>
        <w:rPr>
          <w:rFonts w:ascii="Arial" w:cs="Arial" w:eastAsia="Arial" w:hAnsi="Arial"/>
          <w:sz w:val="17"/>
          <w:szCs w:val="17"/>
          <w:color w:val="auto"/>
        </w:rPr>
      </w:pPr>
    </w:p>
    <w:p>
      <w:pPr>
        <w:jc w:val="both"/>
        <w:ind w:left="320" w:right="619" w:firstLine="260"/>
        <w:spacing w:after="0" w:line="268" w:lineRule="auto"/>
        <w:tabs>
          <w:tab w:leader="none" w:pos="92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Following the date hereof, Parent will take all action necessary in accordance with the DGCL and its certificate of incorporation and bylaws to duly call, give notice of, convene and hold as promptly as practicable a special meeting of Parent’s stockholders (the “</w:t>
      </w:r>
      <w:r>
        <w:rPr>
          <w:rFonts w:ascii="Arial" w:cs="Arial" w:eastAsia="Arial" w:hAnsi="Arial"/>
          <w:sz w:val="17"/>
          <w:szCs w:val="17"/>
          <w:b w:val="1"/>
          <w:bCs w:val="1"/>
          <w:color w:val="auto"/>
        </w:rPr>
        <w:t>Parent Special Meeting</w:t>
      </w:r>
      <w:r>
        <w:rPr>
          <w:rFonts w:ascii="Arial" w:cs="Arial" w:eastAsia="Arial" w:hAnsi="Arial"/>
          <w:sz w:val="17"/>
          <w:szCs w:val="17"/>
          <w:color w:val="auto"/>
        </w:rPr>
        <w:t>”) to seek the Parent Stockholder Approval, including mailing the Proxy Statement to its stockholders as promptly as reasonably practicable after the Registration Statement is declared effective under the Securities Act. Parent, subject to Section 4.3(a), will use its reasonable best efforts to solicit from its stockholders proxies in favor of the approval of the issuance of shares of Parent Common Stock pursuant to this Agreement, the adoption of the Restated Parent Certificate and any other approvals required to effect the Merger required hereunder and will take all other action necessary or advisable to obtain the Parent</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4" w:name="page275"/>
    <w:bookmarkEnd w:id="2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4" w:lineRule="auto"/>
        <w:rPr>
          <w:sz w:val="20"/>
          <w:szCs w:val="20"/>
          <w:color w:val="auto"/>
        </w:rPr>
      </w:pPr>
      <w:r>
        <w:rPr>
          <w:rFonts w:ascii="Arial" w:cs="Arial" w:eastAsia="Arial" w:hAnsi="Arial"/>
          <w:sz w:val="16"/>
          <w:szCs w:val="16"/>
          <w:color w:val="auto"/>
        </w:rPr>
        <w:t>Stockholder Approval. Notwithstanding anything to the contrary contained in this Agreement, Parent may adjourn or postpone the Parent Special Meeting to the extent necessary to ensure that any necessary supplement or amendment to the Proxy Statement (as determined by Parent in good faith and upon the advice of outside counsel) is provided to Parent’s stockholders a reasonable time in advance of the Parent Special Meeting (or at any adjournment or postponement thereof), or if as of the time for which the Parent Special Meeting (or any adjournment or postponement thereof) is scheduled there are insufficient shares of Parent Common Stock represented in person or by proxy to constitute a quorum necessary to conduct the business of the Parent Special Meeting or to adopt this Agreement and approve the transactions contemplated hereby, including the Merger. Subject to Section 4.3: (i) the board of directors of Parent shall recommend that Parent’s stockholders vote in favor of the Parent Stockholder Approval, the adoption of the Restated Parent Certificate and otherwise approve all actions contemplated hereby pursuant to this Agreement at the Parent Special Meeting (or any adjournment or postponement thereof) (the “</w:t>
      </w:r>
      <w:r>
        <w:rPr>
          <w:rFonts w:ascii="Arial" w:cs="Arial" w:eastAsia="Arial" w:hAnsi="Arial"/>
          <w:sz w:val="16"/>
          <w:szCs w:val="16"/>
          <w:b w:val="1"/>
          <w:bCs w:val="1"/>
          <w:color w:val="auto"/>
        </w:rPr>
        <w:t>Parent Board</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w:t>
      </w:r>
      <w:r>
        <w:rPr>
          <w:rFonts w:ascii="Arial" w:cs="Arial" w:eastAsia="Arial" w:hAnsi="Arial"/>
          <w:sz w:val="16"/>
          <w:szCs w:val="16"/>
          <w:color w:val="auto"/>
        </w:rPr>
        <w:t>”); and (ii) the Proxy Statement shall include the Parent Board Recommendation.</w:t>
      </w:r>
    </w:p>
    <w:p>
      <w:pPr>
        <w:spacing w:after="0" w:line="64" w:lineRule="exact"/>
        <w:rPr>
          <w:sz w:val="20"/>
          <w:szCs w:val="20"/>
          <w:color w:val="auto"/>
        </w:rPr>
      </w:pPr>
    </w:p>
    <w:p>
      <w:pPr>
        <w:jc w:val="both"/>
        <w:ind w:left="320" w:right="619" w:firstLine="260"/>
        <w:spacing w:after="0" w:line="265" w:lineRule="auto"/>
        <w:tabs>
          <w:tab w:leader="none" w:pos="88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Following the date hereof, the Company will take all action necessary in accordance with the DGCL and its certificate of incorporation and bylaws to duly call, give notice of, convene and hold as promptly as practicable following the date hereof, a special meeting of the Company’s stockholders (the “</w:t>
      </w:r>
      <w:r>
        <w:rPr>
          <w:rFonts w:ascii="Arial" w:cs="Arial" w:eastAsia="Arial" w:hAnsi="Arial"/>
          <w:sz w:val="17"/>
          <w:szCs w:val="17"/>
          <w:b w:val="1"/>
          <w:bCs w:val="1"/>
          <w:color w:val="auto"/>
        </w:rPr>
        <w:t>Company Special Meeting</w:t>
      </w:r>
      <w:r>
        <w:rPr>
          <w:rFonts w:ascii="Arial" w:cs="Arial" w:eastAsia="Arial" w:hAnsi="Arial"/>
          <w:sz w:val="17"/>
          <w:szCs w:val="17"/>
          <w:color w:val="auto"/>
        </w:rPr>
        <w:t>”) to seek the Company Stockholder Approval. The Company, subject to Section 4.2(a), will use its reasonable best efforts to obtain the Company Stockholder Approval. Notwithstanding anything to the contrary contained in this Agreement, the Company may adjourn or postpone the Company Special Meeting to the extent necessary to ensure that any necessary information statement or similar communication (as determined by the Company in good faith and upon the advice of outside counsel) is provided to the Company’s stockholders a reasonable time in advance of the Company Special Meeting (or at any adjournment or postponement thereof), or if as of the time for which the Company Special Meeting (or any adjournment or postponement thereof) is scheduled there are insufficient shares of Company Stock represented in person or by proxy to constitute a quorum necessary to conduct the business of the Company Special Meeting or to adopt this Agreement and approve the transactions contemplated hereby, including the Merger. Except as permitted by Section 4.2(a): (i) the board of directors of the Company shall recommend that the Company’s stockholders vote in favor of (A) the adoption of this Agreement and (B) the approval of the transactions contemplated by this Agreement, including the Merger (the “</w:t>
      </w:r>
      <w:r>
        <w:rPr>
          <w:rFonts w:ascii="Arial" w:cs="Arial" w:eastAsia="Arial" w:hAnsi="Arial"/>
          <w:sz w:val="17"/>
          <w:szCs w:val="17"/>
          <w:b w:val="1"/>
          <w:bCs w:val="1"/>
          <w:color w:val="auto"/>
        </w:rPr>
        <w:t>Company Board Recommendation</w:t>
      </w:r>
      <w:r>
        <w:rPr>
          <w:rFonts w:ascii="Arial" w:cs="Arial" w:eastAsia="Arial" w:hAnsi="Arial"/>
          <w:sz w:val="17"/>
          <w:szCs w:val="17"/>
          <w:color w:val="auto"/>
        </w:rPr>
        <w:t>”); and (ii) any written communication to the Company’s stockholders regarding the Company Special Meeting shall include the Company Board Recommendation.</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6" w:lineRule="auto"/>
        <w:tabs>
          <w:tab w:leader="none" w:pos="891" w:val="left"/>
        </w:tabs>
        <w:numPr>
          <w:ilvl w:val="1"/>
          <w:numId w:val="218"/>
        </w:numPr>
        <w:rPr>
          <w:rFonts w:ascii="Arial" w:cs="Arial" w:eastAsia="Arial" w:hAnsi="Arial"/>
          <w:sz w:val="17"/>
          <w:szCs w:val="17"/>
          <w:color w:val="auto"/>
        </w:rPr>
      </w:pPr>
      <w:r>
        <w:rPr>
          <w:rFonts w:ascii="Arial" w:cs="Arial" w:eastAsia="Arial" w:hAnsi="Arial"/>
          <w:sz w:val="17"/>
          <w:szCs w:val="17"/>
          <w:color w:val="auto"/>
        </w:rPr>
        <w:t xml:space="preserve">Upon reasonable notice, each party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provided, however, that any request for materials subject to attorney-client privilege, work-product doctrine, or the Protective Order, or any other applicable privilege, immunity, or restriction, and related to the lawsuit captioned </w:t>
      </w:r>
      <w:r>
        <w:rPr>
          <w:rFonts w:ascii="Arial" w:cs="Arial" w:eastAsia="Arial" w:hAnsi="Arial"/>
          <w:sz w:val="17"/>
          <w:szCs w:val="17"/>
          <w:i w:val="1"/>
          <w:iCs w:val="1"/>
          <w:color w:val="auto"/>
        </w:rPr>
        <w:t>I/P Engine, Inc. v. AOL, Inc.</w:t>
      </w:r>
      <w:r>
        <w:rPr>
          <w:rFonts w:ascii="Arial" w:cs="Arial" w:eastAsia="Arial" w:hAnsi="Arial"/>
          <w:sz w:val="17"/>
          <w:szCs w:val="17"/>
          <w:color w:val="auto"/>
        </w:rPr>
        <w:t>, Civ. Action No. 2:11-cv-512, filed in United States District Court for the Eastern District of Virginia, Norfolk Division on September 15, 2011 (the “</w:t>
      </w:r>
      <w:r>
        <w:rPr>
          <w:rFonts w:ascii="Arial" w:cs="Arial" w:eastAsia="Arial" w:hAnsi="Arial"/>
          <w:sz w:val="17"/>
          <w:szCs w:val="17"/>
          <w:b w:val="1"/>
          <w:bCs w:val="1"/>
          <w:color w:val="auto"/>
        </w:rPr>
        <w:t>Litigation</w:t>
      </w:r>
      <w:r>
        <w:rPr>
          <w:rFonts w:ascii="Arial" w:cs="Arial" w:eastAsia="Arial" w:hAnsi="Arial"/>
          <w:sz w:val="17"/>
          <w:szCs w:val="17"/>
          <w:color w:val="auto"/>
        </w:rPr>
        <w:t>”) shall be deemed unreasonable. Each party shall make available to the other the appropriate individuals for discussion of its business, properties and personnel as the requesting party may reasonably request. No investigation pursuant to this Section 5.2(a) shall affect any representations or warranties of a party contained herein or the conditions to the obligations of the other party hereto.</w:t>
      </w:r>
    </w:p>
    <w:p>
      <w:pPr>
        <w:spacing w:after="0" w:line="76" w:lineRule="exact"/>
        <w:rPr>
          <w:rFonts w:ascii="Arial" w:cs="Arial" w:eastAsia="Arial" w:hAnsi="Arial"/>
          <w:sz w:val="17"/>
          <w:szCs w:val="17"/>
          <w:color w:val="auto"/>
        </w:rPr>
      </w:pPr>
    </w:p>
    <w:p>
      <w:pPr>
        <w:jc w:val="both"/>
        <w:ind w:left="320" w:right="619" w:firstLine="260"/>
        <w:spacing w:after="0" w:line="283" w:lineRule="auto"/>
        <w:tabs>
          <w:tab w:leader="none" w:pos="989"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Each party agrees to maintain in confidence any non-public information received from the other party (such information,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w:t>
      </w:r>
    </w:p>
    <w:p>
      <w:pPr>
        <w:ind w:left="620" w:hanging="308"/>
        <w:spacing w:after="0"/>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19"/>
        <w:spacing w:after="0" w:line="287" w:lineRule="auto"/>
        <w:rPr>
          <w:sz w:val="20"/>
          <w:szCs w:val="20"/>
          <w:color w:val="auto"/>
        </w:rPr>
      </w:pPr>
      <w:r>
        <w:rPr>
          <w:rFonts w:ascii="Arial" w:cs="Arial" w:eastAsia="Arial" w:hAnsi="Arial"/>
          <w:sz w:val="16"/>
          <w:szCs w:val="16"/>
          <w:color w:val="auto"/>
        </w:rPr>
        <w:t>acquired by a party or their respective agents from a third party who was not bound to an obligation of confidentiality; and (iv) disclosure required by applicable law. In the event this Agreement is terminated as provided in Article VII hereof, each party</w:t>
      </w:r>
    </w:p>
    <w:p>
      <w:pPr>
        <w:spacing w:after="0" w:line="1" w:lineRule="exact"/>
        <w:rPr>
          <w:sz w:val="20"/>
          <w:szCs w:val="20"/>
          <w:color w:val="auto"/>
        </w:rPr>
      </w:pPr>
    </w:p>
    <w:p>
      <w:pPr>
        <w:jc w:val="both"/>
        <w:ind w:left="320" w:right="619" w:hanging="8"/>
        <w:spacing w:after="0" w:line="273" w:lineRule="auto"/>
        <w:tabs>
          <w:tab w:leader="none" w:pos="579"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will return or cause to be returned to the other all documents and other material obtained from the other in connection with the Merger contemplated hereby, and (y) will use its reasonable best efforts to delete from its computer systems all documents and other material obtained from the other in connection with the Merger contemplated hereby.</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Reasonable Efforts; Further Assurances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97" w:lineRule="auto"/>
        <w:tabs>
          <w:tab w:leader="none" w:pos="90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Parent and the Company shall use their reasonable best efforts to satisfy or cause to be satisfied all of the conditions precedent set forth in Article VI, as applicable to each of them. Each of Party and the Company, at the reasonable request of the other, shall execute and deliver such other instruments and do and perform such other acts and things as may be necessary or desirable for effecting completely the consummation of the Merger and other transactions contemplated by this Agreement.</w:t>
      </w:r>
    </w:p>
    <w:p>
      <w:pPr>
        <w:spacing w:after="0" w:line="51" w:lineRule="exact"/>
        <w:rPr>
          <w:rFonts w:ascii="Arial" w:cs="Arial" w:eastAsia="Arial" w:hAnsi="Arial"/>
          <w:sz w:val="16"/>
          <w:szCs w:val="16"/>
          <w:color w:val="auto"/>
        </w:rPr>
      </w:pPr>
    </w:p>
    <w:p>
      <w:pPr>
        <w:jc w:val="both"/>
        <w:ind w:left="320" w:right="619" w:firstLine="260"/>
        <w:spacing w:after="0" w:line="265" w:lineRule="auto"/>
        <w:tabs>
          <w:tab w:leader="none" w:pos="88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53" w:lineRule="auto"/>
        <w:tabs>
          <w:tab w:leader="none" w:pos="89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Parent agrees that individuals who are employed on a full-time basis by the Company or its Subsidiaries immediately prior to the Effective Time (each such employee, a “</w:t>
      </w:r>
      <w:r>
        <w:rPr>
          <w:rFonts w:ascii="Arial" w:cs="Arial" w:eastAsia="Arial" w:hAnsi="Arial"/>
          <w:sz w:val="18"/>
          <w:szCs w:val="18"/>
          <w:b w:val="1"/>
          <w:bCs w:val="1"/>
          <w:color w:val="auto"/>
        </w:rPr>
        <w:t>Company Employee</w:t>
      </w:r>
      <w:r>
        <w:rPr>
          <w:rFonts w:ascii="Arial" w:cs="Arial" w:eastAsia="Arial" w:hAnsi="Arial"/>
          <w:sz w:val="18"/>
          <w:szCs w:val="18"/>
          <w:color w:val="auto"/>
        </w:rPr>
        <w:t xml:space="preserve">”) shall remain employees of the Surviving Corporation or any of its Subsidiaries upon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5.4(a) shall not be construed to limit the ability of the Surviving Corporation, Parent or any of its Subsidiaries to terminate the employment of any Company Employee at any time.</w:t>
      </w:r>
    </w:p>
    <w:p>
      <w:pPr>
        <w:spacing w:after="0" w:line="85" w:lineRule="exact"/>
        <w:rPr>
          <w:rFonts w:ascii="Arial" w:cs="Arial" w:eastAsia="Arial" w:hAnsi="Arial"/>
          <w:sz w:val="18"/>
          <w:szCs w:val="18"/>
          <w:color w:val="auto"/>
        </w:rPr>
      </w:pPr>
    </w:p>
    <w:p>
      <w:pPr>
        <w:ind w:left="320" w:right="639" w:firstLine="260"/>
        <w:spacing w:after="0" w:line="270" w:lineRule="auto"/>
        <w:tabs>
          <w:tab w:leader="none" w:pos="8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After the Effective Time the Company Employees shall be eligible to participate in the employee benefit plans of Parent to the same extent as any similarly situated and geographically located employee of Parent.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Reorganization</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9" w:lineRule="auto"/>
        <w:tabs>
          <w:tab w:leader="none" w:pos="92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Company shall not knowingly take, and shall use its reasonable best efforts not to permit any Affiliate of the Company to take, any actions that could prevent the Merger from being treated as a “reorganization” within the meaning of Section 368 of the Code.</w:t>
      </w:r>
    </w:p>
    <w:p>
      <w:pPr>
        <w:spacing w:after="0" w:line="78" w:lineRule="exact"/>
        <w:rPr>
          <w:rFonts w:ascii="Arial" w:cs="Arial" w:eastAsia="Arial" w:hAnsi="Arial"/>
          <w:sz w:val="18"/>
          <w:szCs w:val="18"/>
          <w:color w:val="auto"/>
        </w:rPr>
      </w:pPr>
    </w:p>
    <w:p>
      <w:pPr>
        <w:jc w:val="both"/>
        <w:ind w:left="320" w:right="619" w:firstLine="260"/>
        <w:spacing w:after="0" w:line="259" w:lineRule="auto"/>
        <w:tabs>
          <w:tab w:leader="none" w:pos="91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Parent shall not knowingly take, and shall use its reasonable best efforts not to permit any Affiliate of Parent to take, any actions that could prevent the Merger from being treated as a “reorganization” within the meaning of Section 368 of the Code.</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8" w:lineRule="auto"/>
        <w:tabs>
          <w:tab w:leader="none" w:pos="89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delivery of any notice pursuant to this Section 5.6(a) shall not limit or otherwise affect the remedies available hereunder to the Party receiving such notice.</w:t>
      </w:r>
    </w:p>
    <w:p>
      <w:pPr>
        <w:spacing w:after="0" w:line="58" w:lineRule="exact"/>
        <w:rPr>
          <w:rFonts w:ascii="Arial" w:cs="Arial" w:eastAsia="Arial" w:hAnsi="Arial"/>
          <w:sz w:val="16"/>
          <w:szCs w:val="16"/>
          <w:color w:val="auto"/>
        </w:rPr>
      </w:pPr>
    </w:p>
    <w:p>
      <w:pPr>
        <w:jc w:val="both"/>
        <w:ind w:left="320" w:right="619" w:firstLine="260"/>
        <w:spacing w:after="0" w:line="250" w:lineRule="auto"/>
        <w:tabs>
          <w:tab w:leader="none" w:pos="90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 Parent Material Contract;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8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Quotation on the NYSE Amex</w:t>
      </w:r>
      <w:r>
        <w:rPr>
          <w:rFonts w:ascii="Arial" w:cs="Arial" w:eastAsia="Arial" w:hAnsi="Arial"/>
          <w:sz w:val="18"/>
          <w:szCs w:val="18"/>
          <w:color w:val="auto"/>
        </w:rPr>
        <w:t>. Parent shall use its reasonable best efforts to cause the shares of Parent Common Stock to be issued in the Merger to be approved for quotation on the NYSE Amex.</w:t>
      </w:r>
    </w:p>
    <w:p>
      <w:pPr>
        <w:spacing w:after="0" w:line="69"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Except as otherwise required by applicable law, court process or the rules of the NYSE Amex, or as provided elsewhere herein, prior to the Closing or the earlier termination of this Agreement pursuant to Article VIII,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Indemnification of Parent Directors and Officers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4" w:lineRule="auto"/>
        <w:tabs>
          <w:tab w:leader="none" w:pos="92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From and after the Effective Time, Parent shall continue to indemnify and hold harmless each present and former director or officer of Parent or any Parent Subsidiary (each, together with such Person’s heirs, executors or administrators, a “</w:t>
      </w:r>
      <w:r>
        <w:rPr>
          <w:rFonts w:ascii="Arial" w:cs="Arial" w:eastAsia="Arial" w:hAnsi="Arial"/>
          <w:sz w:val="16"/>
          <w:szCs w:val="16"/>
          <w:b w:val="1"/>
          <w:bCs w:val="1"/>
          <w:color w:val="auto"/>
        </w:rPr>
        <w:t>Parent Indemnified Person</w:t>
      </w:r>
      <w:r>
        <w:rPr>
          <w:rFonts w:ascii="Arial" w:cs="Arial" w:eastAsia="Arial" w:hAnsi="Arial"/>
          <w:sz w:val="16"/>
          <w:szCs w:val="16"/>
          <w:color w:val="auto"/>
        </w:rPr>
        <w:t xml:space="preserve">”) against any damages incurred in connection with any Action arising out of or pertaining to matters existing or occurring at or prior to the Effective Time or any Action instituted by any Parent Indemnified Person to enforce this Section 5.9 or any other indemnification or advancement right of such Parent Indemnified Person, whether asserted or claimed prior to, at or after the Effective Time, to the fullest extent that Parent is currently permitted to indemnify such Parent Indemnified Person under applicable law and under its certificate of incorporation and bylaws as in effect on the date of this Agreement (including the advancing of expenses to the fullest extent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Parent Indemnified Person to whom such expenses are advanced shall be required to provide an undertaking to Parent to repay such advances if it is ultimately determined that such Parent Indemnified Person is not entitled to indemnification. From and after the Effective Time, Parent will continue to honor and fulfill all obligations of Parent or any Parent Subsidiary pursuant to any written indemnification agreements with any Parent Indemnified Persons in effect as of the date hereof.</w:t>
      </w:r>
    </w:p>
    <w:p>
      <w:pPr>
        <w:spacing w:after="0" w:line="60" w:lineRule="exact"/>
        <w:rPr>
          <w:rFonts w:ascii="Arial" w:cs="Arial" w:eastAsia="Arial" w:hAnsi="Arial"/>
          <w:sz w:val="16"/>
          <w:szCs w:val="16"/>
          <w:color w:val="auto"/>
        </w:rPr>
      </w:pPr>
    </w:p>
    <w:p>
      <w:pPr>
        <w:ind w:left="880" w:hanging="300"/>
        <w:spacing w:after="0"/>
        <w:tabs>
          <w:tab w:leader="none" w:pos="8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3" w:lineRule="exact"/>
        <w:rPr>
          <w:rFonts w:ascii="Arial" w:cs="Arial" w:eastAsia="Arial" w:hAnsi="Arial"/>
          <w:sz w:val="18"/>
          <w:szCs w:val="18"/>
          <w:color w:val="auto"/>
        </w:rPr>
      </w:pPr>
    </w:p>
    <w:p>
      <w:pPr>
        <w:jc w:val="both"/>
        <w:ind w:left="320" w:right="619" w:firstLine="260"/>
        <w:spacing w:after="0" w:line="255" w:lineRule="auto"/>
        <w:tabs>
          <w:tab w:leader="none" w:pos="87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rights of each Parent Indemnified Person hereunder shall be in addition to, and not in limitation of, any other rights such Parent Indemnified Person may have under the certificate of incorporation and bylaws of Parent or any other similar organizational documents of Parent or any of its Subsidiaries, any other indemnification agreement or arrangement, the DGCL or otherwise. This</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7" w:name="page278"/>
    <w:bookmarkEnd w:id="2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4" w:lineRule="auto"/>
        <w:rPr>
          <w:sz w:val="20"/>
          <w:szCs w:val="20"/>
          <w:color w:val="auto"/>
        </w:rPr>
      </w:pPr>
      <w:r>
        <w:rPr>
          <w:rFonts w:ascii="Arial" w:cs="Arial" w:eastAsia="Arial" w:hAnsi="Arial"/>
          <w:sz w:val="16"/>
          <w:szCs w:val="16"/>
          <w:color w:val="auto"/>
        </w:rPr>
        <w:t>Section 5.9 shall survive the consummation of the Merger, and is intended to be for the benefit of, and shall be enforceable by, the Parent Indemnified Persons, their heirs and personal representatives, shall be binding on Parent, the Surviving Corporation and their successors and assigns and may not be amended, altered or repealed after the Effective Time without the prior written consent of the affected Parent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5.9. Nothing in this Agreement is intended to, shall be construed to or shall release, waive or impair any rights to directors’ and officers’ insurance claims under any policy that is or has been in existence with respect to Parent or any of the Parent Subsidiaries or their respective officers, directors and employees, it being understood and agreed that the indemnification provided for in this Section 5.9 is not prior to, or in substitution for, any such claims under any such policies.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Indemnification of Company Directors and Officers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65" w:lineRule="auto"/>
        <w:tabs>
          <w:tab w:leader="none" w:pos="90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Parent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certificates of incorporation or by-laws or other organization documents or in any agreement shall survive the Merger and shall continue in full force and effect. Parent and the Surviving Corporation shall maintain in effect any and all exculpation, indemnification and advancement of expenses provisions of the Company’s and any of its Subsidiaries’ certificate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and shall not amend, repeal or otherwise modify any such provisions in any manner that would adversely affect the rights thereunder of any individuals who at the Effective Time were current or former directors, officers or employees of the Company or any of its Subsidiaries, and all rights to indemnification in respect of any Action pending or asserted or any claim made within such period shall continue until the disposition of such Action or resolution of such claim.</w:t>
      </w:r>
    </w:p>
    <w:p>
      <w:pPr>
        <w:spacing w:after="0" w:line="81" w:lineRule="exact"/>
        <w:rPr>
          <w:rFonts w:ascii="Arial" w:cs="Arial" w:eastAsia="Arial" w:hAnsi="Arial"/>
          <w:sz w:val="17"/>
          <w:szCs w:val="17"/>
          <w:color w:val="auto"/>
        </w:rPr>
      </w:pPr>
    </w:p>
    <w:p>
      <w:pPr>
        <w:jc w:val="both"/>
        <w:ind w:left="320" w:right="619" w:firstLine="260"/>
        <w:spacing w:after="0" w:line="266" w:lineRule="auto"/>
        <w:tabs>
          <w:tab w:leader="none" w:pos="88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From and after the Effective Time, Parent and the Surviving Corporation shall continue to indemnify and hold harmless each present and former director, officer or employee of the Company or any of its Subsidiaries (each, together with such Person’s heirs, executors or administrators, a “</w:t>
      </w:r>
      <w:r>
        <w:rPr>
          <w:rFonts w:ascii="Arial" w:cs="Arial" w:eastAsia="Arial" w:hAnsi="Arial"/>
          <w:sz w:val="17"/>
          <w:szCs w:val="17"/>
          <w:b w:val="1"/>
          <w:bCs w:val="1"/>
          <w:color w:val="auto"/>
        </w:rPr>
        <w:t>Company Indemnified Person</w:t>
      </w:r>
      <w:r>
        <w:rPr>
          <w:rFonts w:ascii="Arial" w:cs="Arial" w:eastAsia="Arial" w:hAnsi="Arial"/>
          <w:sz w:val="17"/>
          <w:szCs w:val="17"/>
          <w:color w:val="auto"/>
        </w:rPr>
        <w:t xml:space="preserve">”) against any damages incurred in connection with any Action arising out of or pertaining to any action or omission occurring or alleged to have occurred whether before or after the Effective Time (including acts or omissions in connection with such Persons serving as an officer, director or other fiduciary in any entity if such service was at the request or for the benefit of the Company) or any Action instituted by any Company Indemnified Person to enforce this Section 5.10, including, in each case, the advancing of expenses to the fullest extent permitted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Indemnified Person to whom such expenses are advanced shall be required to provide an undertaking to Parent to repay such advances if it is ultimately determined that such Company Indemnified Person is not entitled to indemnification.</w:t>
      </w:r>
    </w:p>
    <w:p>
      <w:pPr>
        <w:spacing w:after="0" w:line="78" w:lineRule="exact"/>
        <w:rPr>
          <w:rFonts w:ascii="Arial" w:cs="Arial" w:eastAsia="Arial" w:hAnsi="Arial"/>
          <w:sz w:val="17"/>
          <w:szCs w:val="17"/>
          <w:color w:val="auto"/>
        </w:rPr>
      </w:pPr>
    </w:p>
    <w:p>
      <w:pPr>
        <w:jc w:val="both"/>
        <w:ind w:left="320" w:right="619" w:firstLine="260"/>
        <w:spacing w:after="0" w:line="252" w:lineRule="auto"/>
        <w:tabs>
          <w:tab w:leader="none" w:pos="9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Prior to the Effective Time, Company shall purchase, and for a period of six (6) years following the Effective Time Parent shall continue in effect, a directors’ and officers’ liability “tail” insurance policy or policies covering the Company’s directors and officers for events occurring at or prior to the Effective Time, which insurance shall be of at least the same coverage and amounts and contain terms and conditions which are no less advantageous to the Company’s directors and officers than the coverage, amounts, terms and conditions of the directors’ and officers’ liability insurance policy maintained by the Company as of the date of this Agreement.</w:t>
      </w: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8" w:name="page279"/>
    <w:bookmarkEnd w:id="2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82" w:lineRule="auto"/>
        <w:tabs>
          <w:tab w:leader="none" w:pos="90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rights of each Company Indemnified Person hereunder shall be in addition to, and not in limitation of, any other rights such Company Indemnified Person may have under the certificate of incorporation and bylaws of the Company or any other similar organizational documents of the Company or any of its Subsidiaries or the Surviving Corporation, any other indemnification agreement or arrangement, the DGCL or otherwise. This Section 5.10 shall survive the consummation of the Merger, and is intended to be for the benefit of, and shall be enforceable by, the Company Indemnified Persons, their heirs and personal representatives, shall be binding on Parent, the Surviving Corporation and their successors and assigns and may not be amended, altered or repealed after the Effective Time without the prior written consent of the affected Company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5.10.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Section 5.10 is not prior to, or in substitution for, any such claims under any such policies.</w:t>
      </w:r>
    </w:p>
    <w:p>
      <w:pPr>
        <w:spacing w:after="0" w:line="70"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Directors and Officers of Parent</w:t>
      </w:r>
      <w:r>
        <w:rPr>
          <w:rFonts w:ascii="Arial" w:cs="Arial" w:eastAsia="Arial" w:hAnsi="Arial"/>
          <w:sz w:val="18"/>
          <w:szCs w:val="18"/>
          <w:color w:val="auto"/>
        </w:rPr>
        <w:t>. Parent and the Company shall take all necessary action so that following the Effective Time the board of directors of the Parent shall consist of: Seth “Yossi” Siegel (Chairman), Andrew D. Perlman, John Engelman, Andrew Kennedy Lang, Alexander R. Berger, Donald E. Stout and H. Van Sinclair, and that the following persons are appointed to the following positions of Parent: Andrew D. Perlman (Chief Executive Officer), Andrew Kennedy Lang (Chief Technology Officer and President), Alexander R. Berger (Chief Operating Officer and Secretary), Ellen Cohl (Chief Financial Officer and Treasurer), and Clifford Weinstein (Chief Strategy Officer), each to serve in such positions effective immediately after the Closing. H. Van Sinclair shall serve as Chairman of the audit committee and John Engelman shall serve as Chairman of the Compensation Committee.</w:t>
      </w:r>
    </w:p>
    <w:p>
      <w:pPr>
        <w:spacing w:after="0" w:line="86"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Disclosure of Licenses</w:t>
      </w:r>
      <w:r>
        <w:rPr>
          <w:rFonts w:ascii="Arial" w:cs="Arial" w:eastAsia="Arial" w:hAnsi="Arial"/>
          <w:sz w:val="18"/>
          <w:szCs w:val="18"/>
          <w:color w:val="auto"/>
        </w:rPr>
        <w:t>. The shall use its commercially reasonable efforts to receive all necessary consents required to disclose to Parent the terms and conditions of each license or other agreement (or type of license or other agreement) pursuant to which the Company or its Subsidiaries has licensed, distributed or otherwise granted any rights to any third party with respect to, any Company Intellectual Property.</w:t>
      </w:r>
    </w:p>
    <w:p>
      <w:pPr>
        <w:spacing w:after="0" w:line="18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VI</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CONDITIONS OF MERGER</w:t>
      </w:r>
    </w:p>
    <w:p>
      <w:pPr>
        <w:spacing w:after="0" w:line="118"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Obligation of Each Party to Effect the Merger</w:t>
      </w:r>
      <w:r>
        <w:rPr>
          <w:rFonts w:ascii="Arial" w:cs="Arial" w:eastAsia="Arial" w:hAnsi="Arial"/>
          <w:sz w:val="18"/>
          <w:szCs w:val="18"/>
          <w:color w:val="auto"/>
        </w:rPr>
        <w:t>. The obligations of each Party to effect the Merger and consummate the other transactions contemplated hereby shall be subject to the satisfaction at or prior to the Closing of the following conditions, any of which may be waived in writing by the Party entitled to the benefit thereof, in whole or in part, to the extent permitted by the applicable law:</w:t>
      </w:r>
    </w:p>
    <w:p>
      <w:pPr>
        <w:spacing w:after="0" w:line="83" w:lineRule="exact"/>
        <w:rPr>
          <w:sz w:val="20"/>
          <w:szCs w:val="20"/>
          <w:color w:val="auto"/>
        </w:rPr>
      </w:pPr>
    </w:p>
    <w:p>
      <w:pPr>
        <w:ind w:left="320" w:right="639" w:firstLine="260"/>
        <w:spacing w:after="0" w:line="270" w:lineRule="auto"/>
        <w:tabs>
          <w:tab w:leader="none" w:pos="91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Parent Stockholder Approval and the Company Stockholder Approval shall have been obtained;</w:t>
      </w:r>
    </w:p>
    <w:p>
      <w:pPr>
        <w:spacing w:after="0" w:line="68" w:lineRule="exact"/>
        <w:rPr>
          <w:rFonts w:ascii="Arial" w:cs="Arial" w:eastAsia="Arial" w:hAnsi="Arial"/>
          <w:sz w:val="18"/>
          <w:szCs w:val="18"/>
          <w:color w:val="auto"/>
        </w:rPr>
      </w:pPr>
    </w:p>
    <w:p>
      <w:pPr>
        <w:jc w:val="both"/>
        <w:ind w:left="320" w:right="619" w:firstLine="260"/>
        <w:spacing w:after="0" w:line="255" w:lineRule="auto"/>
        <w:tabs>
          <w:tab w:leader="none" w:pos="88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Effectiveness of Registration Statement</w:t>
      </w:r>
      <w:r>
        <w:rPr>
          <w:rFonts w:ascii="Arial" w:cs="Arial" w:eastAsia="Arial" w:hAnsi="Arial"/>
          <w:sz w:val="18"/>
          <w:szCs w:val="18"/>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82" w:lineRule="exact"/>
        <w:rPr>
          <w:rFonts w:ascii="Arial" w:cs="Arial" w:eastAsia="Arial" w:hAnsi="Arial"/>
          <w:sz w:val="18"/>
          <w:szCs w:val="18"/>
          <w:color w:val="auto"/>
        </w:rPr>
      </w:pPr>
    </w:p>
    <w:p>
      <w:pPr>
        <w:ind w:left="320" w:right="639" w:firstLine="260"/>
        <w:spacing w:after="0" w:line="270" w:lineRule="auto"/>
        <w:tabs>
          <w:tab w:leader="none" w:pos="87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Approval for Listing of Shares</w:t>
      </w:r>
      <w:r>
        <w:rPr>
          <w:rFonts w:ascii="Arial" w:cs="Arial" w:eastAsia="Arial" w:hAnsi="Arial"/>
          <w:sz w:val="18"/>
          <w:szCs w:val="18"/>
          <w:color w:val="auto"/>
        </w:rPr>
        <w:t>. The shares of Parent Common Stock shall have been approved for listing (subject only to notice of issuance) on the NYSE Amex, effective at the Effective Time.</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320" w:right="639" w:firstLine="260"/>
        <w:spacing w:after="0" w:line="261" w:lineRule="auto"/>
        <w:tabs>
          <w:tab w:leader="none" w:pos="88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Hudson Bay Letter Agreement</w:t>
      </w:r>
      <w:r>
        <w:rPr>
          <w:rFonts w:ascii="Arial" w:cs="Arial" w:eastAsia="Arial" w:hAnsi="Arial"/>
          <w:sz w:val="18"/>
          <w:szCs w:val="18"/>
          <w:color w:val="auto"/>
        </w:rPr>
        <w:t>. Hudson Bay Master Fund Ltd. (“</w:t>
      </w:r>
      <w:r>
        <w:rPr>
          <w:rFonts w:ascii="Arial" w:cs="Arial" w:eastAsia="Arial" w:hAnsi="Arial"/>
          <w:sz w:val="18"/>
          <w:szCs w:val="18"/>
          <w:b w:val="1"/>
          <w:bCs w:val="1"/>
          <w:color w:val="auto"/>
        </w:rPr>
        <w:t>Hudson Bay</w:t>
      </w:r>
      <w:r>
        <w:rPr>
          <w:rFonts w:ascii="Arial" w:cs="Arial" w:eastAsia="Arial" w:hAnsi="Arial"/>
          <w:sz w:val="18"/>
          <w:szCs w:val="18"/>
          <w:color w:val="auto"/>
        </w:rPr>
        <w:t xml:space="preserve">”) will enter into a letter agreement with the Parent that provides for (i) a leak out schedule with respect to the stock underlying the preferred and (ii) a right of participation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jc w:val="both"/>
        <w:ind w:left="320" w:right="619" w:firstLine="260"/>
        <w:spacing w:after="0" w:line="251" w:lineRule="auto"/>
        <w:tabs>
          <w:tab w:leader="none" w:pos="887"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on substantially identical terms and conferring upon Parent substantially all the rights and benefits as contemplated herein,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on substantially identical terms and conferring upon Parent substantially all the rights and benefits as contemplated herein illegal;</w:t>
      </w:r>
    </w:p>
    <w:p>
      <w:pPr>
        <w:spacing w:after="0" w:line="85" w:lineRule="exact"/>
        <w:rPr>
          <w:rFonts w:ascii="Arial" w:cs="Arial" w:eastAsia="Arial" w:hAnsi="Arial"/>
          <w:sz w:val="18"/>
          <w:szCs w:val="18"/>
          <w:color w:val="auto"/>
        </w:rPr>
      </w:pPr>
    </w:p>
    <w:p>
      <w:pPr>
        <w:jc w:val="both"/>
        <w:ind w:left="320" w:right="639" w:firstLine="260"/>
        <w:spacing w:after="0" w:line="275" w:lineRule="auto"/>
        <w:tabs>
          <w:tab w:leader="none" w:pos="854"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Company Debt Instruments</w:t>
      </w:r>
      <w:r>
        <w:rPr>
          <w:rFonts w:ascii="Arial" w:cs="Arial" w:eastAsia="Arial" w:hAnsi="Arial"/>
          <w:sz w:val="17"/>
          <w:szCs w:val="17"/>
          <w:color w:val="auto"/>
        </w:rPr>
        <w:t xml:space="preserve">. Parent or the Company, as applicable, shall have executed and delivered to Hudson Bay (i) the Amended and Restated Senior Secured Promissory Note in substantially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attached hereto, (ii) the Amended and Restated Pledge and Security Agreement in substantially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attached hereto, and (iii) the Amended and Restated Guaranty in substantially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attached hereto.</w:t>
      </w:r>
    </w:p>
    <w:p>
      <w:pPr>
        <w:spacing w:after="0" w:line="6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Conditions to Obligations of Parent</w:t>
      </w:r>
      <w:r>
        <w:rPr>
          <w:rFonts w:ascii="Arial" w:cs="Arial" w:eastAsia="Arial" w:hAnsi="Arial"/>
          <w:sz w:val="18"/>
          <w:szCs w:val="18"/>
          <w:color w:val="auto"/>
        </w:rPr>
        <w:t>. The obligations of Parent to effect the Merger are also subject to the following conditions, any and all of which may be waived in writing by Parent, in whole or in part, to the extent permitted by the applicable law:</w:t>
      </w:r>
    </w:p>
    <w:p>
      <w:pPr>
        <w:spacing w:after="0" w:line="78" w:lineRule="exact"/>
        <w:rPr>
          <w:sz w:val="20"/>
          <w:szCs w:val="20"/>
          <w:color w:val="auto"/>
        </w:rPr>
      </w:pPr>
    </w:p>
    <w:p>
      <w:pPr>
        <w:jc w:val="both"/>
        <w:ind w:left="320" w:right="619" w:firstLine="260"/>
        <w:spacing w:after="0" w:line="253" w:lineRule="auto"/>
        <w:tabs>
          <w:tab w:leader="none" w:pos="901"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Article II shall be true, complete and correct in all material respects on and as of the Effective Time, with the same force and effect as if made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85" w:lineRule="exact"/>
        <w:rPr>
          <w:rFonts w:ascii="Arial" w:cs="Arial" w:eastAsia="Arial" w:hAnsi="Arial"/>
          <w:sz w:val="18"/>
          <w:szCs w:val="18"/>
          <w:color w:val="auto"/>
        </w:rPr>
      </w:pPr>
    </w:p>
    <w:p>
      <w:pPr>
        <w:jc w:val="both"/>
        <w:ind w:left="320" w:right="619" w:firstLine="260"/>
        <w:spacing w:after="0" w:line="255" w:lineRule="auto"/>
        <w:tabs>
          <w:tab w:leader="none" w:pos="964"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82" w:lineRule="exact"/>
        <w:rPr>
          <w:rFonts w:ascii="Arial" w:cs="Arial" w:eastAsia="Arial" w:hAnsi="Arial"/>
          <w:sz w:val="18"/>
          <w:szCs w:val="18"/>
          <w:color w:val="auto"/>
        </w:rPr>
      </w:pPr>
    </w:p>
    <w:p>
      <w:pPr>
        <w:jc w:val="both"/>
        <w:ind w:left="320" w:right="619" w:firstLine="260"/>
        <w:spacing w:after="0" w:line="290" w:lineRule="auto"/>
        <w:tabs>
          <w:tab w:leader="none" w:pos="887"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Third Party Consents</w:t>
      </w:r>
      <w:r>
        <w:rPr>
          <w:rFonts w:ascii="Arial" w:cs="Arial" w:eastAsia="Arial" w:hAnsi="Arial"/>
          <w:sz w:val="16"/>
          <w:szCs w:val="16"/>
          <w:color w:val="auto"/>
        </w:rPr>
        <w:t>. Parent shall have received evidence, in form and substance reasonably satisfactory to it, that (i) those approvals of Governmental Authorities described on the Company Disclosure Schedule (or not described on the Company Disclosure Schedule but required to be so described) shall have been obtained; (ii) those approvals of other third parties described in Sections 2.4(c) and 2.4(d) (or not described in Sections 2.4(c) and 2.4(d) of the Company Disclosure Schedule but required to be so described) have been obtained, except where the failure to have been obtained, either individually or in the aggregate, has not had and could not reasonably be expected to result in a Company Material Adverse Effect;</w:t>
      </w:r>
    </w:p>
    <w:p>
      <w:pPr>
        <w:spacing w:after="0" w:line="56" w:lineRule="exact"/>
        <w:rPr>
          <w:rFonts w:ascii="Arial" w:cs="Arial" w:eastAsia="Arial" w:hAnsi="Arial"/>
          <w:sz w:val="16"/>
          <w:szCs w:val="16"/>
          <w:color w:val="auto"/>
        </w:rPr>
      </w:pPr>
    </w:p>
    <w:p>
      <w:pPr>
        <w:jc w:val="both"/>
        <w:ind w:left="320" w:right="619" w:firstLine="260"/>
        <w:spacing w:after="0" w:line="306" w:lineRule="auto"/>
        <w:tabs>
          <w:tab w:leader="none" w:pos="897"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New Company Options: Warrants</w:t>
      </w:r>
      <w:r>
        <w:rPr>
          <w:rFonts w:ascii="Arial" w:cs="Arial" w:eastAsia="Arial" w:hAnsi="Arial"/>
          <w:sz w:val="16"/>
          <w:szCs w:val="16"/>
          <w:color w:val="auto"/>
        </w:rPr>
        <w:t>. The holders of Company Stock Options shall have agreed to have such Company Stock Options be exercisable or exchangeable for New Company Options as set forth in Section 1.10(a) and the holders of Company Warrants shall have agreed to exchange such Company Warrants for the consideration set forth in Section 1.10(b);</w:t>
      </w:r>
    </w:p>
    <w:p>
      <w:pPr>
        <w:spacing w:after="0" w:line="44" w:lineRule="exact"/>
        <w:rPr>
          <w:rFonts w:ascii="Arial" w:cs="Arial" w:eastAsia="Arial" w:hAnsi="Arial"/>
          <w:sz w:val="16"/>
          <w:szCs w:val="16"/>
          <w:color w:val="auto"/>
        </w:rPr>
      </w:pPr>
    </w:p>
    <w:p>
      <w:pPr>
        <w:ind w:left="320" w:right="639" w:firstLine="260"/>
        <w:spacing w:after="0" w:line="270" w:lineRule="auto"/>
        <w:tabs>
          <w:tab w:leader="none" w:pos="887"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date of this Agreement there shall not have occurred any Company Material Adverse Effect;</w:t>
      </w:r>
    </w:p>
    <w:p>
      <w:pPr>
        <w:spacing w:after="0" w:line="68" w:lineRule="exact"/>
        <w:rPr>
          <w:rFonts w:ascii="Arial" w:cs="Arial" w:eastAsia="Arial" w:hAnsi="Arial"/>
          <w:sz w:val="18"/>
          <w:szCs w:val="18"/>
          <w:color w:val="auto"/>
        </w:rPr>
      </w:pPr>
    </w:p>
    <w:p>
      <w:pPr>
        <w:jc w:val="both"/>
        <w:ind w:left="320" w:right="619" w:firstLine="260"/>
        <w:spacing w:after="0" w:line="255" w:lineRule="auto"/>
        <w:tabs>
          <w:tab w:leader="none" w:pos="894"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Since the date of this Agreement, (a) neither the Company nor any Company Subsidiary has (i) settled, discharged or released any of its claims, causes of action, or defenses in the Litigation nor (ii) assigned, promised, transferred, conveyed, encumbered, or granted a security interest in any of those claims and (b) there has been no dismissal (including, without limitation, by motion to</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0" w:name="page281"/>
    <w:bookmarkEnd w:id="2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19"/>
        <w:spacing w:after="0" w:line="270" w:lineRule="auto"/>
        <w:rPr>
          <w:sz w:val="20"/>
          <w:szCs w:val="20"/>
          <w:color w:val="auto"/>
        </w:rPr>
      </w:pPr>
      <w:r>
        <w:rPr>
          <w:rFonts w:ascii="Arial" w:cs="Arial" w:eastAsia="Arial" w:hAnsi="Arial"/>
          <w:sz w:val="18"/>
          <w:szCs w:val="18"/>
          <w:color w:val="auto"/>
        </w:rPr>
        <w:t>dismiss or summary judgment) of the Litigation. For purposes of this Section, the word “claims” means all claims or counterclaims that arise out of the same facts and circumstances that are at issue in the Litigation.</w:t>
      </w:r>
    </w:p>
    <w:p>
      <w:pPr>
        <w:spacing w:after="0" w:line="69" w:lineRule="exact"/>
        <w:rPr>
          <w:sz w:val="20"/>
          <w:szCs w:val="20"/>
          <w:color w:val="auto"/>
        </w:rPr>
      </w:pPr>
    </w:p>
    <w:p>
      <w:pPr>
        <w:ind w:left="320" w:right="619" w:firstLine="260"/>
        <w:spacing w:after="0" w:line="300" w:lineRule="auto"/>
        <w:tabs>
          <w:tab w:leader="none" w:pos="911" w:val="left"/>
        </w:tabs>
        <w:numPr>
          <w:ilvl w:val="1"/>
          <w:numId w:val="231"/>
        </w:numPr>
        <w:rPr>
          <w:rFonts w:ascii="Arial" w:cs="Arial" w:eastAsia="Arial" w:hAnsi="Arial"/>
          <w:sz w:val="17"/>
          <w:szCs w:val="17"/>
          <w:color w:val="auto"/>
        </w:rPr>
      </w:pPr>
      <w:r>
        <w:rPr>
          <w:rFonts w:ascii="Arial" w:cs="Arial" w:eastAsia="Arial" w:hAnsi="Arial"/>
          <w:sz w:val="17"/>
          <w:szCs w:val="17"/>
          <w:u w:val="single" w:color="auto"/>
          <w:color w:val="auto"/>
        </w:rPr>
        <w:t>Dissenters’ Rights</w:t>
      </w:r>
      <w:r>
        <w:rPr>
          <w:rFonts w:ascii="Arial" w:cs="Arial" w:eastAsia="Arial" w:hAnsi="Arial"/>
          <w:sz w:val="17"/>
          <w:szCs w:val="17"/>
          <w:color w:val="auto"/>
        </w:rPr>
        <w:t>. Holders of no more than 10% of the issued and outstanding Company Capital Stock shall have demanded and perfected their right to an appraisal of the Company Capital Stock in accordance with the DGCL;</w:t>
      </w:r>
    </w:p>
    <w:p>
      <w:pPr>
        <w:spacing w:after="0" w:line="45" w:lineRule="exact"/>
        <w:rPr>
          <w:rFonts w:ascii="Arial" w:cs="Arial" w:eastAsia="Arial" w:hAnsi="Arial"/>
          <w:sz w:val="17"/>
          <w:szCs w:val="17"/>
          <w:color w:val="auto"/>
        </w:rPr>
      </w:pPr>
    </w:p>
    <w:p>
      <w:pPr>
        <w:jc w:val="both"/>
        <w:ind w:left="320" w:right="639" w:firstLine="260"/>
        <w:spacing w:after="0" w:line="259" w:lineRule="auto"/>
        <w:tabs>
          <w:tab w:leader="none" w:pos="924" w:val="left"/>
        </w:tabs>
        <w:numPr>
          <w:ilvl w:val="1"/>
          <w:numId w:val="231"/>
        </w:numPr>
        <w:rPr>
          <w:rFonts w:ascii="Arial" w:cs="Arial" w:eastAsia="Arial" w:hAnsi="Arial"/>
          <w:sz w:val="18"/>
          <w:szCs w:val="18"/>
          <w:color w:val="auto"/>
        </w:rPr>
      </w:pPr>
      <w:r>
        <w:rPr>
          <w:rFonts w:ascii="Arial" w:cs="Arial" w:eastAsia="Arial" w:hAnsi="Arial"/>
          <w:sz w:val="18"/>
          <w:szCs w:val="18"/>
          <w:u w:val="single" w:color="auto"/>
          <w:color w:val="auto"/>
        </w:rPr>
        <w:t>Resignation of Directors and Officers</w:t>
      </w:r>
      <w:r>
        <w:rPr>
          <w:rFonts w:ascii="Arial" w:cs="Arial" w:eastAsia="Arial" w:hAnsi="Arial"/>
          <w:sz w:val="18"/>
          <w:szCs w:val="18"/>
          <w:color w:val="auto"/>
        </w:rPr>
        <w:t>. Parent shall have received written resignations from all of the directors and officers of the Company and its Subsidiaries, as applicable effective as of the Effective Time and the directors and officers set forth in Section 5.11 shall have been appointed as set forth therein;</w:t>
      </w:r>
    </w:p>
    <w:p>
      <w:pPr>
        <w:spacing w:after="0" w:line="78" w:lineRule="exact"/>
        <w:rPr>
          <w:rFonts w:ascii="Arial" w:cs="Arial" w:eastAsia="Arial" w:hAnsi="Arial"/>
          <w:sz w:val="18"/>
          <w:szCs w:val="18"/>
          <w:color w:val="auto"/>
        </w:rPr>
      </w:pPr>
    </w:p>
    <w:p>
      <w:pPr>
        <w:jc w:val="both"/>
        <w:ind w:left="320" w:right="619" w:firstLine="260"/>
        <w:spacing w:after="0" w:line="287" w:lineRule="auto"/>
        <w:tabs>
          <w:tab w:leader="none" w:pos="871"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Company shall have delivered to Parent and Merger Sub a certificate, signed by the chief executive officer of the Company, to the effect that (i) each of the conditions specified in clause (a) of Section 6.1 and clauses</w:t>
      </w:r>
    </w:p>
    <w:p>
      <w:pPr>
        <w:jc w:val="both"/>
        <w:ind w:left="320" w:right="639" w:hanging="8"/>
        <w:spacing w:after="0" w:line="251" w:lineRule="auto"/>
        <w:tabs>
          <w:tab w:leader="none" w:pos="57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through (f) and clause (j) of this Section 6.2 are satisfied in all respects and (ii) the Company has not paid any of Hudson Bay’s costs and expenses, including any attorneys fees, in connection with the consummation of the transactions contemplated by this Agreement;</w:t>
      </w:r>
    </w:p>
    <w:p>
      <w:pPr>
        <w:spacing w:after="0" w:line="86" w:lineRule="exact"/>
        <w:rPr>
          <w:rFonts w:ascii="Arial" w:cs="Arial" w:eastAsia="Arial" w:hAnsi="Arial"/>
          <w:sz w:val="18"/>
          <w:szCs w:val="18"/>
          <w:color w:val="auto"/>
        </w:rPr>
      </w:pPr>
    </w:p>
    <w:p>
      <w:pPr>
        <w:jc w:val="both"/>
        <w:ind w:left="320" w:right="639" w:firstLine="260"/>
        <w:spacing w:after="0" w:line="259" w:lineRule="auto"/>
        <w:tabs>
          <w:tab w:leader="none" w:pos="844"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 Neither U.S. Patent Nos. 6,314,420 nor 6,775,664, held by the Company or any Company Subsidiary, shall, as of the Effective Date, be held unpatentable, invalid or unenforceable by an unappealed or unappealable judgment of a court of competent jurisdiction;</w:t>
      </w:r>
    </w:p>
    <w:p>
      <w:pPr>
        <w:spacing w:after="0" w:line="78" w:lineRule="exact"/>
        <w:rPr>
          <w:rFonts w:ascii="Arial" w:cs="Arial" w:eastAsia="Arial" w:hAnsi="Arial"/>
          <w:sz w:val="18"/>
          <w:szCs w:val="18"/>
          <w:color w:val="auto"/>
        </w:rPr>
      </w:pPr>
    </w:p>
    <w:p>
      <w:pPr>
        <w:ind w:left="320" w:right="639" w:firstLine="260"/>
        <w:spacing w:after="0" w:line="270" w:lineRule="auto"/>
        <w:tabs>
          <w:tab w:leader="none" w:pos="897"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Subscription Agreement</w:t>
      </w:r>
      <w:r>
        <w:rPr>
          <w:rFonts w:ascii="Arial" w:cs="Arial" w:eastAsia="Arial" w:hAnsi="Arial"/>
          <w:sz w:val="18"/>
          <w:szCs w:val="18"/>
          <w:color w:val="auto"/>
        </w:rPr>
        <w:t>. The Subscription Agreement, dated as of June 22, 2011, by and between the Company and Hudson Bay shall have been terminated and of no further force or effect;</w:t>
      </w:r>
    </w:p>
    <w:p>
      <w:pPr>
        <w:spacing w:after="0" w:line="68" w:lineRule="exact"/>
        <w:rPr>
          <w:rFonts w:ascii="Arial" w:cs="Arial" w:eastAsia="Arial" w:hAnsi="Arial"/>
          <w:sz w:val="18"/>
          <w:szCs w:val="18"/>
          <w:color w:val="auto"/>
        </w:rPr>
      </w:pPr>
    </w:p>
    <w:p>
      <w:pPr>
        <w:ind w:left="320" w:right="639" w:firstLine="260"/>
        <w:spacing w:after="0" w:line="270" w:lineRule="auto"/>
        <w:tabs>
          <w:tab w:leader="none" w:pos="871"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Registration Rights Agreement, dated as of June 22, 2011, by and between the Company and Hudson Bay shall have been terminated and of no further force or effect;</w:t>
      </w:r>
    </w:p>
    <w:p>
      <w:pPr>
        <w:spacing w:after="0" w:line="68" w:lineRule="exact"/>
        <w:rPr>
          <w:rFonts w:ascii="Arial" w:cs="Arial" w:eastAsia="Arial" w:hAnsi="Arial"/>
          <w:sz w:val="18"/>
          <w:szCs w:val="18"/>
          <w:color w:val="auto"/>
        </w:rPr>
      </w:pPr>
    </w:p>
    <w:p>
      <w:pPr>
        <w:jc w:val="both"/>
        <w:ind w:left="320" w:right="619" w:firstLine="260"/>
        <w:spacing w:after="0" w:line="252" w:lineRule="auto"/>
        <w:tabs>
          <w:tab w:leader="none" w:pos="987"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Hudson Bay Certificate</w:t>
      </w:r>
      <w:r>
        <w:rPr>
          <w:rFonts w:ascii="Arial" w:cs="Arial" w:eastAsia="Arial" w:hAnsi="Arial"/>
          <w:sz w:val="18"/>
          <w:szCs w:val="18"/>
          <w:color w:val="auto"/>
        </w:rPr>
        <w:t>. Parent shall have received a certificate, in form and substance reasonably acceptable to Parent, from Hudson Bay to the effect that, as of the Effective Time (i) they have been paid all amounts due to them under the existing loan documents between Hudson Bay and the Company and (ii) that the Company has complied with all of its obligations (and there are no breaches or defaults) under the existing loan documents and (iii) that the Company has not paid any of Hudson Bay’s cost and expenses, including any attorneys fees, in connection with the consummation of the transactions contemplated by this Agreement; and</w:t>
      </w:r>
    </w:p>
    <w:p>
      <w:pPr>
        <w:spacing w:after="0" w:line="86" w:lineRule="exact"/>
        <w:rPr>
          <w:rFonts w:ascii="Arial" w:cs="Arial" w:eastAsia="Arial" w:hAnsi="Arial"/>
          <w:sz w:val="18"/>
          <w:szCs w:val="18"/>
          <w:color w:val="auto"/>
        </w:rPr>
      </w:pPr>
    </w:p>
    <w:p>
      <w:pPr>
        <w:jc w:val="both"/>
        <w:ind w:left="320" w:right="619" w:firstLine="260"/>
        <w:spacing w:after="0" w:line="275" w:lineRule="auto"/>
        <w:tabs>
          <w:tab w:leader="none" w:pos="938"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Other Deliveries</w:t>
      </w:r>
      <w:r>
        <w:rPr>
          <w:rFonts w:ascii="Arial" w:cs="Arial" w:eastAsia="Arial" w:hAnsi="Arial"/>
          <w:sz w:val="17"/>
          <w:szCs w:val="17"/>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6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 of the Company to effect the Merger is also subject to the following conditions, any and all of which may be waived in writing by the Company, in whole or in part, to the extent permitted by the applicable law:</w:t>
      </w:r>
    </w:p>
    <w:p>
      <w:pPr>
        <w:spacing w:after="0" w:line="78" w:lineRule="exact"/>
        <w:rPr>
          <w:sz w:val="20"/>
          <w:szCs w:val="20"/>
          <w:color w:val="auto"/>
        </w:rPr>
      </w:pPr>
    </w:p>
    <w:p>
      <w:pPr>
        <w:jc w:val="both"/>
        <w:ind w:left="320" w:right="619" w:firstLine="260"/>
        <w:spacing w:after="0" w:line="297" w:lineRule="auto"/>
        <w:tabs>
          <w:tab w:leader="none" w:pos="927"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Parent contained Article III shall be true, complete and correct in all material respects as of when made and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51" w:lineRule="exact"/>
        <w:rPr>
          <w:rFonts w:ascii="Arial" w:cs="Arial" w:eastAsia="Arial" w:hAnsi="Arial"/>
          <w:sz w:val="16"/>
          <w:szCs w:val="16"/>
          <w:color w:val="auto"/>
        </w:rPr>
      </w:pPr>
    </w:p>
    <w:p>
      <w:pPr>
        <w:jc w:val="both"/>
        <w:ind w:left="320" w:right="639" w:firstLine="260"/>
        <w:spacing w:after="0" w:line="259" w:lineRule="auto"/>
        <w:tabs>
          <w:tab w:leader="none" w:pos="897"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1" w:name="page282"/>
    <w:bookmarkEnd w:id="2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with such agreements and covenants which would not, individually or in the aggregate, reasonably be expected to have a Parent Material Adverse Effect;</w:t>
      </w:r>
    </w:p>
    <w:p>
      <w:pPr>
        <w:spacing w:after="0" w:line="69" w:lineRule="exact"/>
        <w:rPr>
          <w:sz w:val="20"/>
          <w:szCs w:val="20"/>
          <w:color w:val="auto"/>
        </w:rPr>
      </w:pPr>
    </w:p>
    <w:p>
      <w:pPr>
        <w:jc w:val="both"/>
        <w:ind w:left="320" w:right="619" w:firstLine="260"/>
        <w:spacing w:after="0" w:line="268" w:lineRule="auto"/>
        <w:tabs>
          <w:tab w:leader="none" w:pos="887"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Third Party Consents</w:t>
      </w:r>
      <w:r>
        <w:rPr>
          <w:rFonts w:ascii="Arial" w:cs="Arial" w:eastAsia="Arial" w:hAnsi="Arial"/>
          <w:sz w:val="17"/>
          <w:szCs w:val="17"/>
          <w:color w:val="auto"/>
        </w:rPr>
        <w:t>. The Company shall have received evidence, in form and substance reasonably satisfactory to it, that (i) those approvals of Governmental Authorities described on the Parent Disclosure Schedule (or not described on the Parent Schedule but required to be so described) shall have been obtained; (ii) those approvals of other third parties described in Sections 3.4(c) and 3.4 (d) (or not described in Sections 3.4(c) and 3.4 (d) but required to be so described) have been obtained, except where the failure to have been so obtained, either individually or in the aggregate, could not reasonably be expected to result in a Parent Material Adverse Effect and (iii) the persons set forth on Section 6.3(c) of the Parent Disclosure Schedule shall have delivered consents and/or waivers of their anti-dilution or change of control provisions set forth in certain securities of Parent held by such persons;</w:t>
      </w:r>
    </w:p>
    <w:p>
      <w:pPr>
        <w:spacing w:after="0" w:line="71" w:lineRule="exact"/>
        <w:rPr>
          <w:rFonts w:ascii="Arial" w:cs="Arial" w:eastAsia="Arial" w:hAnsi="Arial"/>
          <w:sz w:val="17"/>
          <w:szCs w:val="17"/>
          <w:color w:val="auto"/>
        </w:rPr>
      </w:pPr>
    </w:p>
    <w:p>
      <w:pPr>
        <w:ind w:left="320" w:right="639" w:firstLine="260"/>
        <w:spacing w:after="0" w:line="270" w:lineRule="auto"/>
        <w:tabs>
          <w:tab w:leader="none" w:pos="911"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Since the date of this Agreement, there shall not have occurred any Parent Material Adverse Effect;</w:t>
      </w:r>
    </w:p>
    <w:p>
      <w:pPr>
        <w:spacing w:after="0" w:line="68" w:lineRule="exact"/>
        <w:rPr>
          <w:rFonts w:ascii="Arial" w:cs="Arial" w:eastAsia="Arial" w:hAnsi="Arial"/>
          <w:sz w:val="18"/>
          <w:szCs w:val="18"/>
          <w:color w:val="auto"/>
        </w:rPr>
      </w:pPr>
    </w:p>
    <w:p>
      <w:pPr>
        <w:ind w:left="320" w:right="639" w:firstLine="260"/>
        <w:spacing w:after="0" w:line="334" w:lineRule="auto"/>
        <w:tabs>
          <w:tab w:leader="none" w:pos="887"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Parent shall have delivered to the Company a certificate, signed by the chief executive officer of Parent, to the effect that each of the conditions specified in clauses (a) through (d) of this Section 6.3 is satisfied in all respects;</w:t>
      </w:r>
    </w:p>
    <w:p>
      <w:pPr>
        <w:spacing w:after="0" w:line="22" w:lineRule="exact"/>
        <w:rPr>
          <w:rFonts w:ascii="Arial" w:cs="Arial" w:eastAsia="Arial" w:hAnsi="Arial"/>
          <w:sz w:val="16"/>
          <w:szCs w:val="16"/>
          <w:color w:val="auto"/>
        </w:rPr>
      </w:pPr>
    </w:p>
    <w:p>
      <w:pPr>
        <w:ind w:left="320" w:right="619" w:firstLine="260"/>
        <w:spacing w:after="0" w:line="334" w:lineRule="auto"/>
        <w:tabs>
          <w:tab w:leader="none" w:pos="881"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Employment and Board Agreements</w:t>
      </w:r>
      <w:r>
        <w:rPr>
          <w:rFonts w:ascii="Arial" w:cs="Arial" w:eastAsia="Arial" w:hAnsi="Arial"/>
          <w:sz w:val="16"/>
          <w:szCs w:val="16"/>
          <w:color w:val="auto"/>
        </w:rPr>
        <w:t>. The (i) employment and board agreements set forth on Schedule 2.14 and (ii) client service agreement with Ambrose Employer Group each shall have been assigned to, and assumed by, Parent; and</w:t>
      </w:r>
    </w:p>
    <w:p>
      <w:pPr>
        <w:spacing w:after="0" w:line="22" w:lineRule="exact"/>
        <w:rPr>
          <w:rFonts w:ascii="Arial" w:cs="Arial" w:eastAsia="Arial" w:hAnsi="Arial"/>
          <w:sz w:val="16"/>
          <w:szCs w:val="16"/>
          <w:color w:val="auto"/>
        </w:rPr>
      </w:pPr>
    </w:p>
    <w:p>
      <w:pPr>
        <w:jc w:val="both"/>
        <w:ind w:left="320" w:right="619" w:firstLine="260"/>
        <w:spacing w:after="0" w:line="253" w:lineRule="auto"/>
        <w:tabs>
          <w:tab w:leader="none" w:pos="964"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8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VII</w:t>
      </w:r>
    </w:p>
    <w:p>
      <w:pPr>
        <w:spacing w:after="0" w:line="22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TERMINATION, AMENDMENT AND WAIVER</w:t>
      </w:r>
    </w:p>
    <w:p>
      <w:pPr>
        <w:spacing w:after="0" w:line="118"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other transactions contemplated hereby may be abandoned at any time prior to the Effective Time:</w:t>
      </w:r>
    </w:p>
    <w:p>
      <w:pPr>
        <w:spacing w:after="0" w:line="69" w:lineRule="exact"/>
        <w:rPr>
          <w:sz w:val="20"/>
          <w:szCs w:val="20"/>
          <w:color w:val="auto"/>
        </w:rPr>
      </w:pPr>
    </w:p>
    <w:p>
      <w:pPr>
        <w:ind w:left="880" w:hanging="300"/>
        <w:spacing w:after="0"/>
        <w:tabs>
          <w:tab w:leader="none" w:pos="8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by mutual written consent of the Company, Parent and Merger Sub duly authorized by each of the Boards of Directors</w:t>
      </w:r>
    </w:p>
    <w:p>
      <w:pPr>
        <w:spacing w:after="0" w:line="4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of each;</w:t>
      </w:r>
    </w:p>
    <w:p>
      <w:pPr>
        <w:spacing w:after="0" w:line="100" w:lineRule="exact"/>
        <w:rPr>
          <w:rFonts w:ascii="Arial" w:cs="Arial" w:eastAsia="Arial" w:hAnsi="Arial"/>
          <w:sz w:val="16"/>
          <w:szCs w:val="16"/>
          <w:color w:val="auto"/>
        </w:rPr>
      </w:pPr>
    </w:p>
    <w:p>
      <w:pPr>
        <w:jc w:val="both"/>
        <w:ind w:left="320" w:right="619" w:firstLine="260"/>
        <w:spacing w:after="0" w:line="255" w:lineRule="auto"/>
        <w:tabs>
          <w:tab w:leader="none" w:pos="92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by either Parent or the Company if the Merger shall not have been consummated on or before September 30,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 to terminate this Agreement under this Section 7.1(b) shall not be available to a Party whose failure to fulfill any obligation under this Agreement has been the cause of, or resulted in, the failure of the Merger to have been consummated on or before such date;</w:t>
      </w:r>
    </w:p>
    <w:p>
      <w:pPr>
        <w:spacing w:after="0" w:line="82" w:lineRule="exact"/>
        <w:rPr>
          <w:rFonts w:ascii="Arial" w:cs="Arial" w:eastAsia="Arial" w:hAnsi="Arial"/>
          <w:sz w:val="18"/>
          <w:szCs w:val="18"/>
          <w:color w:val="auto"/>
        </w:rPr>
      </w:pPr>
    </w:p>
    <w:p>
      <w:pPr>
        <w:jc w:val="both"/>
        <w:ind w:left="320" w:right="639" w:firstLine="260"/>
        <w:spacing w:after="0" w:line="281" w:lineRule="auto"/>
        <w:tabs>
          <w:tab w:leader="none" w:pos="88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w:t>
      </w:r>
    </w:p>
    <w:p>
      <w:pPr>
        <w:spacing w:after="0" w:line="61" w:lineRule="exact"/>
        <w:rPr>
          <w:rFonts w:ascii="Arial" w:cs="Arial" w:eastAsia="Arial" w:hAnsi="Arial"/>
          <w:sz w:val="17"/>
          <w:szCs w:val="17"/>
          <w:color w:val="auto"/>
        </w:rPr>
      </w:pPr>
    </w:p>
    <w:p>
      <w:pPr>
        <w:jc w:val="both"/>
        <w:ind w:left="320" w:right="619" w:firstLine="260"/>
        <w:spacing w:after="0" w:line="251" w:lineRule="auto"/>
        <w:tabs>
          <w:tab w:leader="none" w:pos="98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by Parent or the Company if the Parent Special Meeting shall have been held and completed (including any adjournments or postponements thereof), Parent’s stockholders shall have taken a final vote on a proposal to adopt this Agreement and approve the transactions contemplated hereby, including the Merger, and the Parent Stockholder Approval shall not have been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party shall not be permitted to terminate this Agreement pursuant to this Section 7.1(d) if the failure to obtain the Parent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2" w:name="page283"/>
    <w:bookmarkEnd w:id="2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68" w:lineRule="auto"/>
        <w:tabs>
          <w:tab w:leader="none" w:pos="947" w:val="left"/>
        </w:tabs>
        <w:numPr>
          <w:ilvl w:val="1"/>
          <w:numId w:val="236"/>
        </w:numPr>
        <w:rPr>
          <w:rFonts w:ascii="Arial" w:cs="Arial" w:eastAsia="Arial" w:hAnsi="Arial"/>
          <w:sz w:val="17"/>
          <w:szCs w:val="17"/>
          <w:color w:val="auto"/>
        </w:rPr>
      </w:pPr>
      <w:r>
        <w:rPr>
          <w:rFonts w:ascii="Arial" w:cs="Arial" w:eastAsia="Arial" w:hAnsi="Arial"/>
          <w:sz w:val="17"/>
          <w:szCs w:val="17"/>
          <w:color w:val="auto"/>
        </w:rPr>
        <w:t>by Parent or the Company if the Company Special Meeting shall have been held and completed (including any adjournments or postponements thereof), the Company’s stockholders shall have taken a final vote on a proposal to adopt this Agreement and approve the transactions contemplated hereby, including the Merger, and the Company Stockholder Approval shall not have been obtained; provided, however, that a party shall not be permitted to terminate this Agreement pursuant to this Section 7.1(e) if the failure to obtain the Company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75" w:lineRule="exact"/>
        <w:rPr>
          <w:rFonts w:ascii="Arial" w:cs="Arial" w:eastAsia="Arial" w:hAnsi="Arial"/>
          <w:sz w:val="17"/>
          <w:szCs w:val="17"/>
          <w:color w:val="auto"/>
        </w:rPr>
      </w:pPr>
    </w:p>
    <w:p>
      <w:pPr>
        <w:jc w:val="both"/>
        <w:ind w:left="320" w:right="619" w:firstLine="260"/>
        <w:spacing w:after="0" w:line="268" w:lineRule="auto"/>
        <w:tabs>
          <w:tab w:leader="none" w:pos="89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by Parent, if (i) the Board of Directors of the Company, or any authorized committee thereof, shall have effected a Company Board Recommendation Change; (ii) the Board of Directors of the Company, or any authorized committee thereof shall have failed to present and recommend the approval and adoption of this Agreement and the Merger to the stockholders of the Company, or withdrawn or modified in a manner adverse to Parent, its recommendation or approval of the Merger and this Agreement; (iii) Company shall have entered, or caused the Company or its Subsidiaries to enter, into any letter of intent, agreement in principle, term sheet, merger agreement, acquisition agreement or other similar agreement related to any Company Acquisition Proposal; (iv) Company shall have breached Section 4.2; or (v) the Board of Directors of Company, or any authorized committee thereof shall have resolved to do any of the foregoing;</w:t>
      </w:r>
    </w:p>
    <w:p>
      <w:pPr>
        <w:spacing w:after="0" w:line="71" w:lineRule="exact"/>
        <w:rPr>
          <w:rFonts w:ascii="Arial" w:cs="Arial" w:eastAsia="Arial" w:hAnsi="Arial"/>
          <w:sz w:val="17"/>
          <w:szCs w:val="17"/>
          <w:color w:val="auto"/>
        </w:rPr>
      </w:pPr>
    </w:p>
    <w:p>
      <w:pPr>
        <w:jc w:val="both"/>
        <w:ind w:left="320" w:right="619" w:firstLine="260"/>
        <w:spacing w:after="0" w:line="283" w:lineRule="auto"/>
        <w:tabs>
          <w:tab w:leader="none" w:pos="903" w:val="left"/>
        </w:tabs>
        <w:numPr>
          <w:ilvl w:val="1"/>
          <w:numId w:val="236"/>
        </w:numPr>
        <w:rPr>
          <w:rFonts w:ascii="Arial" w:cs="Arial" w:eastAsia="Arial" w:hAnsi="Arial"/>
          <w:sz w:val="16"/>
          <w:szCs w:val="16"/>
          <w:color w:val="auto"/>
        </w:rPr>
      </w:pPr>
      <w:r>
        <w:rPr>
          <w:rFonts w:ascii="Arial" w:cs="Arial" w:eastAsia="Arial" w:hAnsi="Arial"/>
          <w:sz w:val="16"/>
          <w:szCs w:val="16"/>
          <w:color w:val="auto"/>
        </w:rPr>
        <w:t>by Company, if (i) the Board of Directors of Parent, or any authorized committee thereof, shall have effected a Parent Board Recommendation Change; (ii)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w:t>
      </w:r>
    </w:p>
    <w:p>
      <w:pPr>
        <w:jc w:val="both"/>
        <w:ind w:left="320" w:right="619" w:hanging="8"/>
        <w:spacing w:after="0" w:line="249" w:lineRule="auto"/>
        <w:tabs>
          <w:tab w:leader="none" w:pos="63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Parent shall have entered, or caused the Parent or its Subsidiaries to enter, into any letter of intent, agreement in principle, term sheet, merger agreement, acquisition agreement or other similar agreement related to any Parent Acquisition Proposal; (iv) Parent shall have breached Section 4.3; (v) Parent shall have failed to include the Parent Board Recommendation in the Proxy Statement or (vi) the Board of Directors of Parent, or any authorized committee thereof shall have resolved to do any of the foregoing;</w:t>
      </w:r>
    </w:p>
    <w:p>
      <w:pPr>
        <w:spacing w:after="0" w:line="89" w:lineRule="exact"/>
        <w:rPr>
          <w:rFonts w:ascii="Arial" w:cs="Arial" w:eastAsia="Arial" w:hAnsi="Arial"/>
          <w:sz w:val="18"/>
          <w:szCs w:val="18"/>
          <w:color w:val="auto"/>
        </w:rPr>
      </w:pPr>
    </w:p>
    <w:p>
      <w:pPr>
        <w:jc w:val="both"/>
        <w:ind w:left="320" w:right="619" w:firstLine="260"/>
        <w:spacing w:after="0" w:line="272" w:lineRule="auto"/>
        <w:tabs>
          <w:tab w:leader="none" w:pos="884" w:val="left"/>
        </w:tabs>
        <w:numPr>
          <w:ilvl w:val="1"/>
          <w:numId w:val="237"/>
        </w:numPr>
        <w:rPr>
          <w:rFonts w:ascii="Arial" w:cs="Arial" w:eastAsia="Arial" w:hAnsi="Arial"/>
          <w:sz w:val="17"/>
          <w:szCs w:val="17"/>
          <w:color w:val="auto"/>
        </w:rPr>
      </w:pPr>
      <w:r>
        <w:rPr>
          <w:rFonts w:ascii="Arial" w:cs="Arial" w:eastAsia="Arial" w:hAnsi="Arial"/>
          <w:sz w:val="17"/>
          <w:szCs w:val="17"/>
          <w:color w:val="auto"/>
        </w:rPr>
        <w:t>by Parent, if neither Parent nor Merger Sub is then in material breach of its obligations or representations and warranties under this Agreement, and if (i) the Company breaches its representations and warranties herein such that Section 6.2(a) would not be satisfied or (ii) there has been a breach on the part of the Company of any of its covenants or agreements contained in this Agreement such that Section 6.2(b) would not be satisfied, and, in both case (i) and case (ii), such breach cannot be cured or has not been cured within fifteen (15) days after notice thereof to the Company;</w:t>
      </w:r>
    </w:p>
    <w:p>
      <w:pPr>
        <w:spacing w:after="0" w:line="68" w:lineRule="exact"/>
        <w:rPr>
          <w:rFonts w:ascii="Arial" w:cs="Arial" w:eastAsia="Arial" w:hAnsi="Arial"/>
          <w:sz w:val="17"/>
          <w:szCs w:val="17"/>
          <w:color w:val="auto"/>
        </w:rPr>
      </w:pPr>
    </w:p>
    <w:p>
      <w:pPr>
        <w:jc w:val="both"/>
        <w:ind w:left="320" w:right="619" w:firstLine="260"/>
        <w:spacing w:after="0" w:line="272" w:lineRule="auto"/>
        <w:tabs>
          <w:tab w:leader="none" w:pos="918" w:val="left"/>
        </w:tabs>
        <w:numPr>
          <w:ilvl w:val="1"/>
          <w:numId w:val="237"/>
        </w:numPr>
        <w:rPr>
          <w:rFonts w:ascii="Arial" w:cs="Arial" w:eastAsia="Arial" w:hAnsi="Arial"/>
          <w:sz w:val="17"/>
          <w:szCs w:val="17"/>
          <w:color w:val="auto"/>
        </w:rPr>
      </w:pPr>
      <w:r>
        <w:rPr>
          <w:rFonts w:ascii="Arial" w:cs="Arial" w:eastAsia="Arial" w:hAnsi="Arial"/>
          <w:sz w:val="17"/>
          <w:szCs w:val="17"/>
          <w:color w:val="auto"/>
        </w:rPr>
        <w:t>by the Company, if it is not then in material breach of its obligations, representations and warranties under this Agreement, and if (i) either Parent or Merger Sub breaches its representations and warranties herein such that Section 6.3(a) would not be satisfied; or (ii) there has been a breach on the part of Parent or Merger Sub of any of their respective covenants or agreements contained in this Agreement such that Section 6.3(b) would not be satisfied, and, in both case (i) and case (ii), such breach cannot be cured or has not been cured within fifteen (15) days after notice thereof to Parent;</w:t>
      </w:r>
    </w:p>
    <w:p>
      <w:pPr>
        <w:spacing w:after="0" w:line="68" w:lineRule="exact"/>
        <w:rPr>
          <w:rFonts w:ascii="Arial" w:cs="Arial" w:eastAsia="Arial" w:hAnsi="Arial"/>
          <w:sz w:val="17"/>
          <w:szCs w:val="17"/>
          <w:color w:val="auto"/>
        </w:rPr>
      </w:pPr>
    </w:p>
    <w:p>
      <w:pPr>
        <w:jc w:val="both"/>
        <w:ind w:left="320" w:right="619" w:firstLine="260"/>
        <w:spacing w:after="0" w:line="285" w:lineRule="auto"/>
        <w:tabs>
          <w:tab w:leader="none" w:pos="895" w:val="left"/>
        </w:tabs>
        <w:numPr>
          <w:ilvl w:val="1"/>
          <w:numId w:val="237"/>
        </w:numPr>
        <w:rPr>
          <w:rFonts w:ascii="Arial" w:cs="Arial" w:eastAsia="Arial" w:hAnsi="Arial"/>
          <w:sz w:val="16"/>
          <w:szCs w:val="16"/>
          <w:color w:val="auto"/>
        </w:rPr>
      </w:pPr>
      <w:r>
        <w:rPr>
          <w:rFonts w:ascii="Arial" w:cs="Arial" w:eastAsia="Arial" w:hAnsi="Arial"/>
          <w:sz w:val="16"/>
          <w:szCs w:val="16"/>
          <w:color w:val="auto"/>
        </w:rPr>
        <w:t>(A) by Parent, if at any time prior to obtaining the Parent Stockholder Approval, Parent determines to enter into a definitive agreement relating to a Parent Acquisition Proposal that the Board of Directors of Parent has determined constitutes a Parent Superior Proposal; provided that the (i) the Board of Directors of Parent shall have effected a Parent Board Recommendation Change in accordance with Section 4.3(c) and shall have complied with all provisions of Section 4.3; (ii) Parent is not in breach in any material respect with the terms of this Agreement; (iii) Parent shall have entered into a definitive agreement relating to the Parent Acquisition Proposal and (iv) concurrently with the termination of this Agreement, Parent pays the Termination Fee payable to the Company pursuant to Section 7.3(c) or (B) by Company, if Company determines to enter into a definitive agreement relating to a Company Acquisition Proposal that the Board of Directors of Company has determined constitutes a Company Superior Proposal; provided that the (i) the Board of Directors of Company shall have effected a</w:t>
      </w: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3" w:name="page284"/>
    <w:bookmarkEnd w:id="2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97" w:lineRule="auto"/>
        <w:rPr>
          <w:sz w:val="20"/>
          <w:szCs w:val="20"/>
          <w:color w:val="auto"/>
        </w:rPr>
      </w:pPr>
      <w:r>
        <w:rPr>
          <w:rFonts w:ascii="Arial" w:cs="Arial" w:eastAsia="Arial" w:hAnsi="Arial"/>
          <w:sz w:val="16"/>
          <w:szCs w:val="16"/>
          <w:color w:val="auto"/>
        </w:rPr>
        <w:t>Company Board Recommendation Change in accordance with Section 4.2(c) and shall have complied with all provisions of Section 4.2; (ii) Company is not in breach in any material respect with the terms of this Agreement; (iii) Company shall have entered into a definitive agreement relating to the Company Acquisition Proposal and (iv) concurrently with the termination of this Agreement, Company pays the Company Termination Fee payable to the Parent pursuant to Section 7.3(b); or</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 by the Company, at any time, upon the payment to Parent of the fee set forth in Section 7.3(b).</w:t>
      </w:r>
    </w:p>
    <w:p>
      <w:pPr>
        <w:spacing w:after="0" w:line="114" w:lineRule="exact"/>
        <w:rPr>
          <w:sz w:val="20"/>
          <w:szCs w:val="20"/>
          <w:color w:val="auto"/>
        </w:rPr>
      </w:pPr>
    </w:p>
    <w:p>
      <w:pPr>
        <w:jc w:val="both"/>
        <w:ind w:left="40" w:right="619" w:firstLine="267"/>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Except as provided in this Section 7.2, in the event of the termination of this Agreement pursuant to Section 7.1, this Agreement (other than this Section 7.2 and Sections 5.2(b), 5.8, 7.3 and Article VIII, each of which shall survive such termination) will forthwith become void, and there will be no liability on the part of Parent, Merger Sub or the Company or any of their respective officers or directors to the other and all rights and obligations of any Party will cease, except, subject to Section 7.3(g), that nothing herein will relieve any Party from liability for any breach, prior to termination of this Agreement in accordance with its terms, of any representation, warranty, covenant or agreement contained in this Agreement or from any obligation to pay, if and as applicable, the Company Termination Fee or the Parent Termination Fee.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9" w:lineRule="auto"/>
        <w:tabs>
          <w:tab w:leader="none" w:pos="93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Except as set forth in this Section 7.3, all fees and expenses incurred in connection with this Agreement and the transactions contemplated hereby shall be paid by the Party incurring such fees and expenses, whether or not the Merger is consummated.</w:t>
      </w:r>
    </w:p>
    <w:p>
      <w:pPr>
        <w:spacing w:after="0" w:line="78" w:lineRule="exact"/>
        <w:rPr>
          <w:rFonts w:ascii="Arial" w:cs="Arial" w:eastAsia="Arial" w:hAnsi="Arial"/>
          <w:sz w:val="18"/>
          <w:szCs w:val="18"/>
          <w:color w:val="auto"/>
        </w:rPr>
      </w:pPr>
    </w:p>
    <w:p>
      <w:pPr>
        <w:jc w:val="both"/>
        <w:ind w:left="320" w:right="619" w:firstLine="260"/>
        <w:spacing w:after="0" w:line="253" w:lineRule="auto"/>
        <w:tabs>
          <w:tab w:leader="none" w:pos="90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the event that either (A) the Company terminates this Agreement pursuant to Section 7.1(j)(B) or 7.1(k) or (B) the Parent or the Company validly terminates this Agreement pursuant to Section 7.1(e) or Section 7.1(f), then the Company shall pay to Parent, simultaneously with such termination of this Agreement, a fee in cash equal to $5,000,000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Fee</w:t>
      </w:r>
      <w:r>
        <w:rPr>
          <w:rFonts w:ascii="Arial" w:cs="Arial" w:eastAsia="Arial" w:hAnsi="Arial"/>
          <w:sz w:val="18"/>
          <w:szCs w:val="18"/>
          <w:color w:val="auto"/>
        </w:rPr>
        <w:t>”), which Company Termination Fee shall be payable by wire transfer of immediately available funds to 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specified by Parent.</w:t>
      </w:r>
    </w:p>
    <w:p>
      <w:pPr>
        <w:spacing w:after="0" w:line="85" w:lineRule="exact"/>
        <w:rPr>
          <w:rFonts w:ascii="Arial" w:cs="Arial" w:eastAsia="Arial" w:hAnsi="Arial"/>
          <w:sz w:val="18"/>
          <w:szCs w:val="18"/>
          <w:color w:val="auto"/>
        </w:rPr>
      </w:pPr>
    </w:p>
    <w:p>
      <w:pPr>
        <w:jc w:val="both"/>
        <w:ind w:left="320" w:right="619" w:firstLine="260"/>
        <w:spacing w:after="0" w:line="285" w:lineRule="auto"/>
        <w:tabs>
          <w:tab w:leader="none" w:pos="91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In the event that (i) the Company validly terminates this Agreement pursuant to Section 7.1(g) or (ii) Parent validly terminates this Agreement pursuant to Section 7.1(j)(A), then, in any such case, Parent shall pay to the Company, simultaneously with such termination of this Agreement, a fee (the “</w:t>
      </w:r>
      <w:r>
        <w:rPr>
          <w:rFonts w:ascii="Arial" w:cs="Arial" w:eastAsia="Arial" w:hAnsi="Arial"/>
          <w:sz w:val="16"/>
          <w:szCs w:val="16"/>
          <w:b w:val="1"/>
          <w:bCs w:val="1"/>
          <w:color w:val="auto"/>
        </w:rPr>
        <w:t>Parent Termination Fee</w:t>
      </w:r>
      <w:r>
        <w:rPr>
          <w:rFonts w:ascii="Arial" w:cs="Arial" w:eastAsia="Arial" w:hAnsi="Arial"/>
          <w:sz w:val="16"/>
          <w:szCs w:val="16"/>
          <w:color w:val="auto"/>
        </w:rPr>
        <w:t>”) equal to 5% of the consideration paid to all security holders of Parent in connection with the Parent Superior Proposal in the same form as such consideration is paid to such security holders (i.e., 5% of the cash, securities and any other form of consideration paid in connection with the Parent Superior Proposal), which Parent Termination Fee, to the extent it is cash, shall be payable by wire transfer of immediately available funds to an account specified by the Company; provided, that, notwithstanding anything to the contrary set forth herein, a Parent Termination Fee shall only be payable if the termination of this Agreement is in connection with or solely due to the Parent entering into an agreement for a Parent Superior Proposal.</w:t>
      </w:r>
    </w:p>
    <w:p>
      <w:pPr>
        <w:spacing w:after="0" w:line="65" w:lineRule="exact"/>
        <w:rPr>
          <w:rFonts w:ascii="Arial" w:cs="Arial" w:eastAsia="Arial" w:hAnsi="Arial"/>
          <w:sz w:val="16"/>
          <w:szCs w:val="16"/>
          <w:color w:val="auto"/>
        </w:rPr>
      </w:pPr>
    </w:p>
    <w:p>
      <w:pPr>
        <w:jc w:val="both"/>
        <w:ind w:left="320" w:right="619" w:firstLine="260"/>
        <w:spacing w:after="0" w:line="266" w:lineRule="auto"/>
        <w:tabs>
          <w:tab w:leader="none" w:pos="91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the event that this Agreement is validly terminated by Parent pursuant to Section 7.1(b), Section 7.1(d) or Section 7.1(h), and at or prior to the time of such termination, a Parent Acquisition Proposal has either previously been publicly announced (or has become publicly known) or has been proposed or communicated to Parent and (ii) within six (6) months following the termination of this Agreement, (y) Parent enters into a definitive agreement with respect to such previously proposed, communicated, known or announced Parent Acquisition Proposal or (z) such previously proposed, communicated, known or announced Parent Acquisition Proposal is otherwise consummated, then, in any such case, Parent shall pay to the Company the Parent Termination Fee, by wire transfer of immediately available funds to an account or accounts designated in writing by the Company, within two (2) Business Days after the execution of such agreement or after such transaction is consummated, as applicable (provided that for purposes of the foregoing clause (B) each reference to “20%” in the definition of Parent Acquisition Proposal shall be deemed to be a reference to “35%”).</w:t>
      </w:r>
    </w:p>
    <w:p>
      <w:pPr>
        <w:spacing w:after="0" w:line="200" w:lineRule="exact"/>
        <w:rPr>
          <w:sz w:val="20"/>
          <w:szCs w:val="20"/>
          <w:color w:val="auto"/>
        </w:rPr>
      </w:pPr>
    </w:p>
    <w:p>
      <w:pPr>
        <w:spacing w:after="0" w:line="3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4" w:name="page285"/>
    <w:bookmarkEnd w:id="2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85" w:lineRule="auto"/>
        <w:tabs>
          <w:tab w:leader="none" w:pos="88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the event that this Agreement is validly terminated by the Company pursuant to Section 7.1(b) or Section 7.1(i)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the foregoing clause (B) each reference to “20%” in the definition of Company Acquisition Proposal shall be deemed to be a reference to “35%”).</w:t>
      </w:r>
    </w:p>
    <w:p>
      <w:pPr>
        <w:spacing w:after="0" w:line="60" w:lineRule="exact"/>
        <w:rPr>
          <w:rFonts w:ascii="Arial" w:cs="Arial" w:eastAsia="Arial" w:hAnsi="Arial"/>
          <w:sz w:val="16"/>
          <w:szCs w:val="16"/>
          <w:color w:val="auto"/>
        </w:rPr>
      </w:pPr>
    </w:p>
    <w:p>
      <w:pPr>
        <w:jc w:val="both"/>
        <w:ind w:left="320" w:right="619" w:firstLine="260"/>
        <w:spacing w:after="0" w:line="285" w:lineRule="auto"/>
        <w:tabs>
          <w:tab w:leader="none" w:pos="89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Each of the Company and Parent acknowledges and agrees that the agreements contained in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Wall Street Journal </w:t>
      </w:r>
      <w:r>
        <w:rPr>
          <w:rFonts w:ascii="Arial" w:cs="Arial" w:eastAsia="Arial" w:hAnsi="Arial"/>
          <w:sz w:val="16"/>
          <w:szCs w:val="16"/>
          <w:color w:val="auto"/>
        </w:rPr>
        <w:t>in effect on the date such payment was required to be made. Under no circumstances shall any Party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may more than one fee in respect of termination under this Section 7.3.</w:t>
      </w:r>
    </w:p>
    <w:p>
      <w:pPr>
        <w:spacing w:after="0" w:line="60" w:lineRule="exact"/>
        <w:rPr>
          <w:rFonts w:ascii="Arial" w:cs="Arial" w:eastAsia="Arial" w:hAnsi="Arial"/>
          <w:sz w:val="16"/>
          <w:szCs w:val="16"/>
          <w:color w:val="auto"/>
        </w:rPr>
      </w:pPr>
    </w:p>
    <w:p>
      <w:pPr>
        <w:jc w:val="both"/>
        <w:ind w:left="320" w:right="619" w:firstLine="260"/>
        <w:spacing w:after="0" w:line="267" w:lineRule="auto"/>
        <w:tabs>
          <w:tab w:leader="none" w:pos="933"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 each of Parent and Merger Sub acknowledges and agrees that if Parent is entitled to receive the Company Termination Fee, the right to receive such payment shall be the sole and exclusive remedy for the termination of this Agreement and such payment shall be the full and final payment for any such termination pursuant to Section 7.1 hereof and Parent and Merger Sub shall be deemed to have waived any and all claims and held Company harmless in exchange for such payment, and (ii) the Company acknowledges and agrees that if the Company is entitled to receive the Parent Termination Fee, the right to receive such payment shall be the sole and exclusive remedy for the termination of this Agreement and such payment shall be the full and final payment for any such termination pursuant to Section 7.1 hereof and the Company shall be deemed to have waived any and all claims and held Parent and Merger Sub harmless in exchange for such payment</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by action taken by or on behalf of their respective Boards of Directors at any time prior to the Effective Time subject to the applicable provisions of the DGCL. This Agreement may not be amended except by an instrument in writing signed by all of the Parties.</w:t>
      </w:r>
    </w:p>
    <w:p>
      <w:pPr>
        <w:spacing w:after="0" w:line="7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Waiver</w:t>
      </w:r>
      <w:r>
        <w:rPr>
          <w:rFonts w:ascii="Arial" w:cs="Arial" w:eastAsia="Arial" w:hAnsi="Arial"/>
          <w:sz w:val="17"/>
          <w:szCs w:val="17"/>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5" w:name="page286"/>
    <w:bookmarkEnd w:id="2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ARTICLE VIII</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GENERAL PROVISIONS</w:t>
      </w:r>
    </w:p>
    <w:p>
      <w:pPr>
        <w:spacing w:after="0" w:line="118"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delivered by mail (as aforesaid) within 24 hours of such electronic mail, or by telecopier, with confirmation as provided above addressed as follows:</w:t>
      </w:r>
    </w:p>
    <w:p>
      <w:pPr>
        <w:spacing w:after="0" w:line="66" w:lineRule="exact"/>
        <w:rPr>
          <w:sz w:val="20"/>
          <w:szCs w:val="20"/>
          <w:color w:val="auto"/>
        </w:rPr>
      </w:pPr>
    </w:p>
    <w:p>
      <w:pPr>
        <w:ind w:left="860" w:hanging="280"/>
        <w:spacing w:after="0"/>
        <w:tabs>
          <w:tab w:leader="none" w:pos="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to Parent or Merger Sub:</w:t>
      </w:r>
    </w:p>
    <w:p>
      <w:pPr>
        <w:spacing w:after="0" w:line="11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37" w:lineRule="exact"/>
        <w:rPr>
          <w:rFonts w:ascii="Arial" w:cs="Arial" w:eastAsia="Arial" w:hAnsi="Arial"/>
          <w:sz w:val="18"/>
          <w:szCs w:val="18"/>
          <w:color w:val="auto"/>
        </w:rPr>
      </w:pPr>
    </w:p>
    <w:p>
      <w:pPr>
        <w:ind w:left="840" w:right="7039"/>
        <w:spacing w:after="0" w:line="221" w:lineRule="auto"/>
        <w:rPr>
          <w:rFonts w:ascii="Arial" w:cs="Arial" w:eastAsia="Arial" w:hAnsi="Arial"/>
          <w:sz w:val="18"/>
          <w:szCs w:val="18"/>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Street, Suite 1414 New York, NY 10001 Telecopier: 509-271-5246</w:t>
      </w:r>
    </w:p>
    <w:p>
      <w:pPr>
        <w:spacing w:after="0" w:line="2"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E-Mail: andrew.perlman@vringo.com</w:t>
      </w:r>
    </w:p>
    <w:p>
      <w:pPr>
        <w:spacing w:after="0" w:line="6" w:lineRule="exact"/>
        <w:rPr>
          <w:rFonts w:ascii="Arial" w:cs="Arial" w:eastAsia="Arial" w:hAnsi="Arial"/>
          <w:sz w:val="18"/>
          <w:szCs w:val="18"/>
          <w:color w:val="auto"/>
        </w:rPr>
      </w:pPr>
    </w:p>
    <w:p>
      <w:pPr>
        <w:ind w:left="840" w:right="7259"/>
        <w:spacing w:after="0" w:line="364" w:lineRule="auto"/>
        <w:rPr>
          <w:rFonts w:ascii="Arial" w:cs="Arial" w:eastAsia="Arial" w:hAnsi="Arial"/>
          <w:sz w:val="18"/>
          <w:szCs w:val="18"/>
          <w:color w:val="auto"/>
        </w:rPr>
      </w:pPr>
      <w:r>
        <w:rPr>
          <w:rFonts w:ascii="Arial" w:cs="Arial" w:eastAsia="Arial" w:hAnsi="Arial"/>
          <w:sz w:val="18"/>
          <w:szCs w:val="18"/>
          <w:color w:val="auto"/>
        </w:rPr>
        <w:t>Attention: Andrew Perlman With copies to:</w:t>
      </w:r>
    </w:p>
    <w:p>
      <w:pPr>
        <w:ind w:left="840" w:right="5459"/>
        <w:spacing w:after="0" w:line="255" w:lineRule="auto"/>
        <w:rPr>
          <w:rFonts w:ascii="Arial" w:cs="Arial" w:eastAsia="Arial" w:hAnsi="Arial"/>
          <w:sz w:val="18"/>
          <w:szCs w:val="18"/>
          <w:color w:val="auto"/>
        </w:rPr>
      </w:pPr>
      <w:r>
        <w:rPr>
          <w:rFonts w:ascii="Arial" w:cs="Arial" w:eastAsia="Arial" w:hAnsi="Arial"/>
          <w:sz w:val="18"/>
          <w:szCs w:val="18"/>
          <w:color w:val="auto"/>
        </w:rPr>
        <w:t>Mintz, Levin, Cohn, Ferris, Glovsky and Popeo, P.C. 666 Third Avenue</w:t>
      </w:r>
    </w:p>
    <w:p>
      <w:pPr>
        <w:ind w:left="840" w:right="7199"/>
        <w:spacing w:after="0" w:line="270" w:lineRule="auto"/>
        <w:rPr>
          <w:rFonts w:ascii="Arial" w:cs="Arial" w:eastAsia="Arial" w:hAnsi="Arial"/>
          <w:sz w:val="18"/>
          <w:szCs w:val="18"/>
          <w:color w:val="auto"/>
        </w:rPr>
      </w:pPr>
      <w:r>
        <w:rPr>
          <w:rFonts w:ascii="Arial" w:cs="Arial" w:eastAsia="Arial" w:hAnsi="Arial"/>
          <w:sz w:val="17"/>
          <w:szCs w:val="17"/>
          <w:color w:val="auto"/>
        </w:rPr>
        <w:t>New York, NY 10017 Telecopier: 212-983-3115 E-Mail: KKoch@mintz.com Attention: Ken Koch</w:t>
      </w:r>
    </w:p>
    <w:p>
      <w:pPr>
        <w:spacing w:after="0" w:line="69" w:lineRule="exact"/>
        <w:rPr>
          <w:rFonts w:ascii="Arial" w:cs="Arial" w:eastAsia="Arial" w:hAnsi="Arial"/>
          <w:sz w:val="18"/>
          <w:szCs w:val="18"/>
          <w:color w:val="auto"/>
        </w:rPr>
      </w:pPr>
    </w:p>
    <w:p>
      <w:pPr>
        <w:ind w:left="880" w:hanging="300"/>
        <w:spacing w:after="0"/>
        <w:tabs>
          <w:tab w:leader="none" w:pos="8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INNOVATE/PROTECT, INC.</w:t>
      </w:r>
    </w:p>
    <w:p>
      <w:pPr>
        <w:ind w:left="840"/>
        <w:spacing w:after="0" w:line="218" w:lineRule="auto"/>
        <w:rPr>
          <w:sz w:val="20"/>
          <w:szCs w:val="20"/>
          <w:color w:val="auto"/>
        </w:rPr>
      </w:pPr>
      <w:r>
        <w:rPr>
          <w:rFonts w:ascii="Arial" w:cs="Arial" w:eastAsia="Arial" w:hAnsi="Arial"/>
          <w:sz w:val="18"/>
          <w:szCs w:val="18"/>
          <w:color w:val="auto"/>
        </w:rPr>
        <w:t>380 Madison Avenue,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10017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Telecopier: (646) 532-6775</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aberger@innovateprotect.com</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Alexander R. Berger</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With a copies to:</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Weinberg Zareh &amp; Geyerhahn LLP</w:t>
      </w:r>
    </w:p>
    <w:p>
      <w:pPr>
        <w:ind w:left="840"/>
        <w:spacing w:after="0" w:line="218" w:lineRule="auto"/>
        <w:rPr>
          <w:sz w:val="20"/>
          <w:szCs w:val="20"/>
          <w:color w:val="auto"/>
        </w:rPr>
      </w:pPr>
      <w:r>
        <w:rPr>
          <w:rFonts w:ascii="Arial" w:cs="Arial" w:eastAsia="Arial" w:hAnsi="Arial"/>
          <w:sz w:val="18"/>
          <w:szCs w:val="18"/>
          <w:color w:val="auto"/>
        </w:rPr>
        <w:t>161 West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Suite 12G</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New York 10023</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seth@wzgllp.com</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Seth Weinberg</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Hudson Bay Master Fund Ltd.</w:t>
      </w:r>
    </w:p>
    <w:p>
      <w:pPr>
        <w:ind w:left="840"/>
        <w:spacing w:after="0" w:line="218" w:lineRule="auto"/>
        <w:rPr>
          <w:sz w:val="20"/>
          <w:szCs w:val="20"/>
          <w:color w:val="auto"/>
        </w:rPr>
      </w:pPr>
      <w:r>
        <w:rPr>
          <w:rFonts w:ascii="Arial" w:cs="Arial" w:eastAsia="Arial" w:hAnsi="Arial"/>
          <w:sz w:val="18"/>
          <w:szCs w:val="18"/>
          <w:color w:val="auto"/>
        </w:rPr>
        <w:t>777 Third Avenue,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10017</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Telecopier: (212) 571-1325</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investments@hudsonbaycapital.com</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Yoav Roth</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Schulte Roth &amp; Zabel LLP</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919 Third Avenue</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Telecopier: (212) 593-5955</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E-Mail: eleazer.klein@srz.com</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Attention: Eleazer Klein</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6" w:name="page287"/>
    <w:bookmarkEnd w:id="2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92" w:lineRule="auto"/>
        <w:rPr>
          <w:sz w:val="20"/>
          <w:szCs w:val="20"/>
          <w:color w:val="auto"/>
        </w:rPr>
      </w:pPr>
      <w:r>
        <w:rPr>
          <w:rFonts w:ascii="Arial" w:cs="Arial" w:eastAsia="Arial" w:hAnsi="Arial"/>
          <w:sz w:val="16"/>
          <w:szCs w:val="16"/>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facsimile transmission or telecopier or electronic mail, upon confirmed receipt; and (iv) in the case of mailing, on the third Business Day following the date on which the piece of mail containing such communication was posted.</w:t>
      </w:r>
    </w:p>
    <w:p>
      <w:pPr>
        <w:spacing w:after="0" w:line="57"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56"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56"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66"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78"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Parties in Interest</w:t>
      </w:r>
      <w:r>
        <w:rPr>
          <w:rFonts w:ascii="Arial" w:cs="Arial" w:eastAsia="Arial" w:hAnsi="Arial"/>
          <w:sz w:val="16"/>
          <w:szCs w:val="16"/>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provisions of Article I and Sections 5.9 and 5.10 are intended for the benefit of each of the individuals specified therein and their successors and assigns.</w:t>
      </w:r>
    </w:p>
    <w:p>
      <w:pPr>
        <w:spacing w:after="0" w:line="52"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Failure or Indulgence Not Waiver; Remedies Cumulative</w:t>
      </w:r>
      <w:r>
        <w:rPr>
          <w:rFonts w:ascii="Arial" w:cs="Arial" w:eastAsia="Arial" w:hAnsi="Arial"/>
          <w:sz w:val="18"/>
          <w:szCs w:val="18"/>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Governing Law; Enforcement</w:t>
      </w:r>
      <w:r>
        <w:rPr>
          <w:rFonts w:ascii="Arial" w:cs="Arial" w:eastAsia="Arial" w:hAnsi="Arial"/>
          <w:sz w:val="18"/>
          <w:szCs w:val="18"/>
          <w:color w:val="auto"/>
        </w:rPr>
        <w:t>.</w:t>
      </w:r>
    </w:p>
    <w:p>
      <w:pPr>
        <w:spacing w:after="0" w:line="114" w:lineRule="exact"/>
        <w:rPr>
          <w:sz w:val="20"/>
          <w:szCs w:val="20"/>
          <w:color w:val="auto"/>
        </w:rPr>
      </w:pPr>
    </w:p>
    <w:p>
      <w:pPr>
        <w:ind w:left="320" w:right="639" w:firstLine="260"/>
        <w:spacing w:after="0" w:line="270" w:lineRule="auto"/>
        <w:tabs>
          <w:tab w:leader="none" w:pos="89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This Agreement and the rights and duties of the Parties hereunder shall be governed by, and construed in accordance with, the law of the State of New York, except to the extent required under Delaware law.</w:t>
      </w:r>
    </w:p>
    <w:p>
      <w:pPr>
        <w:spacing w:after="0" w:line="68" w:lineRule="exact"/>
        <w:rPr>
          <w:rFonts w:ascii="Arial" w:cs="Arial" w:eastAsia="Arial" w:hAnsi="Arial"/>
          <w:sz w:val="18"/>
          <w:szCs w:val="18"/>
          <w:color w:val="auto"/>
        </w:rPr>
      </w:pPr>
    </w:p>
    <w:p>
      <w:pPr>
        <w:jc w:val="both"/>
        <w:ind w:left="320" w:right="619" w:firstLine="260"/>
        <w:spacing w:after="0" w:line="272" w:lineRule="auto"/>
        <w:tabs>
          <w:tab w:leader="none" w:pos="90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state courts in the State of New York, this being in addition to any other remedy to which they are entitled at law or in equity. In addition, each of the Parties: (i) consents to submit itself to</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7" w:name="page288"/>
    <w:bookmarkEnd w:id="2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8" w:lineRule="auto"/>
        <w:rPr>
          <w:sz w:val="20"/>
          <w:szCs w:val="20"/>
          <w:color w:val="auto"/>
        </w:rPr>
      </w:pPr>
      <w:r>
        <w:rPr>
          <w:rFonts w:ascii="Arial" w:cs="Arial" w:eastAsia="Arial" w:hAnsi="Arial"/>
          <w:sz w:val="16"/>
          <w:szCs w:val="16"/>
          <w:color w:val="auto"/>
        </w:rPr>
        <w:t>the personal jurisdiction of the state courts of the State of New York in the event any dispute arises out of this Agreement or any transaction contemplated hereby; (ii) agrees that it will not attempt to deny or defeat personal jurisdiction by motion or other request for leave from any such court; (iii) waives any right to trial by jury with respect to any action related to or arising out of this Agreement or any transaction contemplated hereby; (iv) consents to service of process by delivery pursuant to Section 8.1 hereof; and (v) 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58"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8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3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8" w:name="page289"/>
    <w:bookmarkEnd w:id="2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firstLine="267"/>
        <w:spacing w:after="0" w:line="255" w:lineRule="auto"/>
        <w:rPr>
          <w:sz w:val="20"/>
          <w:szCs w:val="20"/>
          <w:color w:val="auto"/>
        </w:rPr>
      </w:pPr>
      <w:r>
        <w:rPr>
          <w:rFonts w:ascii="Arial" w:cs="Arial" w:eastAsia="Arial" w:hAnsi="Arial"/>
          <w:sz w:val="18"/>
          <w:szCs w:val="18"/>
          <w:color w:val="auto"/>
        </w:rPr>
        <w:t>IN WITNESS WHEREOF, Parent, Merger Sub and the Company have caused this Agreement to be executed as of the date first written above by their respective officers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435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D. Perlman</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Title: CEO</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VIP MERGER SUB, INC.</w:t>
      </w:r>
    </w:p>
    <w:p>
      <w:pPr>
        <w:spacing w:after="0" w:line="7"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D. Perlman</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Title: President</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INNOVATE/PROTECT, INC.</w:t>
      </w:r>
    </w:p>
    <w:p>
      <w:pPr>
        <w:spacing w:after="0" w:line="7" w:lineRule="exact"/>
        <w:rPr>
          <w:sz w:val="20"/>
          <w:szCs w:val="20"/>
          <w:color w:val="auto"/>
        </w:rPr>
      </w:pPr>
    </w:p>
    <w:p>
      <w:pPr>
        <w:ind w:left="45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Alexander Berger</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Alexander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Title: COO and Director</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89" w:name="page290"/>
    <w:bookmarkEnd w:id="2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B</w:t>
      </w:r>
    </w:p>
    <w:p>
      <w:pPr>
        <w:spacing w:after="0" w:line="21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CERTIFICATE OF MERGER</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 Delaware Corporation)</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INTO</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VIP MERGER SUB, INC.</w:t>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 Delaware Corporation)</w:t>
      </w:r>
    </w:p>
    <w:p>
      <w:pPr>
        <w:spacing w:after="0" w:line="101" w:lineRule="exact"/>
        <w:rPr>
          <w:sz w:val="20"/>
          <w:szCs w:val="20"/>
          <w:color w:val="auto"/>
        </w:rPr>
      </w:pPr>
    </w:p>
    <w:p>
      <w:pPr>
        <w:ind w:left="40" w:right="619" w:firstLine="267"/>
        <w:spacing w:after="0" w:line="270" w:lineRule="auto"/>
        <w:rPr>
          <w:sz w:val="20"/>
          <w:szCs w:val="20"/>
          <w:color w:val="auto"/>
        </w:rPr>
      </w:pPr>
      <w:r>
        <w:rPr>
          <w:rFonts w:ascii="Arial" w:cs="Arial" w:eastAsia="Arial" w:hAnsi="Arial"/>
          <w:sz w:val="18"/>
          <w:szCs w:val="18"/>
          <w:color w:val="auto"/>
        </w:rPr>
        <w:t>Pursuant to the provisions of Section 251(c)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undersigned corporation hereby certifies as follows:</w:t>
      </w:r>
    </w:p>
    <w:p>
      <w:pPr>
        <w:spacing w:after="0" w:line="69" w:lineRule="exact"/>
        <w:rPr>
          <w:sz w:val="20"/>
          <w:szCs w:val="20"/>
          <w:color w:val="auto"/>
        </w:rPr>
      </w:pPr>
    </w:p>
    <w:p>
      <w:pPr>
        <w:jc w:val="both"/>
        <w:ind w:left="540" w:right="619" w:hanging="268"/>
        <w:spacing w:after="0" w:line="259"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constituent corporations are VIP Merger Sub, Inc., a Delaware corporation (sometimes referred to hereafter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Innovate/Protect, Inc., a Delaware corporation (together with the Surviving Corporation, the “</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540" w:right="639" w:hanging="268"/>
        <w:spacing w:after="0" w:line="259"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Agreement and Plan of Merger, dated as of March __, 2012,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been approved, adopted, certified, executed and acknowledged by each of the Constituent Corporations in accordance with Section 251 and 228 of the DGCL.</w:t>
      </w:r>
    </w:p>
    <w:p>
      <w:pPr>
        <w:spacing w:after="0" w:line="7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VIP Merger Sub, Inc. shall be the surviving corporation in the merger except that the name of the Surviving Corporation will become Innovate/Protect, Inc.</w:t>
      </w:r>
    </w:p>
    <w:p>
      <w:pPr>
        <w:spacing w:after="0" w:line="68" w:lineRule="exact"/>
        <w:rPr>
          <w:rFonts w:ascii="Arial" w:cs="Arial" w:eastAsia="Arial" w:hAnsi="Arial"/>
          <w:sz w:val="18"/>
          <w:szCs w:val="18"/>
          <w:color w:val="auto"/>
        </w:rPr>
      </w:pPr>
    </w:p>
    <w:p>
      <w:pPr>
        <w:ind w:left="540" w:right="639" w:hanging="268"/>
        <w:spacing w:after="0" w:line="334" w:lineRule="auto"/>
        <w:tabs>
          <w:tab w:leader="none" w:pos="5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Certificate of Incorporation of Merger Sub shall be the Certificate of Incorporation of the Surviving Corporation, except that Article First thereof shall be amended to read as follows: “The name of the Corporation is Innovate/Protect, Inc.”.</w:t>
      </w:r>
    </w:p>
    <w:p>
      <w:pPr>
        <w:spacing w:after="0" w:line="22" w:lineRule="exact"/>
        <w:rPr>
          <w:rFonts w:ascii="Arial" w:cs="Arial" w:eastAsia="Arial" w:hAnsi="Arial"/>
          <w:sz w:val="16"/>
          <w:szCs w:val="16"/>
          <w:color w:val="auto"/>
        </w:rPr>
      </w:pPr>
    </w:p>
    <w:p>
      <w:pPr>
        <w:ind w:left="540" w:right="639" w:hanging="268"/>
        <w:spacing w:after="0" w:line="270"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copy of the executed Merger Agreement is on file at the office of the Surviving Corporation, the address of which is as follows: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1414</w:t>
      </w:r>
    </w:p>
    <w:p>
      <w:pPr>
        <w:ind w:left="580"/>
        <w:spacing w:after="0"/>
        <w:rPr>
          <w:sz w:val="20"/>
          <w:szCs w:val="20"/>
          <w:color w:val="auto"/>
        </w:rPr>
      </w:pPr>
      <w:r>
        <w:rPr>
          <w:rFonts w:ascii="Arial" w:cs="Arial" w:eastAsia="Arial" w:hAnsi="Arial"/>
          <w:sz w:val="18"/>
          <w:szCs w:val="18"/>
          <w:color w:val="auto"/>
        </w:rPr>
        <w:t>New York, NY 10001</w:t>
      </w:r>
    </w:p>
    <w:p>
      <w:pPr>
        <w:spacing w:after="0" w:line="98" w:lineRule="exact"/>
        <w:rPr>
          <w:sz w:val="20"/>
          <w:szCs w:val="20"/>
          <w:color w:val="auto"/>
        </w:rPr>
      </w:pPr>
    </w:p>
    <w:p>
      <w:pPr>
        <w:ind w:left="540" w:right="639" w:hanging="268"/>
        <w:spacing w:after="0" w:line="270" w:lineRule="auto"/>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copy of the Merger Agreement will be furnished by the Surviving Corporation, on request and without cost, to any stockholder of either Constituent Corporation.</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This Certificate of Merger (“</w:t>
      </w:r>
      <w:r>
        <w:rPr>
          <w:rFonts w:ascii="Arial" w:cs="Arial" w:eastAsia="Arial" w:hAnsi="Arial"/>
          <w:sz w:val="18"/>
          <w:szCs w:val="18"/>
          <w:u w:val="single" w:color="auto"/>
          <w:color w:val="auto"/>
        </w:rPr>
        <w:t>Certificate</w:t>
      </w:r>
      <w:r>
        <w:rPr>
          <w:rFonts w:ascii="Arial" w:cs="Arial" w:eastAsia="Arial" w:hAnsi="Arial"/>
          <w:sz w:val="18"/>
          <w:szCs w:val="18"/>
          <w:color w:val="auto"/>
        </w:rPr>
        <w:t>”) shall be effective at such time as this Certificate is filed with the Secretary of the State of Delaware in accordance with the provisions of Section 103 and 251(c) of the DGCL.</w:t>
      </w:r>
    </w:p>
    <w:p>
      <w:pPr>
        <w:spacing w:after="0" w:line="69" w:lineRule="exact"/>
        <w:rPr>
          <w:sz w:val="20"/>
          <w:szCs w:val="20"/>
          <w:color w:val="auto"/>
        </w:rPr>
      </w:pPr>
    </w:p>
    <w:p>
      <w:pPr>
        <w:ind w:left="40" w:right="619" w:firstLine="267"/>
        <w:spacing w:after="0" w:line="255" w:lineRule="auto"/>
        <w:rPr>
          <w:sz w:val="20"/>
          <w:szCs w:val="20"/>
          <w:color w:val="auto"/>
        </w:rPr>
      </w:pPr>
      <w:r>
        <w:rPr>
          <w:rFonts w:ascii="Arial" w:cs="Arial" w:eastAsia="Arial" w:hAnsi="Arial"/>
          <w:sz w:val="18"/>
          <w:szCs w:val="18"/>
          <w:color w:val="auto"/>
        </w:rPr>
        <w:t>IN WITNESS WHEREOF, the Surviving Corporation has caused this Certificate of Merger to be executed by a duly authorized officer as of _____________ 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435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b w:val="1"/>
          <w:bCs w:val="1"/>
          <w:color w:val="auto"/>
        </w:rPr>
        <w:t>VIP MERGER SUB, INC.</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0" w:name="page291"/>
    <w:bookmarkEnd w:id="2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Exhibit H</w:t>
      </w:r>
    </w:p>
    <w:p>
      <w:pPr>
        <w:spacing w:after="0" w:line="121"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7"/>
          <w:szCs w:val="17"/>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 13(a) HEREOF. THE PRINCIPAL REPRESENTED BY THIS NOTE MAY BE LESS THAN THE AMOUNTS SET FORTH ON THE FACE HEREOF.</w:t>
      </w:r>
    </w:p>
    <w:p>
      <w:pPr>
        <w:spacing w:after="0" w:line="183"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INNOVATE/PROTECT, INC.</w:t>
      </w:r>
    </w:p>
    <w:p>
      <w:pPr>
        <w:spacing w:after="0" w:line="11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FORM OF AMENDED AND RESTATED SENIOR SECURED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51435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tabs>
          <w:tab w:leader="none" w:pos="4940" w:val="left"/>
        </w:tabs>
        <w:rPr>
          <w:sz w:val="20"/>
          <w:szCs w:val="20"/>
          <w:color w:val="auto"/>
        </w:rPr>
      </w:pPr>
      <w:r>
        <w:rPr>
          <w:rFonts w:ascii="Arial" w:cs="Arial" w:eastAsia="Arial" w:hAnsi="Arial"/>
          <w:sz w:val="18"/>
          <w:szCs w:val="18"/>
          <w:color w:val="auto"/>
        </w:rPr>
        <w:t>Original Issuance Date: June 22, 2011</w:t>
      </w:r>
      <w:r>
        <w:rPr>
          <w:sz w:val="20"/>
          <w:szCs w:val="20"/>
          <w:color w:val="auto"/>
        </w:rPr>
        <w:tab/>
      </w:r>
      <w:r>
        <w:rPr>
          <w:rFonts w:ascii="Arial" w:cs="Arial" w:eastAsia="Arial" w:hAnsi="Arial"/>
          <w:sz w:val="16"/>
          <w:szCs w:val="16"/>
          <w:color w:val="auto"/>
        </w:rPr>
        <w:t>Original Principal Amount: U.S. $3,200,000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Amendment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Restatement Date: [________ ___,] 2012</w:t>
      </w:r>
    </w:p>
    <w:p>
      <w:pPr>
        <w:spacing w:after="0" w:line="97"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INNOVATE/PROTECT,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promises to pay</w:t>
      </w:r>
      <w:r>
        <w:rPr>
          <w:rFonts w:ascii="Arial" w:cs="Arial" w:eastAsia="Arial" w:hAnsi="Arial"/>
          <w:sz w:val="16"/>
          <w:szCs w:val="16"/>
          <w:b w:val="1"/>
          <w:bCs w:val="1"/>
          <w:color w:val="auto"/>
        </w:rPr>
        <w:t xml:space="preserve"> </w:t>
      </w:r>
      <w:r>
        <w:rPr>
          <w:rFonts w:ascii="Arial" w:cs="Arial" w:eastAsia="Arial" w:hAnsi="Arial"/>
          <w:sz w:val="16"/>
          <w:szCs w:val="16"/>
          <w:color w:val="auto"/>
        </w:rPr>
        <w:t>to HUDSON BAY MASTER FUND LTD. or registered assigns (the “</w:t>
      </w:r>
      <w:r>
        <w:rPr>
          <w:rFonts w:ascii="Arial" w:cs="Arial" w:eastAsia="Arial" w:hAnsi="Arial"/>
          <w:sz w:val="16"/>
          <w:szCs w:val="16"/>
          <w:b w:val="1"/>
          <w:bCs w:val="1"/>
          <w:color w:val="auto"/>
        </w:rPr>
        <w:t>Holder</w:t>
      </w:r>
      <w:r>
        <w:rPr>
          <w:rFonts w:ascii="Arial" w:cs="Arial" w:eastAsia="Arial" w:hAnsi="Arial"/>
          <w:sz w:val="16"/>
          <w:szCs w:val="16"/>
          <w:color w:val="auto"/>
        </w:rPr>
        <w:t>”) the amount set out above as the Original Principal Amount (as reduced pursuant to the terms hereof pursuant to redemption or otherwise, the “</w:t>
      </w:r>
      <w:r>
        <w:rPr>
          <w:rFonts w:ascii="Arial" w:cs="Arial" w:eastAsia="Arial" w:hAnsi="Arial"/>
          <w:sz w:val="16"/>
          <w:szCs w:val="16"/>
          <w:b w:val="1"/>
          <w:bCs w:val="1"/>
          <w:color w:val="auto"/>
        </w:rPr>
        <w:t>Principal</w:t>
      </w:r>
      <w:r>
        <w:rPr>
          <w:rFonts w:ascii="Arial" w:cs="Arial" w:eastAsia="Arial" w:hAnsi="Arial"/>
          <w:sz w:val="16"/>
          <w:szCs w:val="16"/>
          <w:color w:val="auto"/>
        </w:rPr>
        <w:t>”) when due, whether upon the Maturity Date (as defined below), acceleration, redemption or otherwise (in each case in accordance with the terms hereof) and to pay interest (“</w:t>
      </w:r>
      <w:r>
        <w:rPr>
          <w:rFonts w:ascii="Arial" w:cs="Arial" w:eastAsia="Arial" w:hAnsi="Arial"/>
          <w:sz w:val="16"/>
          <w:szCs w:val="16"/>
          <w:b w:val="1"/>
          <w:bCs w:val="1"/>
          <w:color w:val="auto"/>
        </w:rPr>
        <w:t>Interest</w:t>
      </w:r>
      <w:r>
        <w:rPr>
          <w:rFonts w:ascii="Arial" w:cs="Arial" w:eastAsia="Arial" w:hAnsi="Arial"/>
          <w:sz w:val="16"/>
          <w:szCs w:val="16"/>
          <w:color w:val="auto"/>
        </w:rPr>
        <w:t>”) on any outstanding Principal at the applicable Interest Rate from the date set out above as the Original Issuance Date (the “</w:t>
      </w:r>
      <w:r>
        <w:rPr>
          <w:rFonts w:ascii="Arial" w:cs="Arial" w:eastAsia="Arial" w:hAnsi="Arial"/>
          <w:sz w:val="16"/>
          <w:szCs w:val="16"/>
          <w:b w:val="1"/>
          <w:bCs w:val="1"/>
          <w:color w:val="auto"/>
        </w:rPr>
        <w:t>Issuance Date</w:t>
      </w:r>
      <w:r>
        <w:rPr>
          <w:rFonts w:ascii="Arial" w:cs="Arial" w:eastAsia="Arial" w:hAnsi="Arial"/>
          <w:sz w:val="16"/>
          <w:szCs w:val="16"/>
          <w:color w:val="auto"/>
        </w:rPr>
        <w:t>”) until the same becomes due and payable, whether upon an Interest Date (as defined below), the Maturity Date, acceleration, redemption or otherwise (in each case in accordance with the terms hereof). This Senior Secured Note (including all Senior Secured Notes issued in exchange, transfer or replacement hereof, this “</w:t>
      </w:r>
      <w:r>
        <w:rPr>
          <w:rFonts w:ascii="Arial" w:cs="Arial" w:eastAsia="Arial" w:hAnsi="Arial"/>
          <w:sz w:val="16"/>
          <w:szCs w:val="16"/>
          <w:b w:val="1"/>
          <w:bCs w:val="1"/>
          <w:color w:val="auto"/>
        </w:rPr>
        <w:t>Note</w:t>
      </w:r>
      <w:r>
        <w:rPr>
          <w:rFonts w:ascii="Arial" w:cs="Arial" w:eastAsia="Arial" w:hAnsi="Arial"/>
          <w:sz w:val="16"/>
          <w:szCs w:val="16"/>
          <w:color w:val="auto"/>
        </w:rPr>
        <w:t>”) was issued pursuant to the Subscription Agreement on June 22, 2011. Certain capitalized terms used herein are defined in Section 25.</w:t>
      </w:r>
    </w:p>
    <w:p>
      <w:pPr>
        <w:spacing w:after="0" w:line="62" w:lineRule="exact"/>
        <w:rPr>
          <w:sz w:val="20"/>
          <w:szCs w:val="20"/>
          <w:color w:val="auto"/>
        </w:rPr>
      </w:pPr>
    </w:p>
    <w:p>
      <w:pPr>
        <w:jc w:val="both"/>
        <w:ind w:left="40" w:right="619" w:firstLine="272"/>
        <w:spacing w:after="0" w:line="266" w:lineRule="auto"/>
        <w:tabs>
          <w:tab w:leader="none" w:pos="604"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PAYMENTS OF PRINCIPAL</w:t>
      </w:r>
      <w:r>
        <w:rPr>
          <w:rFonts w:ascii="Arial" w:cs="Arial" w:eastAsia="Arial" w:hAnsi="Arial"/>
          <w:sz w:val="17"/>
          <w:szCs w:val="17"/>
          <w:color w:val="auto"/>
        </w:rPr>
        <w:t>. On the Maturity Date, the Company shall pay to the Holder an amount in cash representing all outstanding Principal, accrued and unpaid Interest and accrued and unpaid Late Charges on such Principal and Interest. The “</w:t>
      </w:r>
      <w:r>
        <w:rPr>
          <w:rFonts w:ascii="Arial" w:cs="Arial" w:eastAsia="Arial" w:hAnsi="Arial"/>
          <w:sz w:val="17"/>
          <w:szCs w:val="17"/>
          <w:b w:val="1"/>
          <w:bCs w:val="1"/>
          <w:color w:val="auto"/>
        </w:rPr>
        <w:t>Maturity Date</w:t>
      </w:r>
      <w:r>
        <w:rPr>
          <w:rFonts w:ascii="Arial" w:cs="Arial" w:eastAsia="Arial" w:hAnsi="Arial"/>
          <w:sz w:val="17"/>
          <w:szCs w:val="17"/>
          <w:color w:val="auto"/>
        </w:rPr>
        <w:t>” shall be June 22, 2013, as may be extended at the option of the Holder (i)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5(b)) is delivered prior to the Maturity Date. Other than as specifically permitted by this Note, the Company may not prepay any portion of the outstanding Principal, accrued and unpaid Interest or accrued and unpaid Late Charges on Principal and Interest, if any.</w:t>
      </w:r>
    </w:p>
    <w:p>
      <w:pPr>
        <w:spacing w:after="0" w:line="78" w:lineRule="exact"/>
        <w:rPr>
          <w:rFonts w:ascii="Arial" w:cs="Arial" w:eastAsia="Arial" w:hAnsi="Arial"/>
          <w:sz w:val="17"/>
          <w:szCs w:val="17"/>
          <w:color w:val="auto"/>
        </w:rPr>
      </w:pPr>
    </w:p>
    <w:p>
      <w:pPr>
        <w:jc w:val="both"/>
        <w:ind w:left="40" w:right="639" w:firstLine="272"/>
        <w:spacing w:after="0" w:line="259" w:lineRule="auto"/>
        <w:tabs>
          <w:tab w:leader="none" w:pos="644"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INTEREST; INTEREST RATE</w:t>
      </w:r>
      <w:r>
        <w:rPr>
          <w:rFonts w:ascii="Arial" w:cs="Arial" w:eastAsia="Arial" w:hAnsi="Arial"/>
          <w:sz w:val="18"/>
          <w:szCs w:val="18"/>
          <w:color w:val="auto"/>
        </w:rPr>
        <w:t>. (a) Interest on this Note shall commence accruing on the Issuance Date and shall be computed on the basis of a 360-day year and twelve 30-day months and shall be payable in arrears on the first calendar day of each Calendar Quarter after the Issuance Date (each, an “</w:t>
      </w:r>
      <w:r>
        <w:rPr>
          <w:rFonts w:ascii="Arial" w:cs="Arial" w:eastAsia="Arial" w:hAnsi="Arial"/>
          <w:sz w:val="18"/>
          <w:szCs w:val="18"/>
          <w:b w:val="1"/>
          <w:bCs w:val="1"/>
          <w:color w:val="auto"/>
        </w:rPr>
        <w:t>Interest Date</w:t>
      </w:r>
      <w:r>
        <w:rPr>
          <w:rFonts w:ascii="Arial" w:cs="Arial" w:eastAsia="Arial" w:hAnsi="Arial"/>
          <w:sz w:val="18"/>
          <w:szCs w:val="18"/>
          <w:color w:val="auto"/>
        </w:rPr>
        <w:t>”)</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1" w:name="page292"/>
    <w:bookmarkEnd w:id="2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306" w:lineRule="auto"/>
        <w:rPr>
          <w:sz w:val="20"/>
          <w:szCs w:val="20"/>
          <w:color w:val="auto"/>
        </w:rPr>
      </w:pPr>
      <w:r>
        <w:rPr>
          <w:rFonts w:ascii="Arial" w:cs="Arial" w:eastAsia="Arial" w:hAnsi="Arial"/>
          <w:sz w:val="16"/>
          <w:szCs w:val="16"/>
          <w:color w:val="auto"/>
        </w:rPr>
        <w:t>with the first Interest Date being July 1, 2011. Interest shall be payable in cash on each Interest Date, to the record holder of this Note on the applicable Interest Date (“</w:t>
      </w:r>
      <w:r>
        <w:rPr>
          <w:rFonts w:ascii="Arial" w:cs="Arial" w:eastAsia="Arial" w:hAnsi="Arial"/>
          <w:sz w:val="16"/>
          <w:szCs w:val="16"/>
          <w:b w:val="1"/>
          <w:bCs w:val="1"/>
          <w:color w:val="auto"/>
        </w:rPr>
        <w:t>Interest</w:t>
      </w:r>
      <w:r>
        <w:rPr>
          <w:rFonts w:ascii="Arial" w:cs="Arial" w:eastAsia="Arial" w:hAnsi="Arial"/>
          <w:sz w:val="16"/>
          <w:szCs w:val="16"/>
          <w:color w:val="auto"/>
        </w:rPr>
        <w:t>”) It is understood and agreed that Interest has been paid through January 1, 2012.</w:t>
      </w:r>
      <w:r>
        <w:rPr>
          <w:rFonts w:ascii="Arial" w:cs="Arial" w:eastAsia="Arial" w:hAnsi="Arial"/>
          <w:sz w:val="26"/>
          <w:szCs w:val="26"/>
          <w:color w:val="auto"/>
          <w:vertAlign w:val="superscript"/>
        </w:rPr>
        <w:t>(1)</w:t>
      </w:r>
    </w:p>
    <w:p>
      <w:pPr>
        <w:spacing w:after="0" w:line="2" w:lineRule="exact"/>
        <w:rPr>
          <w:sz w:val="20"/>
          <w:szCs w:val="20"/>
          <w:color w:val="auto"/>
        </w:rPr>
      </w:pPr>
    </w:p>
    <w:p>
      <w:pPr>
        <w:jc w:val="both"/>
        <w:ind w:left="320" w:right="619" w:firstLine="260"/>
        <w:spacing w:after="0" w:line="287" w:lineRule="auto"/>
        <w:tabs>
          <w:tab w:leader="none" w:pos="880" w:val="left"/>
        </w:tabs>
        <w:numPr>
          <w:ilvl w:val="2"/>
          <w:numId w:val="245"/>
        </w:numPr>
        <w:rPr>
          <w:rFonts w:ascii="Arial" w:cs="Arial" w:eastAsia="Arial" w:hAnsi="Arial"/>
          <w:sz w:val="16"/>
          <w:szCs w:val="16"/>
          <w:color w:val="auto"/>
        </w:rPr>
      </w:pPr>
      <w:r>
        <w:rPr>
          <w:rFonts w:ascii="Arial" w:cs="Arial" w:eastAsia="Arial" w:hAnsi="Arial"/>
          <w:sz w:val="16"/>
          <w:szCs w:val="16"/>
          <w:color w:val="auto"/>
        </w:rPr>
        <w:t>From and after the occurrence and during the continuance of an Event of Default, the Interest Rate shall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56" w:lineRule="exact"/>
        <w:rPr>
          <w:rFonts w:ascii="Arial" w:cs="Arial" w:eastAsia="Arial" w:hAnsi="Arial"/>
          <w:sz w:val="16"/>
          <w:szCs w:val="16"/>
          <w:color w:val="auto"/>
        </w:rPr>
      </w:pPr>
    </w:p>
    <w:p>
      <w:pPr>
        <w:jc w:val="both"/>
        <w:ind w:left="40" w:right="619" w:firstLine="272"/>
        <w:spacing w:after="0" w:line="282" w:lineRule="auto"/>
        <w:tabs>
          <w:tab w:leader="none" w:pos="644"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REGISTRATION; BOOK-ENTRY</w:t>
      </w:r>
      <w:r>
        <w:rPr>
          <w:rFonts w:ascii="Arial" w:cs="Arial" w:eastAsia="Arial" w:hAnsi="Arial"/>
          <w:sz w:val="16"/>
          <w:szCs w:val="16"/>
          <w:color w:val="auto"/>
        </w:rPr>
        <w:t>. The Company shall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holders of each Note and the principal amount of the Notes held by such holders (the “</w:t>
      </w:r>
      <w:r>
        <w:rPr>
          <w:rFonts w:ascii="Arial" w:cs="Arial" w:eastAsia="Arial" w:hAnsi="Arial"/>
          <w:sz w:val="16"/>
          <w:szCs w:val="16"/>
          <w:b w:val="1"/>
          <w:bCs w:val="1"/>
          <w:color w:val="auto"/>
        </w:rPr>
        <w:t>Registered</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The entries in the Register shall be conclusive and binding for all purposes absent manifest error.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a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13. Notwithstanding anything to the contrary in this Section 3, the Holder may assign any Note or any portion thereof to an Affiliate of such Holder or a related fund of such Holder without delivering a request to assign or sell such Note to the Company and the recordation of such assignment or sale in the Register (a “</w:t>
      </w:r>
      <w:r>
        <w:rPr>
          <w:rFonts w:ascii="Arial" w:cs="Arial" w:eastAsia="Arial" w:hAnsi="Arial"/>
          <w:sz w:val="16"/>
          <w:szCs w:val="16"/>
          <w:b w:val="1"/>
          <w:bCs w:val="1"/>
          <w:color w:val="auto"/>
        </w:rPr>
        <w:t>Related Party Assignment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(x) the Company may continue to deal solely with such assigning or selling Holder unless and until such Holder has delivered a request to assign or sell such Note or portion thereof to the Company for recordation in the Register; (y) the failure of such assigning or selling Holder to deliver a request to assign or sell such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Arial" w:cs="Arial" w:eastAsia="Arial" w:hAnsi="Arial"/>
          <w:sz w:val="16"/>
          <w:szCs w:val="16"/>
          <w:b w:val="1"/>
          <w:bCs w:val="1"/>
          <w:color w:val="auto"/>
        </w:rPr>
        <w:t>Related Party Register</w:t>
      </w:r>
      <w:r>
        <w:rPr>
          <w:rFonts w:ascii="Arial" w:cs="Arial" w:eastAsia="Arial" w:hAnsi="Arial"/>
          <w:sz w:val="16"/>
          <w:szCs w:val="16"/>
          <w:color w:val="auto"/>
        </w:rPr>
        <w:t>”) comparable to the Register on behalf of the Company, and any such assignment or sale shall be effective upon recordation of such assignment or sale in the Related Party Register.</w:t>
      </w:r>
    </w:p>
    <w:p>
      <w:pPr>
        <w:spacing w:after="0" w:line="68" w:lineRule="exact"/>
        <w:rPr>
          <w:rFonts w:ascii="Arial" w:cs="Arial" w:eastAsia="Arial" w:hAnsi="Arial"/>
          <w:sz w:val="16"/>
          <w:szCs w:val="16"/>
          <w:color w:val="auto"/>
        </w:rPr>
      </w:pPr>
    </w:p>
    <w:p>
      <w:pPr>
        <w:ind w:left="600" w:hanging="288"/>
        <w:spacing w:after="0"/>
        <w:tabs>
          <w:tab w:leader="none" w:pos="600"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320" w:right="619" w:firstLine="260"/>
        <w:spacing w:after="0" w:line="275" w:lineRule="auto"/>
        <w:tabs>
          <w:tab w:leader="none" w:pos="874" w:val="left"/>
        </w:tabs>
        <w:numPr>
          <w:ilvl w:val="2"/>
          <w:numId w:val="246"/>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upon receipt by the Company of a notice thereof by the Holder:</w:t>
      </w:r>
    </w:p>
    <w:p>
      <w:pPr>
        <w:spacing w:after="0" w:line="64" w:lineRule="exact"/>
        <w:rPr>
          <w:rFonts w:ascii="Arial" w:cs="Arial" w:eastAsia="Arial" w:hAnsi="Arial"/>
          <w:sz w:val="18"/>
          <w:szCs w:val="18"/>
          <w:color w:val="auto"/>
        </w:rPr>
      </w:pPr>
    </w:p>
    <w:p>
      <w:pPr>
        <w:jc w:val="both"/>
        <w:ind w:left="580" w:right="619" w:firstLine="267"/>
        <w:spacing w:after="0" w:line="259" w:lineRule="auto"/>
        <w:tabs>
          <w:tab w:leader="none" w:pos="1125" w:val="left"/>
        </w:tabs>
        <w:numPr>
          <w:ilvl w:val="3"/>
          <w:numId w:val="246"/>
        </w:numPr>
        <w:rPr>
          <w:rFonts w:ascii="Arial" w:cs="Arial" w:eastAsia="Arial" w:hAnsi="Arial"/>
          <w:sz w:val="18"/>
          <w:szCs w:val="18"/>
          <w:color w:val="auto"/>
        </w:rPr>
      </w:pPr>
      <w:r>
        <w:rPr>
          <w:rFonts w:ascii="Arial" w:cs="Arial" w:eastAsia="Arial" w:hAnsi="Arial"/>
          <w:sz w:val="18"/>
          <w:szCs w:val="18"/>
          <w:color w:val="auto"/>
        </w:rPr>
        <w:t>the Company’s failure to pay to the Holder any amount of Principal (including, without limitation, any redemption payments), Interest, Late Charges or other amounts when and as due under this Note or any other Note Transaction Document (as defined below);</w:t>
      </w:r>
    </w:p>
    <w:p>
      <w:pPr>
        <w:spacing w:after="0" w:line="78" w:lineRule="exact"/>
        <w:rPr>
          <w:rFonts w:ascii="Arial" w:cs="Arial" w:eastAsia="Arial" w:hAnsi="Arial"/>
          <w:sz w:val="18"/>
          <w:szCs w:val="18"/>
          <w:color w:val="auto"/>
        </w:rPr>
      </w:pPr>
    </w:p>
    <w:p>
      <w:pPr>
        <w:ind w:left="580" w:right="639" w:firstLine="267"/>
        <w:spacing w:after="0" w:line="270" w:lineRule="auto"/>
        <w:tabs>
          <w:tab w:leader="none" w:pos="1171" w:val="left"/>
        </w:tabs>
        <w:numPr>
          <w:ilvl w:val="3"/>
          <w:numId w:val="246"/>
        </w:numPr>
        <w:rPr>
          <w:rFonts w:ascii="Arial" w:cs="Arial" w:eastAsia="Arial" w:hAnsi="Arial"/>
          <w:sz w:val="18"/>
          <w:szCs w:val="18"/>
          <w:color w:val="auto"/>
        </w:rPr>
      </w:pPr>
      <w:r>
        <w:rPr>
          <w:rFonts w:ascii="Arial" w:cs="Arial" w:eastAsia="Arial" w:hAnsi="Arial"/>
          <w:sz w:val="18"/>
          <w:szCs w:val="18"/>
          <w:color w:val="auto"/>
        </w:rPr>
        <w:t>any default under, redemption of or acceleration prior to maturity of any Indebtedness of any Note Party or any of its Subsidiaries;</w:t>
      </w:r>
    </w:p>
    <w:p>
      <w:pPr>
        <w:spacing w:after="0" w:line="68" w:lineRule="exact"/>
        <w:rPr>
          <w:rFonts w:ascii="Arial" w:cs="Arial" w:eastAsia="Arial" w:hAnsi="Arial"/>
          <w:sz w:val="18"/>
          <w:szCs w:val="18"/>
          <w:color w:val="auto"/>
        </w:rPr>
      </w:pPr>
    </w:p>
    <w:p>
      <w:pPr>
        <w:jc w:val="both"/>
        <w:ind w:left="580" w:right="639" w:firstLine="267"/>
        <w:spacing w:after="0" w:line="287" w:lineRule="auto"/>
        <w:tabs>
          <w:tab w:leader="none" w:pos="1219" w:val="left"/>
        </w:tabs>
        <w:numPr>
          <w:ilvl w:val="3"/>
          <w:numId w:val="246"/>
        </w:numPr>
        <w:rPr>
          <w:rFonts w:ascii="Arial" w:cs="Arial" w:eastAsia="Arial" w:hAnsi="Arial"/>
          <w:sz w:val="16"/>
          <w:szCs w:val="16"/>
          <w:color w:val="auto"/>
        </w:rPr>
      </w:pPr>
      <w:r>
        <w:rPr>
          <w:rFonts w:ascii="Arial" w:cs="Arial" w:eastAsia="Arial" w:hAnsi="Arial"/>
          <w:sz w:val="16"/>
          <w:szCs w:val="16"/>
          <w:color w:val="auto"/>
        </w:rPr>
        <w:t>any Note Party or any of its Subsidiaries, pursuant to or within the meaning of Title 11, U.S. Code, or any similar Federal, foreign or state law for the relief of debtors (collectively, “</w:t>
      </w:r>
      <w:r>
        <w:rPr>
          <w:rFonts w:ascii="Arial" w:cs="Arial" w:eastAsia="Arial" w:hAnsi="Arial"/>
          <w:sz w:val="16"/>
          <w:szCs w:val="16"/>
          <w:b w:val="1"/>
          <w:bCs w:val="1"/>
          <w:color w:val="auto"/>
        </w:rPr>
        <w:t>Bankruptcy Law</w:t>
      </w:r>
      <w:r>
        <w:rPr>
          <w:rFonts w:ascii="Arial" w:cs="Arial" w:eastAsia="Arial" w:hAnsi="Arial"/>
          <w:sz w:val="16"/>
          <w:szCs w:val="16"/>
          <w:color w:val="auto"/>
        </w:rPr>
        <w:t>”), (A) commences a voluntary case,</w:t>
      </w:r>
    </w:p>
    <w:p>
      <w:pPr>
        <w:jc w:val="both"/>
        <w:ind w:left="580" w:right="619"/>
        <w:spacing w:after="0" w:line="273" w:lineRule="auto"/>
        <w:rPr>
          <w:rFonts w:ascii="Arial" w:cs="Arial" w:eastAsia="Arial" w:hAnsi="Arial"/>
          <w:sz w:val="16"/>
          <w:szCs w:val="16"/>
          <w:color w:val="auto"/>
        </w:rPr>
      </w:pPr>
      <w:r>
        <w:rPr>
          <w:rFonts w:ascii="Arial" w:cs="Arial" w:eastAsia="Arial" w:hAnsi="Arial"/>
          <w:sz w:val="17"/>
          <w:szCs w:val="17"/>
          <w:color w:val="auto"/>
        </w:rPr>
        <w:t>(B) consents to the entry of an order for relief against it in an involuntary case, (C) consents to the appointment of a receiver, trustee, assignee, liquidator or similar official (a “</w:t>
      </w:r>
      <w:r>
        <w:rPr>
          <w:rFonts w:ascii="Arial" w:cs="Arial" w:eastAsia="Arial" w:hAnsi="Arial"/>
          <w:sz w:val="17"/>
          <w:szCs w:val="17"/>
          <w:b w:val="1"/>
          <w:bCs w:val="1"/>
          <w:color w:val="auto"/>
        </w:rPr>
        <w:t>Custodian</w:t>
      </w:r>
      <w:r>
        <w:rPr>
          <w:rFonts w:ascii="Arial" w:cs="Arial" w:eastAsia="Arial" w:hAnsi="Arial"/>
          <w:sz w:val="17"/>
          <w:szCs w:val="17"/>
          <w:color w:val="auto"/>
        </w:rPr>
        <w:t>”), (D) makes a general assignment for the benefit of its creditors or (E) admits in writing that it is generally unable to pay its debts as they become due;</w:t>
      </w:r>
    </w:p>
    <w:p>
      <w:pPr>
        <w:spacing w:after="0" w:line="68" w:lineRule="exact"/>
        <w:rPr>
          <w:rFonts w:ascii="Arial" w:cs="Arial" w:eastAsia="Arial" w:hAnsi="Arial"/>
          <w:sz w:val="16"/>
          <w:szCs w:val="16"/>
          <w:color w:val="auto"/>
        </w:rPr>
      </w:pPr>
    </w:p>
    <w:p>
      <w:pPr>
        <w:ind w:left="580" w:right="639" w:firstLine="267"/>
        <w:spacing w:after="0" w:line="270" w:lineRule="auto"/>
        <w:tabs>
          <w:tab w:leader="none" w:pos="1208" w:val="left"/>
        </w:tabs>
        <w:numPr>
          <w:ilvl w:val="3"/>
          <w:numId w:val="24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(A) is for relief against any Note Party or any of its Subsidiaries in an involuntary case,</w:t>
      </w:r>
    </w:p>
    <w:p>
      <w:pPr>
        <w:spacing w:after="0" w:line="200" w:lineRule="exact"/>
        <w:rPr>
          <w:rFonts w:ascii="Arial" w:cs="Arial" w:eastAsia="Arial" w:hAnsi="Arial"/>
          <w:sz w:val="18"/>
          <w:szCs w:val="18"/>
          <w:color w:val="auto"/>
        </w:rPr>
      </w:pPr>
    </w:p>
    <w:p>
      <w:pPr>
        <w:spacing w:after="0" w:line="309" w:lineRule="exact"/>
        <w:rPr>
          <w:rFonts w:ascii="Arial" w:cs="Arial" w:eastAsia="Arial" w:hAnsi="Arial"/>
          <w:sz w:val="18"/>
          <w:szCs w:val="18"/>
          <w:color w:val="auto"/>
        </w:rPr>
      </w:pPr>
    </w:p>
    <w:p>
      <w:pPr>
        <w:ind w:left="300" w:hanging="255"/>
        <w:spacing w:after="0"/>
        <w:tabs>
          <w:tab w:leader="none" w:pos="3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To be updated assuming the transaction closes after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-299720</wp:posOffset>
            </wp:positionV>
            <wp:extent cx="61087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2" w:name="page293"/>
    <w:bookmarkEnd w:id="2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5"/>
        <w:spacing w:after="0" w:line="270" w:lineRule="auto"/>
        <w:tabs>
          <w:tab w:leader="none" w:pos="33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appoints a Custodian of any Note Party or any of its Subsidiaries or (C) orders the liquidation of any Note Party or any of its Subsidiaries;</w:t>
      </w:r>
    </w:p>
    <w:p>
      <w:pPr>
        <w:spacing w:after="0" w:line="68" w:lineRule="exact"/>
        <w:rPr>
          <w:rFonts w:ascii="Arial" w:cs="Arial" w:eastAsia="Arial" w:hAnsi="Arial"/>
          <w:sz w:val="18"/>
          <w:szCs w:val="18"/>
          <w:color w:val="auto"/>
        </w:rPr>
      </w:pPr>
    </w:p>
    <w:p>
      <w:pPr>
        <w:jc w:val="both"/>
        <w:ind w:left="580" w:right="619" w:firstLine="267"/>
        <w:spacing w:after="0" w:line="286" w:lineRule="auto"/>
        <w:tabs>
          <w:tab w:leader="none" w:pos="1144" w:val="left"/>
        </w:tabs>
        <w:numPr>
          <w:ilvl w:val="2"/>
          <w:numId w:val="248"/>
        </w:numPr>
        <w:rPr>
          <w:rFonts w:ascii="Arial" w:cs="Arial" w:eastAsia="Arial" w:hAnsi="Arial"/>
          <w:sz w:val="16"/>
          <w:szCs w:val="16"/>
          <w:color w:val="auto"/>
        </w:rPr>
      </w:pPr>
      <w:r>
        <w:rPr>
          <w:rFonts w:ascii="Arial" w:cs="Arial" w:eastAsia="Arial" w:hAnsi="Arial"/>
          <w:sz w:val="16"/>
          <w:szCs w:val="16"/>
          <w:color w:val="auto"/>
        </w:rPr>
        <w:t>a final judgment or judgments for the payment of money aggregating in excess of $250,000 are rendered against any Note Party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such Person will receive the proceeds of such insurance or indemnity within thirty (30) days of the issuance of such judgment;</w:t>
      </w:r>
    </w:p>
    <w:p>
      <w:pPr>
        <w:spacing w:after="0" w:line="63" w:lineRule="exact"/>
        <w:rPr>
          <w:rFonts w:ascii="Arial" w:cs="Arial" w:eastAsia="Arial" w:hAnsi="Arial"/>
          <w:sz w:val="16"/>
          <w:szCs w:val="16"/>
          <w:color w:val="auto"/>
        </w:rPr>
      </w:pPr>
    </w:p>
    <w:p>
      <w:pPr>
        <w:ind w:left="580" w:right="639" w:firstLine="267"/>
        <w:spacing w:after="0" w:line="270" w:lineRule="auto"/>
        <w:tabs>
          <w:tab w:leader="none" w:pos="1229" w:val="left"/>
        </w:tabs>
        <w:numPr>
          <w:ilvl w:val="2"/>
          <w:numId w:val="248"/>
        </w:numPr>
        <w:rPr>
          <w:rFonts w:ascii="Arial" w:cs="Arial" w:eastAsia="Arial" w:hAnsi="Arial"/>
          <w:sz w:val="18"/>
          <w:szCs w:val="18"/>
          <w:color w:val="auto"/>
        </w:rPr>
      </w:pPr>
      <w:r>
        <w:rPr>
          <w:rFonts w:ascii="Arial" w:cs="Arial" w:eastAsia="Arial" w:hAnsi="Arial"/>
          <w:sz w:val="18"/>
          <w:szCs w:val="18"/>
          <w:color w:val="auto"/>
        </w:rPr>
        <w:t>any Note Party breaches any material representation, warranty, covenant or other term or condition of any Note Transaction Document;</w:t>
      </w:r>
    </w:p>
    <w:p>
      <w:pPr>
        <w:spacing w:after="0" w:line="68" w:lineRule="exact"/>
        <w:rPr>
          <w:rFonts w:ascii="Arial" w:cs="Arial" w:eastAsia="Arial" w:hAnsi="Arial"/>
          <w:sz w:val="18"/>
          <w:szCs w:val="18"/>
          <w:color w:val="auto"/>
        </w:rPr>
      </w:pPr>
    </w:p>
    <w:p>
      <w:pPr>
        <w:ind w:left="1240" w:hanging="393"/>
        <w:spacing w:after="0"/>
        <w:tabs>
          <w:tab w:leader="none" w:pos="124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any material breach or material failure in any respect to comply with Section 10 of this Note;</w:t>
      </w:r>
    </w:p>
    <w:p>
      <w:pPr>
        <w:spacing w:after="0" w:line="113" w:lineRule="exact"/>
        <w:rPr>
          <w:rFonts w:ascii="Arial" w:cs="Arial" w:eastAsia="Arial" w:hAnsi="Arial"/>
          <w:sz w:val="18"/>
          <w:szCs w:val="18"/>
          <w:color w:val="auto"/>
        </w:rPr>
      </w:pPr>
    </w:p>
    <w:p>
      <w:pPr>
        <w:ind w:left="580" w:right="619" w:firstLine="267"/>
        <w:spacing w:after="0" w:line="270" w:lineRule="auto"/>
        <w:tabs>
          <w:tab w:leader="none" w:pos="1295" w:val="left"/>
        </w:tabs>
        <w:numPr>
          <w:ilvl w:val="2"/>
          <w:numId w:val="248"/>
        </w:numPr>
        <w:rPr>
          <w:rFonts w:ascii="Arial" w:cs="Arial" w:eastAsia="Arial" w:hAnsi="Arial"/>
          <w:sz w:val="18"/>
          <w:szCs w:val="18"/>
          <w:color w:val="auto"/>
        </w:rPr>
      </w:pPr>
      <w:r>
        <w:rPr>
          <w:rFonts w:ascii="Arial" w:cs="Arial" w:eastAsia="Arial" w:hAnsi="Arial"/>
          <w:sz w:val="18"/>
          <w:szCs w:val="18"/>
          <w:color w:val="auto"/>
        </w:rPr>
        <w:t>any Note Party or any of its Subsidiaries shall fail to perform or comply in any material respect with any covenant or agreement contained in the Security Documents to which it is a party;</w:t>
      </w:r>
    </w:p>
    <w:p>
      <w:pPr>
        <w:spacing w:after="0" w:line="68" w:lineRule="exact"/>
        <w:rPr>
          <w:rFonts w:ascii="Arial" w:cs="Arial" w:eastAsia="Arial" w:hAnsi="Arial"/>
          <w:sz w:val="18"/>
          <w:szCs w:val="18"/>
          <w:color w:val="auto"/>
        </w:rPr>
      </w:pPr>
    </w:p>
    <w:p>
      <w:pPr>
        <w:jc w:val="both"/>
        <w:ind w:left="580" w:right="619" w:firstLine="267"/>
        <w:spacing w:after="0" w:line="288" w:lineRule="auto"/>
        <w:tabs>
          <w:tab w:leader="none" w:pos="1220" w:val="left"/>
        </w:tabs>
        <w:numPr>
          <w:ilvl w:val="2"/>
          <w:numId w:val="248"/>
        </w:numPr>
        <w:rPr>
          <w:rFonts w:ascii="Arial" w:cs="Arial" w:eastAsia="Arial" w:hAnsi="Arial"/>
          <w:sz w:val="16"/>
          <w:szCs w:val="16"/>
          <w:color w:val="auto"/>
        </w:rPr>
      </w:pPr>
      <w:r>
        <w:rPr>
          <w:rFonts w:ascii="Arial" w:cs="Arial" w:eastAsia="Arial" w:hAnsi="Arial"/>
          <w:sz w:val="16"/>
          <w:szCs w:val="16"/>
          <w:color w:val="auto"/>
        </w:rPr>
        <w:t>any material provision of any Security Document (as determined by the Holder) shall at any time for any reason (other than pursuant to the express terms thereof) cease to be valid and binding on or enforceable against any Note Party or any Subsidiary intended to be a party thereto (except the guaranty obligations of Vringo, Ltd. with respect to the Guaranty to which it is a party), or the validity or enforceability thereof shall be contested by any party thereto, or a proceeding shall be commenced by any Note Party or any Subsidiary or any governmental authority having jurisdiction over any of them, seeking to establish the invalidity or unenforceability thereof, or any Note Party or any Subsidiary shall deny in writing that it has any liability or obligation purported to be created under any Security Document;</w:t>
      </w:r>
    </w:p>
    <w:p>
      <w:pPr>
        <w:spacing w:after="0" w:line="58" w:lineRule="exact"/>
        <w:rPr>
          <w:rFonts w:ascii="Arial" w:cs="Arial" w:eastAsia="Arial" w:hAnsi="Arial"/>
          <w:sz w:val="16"/>
          <w:szCs w:val="16"/>
          <w:color w:val="auto"/>
        </w:rPr>
      </w:pPr>
    </w:p>
    <w:p>
      <w:pPr>
        <w:jc w:val="both"/>
        <w:ind w:left="580" w:right="619" w:firstLine="267"/>
        <w:spacing w:after="0" w:line="275" w:lineRule="auto"/>
        <w:tabs>
          <w:tab w:leader="none" w:pos="1145" w:val="left"/>
        </w:tabs>
        <w:numPr>
          <w:ilvl w:val="2"/>
          <w:numId w:val="248"/>
        </w:numPr>
        <w:rPr>
          <w:rFonts w:ascii="Arial" w:cs="Arial" w:eastAsia="Arial" w:hAnsi="Arial"/>
          <w:sz w:val="17"/>
          <w:szCs w:val="17"/>
          <w:color w:val="auto"/>
        </w:rPr>
      </w:pPr>
      <w:r>
        <w:rPr>
          <w:rFonts w:ascii="Arial" w:cs="Arial" w:eastAsia="Arial" w:hAnsi="Arial"/>
          <w:sz w:val="17"/>
          <w:szCs w:val="17"/>
          <w:color w:val="auto"/>
        </w:rPr>
        <w:t>any Security Document, after delivery thereof pursuant hereto, shall for any reason fail or cease to create a valid and perfected (except as otherwise provided by Section 5(n) of the Security Agreement) and, except to the extent permitted by the terms hereof or thereof, first priority Lien in favor of the Holder for the benefit of the holders of the Notes on any Collateral (as defined in the Security Agreement) purported to be covered thereby;</w:t>
      </w:r>
    </w:p>
    <w:p>
      <w:pPr>
        <w:spacing w:after="0" w:line="66" w:lineRule="exact"/>
        <w:rPr>
          <w:rFonts w:ascii="Arial" w:cs="Arial" w:eastAsia="Arial" w:hAnsi="Arial"/>
          <w:sz w:val="17"/>
          <w:szCs w:val="17"/>
          <w:color w:val="auto"/>
        </w:rPr>
      </w:pPr>
    </w:p>
    <w:p>
      <w:pPr>
        <w:jc w:val="both"/>
        <w:ind w:left="580" w:right="619" w:firstLine="267"/>
        <w:spacing w:after="0" w:line="253" w:lineRule="auto"/>
        <w:tabs>
          <w:tab w:leader="none" w:pos="1208" w:val="left"/>
        </w:tabs>
        <w:numPr>
          <w:ilvl w:val="2"/>
          <w:numId w:val="248"/>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 material amount of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any Note Party or any Subsidiary, if any such event or circumstance could reasonably be expected to have a Material Adverse Effect.</w:t>
      </w:r>
    </w:p>
    <w:p>
      <w:pPr>
        <w:spacing w:after="0" w:line="85" w:lineRule="exact"/>
        <w:rPr>
          <w:rFonts w:ascii="Arial" w:cs="Arial" w:eastAsia="Arial" w:hAnsi="Arial"/>
          <w:sz w:val="18"/>
          <w:szCs w:val="18"/>
          <w:color w:val="auto"/>
        </w:rPr>
      </w:pPr>
    </w:p>
    <w:p>
      <w:pPr>
        <w:jc w:val="both"/>
        <w:ind w:left="320" w:right="619" w:firstLine="260"/>
        <w:spacing w:after="0" w:line="285" w:lineRule="auto"/>
        <w:tabs>
          <w:tab w:leader="none" w:pos="897"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Redemption Right</w:t>
      </w:r>
      <w:r>
        <w:rPr>
          <w:rFonts w:ascii="Arial" w:cs="Arial" w:eastAsia="Arial" w:hAnsi="Arial"/>
          <w:sz w:val="16"/>
          <w:szCs w:val="16"/>
          <w:color w:val="auto"/>
        </w:rPr>
        <w:t>. On and after a Default Date, with respect to this Note, the Company shall within one (1) Business Day deliver written notice thereof via facsimile and overnight courier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At any time after the earlier of the Holder’s receipt of an Event of Default Notice and the Default Date, the Holder may require the Company to redeem (an “</w:t>
      </w:r>
      <w:r>
        <w:rPr>
          <w:rFonts w:ascii="Arial" w:cs="Arial" w:eastAsia="Arial" w:hAnsi="Arial"/>
          <w:sz w:val="16"/>
          <w:szCs w:val="16"/>
          <w:b w:val="1"/>
          <w:bCs w:val="1"/>
          <w:color w:val="auto"/>
        </w:rPr>
        <w:t>Event of Default Redemption</w:t>
      </w:r>
      <w:r>
        <w:rPr>
          <w:rFonts w:ascii="Arial" w:cs="Arial" w:eastAsia="Arial" w:hAnsi="Arial"/>
          <w:sz w:val="16"/>
          <w:szCs w:val="16"/>
          <w:color w:val="auto"/>
        </w:rPr>
        <w:t>”) all or any portion of this Note by delivering written notice thereof (the “</w:t>
      </w:r>
      <w:r>
        <w:rPr>
          <w:rFonts w:ascii="Arial" w:cs="Arial" w:eastAsia="Arial" w:hAnsi="Arial"/>
          <w:sz w:val="16"/>
          <w:szCs w:val="16"/>
          <w:b w:val="1"/>
          <w:bCs w:val="1"/>
          <w:color w:val="auto"/>
        </w:rPr>
        <w:t>Event of Default Redemption Notice</w:t>
      </w:r>
      <w:r>
        <w:rPr>
          <w:rFonts w:ascii="Arial" w:cs="Arial" w:eastAsia="Arial" w:hAnsi="Arial"/>
          <w:sz w:val="16"/>
          <w:szCs w:val="16"/>
          <w:color w:val="auto"/>
        </w:rPr>
        <w:t>”) to the Company, which Event of Default Redemption Notice shall indicate the portion of this Note the Holder is electing to redeem; provided, that, an Event of Default Redemption Notice may only be delivered so long as an Event of Default is continuing. Each portion of this Note subject to redemption by the Company pursuant to this Section 4(b) shall be redeemed by the Company in cash at a price equal to 125% of the Redemption Amount to be redeemed (the “</w:t>
      </w:r>
      <w:r>
        <w:rPr>
          <w:rFonts w:ascii="Arial" w:cs="Arial" w:eastAsia="Arial" w:hAnsi="Arial"/>
          <w:sz w:val="16"/>
          <w:szCs w:val="16"/>
          <w:b w:val="1"/>
          <w:bCs w:val="1"/>
          <w:color w:val="auto"/>
        </w:rPr>
        <w:t>Event of Default Redemption Price</w:t>
      </w:r>
      <w:r>
        <w:rPr>
          <w:rFonts w:ascii="Arial" w:cs="Arial" w:eastAsia="Arial" w:hAnsi="Arial"/>
          <w:sz w:val="16"/>
          <w:szCs w:val="16"/>
          <w:color w:val="auto"/>
        </w:rPr>
        <w:t>”). Redemptions required by this Section 4(b) shall be made in accordance with the provisions of Section 8. To the extent redemptions required by this Section 4(b)</w:t>
      </w: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3" w:name="page294"/>
    <w:bookmarkEnd w:id="2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1" w:lineRule="auto"/>
        <w:rPr>
          <w:sz w:val="20"/>
          <w:szCs w:val="20"/>
          <w:color w:val="auto"/>
        </w:rPr>
      </w:pPr>
      <w:r>
        <w:rPr>
          <w:rFonts w:ascii="Arial" w:cs="Arial" w:eastAsia="Arial" w:hAnsi="Arial"/>
          <w:sz w:val="18"/>
          <w:szCs w:val="18"/>
          <w:color w:val="auto"/>
        </w:rPr>
        <w:t>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spacing w:after="0" w:line="89" w:lineRule="exact"/>
        <w:rPr>
          <w:sz w:val="20"/>
          <w:szCs w:val="20"/>
          <w:color w:val="auto"/>
        </w:rPr>
      </w:pPr>
    </w:p>
    <w:p>
      <w:pPr>
        <w:ind w:left="600" w:hanging="288"/>
        <w:spacing w:after="0"/>
        <w:tabs>
          <w:tab w:leader="none" w:pos="60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 AND CHANGE OF CONTROL</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83" w:lineRule="auto"/>
        <w:tabs>
          <w:tab w:leader="none" w:pos="887"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Note and the other Note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and the interest rates of the Note then outstanding held by such holder, having similar ranking and security to the Note, and satisfactory to the Holder. Upon the occurrence of any Fundamental Transaction, the Successor Entity shall succeed to, and be substituted for (so that from and after the date of such Fundamental Transaction, the provisions of this Note referring to the “Company” shall refer instead to the Successor Entity), and may exercise every right and power of the Company and shall assume all of the obligations of the Company under this Note with the same effect as if such Successor Entity had been named as the Company herein. The provisions of this Section shall apply similarly and equally to successive Fundamental Transactions and shall be applied without regard to any limitations on the redemption of this Note.</w:t>
      </w:r>
    </w:p>
    <w:p>
      <w:pPr>
        <w:spacing w:after="0" w:line="66" w:lineRule="exact"/>
        <w:rPr>
          <w:rFonts w:ascii="Arial" w:cs="Arial" w:eastAsia="Arial" w:hAnsi="Arial"/>
          <w:sz w:val="16"/>
          <w:szCs w:val="16"/>
          <w:color w:val="auto"/>
        </w:rPr>
      </w:pPr>
    </w:p>
    <w:p>
      <w:pPr>
        <w:jc w:val="both"/>
        <w:ind w:left="320" w:right="619" w:firstLine="260"/>
        <w:spacing w:after="0" w:line="282" w:lineRule="auto"/>
        <w:tabs>
          <w:tab w:leader="none" w:pos="884"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Redemption Right</w:t>
      </w:r>
      <w:r>
        <w:rPr>
          <w:rFonts w:ascii="Arial" w:cs="Arial" w:eastAsia="Arial" w:hAnsi="Arial"/>
          <w:sz w:val="16"/>
          <w:szCs w:val="16"/>
          <w:color w:val="auto"/>
        </w:rPr>
        <w:t>. No sooner than fifteen (15) days nor later than ten (10) days prior to the consummation of a Change of Control, but not prior to the public announcement of such Change of Control, the Company shall deliver written notice thereof via facsimile and overnight courier to the Holder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the Holder’s receipt of a Change of Control Notice and ending twenty (20) Business Days after the date of the consummation of such Change of Control, the Holder may require the Company to redeem (a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w:t>
      </w:r>
      <w:r>
        <w:rPr>
          <w:rFonts w:ascii="Arial" w:cs="Arial" w:eastAsia="Arial" w:hAnsi="Arial"/>
          <w:sz w:val="16"/>
          <w:szCs w:val="16"/>
          <w:color w:val="auto"/>
        </w:rPr>
        <w:t>”) all or any portion of this Note by delivering written notice thereof (“</w:t>
      </w:r>
      <w:r>
        <w:rPr>
          <w:rFonts w:ascii="Arial" w:cs="Arial" w:eastAsia="Arial" w:hAnsi="Arial"/>
          <w:sz w:val="16"/>
          <w:szCs w:val="16"/>
          <w:b w:val="1"/>
          <w:bCs w:val="1"/>
          <w:color w:val="auto"/>
        </w:rPr>
        <w:t>Change of Control Redemption Notice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date thereof, the “</w:t>
      </w:r>
      <w:r>
        <w:rPr>
          <w:rFonts w:ascii="Arial" w:cs="Arial" w:eastAsia="Arial" w:hAnsi="Arial"/>
          <w:sz w:val="16"/>
          <w:szCs w:val="16"/>
          <w:b w:val="1"/>
          <w:bCs w:val="1"/>
          <w:color w:val="auto"/>
        </w:rPr>
        <w:t>Change of Control Redemption Notice Date</w:t>
      </w:r>
      <w:r>
        <w:rPr>
          <w:rFonts w:ascii="Arial" w:cs="Arial" w:eastAsia="Arial" w:hAnsi="Arial"/>
          <w:sz w:val="16"/>
          <w:szCs w:val="16"/>
          <w:color w:val="auto"/>
        </w:rPr>
        <w:t>”) to the Company, which Change of Control Redemption Notice shall indicate the Redemption Amount the Holder is electing to require the Company to redeem. The portion of this Note subject to redemption pursuant to this Section 5(b) shall be redeemed by the Company in cash at a price equal to 125% of the Redemption Amount to be redeemed. Redemptions required by this Section 5 shall be made in accordance with the provisions of Section 8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spacing w:after="0" w:line="64" w:lineRule="exact"/>
        <w:rPr>
          <w:rFonts w:ascii="Arial" w:cs="Arial" w:eastAsia="Arial" w:hAnsi="Arial"/>
          <w:sz w:val="16"/>
          <w:szCs w:val="16"/>
          <w:color w:val="auto"/>
        </w:rPr>
      </w:pPr>
    </w:p>
    <w:p>
      <w:pPr>
        <w:jc w:val="both"/>
        <w:ind w:left="40" w:right="619" w:firstLine="272"/>
        <w:spacing w:after="0" w:line="253" w:lineRule="auto"/>
        <w:tabs>
          <w:tab w:leader="none" w:pos="617"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OPTIONAL REDEMPTION RIGHT</w:t>
      </w:r>
      <w:r>
        <w:rPr>
          <w:rFonts w:ascii="Arial" w:cs="Arial" w:eastAsia="Arial" w:hAnsi="Arial"/>
          <w:sz w:val="18"/>
          <w:szCs w:val="18"/>
          <w:color w:val="auto"/>
        </w:rPr>
        <w:t>. From and after the date upon which (i) the Company and its Subsidiaries has more than $15,000,000 in the aggregate of cash and Cash Equivalents, the Holder may, within 10 days of receipt of the Optional Redemption Notice, require the Company to redeem up to 50% of the outstanding principal amount of this Note, (ii) the Company and its Subsidiaries has more than $20,000,000 in the aggregate of cash and Cash Equivalents, the Holder may, within 10 days of receipt of the</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4" w:name="page295"/>
    <w:bookmarkEnd w:id="2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2" w:lineRule="auto"/>
        <w:rPr>
          <w:sz w:val="20"/>
          <w:szCs w:val="20"/>
          <w:color w:val="auto"/>
        </w:rPr>
      </w:pPr>
      <w:r>
        <w:rPr>
          <w:rFonts w:ascii="Arial" w:cs="Arial" w:eastAsia="Arial" w:hAnsi="Arial"/>
          <w:sz w:val="16"/>
          <w:szCs w:val="16"/>
          <w:color w:val="auto"/>
        </w:rPr>
        <w:t>Optional Redemption Notice, require the Company to redeem up to 100% of the outstanding principal of this Note, (iii) the Company and its Subsidiaries receives proceeds in excess of $500,000 in the aggregate (for all such transactions after the Amendment and Restatement Date of this Note) from the issuance of any equity or indebtedness of the Company or any of its Subsidiaries (excluding any proceeds received upon the exercise of options or warrants which are outstanding on the day immediately preceding the Amendment and Restatement Date, provided that the terms of such options or warrants are not amended, modified or changed on or after the Amendment and Restatement Date), the Holder may, within 10 days of receipt of the Optional Redemption Notice, require the Company to redeem the outstanding principal under this Note in an amount equal to up to 20% of the proceeds of the issuance of any such equity or indebtedness (each such occurrence described in clauses (i) through (iii) above, an “</w:t>
      </w:r>
      <w:r>
        <w:rPr>
          <w:rFonts w:ascii="Arial" w:cs="Arial" w:eastAsia="Arial" w:hAnsi="Arial"/>
          <w:sz w:val="16"/>
          <w:szCs w:val="16"/>
          <w:b w:val="1"/>
          <w:bCs w:val="1"/>
          <w:color w:val="auto"/>
        </w:rPr>
        <w:t>Optional Redemption</w:t>
      </w:r>
      <w:r>
        <w:rPr>
          <w:rFonts w:ascii="Arial" w:cs="Arial" w:eastAsia="Arial" w:hAnsi="Arial"/>
          <w:sz w:val="16"/>
          <w:szCs w:val="16"/>
          <w:color w:val="auto"/>
        </w:rPr>
        <w:t>”), in each case by delivering written notice thereof (the “</w:t>
      </w:r>
      <w:r>
        <w:rPr>
          <w:rFonts w:ascii="Arial" w:cs="Arial" w:eastAsia="Arial" w:hAnsi="Arial"/>
          <w:sz w:val="16"/>
          <w:szCs w:val="16"/>
          <w:b w:val="1"/>
          <w:bCs w:val="1"/>
          <w:color w:val="auto"/>
        </w:rPr>
        <w:t>Optional Redemption Notice</w:t>
      </w:r>
      <w:r>
        <w:rPr>
          <w:rFonts w:ascii="Arial" w:cs="Arial" w:eastAsia="Arial" w:hAnsi="Arial"/>
          <w:sz w:val="16"/>
          <w:szCs w:val="16"/>
          <w:color w:val="auto"/>
        </w:rPr>
        <w:t>”) to the Company within the time periods set forth above, which Optional Redemption Notice shall indicate the portion of this Note the Holder is electing to redeem. Each portion of this Note subject to redemption by the Company pursuant to this Section 6 shall be redeemed by the Company in cash at a price equal to 100% of the Redemption Amount to be redeemed (the “</w:t>
      </w:r>
      <w:r>
        <w:rPr>
          <w:rFonts w:ascii="Arial" w:cs="Arial" w:eastAsia="Arial" w:hAnsi="Arial"/>
          <w:sz w:val="16"/>
          <w:szCs w:val="16"/>
          <w:b w:val="1"/>
          <w:bCs w:val="1"/>
          <w:color w:val="auto"/>
        </w:rPr>
        <w:t>Optional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Price</w:t>
      </w:r>
      <w:r>
        <w:rPr>
          <w:rFonts w:ascii="Arial" w:cs="Arial" w:eastAsia="Arial" w:hAnsi="Arial"/>
          <w:sz w:val="16"/>
          <w:szCs w:val="16"/>
          <w:color w:val="auto"/>
        </w:rPr>
        <w:t>”). Redemptions required by this Section 6 shall be made in accordance with the provisions of Section 8.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redemptions required by this Section 6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6, the Holder’s damages would be uncertain and difficult to estimate because of the parties’ inability to predict future interest rates and the uncertainty of the availability of a suitable substitute investment opportunity for the Holder.</w:t>
      </w:r>
    </w:p>
    <w:p>
      <w:pPr>
        <w:spacing w:after="0" w:line="281" w:lineRule="exact"/>
        <w:rPr>
          <w:sz w:val="20"/>
          <w:szCs w:val="20"/>
          <w:color w:val="auto"/>
        </w:rPr>
      </w:pPr>
    </w:p>
    <w:p>
      <w:pPr>
        <w:jc w:val="both"/>
        <w:ind w:left="40" w:right="619" w:firstLine="272"/>
        <w:spacing w:after="0" w:line="253" w:lineRule="auto"/>
        <w:tabs>
          <w:tab w:leader="none" w:pos="631"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85" w:lineRule="exact"/>
        <w:rPr>
          <w:rFonts w:ascii="Arial" w:cs="Arial" w:eastAsia="Arial" w:hAnsi="Arial"/>
          <w:sz w:val="18"/>
          <w:szCs w:val="18"/>
          <w:color w:val="auto"/>
        </w:rPr>
      </w:pPr>
    </w:p>
    <w:p>
      <w:pPr>
        <w:ind w:left="620" w:hanging="308"/>
        <w:spacing w:after="0"/>
        <w:tabs>
          <w:tab w:leader="none" w:pos="620"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REDEMPTIONS</w:t>
      </w:r>
      <w:r>
        <w:rPr>
          <w:rFonts w:ascii="Arial" w:cs="Arial" w:eastAsia="Arial" w:hAnsi="Arial"/>
          <w:sz w:val="16"/>
          <w:szCs w:val="16"/>
          <w:color w:val="auto"/>
        </w:rPr>
        <w:t>. The Company shall deliver the applicable Event of Default Redemption Price to the Holder within five</w:t>
      </w:r>
    </w:p>
    <w:p>
      <w:pPr>
        <w:spacing w:after="0" w:line="42" w:lineRule="exact"/>
        <w:rPr>
          <w:rFonts w:ascii="Arial" w:cs="Arial" w:eastAsia="Arial" w:hAnsi="Arial"/>
          <w:sz w:val="16"/>
          <w:szCs w:val="16"/>
          <w:color w:val="auto"/>
        </w:rPr>
      </w:pPr>
    </w:p>
    <w:p>
      <w:pPr>
        <w:jc w:val="both"/>
        <w:ind w:left="40" w:right="619" w:firstLine="5"/>
        <w:spacing w:after="0" w:line="281" w:lineRule="auto"/>
        <w:tabs>
          <w:tab w:leader="none" w:pos="32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Business Days after the Company’s receipt of the Holder’s Event of Default Redemption Notice (the “</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Date</w:t>
      </w:r>
      <w:r>
        <w:rPr>
          <w:rFonts w:ascii="Arial" w:cs="Arial" w:eastAsia="Arial" w:hAnsi="Arial"/>
          <w:sz w:val="16"/>
          <w:szCs w:val="16"/>
          <w:color w:val="auto"/>
        </w:rPr>
        <w:t>”). If the Holder has submitted a Change of Control Redemption Notice in accordance with Section 5(b),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deliver the applicable Change of Control Redemption Price to the Holder (i) concurrently with the consummation of such Change of Control if such notice is received prior to the consummation of such Change of Control and (ii) within five (5) Business Days after the Company’s receipt of such notice otherwise (such date, the “</w:t>
      </w:r>
      <w:r>
        <w:rPr>
          <w:rFonts w:ascii="Arial" w:cs="Arial" w:eastAsia="Arial" w:hAnsi="Arial"/>
          <w:sz w:val="16"/>
          <w:szCs w:val="16"/>
          <w:b w:val="1"/>
          <w:bCs w:val="1"/>
          <w:color w:val="auto"/>
        </w:rPr>
        <w:t>Change of Control Redemption Date</w:t>
      </w:r>
      <w:r>
        <w:rPr>
          <w:rFonts w:ascii="Arial" w:cs="Arial" w:eastAsia="Arial" w:hAnsi="Arial"/>
          <w:sz w:val="16"/>
          <w:szCs w:val="16"/>
          <w:color w:val="auto"/>
        </w:rPr>
        <w:t>”). The Company shall deliver the applicable Optional Redemption Price to the Holder within five (5) Business Days after the Company’s receipt of the Holder’s Optional Redemption Notice (the “</w:t>
      </w:r>
      <w:r>
        <w:rPr>
          <w:rFonts w:ascii="Arial" w:cs="Arial" w:eastAsia="Arial" w:hAnsi="Arial"/>
          <w:sz w:val="16"/>
          <w:szCs w:val="16"/>
          <w:b w:val="1"/>
          <w:bCs w:val="1"/>
          <w:color w:val="auto"/>
        </w:rPr>
        <w:t>Optional Redemption Date</w:t>
      </w:r>
      <w:r>
        <w:rPr>
          <w:rFonts w:ascii="Arial" w:cs="Arial" w:eastAsia="Arial" w:hAnsi="Arial"/>
          <w:sz w:val="16"/>
          <w:szCs w:val="16"/>
          <w:color w:val="auto"/>
        </w:rPr>
        <w:t>”). In the event of a redemption of less than all of the Redemption Amount of this Note, the Company shall promptly cause to be issued and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Note (in accordance with Section 13(d)) to the Holder representing such Redemption Amount to be redeemed. The Holder’s delivery of a notice voiding a Redemption Notice and exercise of its rights following such notice shall not affect the Company’s obligations to make any payments of Late Charges which have accrued prior to the date of such notice with respect to the Redemption Amount subject to such notice.</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5" w:name="page296"/>
    <w:bookmarkEnd w:id="2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272"/>
        <w:spacing w:after="0" w:line="270" w:lineRule="auto"/>
        <w:tabs>
          <w:tab w:leader="none" w:pos="604"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but not limited to, the laws of the State of Delaware, and as expressly provided in this Note.</w:t>
      </w:r>
    </w:p>
    <w:p>
      <w:pPr>
        <w:spacing w:after="0" w:line="68" w:lineRule="exact"/>
        <w:rPr>
          <w:rFonts w:ascii="Arial" w:cs="Arial" w:eastAsia="Arial" w:hAnsi="Arial"/>
          <w:sz w:val="18"/>
          <w:szCs w:val="18"/>
          <w:color w:val="auto"/>
        </w:rPr>
      </w:pPr>
    </w:p>
    <w:p>
      <w:pPr>
        <w:ind w:left="700" w:hanging="388"/>
        <w:spacing w:after="0"/>
        <w:tabs>
          <w:tab w:leader="none" w:pos="70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320" w:right="619" w:firstLine="260"/>
        <w:spacing w:after="0" w:line="270" w:lineRule="auto"/>
        <w:tabs>
          <w:tab w:leader="none" w:pos="887"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All payments due under this Note shall be senior to all other Indebtedness of the Company and its Subsidiaries other than Permitted Senior Indebtedness.</w:t>
      </w:r>
    </w:p>
    <w:p>
      <w:pPr>
        <w:spacing w:after="0" w:line="68" w:lineRule="exact"/>
        <w:rPr>
          <w:rFonts w:ascii="Arial" w:cs="Arial" w:eastAsia="Arial" w:hAnsi="Arial"/>
          <w:sz w:val="18"/>
          <w:szCs w:val="18"/>
          <w:color w:val="auto"/>
        </w:rPr>
      </w:pPr>
    </w:p>
    <w:p>
      <w:pPr>
        <w:jc w:val="both"/>
        <w:ind w:left="320" w:right="639" w:firstLine="260"/>
        <w:spacing w:after="0" w:line="255" w:lineRule="auto"/>
        <w:tabs>
          <w:tab w:leader="none" w:pos="911"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So long as this Note is outstanding, the Company shall (and shall use its commercially reasonable efforts to cause the Parent and the Parent’s other Subsidiaries) not, and the Company shall not permit any of its Subsidiaries to, directly or indirectly, incur or guarantee, assume or suffer to exist any Indebtedness, other than Permitted Indebtedness.</w:t>
      </w:r>
    </w:p>
    <w:p>
      <w:pPr>
        <w:spacing w:after="0" w:line="82" w:lineRule="exact"/>
        <w:rPr>
          <w:rFonts w:ascii="Arial" w:cs="Arial" w:eastAsia="Arial" w:hAnsi="Arial"/>
          <w:sz w:val="18"/>
          <w:szCs w:val="18"/>
          <w:color w:val="auto"/>
        </w:rPr>
      </w:pPr>
    </w:p>
    <w:p>
      <w:pPr>
        <w:jc w:val="both"/>
        <w:ind w:left="320" w:right="619" w:firstLine="260"/>
        <w:spacing w:after="0" w:line="253" w:lineRule="auto"/>
        <w:tabs>
          <w:tab w:leader="none" w:pos="887"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Existence of Liens</w:t>
      </w:r>
      <w:r>
        <w:rPr>
          <w:rFonts w:ascii="Arial" w:cs="Arial" w:eastAsia="Arial" w:hAnsi="Arial"/>
          <w:sz w:val="18"/>
          <w:szCs w:val="18"/>
          <w:color w:val="auto"/>
        </w:rPr>
        <w:t>. So long as this Note is outstanding, the Company shall (and shall use its commercially reasonable efforts to cause the Parent and the Parent’s other Subsidiaries) not, and the Company shall not permit any of its Subsidiaries to,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8"/>
          <w:szCs w:val="18"/>
          <w:b w:val="1"/>
          <w:bCs w:val="1"/>
          <w:color w:val="auto"/>
        </w:rPr>
        <w:t>Liens</w:t>
      </w:r>
      <w:r>
        <w:rPr>
          <w:rFonts w:ascii="Arial" w:cs="Arial" w:eastAsia="Arial" w:hAnsi="Arial"/>
          <w:sz w:val="18"/>
          <w:szCs w:val="18"/>
          <w:color w:val="auto"/>
        </w:rPr>
        <w:t>”) other than Permitted Liens.</w:t>
      </w:r>
    </w:p>
    <w:p>
      <w:pPr>
        <w:spacing w:after="0" w:line="85" w:lineRule="exact"/>
        <w:rPr>
          <w:rFonts w:ascii="Arial" w:cs="Arial" w:eastAsia="Arial" w:hAnsi="Arial"/>
          <w:sz w:val="18"/>
          <w:szCs w:val="18"/>
          <w:color w:val="auto"/>
        </w:rPr>
      </w:pPr>
    </w:p>
    <w:p>
      <w:pPr>
        <w:jc w:val="both"/>
        <w:ind w:left="320" w:right="619" w:firstLine="260"/>
        <w:spacing w:after="0" w:line="251" w:lineRule="auto"/>
        <w:tabs>
          <w:tab w:leader="none" w:pos="884"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shall (and shall use its commercially reasonable efforts to cause the Parent and the Parent’s other Subsidiaries) not, and the Company shall not permit any of its Subsidiaries to,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this Note),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85" w:lineRule="exact"/>
        <w:rPr>
          <w:rFonts w:ascii="Arial" w:cs="Arial" w:eastAsia="Arial" w:hAnsi="Arial"/>
          <w:sz w:val="18"/>
          <w:szCs w:val="18"/>
          <w:color w:val="auto"/>
        </w:rPr>
      </w:pPr>
    </w:p>
    <w:p>
      <w:pPr>
        <w:jc w:val="both"/>
        <w:ind w:left="320" w:right="639" w:firstLine="260"/>
        <w:spacing w:after="0" w:line="306" w:lineRule="auto"/>
        <w:tabs>
          <w:tab w:leader="none" w:pos="887"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Restriction on Redemption</w:t>
      </w:r>
      <w:r>
        <w:rPr>
          <w:rFonts w:ascii="Arial" w:cs="Arial" w:eastAsia="Arial" w:hAnsi="Arial"/>
          <w:sz w:val="16"/>
          <w:szCs w:val="16"/>
          <w:color w:val="auto"/>
        </w:rPr>
        <w:t>. Until this Note has been redeemed or otherwise satisfied in accordance with its terms, the Company shall (and shall use its commercially reasonable efforts to cause the Parent and the Parent’s other Subsidiaries) not, directly or indirectly, redeem or repurchase its capital stock without the prior express written consent of the Holder.</w:t>
      </w:r>
    </w:p>
    <w:p>
      <w:pPr>
        <w:spacing w:after="0" w:line="44" w:lineRule="exact"/>
        <w:rPr>
          <w:rFonts w:ascii="Arial" w:cs="Arial" w:eastAsia="Arial" w:hAnsi="Arial"/>
          <w:sz w:val="16"/>
          <w:szCs w:val="16"/>
          <w:color w:val="auto"/>
        </w:rPr>
      </w:pPr>
    </w:p>
    <w:p>
      <w:pPr>
        <w:ind w:left="840" w:hanging="260"/>
        <w:spacing w:after="0"/>
        <w:tabs>
          <w:tab w:leader="none" w:pos="840"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113" w:lineRule="exact"/>
        <w:rPr>
          <w:rFonts w:ascii="Arial" w:cs="Arial" w:eastAsia="Arial" w:hAnsi="Arial"/>
          <w:sz w:val="18"/>
          <w:szCs w:val="18"/>
          <w:color w:val="auto"/>
        </w:rPr>
      </w:pPr>
    </w:p>
    <w:p>
      <w:pPr>
        <w:jc w:val="both"/>
        <w:ind w:left="320" w:right="619" w:firstLine="260"/>
        <w:spacing w:after="0" w:line="285" w:lineRule="auto"/>
        <w:tabs>
          <w:tab w:leader="none" w:pos="884"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shall (and shall use its commercially reasonable efforts to cause the Parent and the Parent’s other Subsidiaries) not, and the Company shall not permit any of its Subsidiaries,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Company and its Subsidiaries and the Parent and the Parent’s other Subsidiaries connected with and symbolized thereby, know-how, operating manuals, trade secret rights, rights to unpatented inventions, and any claims for damage by way of any past, present, or future infringement of any of the foregoing, other than Permitted Liens.</w:t>
      </w:r>
    </w:p>
    <w:p>
      <w:pPr>
        <w:spacing w:after="0" w:line="65" w:lineRule="exact"/>
        <w:rPr>
          <w:rFonts w:ascii="Arial" w:cs="Arial" w:eastAsia="Arial" w:hAnsi="Arial"/>
          <w:sz w:val="16"/>
          <w:szCs w:val="16"/>
          <w:color w:val="auto"/>
        </w:rPr>
      </w:pPr>
    </w:p>
    <w:p>
      <w:pPr>
        <w:jc w:val="both"/>
        <w:ind w:left="320" w:right="639" w:firstLine="260"/>
        <w:spacing w:after="0" w:line="272" w:lineRule="auto"/>
        <w:tabs>
          <w:tab w:leader="none" w:pos="924"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The Company shall (and shall use its commercially reasonable efforts to cause the Parent and the Parent’s other Subsidiaries to)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6" w:name="page297"/>
    <w:bookmarkEnd w:id="2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2" w:lineRule="auto"/>
        <w:tabs>
          <w:tab w:leader="none" w:pos="884"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The Company shall (and shall use its commercially reasonable efforts to cause the Parent and the Parent’s other Subsidiaries to)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86" w:lineRule="exact"/>
        <w:rPr>
          <w:rFonts w:ascii="Arial" w:cs="Arial" w:eastAsia="Arial" w:hAnsi="Arial"/>
          <w:sz w:val="18"/>
          <w:szCs w:val="18"/>
          <w:color w:val="auto"/>
        </w:rPr>
      </w:pPr>
    </w:p>
    <w:p>
      <w:pPr>
        <w:jc w:val="both"/>
        <w:ind w:left="320" w:right="619" w:firstLine="260"/>
        <w:spacing w:after="0" w:line="290" w:lineRule="auto"/>
        <w:tabs>
          <w:tab w:leader="none" w:pos="871"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The Company shall (and shall use its commercially reasonable efforts to cause the Parent and the Parent’s other Subsidiaries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56" w:lineRule="exact"/>
        <w:rPr>
          <w:rFonts w:ascii="Arial" w:cs="Arial" w:eastAsia="Arial" w:hAnsi="Arial"/>
          <w:sz w:val="16"/>
          <w:szCs w:val="16"/>
          <w:color w:val="auto"/>
        </w:rPr>
      </w:pPr>
    </w:p>
    <w:p>
      <w:pPr>
        <w:ind w:left="40" w:right="639" w:firstLine="272"/>
        <w:spacing w:after="0" w:line="270" w:lineRule="auto"/>
        <w:tabs>
          <w:tab w:leader="none" w:pos="68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VOTE TO ISSUE, OR CHANGE THE TERMS OF, NOTES</w:t>
      </w:r>
      <w:r>
        <w:rPr>
          <w:rFonts w:ascii="Arial" w:cs="Arial" w:eastAsia="Arial" w:hAnsi="Arial"/>
          <w:sz w:val="18"/>
          <w:szCs w:val="18"/>
          <w:color w:val="auto"/>
        </w:rPr>
        <w:t>. The consent of the Holder shall be required for any change or amendment to this Note.</w:t>
      </w:r>
    </w:p>
    <w:p>
      <w:pPr>
        <w:spacing w:after="0" w:line="68" w:lineRule="exact"/>
        <w:rPr>
          <w:rFonts w:ascii="Arial" w:cs="Arial" w:eastAsia="Arial" w:hAnsi="Arial"/>
          <w:sz w:val="18"/>
          <w:szCs w:val="18"/>
          <w:color w:val="auto"/>
        </w:rPr>
      </w:pPr>
    </w:p>
    <w:p>
      <w:pPr>
        <w:ind w:left="700" w:hanging="388"/>
        <w:spacing w:after="0"/>
        <w:tabs>
          <w:tab w:leader="none" w:pos="700"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Note may be offered, sold, assigned or transferred by the Holder without the consent of the Company.</w:t>
      </w:r>
    </w:p>
    <w:p>
      <w:pPr>
        <w:spacing w:after="0" w:line="136" w:lineRule="exact"/>
        <w:rPr>
          <w:rFonts w:ascii="Arial" w:cs="Arial" w:eastAsia="Arial" w:hAnsi="Arial"/>
          <w:sz w:val="16"/>
          <w:szCs w:val="16"/>
          <w:color w:val="auto"/>
        </w:rPr>
      </w:pPr>
    </w:p>
    <w:p>
      <w:pPr>
        <w:ind w:left="700" w:hanging="388"/>
        <w:spacing w:after="0"/>
        <w:tabs>
          <w:tab w:leader="none" w:pos="70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68" w:lineRule="auto"/>
        <w:tabs>
          <w:tab w:leader="none" w:pos="941" w:val="left"/>
        </w:tabs>
        <w:numPr>
          <w:ilvl w:val="1"/>
          <w:numId w:val="254"/>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If this Note is to be transferred, the Holder shall surrender this Note to the Company, whereupon the Company will forthwith issue and deliver upon the order of the Holder a new Note (in accordance with Section 13(d)), registered as the Holder may request, representing the outstanding Principal being transferred by the Holder and, if less then the entire outstanding Principal is being transferred, a new Note (in accordance with Section 13(d)) to the Holder representing the outstanding Principal not being transferred. The Holder and any assignee, by acceptance of this Note, acknowledge and agree that, following redemption of any portion of this Note, the outstanding Principal represented by this Note may be less than the Principal stated on the face of this Note.</w:t>
      </w:r>
    </w:p>
    <w:p>
      <w:pPr>
        <w:spacing w:after="0" w:line="75" w:lineRule="exact"/>
        <w:rPr>
          <w:rFonts w:ascii="Arial" w:cs="Arial" w:eastAsia="Arial" w:hAnsi="Arial"/>
          <w:sz w:val="17"/>
          <w:szCs w:val="17"/>
          <w:color w:val="auto"/>
        </w:rPr>
      </w:pPr>
    </w:p>
    <w:p>
      <w:pPr>
        <w:jc w:val="both"/>
        <w:ind w:left="320" w:right="619" w:firstLine="260"/>
        <w:spacing w:after="0" w:line="253" w:lineRule="auto"/>
        <w:tabs>
          <w:tab w:leader="none" w:pos="897"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Note</w:t>
      </w:r>
      <w:r>
        <w:rPr>
          <w:rFonts w:ascii="Arial" w:cs="Arial" w:eastAsia="Arial" w:hAnsi="Arial"/>
          <w:sz w:val="18"/>
          <w:szCs w:val="18"/>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13(d)) representing the outstanding Principal.</w:t>
      </w:r>
    </w:p>
    <w:p>
      <w:pPr>
        <w:spacing w:after="0" w:line="85" w:lineRule="exact"/>
        <w:rPr>
          <w:rFonts w:ascii="Arial" w:cs="Arial" w:eastAsia="Arial" w:hAnsi="Arial"/>
          <w:sz w:val="18"/>
          <w:szCs w:val="18"/>
          <w:color w:val="auto"/>
        </w:rPr>
      </w:pPr>
    </w:p>
    <w:p>
      <w:pPr>
        <w:jc w:val="both"/>
        <w:ind w:left="320" w:right="639" w:firstLine="260"/>
        <w:spacing w:after="0" w:line="297" w:lineRule="auto"/>
        <w:tabs>
          <w:tab w:leader="none" w:pos="887"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Note Exchangeable for Different Denominations</w:t>
      </w:r>
      <w:r>
        <w:rPr>
          <w:rFonts w:ascii="Arial" w:cs="Arial" w:eastAsia="Arial" w:hAnsi="Arial"/>
          <w:sz w:val="16"/>
          <w:szCs w:val="16"/>
          <w:color w:val="auto"/>
        </w:rPr>
        <w:t>. This Note is exchangeable, upon the surrender hereof by the Holder at the principal office of the Company, for a new Note or Notes (in accordance with Section 13(d)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51" w:lineRule="exact"/>
        <w:rPr>
          <w:rFonts w:ascii="Arial" w:cs="Arial" w:eastAsia="Arial" w:hAnsi="Arial"/>
          <w:sz w:val="16"/>
          <w:szCs w:val="16"/>
          <w:color w:val="auto"/>
        </w:rPr>
      </w:pPr>
    </w:p>
    <w:p>
      <w:pPr>
        <w:jc w:val="both"/>
        <w:ind w:left="320" w:right="619" w:firstLine="260"/>
        <w:spacing w:after="0" w:line="286" w:lineRule="auto"/>
        <w:tabs>
          <w:tab w:leader="none" w:pos="911"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Issuance of New Notes</w:t>
      </w:r>
      <w:r>
        <w:rPr>
          <w:rFonts w:ascii="Arial" w:cs="Arial" w:eastAsia="Arial" w:hAnsi="Arial"/>
          <w:sz w:val="16"/>
          <w:szCs w:val="16"/>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7" w:name="page298"/>
    <w:bookmarkEnd w:id="2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700" w:hanging="388"/>
        <w:spacing w:after="0"/>
        <w:tabs>
          <w:tab w:leader="none" w:pos="70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72" w:lineRule="auto"/>
        <w:tabs>
          <w:tab w:leader="none" w:pos="836"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Any and all payments made by the Corporation hereunder, including any on account of Interest or Late Charges, must be made by it without any a deduction or withholding for or on account of any tax, levy, impost, duty or other charge or withholding of a similar nature (including any related penalty or interest) from a payment under this Note (a “</w:t>
      </w:r>
      <w:r>
        <w:rPr>
          <w:rFonts w:ascii="Arial" w:cs="Arial" w:eastAsia="Arial" w:hAnsi="Arial"/>
          <w:sz w:val="17"/>
          <w:szCs w:val="17"/>
          <w:b w:val="1"/>
          <w:bCs w:val="1"/>
          <w:color w:val="auto"/>
        </w:rPr>
        <w:t>Tax Deduction</w:t>
      </w:r>
      <w:r>
        <w:rPr>
          <w:rFonts w:ascii="Arial" w:cs="Arial" w:eastAsia="Arial" w:hAnsi="Arial"/>
          <w:sz w:val="17"/>
          <w:szCs w:val="17"/>
          <w:color w:val="auto"/>
        </w:rPr>
        <w:t>”), unless a Tax Deduction is required by law. If the Corporation is aware that it must make a Tax Deduction (or that there is a change in the rate or the basis of a Tax Deduction), it must notify the Holder promptly.</w:t>
      </w:r>
    </w:p>
    <w:p>
      <w:pPr>
        <w:spacing w:after="0" w:line="68" w:lineRule="exact"/>
        <w:rPr>
          <w:rFonts w:ascii="Arial" w:cs="Arial" w:eastAsia="Arial" w:hAnsi="Arial"/>
          <w:sz w:val="17"/>
          <w:szCs w:val="17"/>
          <w:color w:val="auto"/>
        </w:rPr>
      </w:pPr>
    </w:p>
    <w:p>
      <w:pPr>
        <w:ind w:left="900" w:hanging="320"/>
        <w:spacing w:after="0"/>
        <w:tabs>
          <w:tab w:leader="none" w:pos="90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If the Corporation is required to make a Tax Deduction from or in respect to any sum payable hereunder to the Holder,</w:t>
      </w:r>
    </w:p>
    <w:p>
      <w:pPr>
        <w:spacing w:after="0" w:line="42" w:lineRule="exact"/>
        <w:rPr>
          <w:rFonts w:ascii="Arial" w:cs="Arial" w:eastAsia="Arial" w:hAnsi="Arial"/>
          <w:sz w:val="16"/>
          <w:szCs w:val="16"/>
          <w:color w:val="auto"/>
        </w:rPr>
      </w:pPr>
    </w:p>
    <w:p>
      <w:pPr>
        <w:jc w:val="both"/>
        <w:ind w:left="320" w:right="619"/>
        <w:spacing w:after="0" w:line="285" w:lineRule="auto"/>
        <w:rPr>
          <w:rFonts w:ascii="Arial" w:cs="Arial" w:eastAsia="Arial" w:hAnsi="Arial"/>
          <w:sz w:val="16"/>
          <w:szCs w:val="16"/>
          <w:color w:val="auto"/>
        </w:rPr>
      </w:pPr>
      <w:r>
        <w:rPr>
          <w:rFonts w:ascii="Arial" w:cs="Arial" w:eastAsia="Arial" w:hAnsi="Arial"/>
          <w:sz w:val="16"/>
          <w:szCs w:val="16"/>
          <w:color w:val="auto"/>
        </w:rPr>
        <w:t>(i) the sum payable shall be increased by the amount by which the sum payable would otherwise have to be increased (the “</w:t>
      </w:r>
      <w:r>
        <w:rPr>
          <w:rFonts w:ascii="Arial" w:cs="Arial" w:eastAsia="Arial" w:hAnsi="Arial"/>
          <w:sz w:val="16"/>
          <w:szCs w:val="16"/>
          <w:b w:val="1"/>
          <w:b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color w:val="auto"/>
        </w:rPr>
        <w:t>gross up amount</w:t>
      </w:r>
      <w:r>
        <w:rPr>
          <w:rFonts w:ascii="Arial" w:cs="Arial" w:eastAsia="Arial" w:hAnsi="Arial"/>
          <w:sz w:val="16"/>
          <w:szCs w:val="16"/>
          <w:color w:val="auto"/>
        </w:rPr>
        <w:t>”) to ensure that after making all required deductions (including deductions applicable to the tax gross-up</w:t>
      </w:r>
      <w:r>
        <w:rPr>
          <w:rFonts w:ascii="Arial" w:cs="Arial" w:eastAsia="Arial" w:hAnsi="Arial"/>
          <w:sz w:val="16"/>
          <w:szCs w:val="16"/>
          <w:b w:val="1"/>
          <w:bCs w:val="1"/>
          <w:color w:val="auto"/>
        </w:rPr>
        <w:t xml:space="preserve"> </w:t>
      </w:r>
      <w:r>
        <w:rPr>
          <w:rFonts w:ascii="Arial" w:cs="Arial" w:eastAsia="Arial" w:hAnsi="Arial"/>
          <w:sz w:val="16"/>
          <w:szCs w:val="16"/>
          <w:color w:val="auto"/>
        </w:rPr>
        <w:t>amount) the Holder would receive an amount equal to the sum it would have received had no such Tax Deductions been made, (ii) the Company shall make such Tax Deductions and (iii) the Company shall pay the full amount withheld or deducted to the applicable governmental authority within the time required. As soon as practicable after making a Tax Deduction or a payment required in connection with a Tax Deduction, the Corporation must deliver to the Holder any official receipt or form, if any, provided by or required by the taxing authority to whom the Tax Deduction was paid.</w:t>
      </w:r>
    </w:p>
    <w:p>
      <w:pPr>
        <w:spacing w:after="0" w:line="61" w:lineRule="exact"/>
        <w:rPr>
          <w:rFonts w:ascii="Arial" w:cs="Arial" w:eastAsia="Arial" w:hAnsi="Arial"/>
          <w:sz w:val="16"/>
          <w:szCs w:val="16"/>
          <w:color w:val="auto"/>
        </w:rPr>
      </w:pPr>
    </w:p>
    <w:p>
      <w:pPr>
        <w:ind w:left="320" w:right="639" w:firstLine="260"/>
        <w:spacing w:after="0" w:line="270" w:lineRule="auto"/>
        <w:tabs>
          <w:tab w:leader="none" w:pos="95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obligations of the Corporation under this Section 14 shall survive the termination of this Note and the payment of the Note and all other amounts payable hereunder.</w:t>
      </w:r>
    </w:p>
    <w:p>
      <w:pPr>
        <w:spacing w:after="0" w:line="68" w:lineRule="exact"/>
        <w:rPr>
          <w:rFonts w:ascii="Arial" w:cs="Arial" w:eastAsia="Arial" w:hAnsi="Arial"/>
          <w:sz w:val="18"/>
          <w:szCs w:val="18"/>
          <w:color w:val="auto"/>
        </w:rPr>
      </w:pPr>
    </w:p>
    <w:p>
      <w:pPr>
        <w:jc w:val="both"/>
        <w:ind w:left="40" w:right="619" w:firstLine="272"/>
        <w:spacing w:after="0" w:line="266" w:lineRule="auto"/>
        <w:tabs>
          <w:tab w:leader="none" w:pos="76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Note shall be cumulative and in addition to all other remedies available under this Note and any of the other Note Transaction Documents at law or in equity (including a decree of specific performance and/or other injunctive relief), and nothing herein shall limit the Holder’s right to pursue actual and consequential damages for any failure by the Company to comply with the terms of this Note. Amounts set forth or provided for herein with respect to payments,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76" w:lineRule="exact"/>
        <w:rPr>
          <w:rFonts w:ascii="Arial" w:cs="Arial" w:eastAsia="Arial" w:hAnsi="Arial"/>
          <w:sz w:val="17"/>
          <w:szCs w:val="17"/>
          <w:color w:val="auto"/>
        </w:rPr>
      </w:pPr>
    </w:p>
    <w:p>
      <w:pPr>
        <w:jc w:val="both"/>
        <w:ind w:left="40" w:right="639" w:firstLine="272"/>
        <w:spacing w:after="0" w:line="290" w:lineRule="auto"/>
        <w:tabs>
          <w:tab w:leader="none" w:pos="706"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PAYMENT OF COLLECTION, ENFORCEMENT AND OTHER COSTS</w:t>
      </w:r>
      <w:r>
        <w:rPr>
          <w:rFonts w:ascii="Arial" w:cs="Arial" w:eastAsia="Arial" w:hAnsi="Arial"/>
          <w:sz w:val="16"/>
          <w:szCs w:val="16"/>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56" w:lineRule="exact"/>
        <w:rPr>
          <w:rFonts w:ascii="Arial" w:cs="Arial" w:eastAsia="Arial" w:hAnsi="Arial"/>
          <w:sz w:val="16"/>
          <w:szCs w:val="16"/>
          <w:color w:val="auto"/>
        </w:rPr>
      </w:pPr>
    </w:p>
    <w:p>
      <w:pPr>
        <w:jc w:val="both"/>
        <w:ind w:left="40" w:right="639" w:firstLine="272"/>
        <w:spacing w:after="0" w:line="259" w:lineRule="auto"/>
        <w:tabs>
          <w:tab w:leader="none" w:pos="706"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w:t>
      </w:r>
    </w:p>
    <w:p>
      <w:pPr>
        <w:spacing w:after="0" w:line="78" w:lineRule="exact"/>
        <w:rPr>
          <w:rFonts w:ascii="Arial" w:cs="Arial" w:eastAsia="Arial" w:hAnsi="Arial"/>
          <w:sz w:val="18"/>
          <w:szCs w:val="18"/>
          <w:color w:val="auto"/>
        </w:rPr>
      </w:pPr>
    </w:p>
    <w:p>
      <w:pPr>
        <w:jc w:val="both"/>
        <w:ind w:left="40" w:right="619" w:firstLine="272"/>
        <w:spacing w:after="0" w:line="259" w:lineRule="auto"/>
        <w:tabs>
          <w:tab w:leader="none" w:pos="693"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8" w:name="page299"/>
    <w:bookmarkEnd w:id="2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72"/>
        <w:spacing w:after="0" w:line="285" w:lineRule="auto"/>
        <w:tabs>
          <w:tab w:leader="none" w:pos="706"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any Redemption Price, the Company shall submit the disputed determinations or arithmetic calculations via facsimile within one (1) Business Day of receipt, or deemed receipt, of the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facsimile the disputed arithmetic calculation of the Redemption Price to an independent, outside accountant, selected by the Holder and approved by the Company, such approval not to be unreasonably withheld or delayed. The Company, at the Company’s expense, shall cause the accountant to perform the determinations or calculations and notify the Company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60" w:lineRule="exact"/>
        <w:rPr>
          <w:rFonts w:ascii="Arial" w:cs="Arial" w:eastAsia="Arial" w:hAnsi="Arial"/>
          <w:sz w:val="16"/>
          <w:szCs w:val="16"/>
          <w:color w:val="auto"/>
        </w:rPr>
      </w:pPr>
    </w:p>
    <w:p>
      <w:pPr>
        <w:ind w:left="700" w:hanging="388"/>
        <w:spacing w:after="0"/>
        <w:tabs>
          <w:tab w:leader="none" w:pos="7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NOTICES; PAYMENTS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92" w:lineRule="auto"/>
        <w:tabs>
          <w:tab w:leader="none" w:pos="887"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Note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Innovate/Protect, Inc.</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Vringo, Inc.</w:t>
      </w:r>
    </w:p>
    <w:p>
      <w:pPr>
        <w:ind w:left="840"/>
        <w:spacing w:after="0" w:line="209" w:lineRule="auto"/>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ind w:left="840"/>
        <w:spacing w:after="0"/>
        <w:rPr>
          <w:sz w:val="20"/>
          <w:szCs w:val="20"/>
          <w:color w:val="auto"/>
        </w:rPr>
      </w:pPr>
      <w:r>
        <w:rPr>
          <w:rFonts w:ascii="Arial" w:cs="Arial" w:eastAsia="Arial" w:hAnsi="Arial"/>
          <w:sz w:val="18"/>
          <w:szCs w:val="18"/>
          <w:color w:val="auto"/>
        </w:rPr>
        <w:t>New York, NY 10001</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Telephone:(212) 571-1244</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Facsimile: (646) 214-7946</w:t>
      </w:r>
    </w:p>
    <w:p>
      <w:pPr>
        <w:spacing w:after="0" w:line="11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4"/>
          <w:szCs w:val="14"/>
          <w:color w:val="auto"/>
        </w:rPr>
        <w:t>aberger@smartsearchlabs.com</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Chief Operating Officer</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to:</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Ellenoff Grossman &amp; Schole LLP</w:t>
      </w:r>
    </w:p>
    <w:p>
      <w:pPr>
        <w:ind w:left="840"/>
        <w:spacing w:after="0" w:line="218" w:lineRule="auto"/>
        <w:rPr>
          <w:sz w:val="20"/>
          <w:szCs w:val="20"/>
          <w:color w:val="auto"/>
        </w:rPr>
      </w:pPr>
      <w:r>
        <w:rPr>
          <w:rFonts w:ascii="Arial" w:cs="Arial" w:eastAsia="Arial" w:hAnsi="Arial"/>
          <w:sz w:val="18"/>
          <w:szCs w:val="18"/>
          <w:color w:val="auto"/>
        </w:rPr>
        <w:t>150 East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NY 10017</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Telephone:(212) 370-1300</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Facsimile: (212) 370-7889</w:t>
      </w:r>
    </w:p>
    <w:p>
      <w:pPr>
        <w:spacing w:after="0" w:line="11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bigrossman@egsllp.com</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Barry I. Grossman, Esq.</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Buyer: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Hudson Bay Master Fund Ltd.</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Hudson Bay Capital Management LP</w:t>
      </w:r>
    </w:p>
    <w:p>
      <w:pPr>
        <w:ind w:left="840"/>
        <w:spacing w:after="0" w:line="209" w:lineRule="auto"/>
        <w:rPr>
          <w:sz w:val="20"/>
          <w:szCs w:val="20"/>
          <w:color w:val="auto"/>
        </w:rPr>
      </w:pPr>
      <w:r>
        <w:rPr>
          <w:rFonts w:ascii="Arial" w:cs="Arial" w:eastAsia="Arial" w:hAnsi="Arial"/>
          <w:sz w:val="18"/>
          <w:szCs w:val="18"/>
          <w:color w:val="auto"/>
        </w:rPr>
        <w:t>777 Third Avenue,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840"/>
        <w:spacing w:after="0"/>
        <w:rPr>
          <w:sz w:val="20"/>
          <w:szCs w:val="20"/>
          <w:color w:val="auto"/>
        </w:rPr>
      </w:pPr>
      <w:r>
        <w:rPr>
          <w:rFonts w:ascii="Arial" w:cs="Arial" w:eastAsia="Arial" w:hAnsi="Arial"/>
          <w:sz w:val="18"/>
          <w:szCs w:val="18"/>
          <w:color w:val="auto"/>
        </w:rPr>
        <w:t>New York, NY 10017</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Telephone:(212) 571-1244</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Facsimile: (646) 214-7946</w:t>
      </w:r>
    </w:p>
    <w:p>
      <w:pPr>
        <w:spacing w:after="0" w:line="11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investments@hudsonbaycapital.com</w:t>
      </w:r>
    </w:p>
    <w:p>
      <w:pPr>
        <w:spacing w:after="0" w:line="2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operations@hudsonbaycapital.com</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Yoav Roth</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(for informational purposes only) to:</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Schulte Roth &amp; Zabel LLP</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919 Third Avenue</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New York 10022</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Telephone:(212) 756-2000</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Facsimile: (212) 593-5955</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Attention: Eleazer N. Klein, Esq.</w:t>
      </w:r>
    </w:p>
    <w:p>
      <w:pPr>
        <w:spacing w:after="0" w:line="114" w:lineRule="exact"/>
        <w:rPr>
          <w:sz w:val="20"/>
          <w:szCs w:val="20"/>
          <w:color w:val="auto"/>
        </w:rPr>
      </w:pPr>
    </w:p>
    <w:p>
      <w:pPr>
        <w:ind w:left="800"/>
        <w:spacing w:after="0"/>
        <w:tabs>
          <w:tab w:leader="none" w:pos="1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4"/>
          <w:szCs w:val="14"/>
          <w:color w:val="auto"/>
        </w:rPr>
        <w:t>eleazer.klein@srz.com</w:t>
      </w:r>
    </w:p>
    <w:p>
      <w:pPr>
        <w:spacing w:after="0" w:line="114" w:lineRule="exact"/>
        <w:rPr>
          <w:sz w:val="20"/>
          <w:szCs w:val="20"/>
          <w:color w:val="auto"/>
        </w:rPr>
      </w:pPr>
    </w:p>
    <w:p>
      <w:pPr>
        <w:jc w:val="both"/>
        <w:ind w:left="320" w:right="619"/>
        <w:spacing w:after="0" w:line="266" w:lineRule="auto"/>
        <w:rPr>
          <w:sz w:val="20"/>
          <w:szCs w:val="20"/>
          <w:color w:val="auto"/>
        </w:rPr>
      </w:pPr>
      <w:r>
        <w:rPr>
          <w:rFonts w:ascii="Arial" w:cs="Arial" w:eastAsia="Arial" w:hAnsi="Arial"/>
          <w:sz w:val="17"/>
          <w:szCs w:val="17"/>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twenty (20)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73" w:lineRule="exact"/>
        <w:rPr>
          <w:sz w:val="20"/>
          <w:szCs w:val="20"/>
          <w:color w:val="auto"/>
        </w:rPr>
      </w:pPr>
    </w:p>
    <w:p>
      <w:pPr>
        <w:jc w:val="both"/>
        <w:ind w:left="320" w:right="619" w:firstLine="260"/>
        <w:spacing w:after="0" w:line="266" w:lineRule="auto"/>
        <w:tabs>
          <w:tab w:leader="none" w:pos="911"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Whenever any payment of cash is to be made by the Company to any Person pursuant to this Note, such payment shall be made in lawful money of the United States of America by a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and, in the case of any Interest Date which is not the date on which this Note is paid in full, the extension of the due date thereof shall not be taken into account for purposes of determining the amount of Interest due on such date. Any amount of Principal or other amounts due under the Note Transaction Documents which is not paid when due shall result in a late charge being incurred and payable by the Company in an amount equal to interest on such amount at the rate of twenty four percent (24%) per annum from the Default Date due until the same is paid in full (“</w:t>
      </w:r>
      <w:r>
        <w:rPr>
          <w:rFonts w:ascii="Arial" w:cs="Arial" w:eastAsia="Arial" w:hAnsi="Arial"/>
          <w:sz w:val="17"/>
          <w:szCs w:val="17"/>
          <w:b w:val="1"/>
          <w:bCs w:val="1"/>
          <w:color w:val="auto"/>
        </w:rPr>
        <w:t>Late</w:t>
      </w:r>
      <w:r>
        <w:rPr>
          <w:rFonts w:ascii="Arial" w:cs="Arial" w:eastAsia="Arial" w:hAnsi="Arial"/>
          <w:sz w:val="17"/>
          <w:szCs w:val="17"/>
          <w:color w:val="auto"/>
        </w:rPr>
        <w:t xml:space="preserve"> </w:t>
      </w:r>
      <w:r>
        <w:rPr>
          <w:rFonts w:ascii="Arial" w:cs="Arial" w:eastAsia="Arial" w:hAnsi="Arial"/>
          <w:sz w:val="17"/>
          <w:szCs w:val="17"/>
          <w:b w:val="1"/>
          <w:bCs w:val="1"/>
          <w:color w:val="auto"/>
        </w:rPr>
        <w:t>Charge</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jc w:val="both"/>
        <w:ind w:left="40" w:right="619" w:firstLine="272"/>
        <w:spacing w:after="0" w:line="259" w:lineRule="auto"/>
        <w:tabs>
          <w:tab w:leader="none" w:pos="693"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78" w:lineRule="exact"/>
        <w:rPr>
          <w:rFonts w:ascii="Arial" w:cs="Arial" w:eastAsia="Arial" w:hAnsi="Arial"/>
          <w:sz w:val="18"/>
          <w:szCs w:val="18"/>
          <w:color w:val="auto"/>
        </w:rPr>
      </w:pPr>
    </w:p>
    <w:p>
      <w:pPr>
        <w:ind w:left="40" w:right="619" w:firstLine="272"/>
        <w:spacing w:after="0" w:line="300" w:lineRule="auto"/>
        <w:tabs>
          <w:tab w:leader="none" w:pos="693"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WAIVER OF NOTICE</w:t>
      </w:r>
      <w:r>
        <w:rPr>
          <w:rFonts w:ascii="Arial" w:cs="Arial" w:eastAsia="Arial" w:hAnsi="Arial"/>
          <w:sz w:val="17"/>
          <w:szCs w:val="17"/>
          <w:color w:val="auto"/>
        </w:rPr>
        <w:t>. To the extent permitted by law, the Company hereby waives demand, notice, protest and all other demands and notices in connection with the delivery, acceptance, performance, default or enforcement of this Note.</w:t>
      </w:r>
    </w:p>
    <w:p>
      <w:pPr>
        <w:spacing w:after="0" w:line="45" w:lineRule="exact"/>
        <w:rPr>
          <w:rFonts w:ascii="Arial" w:cs="Arial" w:eastAsia="Arial" w:hAnsi="Arial"/>
          <w:sz w:val="17"/>
          <w:szCs w:val="17"/>
          <w:color w:val="auto"/>
        </w:rPr>
      </w:pPr>
    </w:p>
    <w:p>
      <w:pPr>
        <w:jc w:val="both"/>
        <w:ind w:left="40" w:right="619" w:firstLine="272"/>
        <w:spacing w:after="0" w:line="268" w:lineRule="auto"/>
        <w:tabs>
          <w:tab w:leader="none" w:pos="720"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JURY TRIAL</w:t>
      </w:r>
      <w:r>
        <w:rPr>
          <w:rFonts w:ascii="Arial" w:cs="Arial" w:eastAsia="Arial" w:hAnsi="Arial"/>
          <w:sz w:val="17"/>
          <w:szCs w:val="17"/>
          <w:color w:val="auto"/>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0" w:name="page301"/>
    <w:bookmarkEnd w:id="3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6"/>
          <w:szCs w:val="16"/>
          <w:color w:val="auto"/>
        </w:rPr>
        <w:t xml:space="preserve">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it set forth on the signature page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w:t>
      </w:r>
    </w:p>
    <w:p>
      <w:pPr>
        <w:jc w:val="both"/>
        <w:ind w:left="40" w:right="639"/>
        <w:spacing w:after="0" w:line="251" w:lineRule="auto"/>
        <w:rPr>
          <w:sz w:val="20"/>
          <w:szCs w:val="20"/>
          <w:color w:val="auto"/>
        </w:rPr>
      </w:pPr>
      <w:r>
        <w:rPr>
          <w:rFonts w:ascii="Arial" w:cs="Arial" w:eastAsia="Arial" w:hAnsi="Arial"/>
          <w:sz w:val="18"/>
          <w:szCs w:val="18"/>
          <w:b w:val="1"/>
          <w:bCs w:val="1"/>
          <w:color w:val="auto"/>
        </w:rPr>
        <w:t>WAIVES ANY RIGHT IT MAY HAVE, AND AGREES NOT TO REQUEST, A JURY TRIAL FOR THE ADJUDICATION OF ANY DISPUTE HEREUNDER OR IN CONNECTION WITH OR ARISING OUT OF THIS NOTE OR ANY TRANSACTION CONTEMPLATED HEREBY.</w:t>
      </w:r>
    </w:p>
    <w:p>
      <w:pPr>
        <w:spacing w:after="0" w:line="86" w:lineRule="exact"/>
        <w:rPr>
          <w:sz w:val="20"/>
          <w:szCs w:val="20"/>
          <w:color w:val="auto"/>
        </w:rPr>
      </w:pPr>
    </w:p>
    <w:p>
      <w:pPr>
        <w:jc w:val="both"/>
        <w:ind w:left="40" w:right="619" w:firstLine="272"/>
        <w:spacing w:after="0" w:line="285" w:lineRule="auto"/>
        <w:tabs>
          <w:tab w:leader="none" w:pos="787"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65" w:lineRule="exact"/>
        <w:rPr>
          <w:rFonts w:ascii="Arial" w:cs="Arial" w:eastAsia="Arial" w:hAnsi="Arial"/>
          <w:sz w:val="16"/>
          <w:szCs w:val="16"/>
          <w:color w:val="auto"/>
        </w:rPr>
      </w:pPr>
    </w:p>
    <w:p>
      <w:pPr>
        <w:ind w:left="700" w:hanging="388"/>
        <w:spacing w:after="0"/>
        <w:tabs>
          <w:tab w:leader="none" w:pos="70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109" w:lineRule="exact"/>
        <w:rPr>
          <w:rFonts w:ascii="Arial" w:cs="Arial" w:eastAsia="Arial" w:hAnsi="Arial"/>
          <w:sz w:val="18"/>
          <w:szCs w:val="18"/>
          <w:color w:val="auto"/>
        </w:rPr>
      </w:pPr>
    </w:p>
    <w:p>
      <w:pPr>
        <w:ind w:left="860" w:hanging="280"/>
        <w:spacing w:after="0"/>
        <w:tabs>
          <w:tab w:leader="none" w:pos="8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405 under the Securities Act of 1933, as amended.</w:t>
      </w:r>
    </w:p>
    <w:p>
      <w:pPr>
        <w:spacing w:after="0" w:line="113" w:lineRule="exact"/>
        <w:rPr>
          <w:rFonts w:ascii="Arial" w:cs="Arial" w:eastAsia="Arial" w:hAnsi="Arial"/>
          <w:sz w:val="18"/>
          <w:szCs w:val="18"/>
          <w:color w:val="auto"/>
        </w:rPr>
      </w:pPr>
    </w:p>
    <w:p>
      <w:pPr>
        <w:ind w:left="320" w:right="639" w:firstLine="260"/>
        <w:spacing w:after="0" w:line="275" w:lineRule="auto"/>
        <w:tabs>
          <w:tab w:leader="none" w:pos="89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60" w:lineRule="exact"/>
        <w:rPr>
          <w:rFonts w:ascii="Arial" w:cs="Arial" w:eastAsia="Arial" w:hAnsi="Arial"/>
          <w:sz w:val="18"/>
          <w:szCs w:val="18"/>
          <w:color w:val="auto"/>
        </w:rPr>
      </w:pPr>
    </w:p>
    <w:p>
      <w:pPr>
        <w:jc w:val="both"/>
        <w:ind w:left="320" w:right="619" w:firstLine="260"/>
        <w:spacing w:after="0" w:line="289" w:lineRule="auto"/>
        <w:tabs>
          <w:tab w:leader="none" w:pos="954" w:val="left"/>
        </w:tabs>
        <w:numPr>
          <w:ilvl w:val="1"/>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53" w:lineRule="exact"/>
        <w:rPr>
          <w:rFonts w:ascii="Arial" w:cs="Arial" w:eastAsia="Arial" w:hAnsi="Arial"/>
          <w:sz w:val="16"/>
          <w:szCs w:val="16"/>
          <w:color w:val="auto"/>
        </w:rPr>
      </w:pPr>
    </w:p>
    <w:p>
      <w:pPr>
        <w:jc w:val="both"/>
        <w:ind w:left="320" w:right="619" w:firstLine="260"/>
        <w:spacing w:after="0" w:line="257" w:lineRule="auto"/>
        <w:tabs>
          <w:tab w:leader="none" w:pos="911"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spacing w:after="0" w:line="75" w:lineRule="exact"/>
        <w:rPr>
          <w:rFonts w:ascii="Arial" w:cs="Arial" w:eastAsia="Arial" w:hAnsi="Arial"/>
          <w:sz w:val="18"/>
          <w:szCs w:val="18"/>
          <w:color w:val="auto"/>
        </w:rPr>
      </w:pPr>
    </w:p>
    <w:p>
      <w:pPr>
        <w:jc w:val="both"/>
        <w:ind w:left="320" w:right="619" w:firstLine="260"/>
        <w:spacing w:after="0" w:line="294" w:lineRule="auto"/>
        <w:tabs>
          <w:tab w:leader="none" w:pos="874" w:val="left"/>
        </w:tabs>
        <w:numPr>
          <w:ilvl w:val="1"/>
          <w:numId w:val="2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w:t>
      </w:r>
    </w:p>
    <w:p>
      <w:pPr>
        <w:spacing w:after="0" w:line="200" w:lineRule="exact"/>
        <w:rPr>
          <w:sz w:val="20"/>
          <w:szCs w:val="20"/>
          <w:color w:val="auto"/>
        </w:rPr>
      </w:pPr>
    </w:p>
    <w:p>
      <w:pPr>
        <w:spacing w:after="0" w:line="2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1" w:name="page302"/>
    <w:bookmarkEnd w:id="3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81" w:lineRule="auto"/>
        <w:rPr>
          <w:sz w:val="20"/>
          <w:szCs w:val="20"/>
          <w:color w:val="auto"/>
        </w:rPr>
      </w:pPr>
      <w:r>
        <w:rPr>
          <w:rFonts w:ascii="Arial" w:cs="Arial" w:eastAsia="Arial" w:hAnsi="Arial"/>
          <w:sz w:val="16"/>
          <w:szCs w:val="16"/>
          <w:color w:val="auto"/>
        </w:rPr>
        <w:t>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and (f) marketable tax exempt securities rated A or higher by Moody’s or A+ or higher by Standard</w:t>
      </w:r>
    </w:p>
    <w:p>
      <w:pPr>
        <w:spacing w:after="0" w:line="3" w:lineRule="exact"/>
        <w:rPr>
          <w:sz w:val="20"/>
          <w:szCs w:val="20"/>
          <w:color w:val="auto"/>
        </w:rPr>
      </w:pPr>
    </w:p>
    <w:p>
      <w:pPr>
        <w:ind w:left="500" w:hanging="188"/>
        <w:spacing w:after="0"/>
        <w:tabs>
          <w:tab w:leader="none" w:pos="5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Poor’s, in each case, maturing within six months from the date of acquisition thereof.</w:t>
      </w:r>
    </w:p>
    <w:p>
      <w:pPr>
        <w:spacing w:after="0" w:line="96" w:lineRule="exact"/>
        <w:rPr>
          <w:rFonts w:ascii="Arial" w:cs="Arial" w:eastAsia="Arial" w:hAnsi="Arial"/>
          <w:sz w:val="18"/>
          <w:szCs w:val="18"/>
          <w:color w:val="auto"/>
        </w:rPr>
      </w:pPr>
    </w:p>
    <w:p>
      <w:pPr>
        <w:ind w:left="840" w:hanging="260"/>
        <w:spacing w:after="0"/>
        <w:tabs>
          <w:tab w:leader="none" w:pos="8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$0.0001 per share.</w:t>
      </w:r>
    </w:p>
    <w:p>
      <w:pPr>
        <w:spacing w:after="0" w:line="113" w:lineRule="exact"/>
        <w:rPr>
          <w:rFonts w:ascii="Arial" w:cs="Arial" w:eastAsia="Arial" w:hAnsi="Arial"/>
          <w:sz w:val="18"/>
          <w:szCs w:val="18"/>
          <w:color w:val="auto"/>
        </w:rPr>
      </w:pPr>
    </w:p>
    <w:p>
      <w:pPr>
        <w:jc w:val="both"/>
        <w:ind w:left="320" w:right="639" w:firstLine="260"/>
        <w:spacing w:after="0" w:line="273" w:lineRule="auto"/>
        <w:tabs>
          <w:tab w:leader="none" w:pos="924" w:val="left"/>
        </w:tabs>
        <w:numPr>
          <w:ilvl w:val="1"/>
          <w:numId w:val="2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64" w:lineRule="exact"/>
        <w:rPr>
          <w:rFonts w:ascii="Arial" w:cs="Arial" w:eastAsia="Arial" w:hAnsi="Arial"/>
          <w:sz w:val="17"/>
          <w:szCs w:val="17"/>
          <w:color w:val="auto"/>
        </w:rPr>
      </w:pPr>
    </w:p>
    <w:p>
      <w:pPr>
        <w:ind w:left="320" w:right="619" w:firstLine="260"/>
        <w:spacing w:after="0" w:line="275" w:lineRule="auto"/>
        <w:tabs>
          <w:tab w:leader="none" w:pos="88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Date</w:t>
      </w:r>
      <w:r>
        <w:rPr>
          <w:rFonts w:ascii="Arial" w:cs="Arial" w:eastAsia="Arial" w:hAnsi="Arial"/>
          <w:sz w:val="18"/>
          <w:szCs w:val="18"/>
          <w:color w:val="auto"/>
        </w:rPr>
        <w:t>” means the date that is four (4) days after the Holder gives notice of the existence of an Event of Default that has occurred and continued for at least eight (8) days.</w:t>
      </w:r>
    </w:p>
    <w:p>
      <w:pPr>
        <w:spacing w:after="0" w:line="60" w:lineRule="exact"/>
        <w:rPr>
          <w:rFonts w:ascii="Arial" w:cs="Arial" w:eastAsia="Arial" w:hAnsi="Arial"/>
          <w:sz w:val="18"/>
          <w:szCs w:val="18"/>
          <w:color w:val="auto"/>
        </w:rPr>
      </w:pPr>
    </w:p>
    <w:p>
      <w:pPr>
        <w:ind w:left="840" w:hanging="260"/>
        <w:spacing w:after="0"/>
        <w:tabs>
          <w:tab w:leader="none" w:pos="8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3" w:lineRule="exact"/>
        <w:rPr>
          <w:rFonts w:ascii="Arial" w:cs="Arial" w:eastAsia="Arial" w:hAnsi="Arial"/>
          <w:sz w:val="18"/>
          <w:szCs w:val="18"/>
          <w:color w:val="auto"/>
        </w:rPr>
      </w:pPr>
    </w:p>
    <w:p>
      <w:pPr>
        <w:jc w:val="both"/>
        <w:ind w:left="320" w:right="619" w:firstLine="260"/>
        <w:spacing w:after="0" w:line="283" w:lineRule="auto"/>
        <w:tabs>
          <w:tab w:leader="none" w:pos="938" w:val="left"/>
        </w:tabs>
        <w:numPr>
          <w:ilvl w:val="1"/>
          <w:numId w:val="2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(A) the Company shall, directly or indirectly, in one or more related transactions, (i) consolidate or merge with or into (whether or not the Company is the surviving corporation) another Person or Persons,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Voting Stock (not including any shares of Voting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63" w:lineRule="exact"/>
        <w:rPr>
          <w:rFonts w:ascii="Arial" w:cs="Arial" w:eastAsia="Arial" w:hAnsi="Arial"/>
          <w:sz w:val="16"/>
          <w:szCs w:val="16"/>
          <w:color w:val="auto"/>
        </w:rPr>
      </w:pPr>
    </w:p>
    <w:p>
      <w:pPr>
        <w:ind w:left="880" w:hanging="300"/>
        <w:spacing w:after="0"/>
        <w:tabs>
          <w:tab w:leader="none" w:pos="8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113" w:lineRule="exact"/>
        <w:rPr>
          <w:rFonts w:ascii="Arial" w:cs="Arial" w:eastAsia="Arial" w:hAnsi="Arial"/>
          <w:sz w:val="18"/>
          <w:szCs w:val="18"/>
          <w:color w:val="auto"/>
        </w:rPr>
      </w:pPr>
    </w:p>
    <w:p>
      <w:pPr>
        <w:jc w:val="both"/>
        <w:ind w:left="320" w:right="619" w:firstLine="260"/>
        <w:spacing w:after="0" w:line="285" w:lineRule="auto"/>
        <w:tabs>
          <w:tab w:leader="none" w:pos="858" w:val="left"/>
        </w:tabs>
        <w:numPr>
          <w:ilvl w:val="1"/>
          <w:numId w:val="2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w:t>
      </w: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2" w:name="page303"/>
    <w:bookmarkEnd w:id="3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81" w:lineRule="exact"/>
        <w:rPr>
          <w:sz w:val="20"/>
          <w:szCs w:val="20"/>
          <w:color w:val="auto"/>
        </w:rPr>
      </w:pPr>
    </w:p>
    <w:p>
      <w:pPr>
        <w:ind w:left="920" w:hanging="340"/>
        <w:spacing w:after="0"/>
        <w:tabs>
          <w:tab w:leader="none" w:pos="9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0.46% per annum, subject to adjustment as set forth in Section 2.</w:t>
      </w:r>
    </w:p>
    <w:p>
      <w:pPr>
        <w:spacing w:after="0" w:line="113" w:lineRule="exact"/>
        <w:rPr>
          <w:rFonts w:ascii="Arial" w:cs="Arial" w:eastAsia="Arial" w:hAnsi="Arial"/>
          <w:sz w:val="18"/>
          <w:szCs w:val="18"/>
          <w:color w:val="auto"/>
        </w:rPr>
      </w:pPr>
    </w:p>
    <w:p>
      <w:pPr>
        <w:jc w:val="both"/>
        <w:ind w:left="320" w:right="619" w:firstLine="260"/>
        <w:spacing w:after="0" w:line="254" w:lineRule="auto"/>
        <w:tabs>
          <w:tab w:leader="none" w:pos="88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material adverse effect on the business, properties, assets, operations, results of operations, condition (financial or otherwise) or prospects of the Parent and its Subsidiaries, individually or taken as a whole, or on the transactions contemplated hereby or on the other Note Transaction Documents or by the agreements and instruments to be entered into in connection herewith or therewith, or on the authority or ability of the Company to perform its obligations under the Note Transaction Documents.</w:t>
      </w:r>
    </w:p>
    <w:p>
      <w:pPr>
        <w:spacing w:after="0" w:line="80" w:lineRule="exact"/>
        <w:rPr>
          <w:rFonts w:ascii="Arial" w:cs="Arial" w:eastAsia="Arial" w:hAnsi="Arial"/>
          <w:sz w:val="18"/>
          <w:szCs w:val="18"/>
          <w:color w:val="auto"/>
        </w:rPr>
      </w:pPr>
    </w:p>
    <w:p>
      <w:pPr>
        <w:ind w:left="320" w:right="619" w:firstLine="260"/>
        <w:spacing w:after="0" w:line="275" w:lineRule="auto"/>
        <w:tabs>
          <w:tab w:leader="none" w:pos="93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Party</w:t>
      </w:r>
      <w:r>
        <w:rPr>
          <w:rFonts w:ascii="Arial" w:cs="Arial" w:eastAsia="Arial" w:hAnsi="Arial"/>
          <w:sz w:val="18"/>
          <w:szCs w:val="18"/>
          <w:color w:val="auto"/>
        </w:rPr>
        <w:t>” means each of the Company, the Parent and each other Subsidiary of the Parent party to any Note Transaction Document.</w:t>
      </w:r>
    </w:p>
    <w:p>
      <w:pPr>
        <w:spacing w:after="0" w:line="60" w:lineRule="exact"/>
        <w:rPr>
          <w:rFonts w:ascii="Arial" w:cs="Arial" w:eastAsia="Arial" w:hAnsi="Arial"/>
          <w:sz w:val="18"/>
          <w:szCs w:val="18"/>
          <w:color w:val="auto"/>
        </w:rPr>
      </w:pPr>
    </w:p>
    <w:p>
      <w:pPr>
        <w:ind w:left="880" w:hanging="300"/>
        <w:spacing w:after="0"/>
        <w:tabs>
          <w:tab w:leader="none" w:pos="8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Transaction Documents</w:t>
      </w:r>
      <w:r>
        <w:rPr>
          <w:rFonts w:ascii="Arial" w:cs="Arial" w:eastAsia="Arial" w:hAnsi="Arial"/>
          <w:sz w:val="18"/>
          <w:szCs w:val="18"/>
          <w:color w:val="auto"/>
        </w:rPr>
        <w:t>” means this Note and the Security Documents.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Vringo, Inc., a Delaware corporation.</w:t>
      </w:r>
    </w:p>
    <w:p>
      <w:pPr>
        <w:spacing w:after="0" w:line="113" w:lineRule="exact"/>
        <w:rPr>
          <w:rFonts w:ascii="Arial" w:cs="Arial" w:eastAsia="Arial" w:hAnsi="Arial"/>
          <w:sz w:val="18"/>
          <w:szCs w:val="18"/>
          <w:color w:val="auto"/>
        </w:rPr>
      </w:pPr>
    </w:p>
    <w:p>
      <w:pPr>
        <w:jc w:val="both"/>
        <w:ind w:left="320" w:right="619" w:firstLine="260"/>
        <w:spacing w:after="0" w:line="269" w:lineRule="auto"/>
        <w:tabs>
          <w:tab w:leader="none" w:pos="854" w:val="left"/>
        </w:tabs>
        <w:numPr>
          <w:ilvl w:val="1"/>
          <w:numId w:val="2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means (i) Indebtedness evidenced by this Note, (ii) unsecured Indebtedness incurred by the Parent or any of its Subsidiaries that is made expressly subordinate in right of payment to the Indebtedness evidenced by this Note,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8% per annum, (iii) Specified Indebtedness and (iv) Indebtedness secured by Permitted Liens described in clauses (ii), (iii), (iv) and (v) of the definition of Permitted Liens.</w:t>
      </w:r>
    </w:p>
    <w:p>
      <w:pPr>
        <w:spacing w:after="0" w:line="70" w:lineRule="exact"/>
        <w:rPr>
          <w:rFonts w:ascii="Arial" w:cs="Arial" w:eastAsia="Arial" w:hAnsi="Arial"/>
          <w:sz w:val="17"/>
          <w:szCs w:val="17"/>
          <w:color w:val="auto"/>
        </w:rPr>
      </w:pPr>
    </w:p>
    <w:p>
      <w:pPr>
        <w:jc w:val="both"/>
        <w:ind w:left="320" w:right="619" w:firstLine="260"/>
        <w:spacing w:after="0" w:line="280" w:lineRule="auto"/>
        <w:tabs>
          <w:tab w:leader="none" w:pos="931" w:val="left"/>
        </w:tabs>
        <w:numPr>
          <w:ilvl w:val="1"/>
          <w:numId w:val="2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Parent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Parent’s business, not interfering in any material respect with the business of the Parent and its Subsidiaries taken as a whole, (vii) Liens in favor of customs and revenue authorities arising as a matter of law to secure payments of custom duties in connection with the importation of goods, and (viii) Liens arising from judgments, decrees or attachments in circumstances not constituting an Event of Default under Section 4(a)(v) and</w:t>
      </w:r>
    </w:p>
    <w:p>
      <w:pPr>
        <w:spacing w:after="0" w:line="4" w:lineRule="exact"/>
        <w:rPr>
          <w:rFonts w:ascii="Arial" w:cs="Arial" w:eastAsia="Arial" w:hAnsi="Arial"/>
          <w:sz w:val="16"/>
          <w:szCs w:val="16"/>
          <w:color w:val="auto"/>
        </w:rPr>
      </w:pPr>
    </w:p>
    <w:p>
      <w:pPr>
        <w:ind w:left="620" w:hanging="308"/>
        <w:spacing w:after="0"/>
        <w:tabs>
          <w:tab w:leader="none" w:pos="6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Liens securing Specified Indebtedness as described in such definition.</w:t>
      </w:r>
    </w:p>
    <w:p>
      <w:pPr>
        <w:spacing w:after="0" w:line="96" w:lineRule="exact"/>
        <w:rPr>
          <w:rFonts w:ascii="Arial" w:cs="Arial" w:eastAsia="Arial" w:hAnsi="Arial"/>
          <w:sz w:val="18"/>
          <w:szCs w:val="18"/>
          <w:color w:val="auto"/>
        </w:rPr>
      </w:pPr>
    </w:p>
    <w:p>
      <w:pPr>
        <w:jc w:val="both"/>
        <w:ind w:left="320" w:right="619" w:firstLine="260"/>
        <w:spacing w:after="0" w:line="261" w:lineRule="auto"/>
        <w:tabs>
          <w:tab w:leader="none" w:pos="88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Senior Indebtedness</w:t>
      </w:r>
      <w:r>
        <w:rPr>
          <w:rFonts w:ascii="Arial" w:cs="Arial" w:eastAsia="Arial" w:hAnsi="Arial"/>
          <w:sz w:val="18"/>
          <w:szCs w:val="18"/>
          <w:color w:val="auto"/>
        </w:rPr>
        <w:t>” means the following Indebtedness (with applicable lien priorities which may be senior or junior, as the case may be and with payment priorities to the extent, but only to the extent, of any proceeds from the collateral which the holders of Permitted Senior</w:t>
      </w:r>
    </w:p>
    <w:p>
      <w:pPr>
        <w:spacing w:after="0" w:line="200" w:lineRule="exact"/>
        <w:rPr>
          <w:sz w:val="20"/>
          <w:szCs w:val="20"/>
          <w:color w:val="auto"/>
        </w:rPr>
      </w:pPr>
    </w:p>
    <w:p>
      <w:pPr>
        <w:spacing w:after="0" w:line="3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3" w:name="page304"/>
    <w:bookmarkEnd w:id="3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59" w:lineRule="auto"/>
        <w:rPr>
          <w:sz w:val="20"/>
          <w:szCs w:val="20"/>
          <w:color w:val="auto"/>
        </w:rPr>
      </w:pPr>
      <w:r>
        <w:rPr>
          <w:rFonts w:ascii="Arial" w:cs="Arial" w:eastAsia="Arial" w:hAnsi="Arial"/>
          <w:sz w:val="18"/>
          <w:szCs w:val="18"/>
          <w:color w:val="auto"/>
        </w:rPr>
        <w:t>Indebtedness have a lien on and which lien is senior to the liens by which this Note is secured): (i) Indebtedness permitted under clause (iii) of the definition of Permitted Indebtedness and (ii) Indebtedness permitted under clause (iv) of the definition of Permitted Indebtedness.</w:t>
      </w:r>
    </w:p>
    <w:p>
      <w:pPr>
        <w:spacing w:after="0" w:line="74" w:lineRule="exact"/>
        <w:rPr>
          <w:sz w:val="20"/>
          <w:szCs w:val="20"/>
          <w:color w:val="auto"/>
        </w:rPr>
      </w:pPr>
    </w:p>
    <w:p>
      <w:pPr>
        <w:ind w:left="320" w:right="639" w:firstLine="260"/>
        <w:spacing w:after="0" w:line="275" w:lineRule="auto"/>
        <w:tabs>
          <w:tab w:leader="none" w:pos="9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60" w:lineRule="exact"/>
        <w:rPr>
          <w:rFonts w:ascii="Arial" w:cs="Arial" w:eastAsia="Arial" w:hAnsi="Arial"/>
          <w:sz w:val="18"/>
          <w:szCs w:val="18"/>
          <w:color w:val="auto"/>
        </w:rPr>
      </w:pPr>
    </w:p>
    <w:p>
      <w:pPr>
        <w:ind w:left="320" w:right="619" w:firstLine="260"/>
        <w:spacing w:after="0" w:line="275" w:lineRule="auto"/>
        <w:tabs>
          <w:tab w:leader="none" w:pos="9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Date</w:t>
      </w:r>
      <w:r>
        <w:rPr>
          <w:rFonts w:ascii="Arial" w:cs="Arial" w:eastAsia="Arial" w:hAnsi="Arial"/>
          <w:sz w:val="18"/>
          <w:szCs w:val="18"/>
          <w:color w:val="auto"/>
        </w:rPr>
        <w:t>” means the date the shares of Common Stock of the Company (or its successor by merger, recapitalization, reorganization, or otherwise) are registered under the Exchange Act.</w:t>
      </w:r>
    </w:p>
    <w:p>
      <w:pPr>
        <w:spacing w:after="0" w:line="60" w:lineRule="exact"/>
        <w:rPr>
          <w:rFonts w:ascii="Arial" w:cs="Arial" w:eastAsia="Arial" w:hAnsi="Arial"/>
          <w:sz w:val="18"/>
          <w:szCs w:val="18"/>
          <w:color w:val="auto"/>
        </w:rPr>
      </w:pPr>
    </w:p>
    <w:p>
      <w:pPr>
        <w:jc w:val="both"/>
        <w:ind w:left="320" w:right="639" w:firstLine="260"/>
        <w:spacing w:after="0" w:line="261" w:lineRule="auto"/>
        <w:tabs>
          <w:tab w:leader="none" w:pos="9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Amount</w:t>
      </w:r>
      <w:r>
        <w:rPr>
          <w:rFonts w:ascii="Arial" w:cs="Arial" w:eastAsia="Arial" w:hAnsi="Arial"/>
          <w:sz w:val="18"/>
          <w:szCs w:val="18"/>
          <w:color w:val="auto"/>
        </w:rPr>
        <w:t>” means the sum of (A) the portion of the Principal to be redeemed or otherwise with respect to which this determination is being made, (B) accrued and unpaid Interest with respect to such Principal and (C) accrued and unpaid Late Charged with respect to such Principal and Interest.</w:t>
      </w:r>
    </w:p>
    <w:p>
      <w:pPr>
        <w:spacing w:after="0" w:line="73" w:lineRule="exact"/>
        <w:rPr>
          <w:rFonts w:ascii="Arial" w:cs="Arial" w:eastAsia="Arial" w:hAnsi="Arial"/>
          <w:sz w:val="18"/>
          <w:szCs w:val="18"/>
          <w:color w:val="auto"/>
        </w:rPr>
      </w:pPr>
    </w:p>
    <w:p>
      <w:pPr>
        <w:ind w:left="320" w:right="619" w:firstLine="260"/>
        <w:spacing w:after="0" w:line="305" w:lineRule="auto"/>
        <w:tabs>
          <w:tab w:leader="none" w:pos="97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Notices</w:t>
      </w:r>
      <w:r>
        <w:rPr>
          <w:rFonts w:ascii="Arial" w:cs="Arial" w:eastAsia="Arial" w:hAnsi="Arial"/>
          <w:sz w:val="17"/>
          <w:szCs w:val="17"/>
          <w:color w:val="auto"/>
        </w:rPr>
        <w:t>” means, collectively, the Event of Default Redemption Notices, the Change of Control Redemption Notices and the Optional Redemption Notices, each of the foregoing, individually, a Redemption Notice.</w:t>
      </w:r>
    </w:p>
    <w:p>
      <w:pPr>
        <w:spacing w:after="0" w:line="37" w:lineRule="exact"/>
        <w:rPr>
          <w:rFonts w:ascii="Arial" w:cs="Arial" w:eastAsia="Arial" w:hAnsi="Arial"/>
          <w:sz w:val="17"/>
          <w:szCs w:val="17"/>
          <w:color w:val="auto"/>
        </w:rPr>
      </w:pPr>
    </w:p>
    <w:p>
      <w:pPr>
        <w:ind w:left="320" w:right="639" w:firstLine="260"/>
        <w:spacing w:after="0" w:line="275" w:lineRule="auto"/>
        <w:tabs>
          <w:tab w:leader="none" w:pos="89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Prices</w:t>
      </w:r>
      <w:r>
        <w:rPr>
          <w:rFonts w:ascii="Arial" w:cs="Arial" w:eastAsia="Arial" w:hAnsi="Arial"/>
          <w:sz w:val="18"/>
          <w:szCs w:val="18"/>
          <w:color w:val="auto"/>
        </w:rPr>
        <w:t>” means, collectively, the Event of Default Redemption Price, the Change of Control Redemption Price and the Optional Redemption Prices, each of the foregoing, individually, a Redemption Price.</w:t>
      </w:r>
    </w:p>
    <w:p>
      <w:pPr>
        <w:spacing w:after="0" w:line="60" w:lineRule="exact"/>
        <w:rPr>
          <w:rFonts w:ascii="Arial" w:cs="Arial" w:eastAsia="Arial" w:hAnsi="Arial"/>
          <w:sz w:val="18"/>
          <w:szCs w:val="18"/>
          <w:color w:val="auto"/>
        </w:rPr>
      </w:pPr>
    </w:p>
    <w:p>
      <w:pPr>
        <w:jc w:val="both"/>
        <w:ind w:left="320" w:right="619" w:firstLine="260"/>
        <w:spacing w:after="0" w:line="287" w:lineRule="auto"/>
        <w:tabs>
          <w:tab w:leader="none" w:pos="88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(i) that certain Amended and Restated Pledge and Security Agreement, dated as of the date hereof, by and among Parent and its Subsidiaries pursuant to which Parent and its Subsidiaries granted security interests in and liens on their assets in favor of the Buyer (as defined therein) to secure their respective obligations under the Note Transaction Documents, (ii) that certain Amended and Restated Guaranty, dated as of the date hereof, by and among Parent and certain of its Subsidiaries pursuant to which Parent and such Subsidiaries guaranteed all of the obligations of the Company under the Note Transaction Documents in favor of the Buyer, and (iii) any ancillary agreements, instruments and other documents relating to the enforcement or protection of the Collateral, including, agreements, instruments and other documents to create or further the attachment, perfection or priority of the liens on and security interests in the Collateral.</w:t>
      </w:r>
    </w:p>
    <w:p>
      <w:pPr>
        <w:spacing w:after="0" w:line="58" w:lineRule="exact"/>
        <w:rPr>
          <w:sz w:val="20"/>
          <w:szCs w:val="20"/>
          <w:color w:val="auto"/>
        </w:rPr>
      </w:pPr>
    </w:p>
    <w:p>
      <w:pPr>
        <w:jc w:val="both"/>
        <w:ind w:left="320" w:right="619" w:firstLine="260"/>
        <w:spacing w:after="0" w:line="267" w:lineRule="auto"/>
        <w:tabs>
          <w:tab w:leader="none" w:pos="993"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Indebtedness</w:t>
      </w:r>
      <w:r>
        <w:rPr>
          <w:rFonts w:ascii="Arial" w:cs="Arial" w:eastAsia="Arial" w:hAnsi="Arial"/>
          <w:sz w:val="17"/>
          <w:szCs w:val="17"/>
          <w:color w:val="auto"/>
        </w:rPr>
        <w:t xml:space="preserve">” means, on or prior to the date that is 18 months after the first issuance of the Series A Preferred Stock (the “Series A Preferred Stock”) of the Parent to the Holder, Indebtedness, to the extent such Indebtedness (i) is issued or incurred with net proceeds to the Parent or (ii) will have an outstanding principal amount incurred plus accrued interest, as applicable, in an amount, individually or in the aggregate, up to $6,000,000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then outstanding principal amount of this Note;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Parent and its Subsidiaries shall be permitted to incur Indebtedness, provided, that the liens or other encumbrances, if any, on such Indebtedness cover only assets acquired after the initial issuance date of the Series A Preferred Stock, and the holder of such Indebtedness expressly subordinates to the holders of the Series A Preferred Stock with respect to assets owned by the Parent on or prior to such initial issuance date pursuant to a subordination agreement in form and substance reasonably satisfactory to the Required Holders (as defined in the instrument governing the Series A Preferred Stock).</w:t>
      </w:r>
    </w:p>
    <w:p>
      <w:pPr>
        <w:spacing w:after="0" w:line="70" w:lineRule="exact"/>
        <w:rPr>
          <w:rFonts w:ascii="Arial" w:cs="Arial" w:eastAsia="Arial" w:hAnsi="Arial"/>
          <w:sz w:val="17"/>
          <w:szCs w:val="17"/>
          <w:color w:val="auto"/>
        </w:rPr>
      </w:pPr>
    </w:p>
    <w:p>
      <w:pPr>
        <w:jc w:val="both"/>
        <w:ind w:left="320" w:right="639" w:firstLine="260"/>
        <w:spacing w:after="0" w:line="309" w:lineRule="auto"/>
        <w:tabs>
          <w:tab w:leader="none" w:pos="100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Subscription Agreement</w:t>
      </w:r>
      <w:r>
        <w:rPr>
          <w:rFonts w:ascii="Arial" w:cs="Arial" w:eastAsia="Arial" w:hAnsi="Arial"/>
          <w:sz w:val="16"/>
          <w:szCs w:val="16"/>
          <w:color w:val="auto"/>
        </w:rPr>
        <w:t>” means that certain subscription agreement dated as of June 22, 2011 by and among the Company and the Holder pursuant to which the Company issued to the Holder this Note and certain shares of convertible preferred stock, as the same may be amended, restated, supplemented or otherwise modified from time to time.</w:t>
      </w:r>
    </w:p>
    <w:p>
      <w:pPr>
        <w:spacing w:after="0" w:line="37" w:lineRule="exact"/>
        <w:rPr>
          <w:rFonts w:ascii="Arial" w:cs="Arial" w:eastAsia="Arial" w:hAnsi="Arial"/>
          <w:sz w:val="16"/>
          <w:szCs w:val="16"/>
          <w:color w:val="auto"/>
        </w:rPr>
      </w:pPr>
    </w:p>
    <w:p>
      <w:pPr>
        <w:ind w:left="320" w:right="639" w:firstLine="260"/>
        <w:spacing w:after="0" w:line="275" w:lineRule="auto"/>
        <w:tabs>
          <w:tab w:leader="none" w:pos="96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entity in which the Parent, directly or indirectly, owns at least a majority of the voting stock or voting securities.</w:t>
      </w:r>
    </w:p>
    <w:p>
      <w:pPr>
        <w:spacing w:after="0" w:line="60" w:lineRule="exact"/>
        <w:rPr>
          <w:rFonts w:ascii="Arial" w:cs="Arial" w:eastAsia="Arial" w:hAnsi="Arial"/>
          <w:sz w:val="18"/>
          <w:szCs w:val="18"/>
          <w:color w:val="auto"/>
        </w:rPr>
      </w:pPr>
    </w:p>
    <w:p>
      <w:pPr>
        <w:ind w:left="320" w:right="639" w:firstLine="260"/>
        <w:spacing w:after="0" w:line="305" w:lineRule="auto"/>
        <w:tabs>
          <w:tab w:leader="none" w:pos="102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w:t>
      </w:r>
      <w:r>
        <w:rPr>
          <w:rFonts w:ascii="Arial" w:cs="Arial" w:eastAsia="Arial" w:hAnsi="Arial"/>
          <w:sz w:val="17"/>
          <w:szCs w:val="17"/>
          <w:color w:val="auto"/>
        </w:rPr>
        <w:t>” means the Person, which may be the Company, formed by, resulting from or surviving any Fundamental Transaction or the Person with which such Fundamental Transaction shall have been made.</w:t>
      </w:r>
    </w:p>
    <w:p>
      <w:pPr>
        <w:spacing w:after="0" w:line="200" w:lineRule="exact"/>
        <w:rPr>
          <w:sz w:val="20"/>
          <w:szCs w:val="20"/>
          <w:color w:val="auto"/>
        </w:rPr>
      </w:pPr>
    </w:p>
    <w:p>
      <w:pPr>
        <w:spacing w:after="0" w:line="2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4" w:name="page305"/>
    <w:bookmarkEnd w:id="3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320" w:right="619" w:firstLine="260"/>
        <w:spacing w:after="0" w:line="276" w:lineRule="auto"/>
        <w:tabs>
          <w:tab w:leader="none" w:pos="966" w:val="left"/>
        </w:tabs>
        <w:numPr>
          <w:ilvl w:val="1"/>
          <w:numId w:val="2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Stock</w:t>
      </w:r>
      <w:r>
        <w:rPr>
          <w:rFonts w:ascii="Arial" w:cs="Arial" w:eastAsia="Arial" w:hAnsi="Arial"/>
          <w:sz w:val="17"/>
          <w:szCs w:val="17"/>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67" w:lineRule="exact"/>
        <w:rPr>
          <w:rFonts w:ascii="Arial" w:cs="Arial" w:eastAsia="Arial" w:hAnsi="Arial"/>
          <w:sz w:val="17"/>
          <w:szCs w:val="17"/>
          <w:color w:val="auto"/>
        </w:rPr>
      </w:pPr>
    </w:p>
    <w:p>
      <w:pPr>
        <w:jc w:val="both"/>
        <w:ind w:left="40" w:right="619" w:firstLine="272"/>
        <w:spacing w:after="0" w:line="266" w:lineRule="auto"/>
        <w:tabs>
          <w:tab w:leader="none" w:pos="706"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Note after the Public Company Date, unless the Company has in good faith determined that the matters relating to such notice do not constitute material, nonpublic information relating to the Company or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In addition, contemporaneously with the occurrence of either event described in Sections 6(i) or 6(ii), the Company shall publicly disclose the occurrence of such event (whether by press release or otherwise).</w:t>
      </w:r>
    </w:p>
    <w:p>
      <w:pPr>
        <w:spacing w:after="0" w:line="74" w:lineRule="exact"/>
        <w:rPr>
          <w:rFonts w:ascii="Arial" w:cs="Arial" w:eastAsia="Arial" w:hAnsi="Arial"/>
          <w:sz w:val="17"/>
          <w:szCs w:val="17"/>
          <w:color w:val="auto"/>
        </w:rPr>
      </w:pPr>
    </w:p>
    <w:p>
      <w:pPr>
        <w:jc w:val="both"/>
        <w:ind w:left="40" w:right="619" w:firstLine="272"/>
        <w:spacing w:after="0" w:line="253" w:lineRule="auto"/>
        <w:tabs>
          <w:tab w:leader="none" w:pos="706" w:val="left"/>
        </w:tabs>
        <w:numPr>
          <w:ilvl w:val="0"/>
          <w:numId w:val="266"/>
        </w:numPr>
        <w:rPr>
          <w:rFonts w:ascii="Arial" w:cs="Arial" w:eastAsia="Arial" w:hAnsi="Arial"/>
          <w:sz w:val="18"/>
          <w:szCs w:val="18"/>
          <w:color w:val="auto"/>
        </w:rPr>
      </w:pPr>
      <w:r>
        <w:rPr>
          <w:rFonts w:ascii="Arial" w:cs="Arial" w:eastAsia="Arial" w:hAnsi="Arial"/>
          <w:sz w:val="18"/>
          <w:szCs w:val="18"/>
          <w:b w:val="1"/>
          <w:bCs w:val="1"/>
          <w:u w:val="single" w:color="auto"/>
          <w:color w:val="auto"/>
        </w:rPr>
        <w:t>ASSUMPTION; AMENDMENT AND RESTATEMENT</w:t>
      </w:r>
      <w:r>
        <w:rPr>
          <w:rFonts w:ascii="Arial" w:cs="Arial" w:eastAsia="Arial" w:hAnsi="Arial"/>
          <w:sz w:val="18"/>
          <w:szCs w:val="18"/>
          <w:b w:val="1"/>
          <w:bCs w:val="1"/>
          <w:color w:val="auto"/>
        </w:rPr>
        <w:t>. This Note amends and restates in its entirety the Senior Secured Note, dated June 22, 2011, as amended, originally made by the Company (as successor to Labrador Search Corporation) to the order of the Holder (the “Original Note”). This Note shall not in any way constitute (i) an extinguishment of the indebtedness of the Company under the Original Note, (ii) a release or other discharge of the Company from any of its obligations and liabilities under the Original Note or any documents related thereto, or (iii) a novation of the Original Note.</w:t>
      </w:r>
    </w:p>
    <w:p>
      <w:pPr>
        <w:spacing w:after="0" w:line="8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5" w:name="page306"/>
    <w:bookmarkEnd w:id="3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firstLine="267"/>
        <w:spacing w:after="0" w:line="255" w:lineRule="auto"/>
        <w:rPr>
          <w:sz w:val="20"/>
          <w:szCs w:val="20"/>
          <w:color w:val="auto"/>
        </w:rPr>
      </w:pPr>
      <w:r>
        <w:rPr>
          <w:rFonts w:ascii="Arial" w:cs="Arial" w:eastAsia="Arial" w:hAnsi="Arial"/>
          <w:sz w:val="18"/>
          <w:szCs w:val="18"/>
          <w:color w:val="auto"/>
        </w:rPr>
        <w:t>IN WITNESS WHEREOF, the Company has caused this Note to be duly executed as of the Amendment and Restatement Date set out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435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b w:val="1"/>
          <w:bCs w:val="1"/>
          <w:color w:val="auto"/>
        </w:rPr>
        <w:t>INNOVATE/PROTECT, INC.</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06" w:name="page307"/>
    <w:bookmarkEnd w:id="3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I</w:t>
      </w:r>
    </w:p>
    <w:p>
      <w:pPr>
        <w:spacing w:after="0" w:line="2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FORM OF AMENDED AND RESTATED PLEDGE AND SECURITY AGREEMENT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AMENDED AND RESTATED PLEDGE AND SECURITY AGREEMENT</w:t>
      </w:r>
      <w:r>
        <w:rPr>
          <w:rFonts w:ascii="Arial" w:cs="Arial" w:eastAsia="Arial" w:hAnsi="Arial"/>
          <w:sz w:val="18"/>
          <w:szCs w:val="18"/>
          <w:color w:val="auto"/>
        </w:rPr>
        <w:t>, dated as of [_______ __], 2012 (this</w:t>
      </w:r>
    </w:p>
    <w:p>
      <w:pPr>
        <w:spacing w:after="0" w:line="24" w:lineRule="exact"/>
        <w:rPr>
          <w:sz w:val="20"/>
          <w:szCs w:val="20"/>
          <w:color w:val="auto"/>
        </w:rPr>
      </w:pPr>
    </w:p>
    <w:p>
      <w:pPr>
        <w:jc w:val="both"/>
        <w:ind w:left="40" w:right="61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made by </w:t>
      </w: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its existing “Subsidiaries” (as defined in the Note defined below) as named on the signature pages hereto (collectively, the “</w:t>
      </w:r>
      <w:r>
        <w:rPr>
          <w:rFonts w:ascii="Arial" w:cs="Arial" w:eastAsia="Arial" w:hAnsi="Arial"/>
          <w:sz w:val="17"/>
          <w:szCs w:val="17"/>
          <w:b w:val="1"/>
          <w:bCs w:val="1"/>
          <w:color w:val="auto"/>
        </w:rPr>
        <w:t>Existing Subsidiaries</w:t>
      </w:r>
      <w:r>
        <w:rPr>
          <w:rFonts w:ascii="Arial" w:cs="Arial" w:eastAsia="Arial" w:hAnsi="Arial"/>
          <w:sz w:val="17"/>
          <w:szCs w:val="17"/>
          <w:color w:val="auto"/>
        </w:rPr>
        <w:t>”) and each other Subsidiary of the Company hereafter becoming party hereto (each individually referred to herein as a “</w:t>
      </w:r>
      <w:r>
        <w:rPr>
          <w:rFonts w:ascii="Arial" w:cs="Arial" w:eastAsia="Arial" w:hAnsi="Arial"/>
          <w:sz w:val="17"/>
          <w:szCs w:val="17"/>
          <w:b w:val="1"/>
          <w:bCs w:val="1"/>
          <w:color w:val="auto"/>
        </w:rPr>
        <w:t>New Subsidiary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Subsidiaries</w:t>
      </w:r>
      <w:r>
        <w:rPr>
          <w:rFonts w:ascii="Arial" w:cs="Arial" w:eastAsia="Arial" w:hAnsi="Arial"/>
          <w:sz w:val="17"/>
          <w:szCs w:val="17"/>
          <w:color w:val="auto"/>
        </w:rPr>
        <w:t>,” together with the Company and the Existing Subsidiaries, each a “</w:t>
      </w:r>
      <w:r>
        <w:rPr>
          <w:rFonts w:ascii="Arial" w:cs="Arial" w:eastAsia="Arial" w:hAnsi="Arial"/>
          <w:sz w:val="17"/>
          <w:szCs w:val="17"/>
          <w:b w:val="1"/>
          <w:bCs w:val="1"/>
          <w:color w:val="auto"/>
        </w:rPr>
        <w:t>Grantor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Grantors</w:t>
      </w:r>
      <w:r>
        <w:rPr>
          <w:rFonts w:ascii="Arial" w:cs="Arial" w:eastAsia="Arial" w:hAnsi="Arial"/>
          <w:sz w:val="17"/>
          <w:szCs w:val="17"/>
          <w:color w:val="auto"/>
        </w:rPr>
        <w:t>”), in favor of Hudson Bay Master Fund Ltd.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7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14" w:lineRule="exact"/>
        <w:rPr>
          <w:sz w:val="20"/>
          <w:szCs w:val="20"/>
          <w:color w:val="auto"/>
        </w:rPr>
      </w:pPr>
    </w:p>
    <w:p>
      <w:pPr>
        <w:jc w:val="both"/>
        <w:ind w:left="40" w:right="619" w:firstLine="267"/>
        <w:spacing w:after="0" w:line="273" w:lineRule="auto"/>
        <w:rPr>
          <w:sz w:val="20"/>
          <w:szCs w:val="20"/>
          <w:color w:val="auto"/>
        </w:rPr>
      </w:pPr>
      <w:r>
        <w:rPr>
          <w:rFonts w:ascii="Arial" w:cs="Arial" w:eastAsia="Arial" w:hAnsi="Arial"/>
          <w:sz w:val="17"/>
          <w:szCs w:val="17"/>
          <w:color w:val="auto"/>
        </w:rPr>
        <w:t>WHEREAS, Innovate/Protect, Inc., a Delaware corporation formerly known as Labrador Search Corporation (“</w:t>
      </w:r>
      <w:r>
        <w:rPr>
          <w:rFonts w:ascii="Arial" w:cs="Arial" w:eastAsia="Arial" w:hAnsi="Arial"/>
          <w:sz w:val="17"/>
          <w:szCs w:val="17"/>
          <w:b w:val="1"/>
          <w:bCs w:val="1"/>
          <w:color w:val="auto"/>
        </w:rPr>
        <w:t>I/P</w:t>
      </w:r>
      <w:r>
        <w:rPr>
          <w:rFonts w:ascii="Arial" w:cs="Arial" w:eastAsia="Arial" w:hAnsi="Arial"/>
          <w:sz w:val="17"/>
          <w:szCs w:val="17"/>
          <w:color w:val="auto"/>
        </w:rPr>
        <w:t>”), and the Buyer are parties to the Subscription Agreement, dated as of June 22, 2011 (as amended, restated, supplemented or otherwise modified from time to time,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pursuant to which I/P sold, and the Buyer purchased the Senior Secured Note in the original principal amount of $3,200,000 (as such note may be amended, restated, replaced or otherwise modified from time to time in accordance with the terms thereof, the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6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WHEREAS, pursuant to a Pledge and Security Agreement dated as of June 22, 2011 (as amended or supplemented prior to the date hereof, the “</w:t>
      </w:r>
      <w:r>
        <w:rPr>
          <w:rFonts w:ascii="Arial" w:cs="Arial" w:eastAsia="Arial" w:hAnsi="Arial"/>
          <w:sz w:val="17"/>
          <w:szCs w:val="17"/>
          <w:b w:val="1"/>
          <w:bCs w:val="1"/>
          <w:color w:val="auto"/>
        </w:rPr>
        <w:t>Existing Security Agreement</w:t>
      </w:r>
      <w:r>
        <w:rPr>
          <w:rFonts w:ascii="Arial" w:cs="Arial" w:eastAsia="Arial" w:hAnsi="Arial"/>
          <w:sz w:val="17"/>
          <w:szCs w:val="17"/>
          <w:color w:val="auto"/>
        </w:rPr>
        <w:t>”), I/P, I/P Engine, Inc., a Virginia corporation formerly known as Smart Search Labs, Inc. (“</w:t>
      </w:r>
      <w:r>
        <w:rPr>
          <w:rFonts w:ascii="Arial" w:cs="Arial" w:eastAsia="Arial" w:hAnsi="Arial"/>
          <w:sz w:val="17"/>
          <w:szCs w:val="17"/>
          <w:b w:val="1"/>
          <w:bCs w:val="1"/>
          <w:color w:val="auto"/>
        </w:rPr>
        <w:t>I/P Engine</w:t>
      </w:r>
      <w:r>
        <w:rPr>
          <w:rFonts w:ascii="Arial" w:cs="Arial" w:eastAsia="Arial" w:hAnsi="Arial"/>
          <w:sz w:val="17"/>
          <w:szCs w:val="17"/>
          <w:color w:val="auto"/>
        </w:rPr>
        <w:t>”), I/P Labs, Inc., a Delaware corporation formerly known as Scottish Terrier Capital,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I/P Engine, each individually referred to herein as an “</w:t>
      </w:r>
      <w:r>
        <w:rPr>
          <w:rFonts w:ascii="Arial" w:cs="Arial" w:eastAsia="Arial" w:hAnsi="Arial"/>
          <w:sz w:val="17"/>
          <w:szCs w:val="17"/>
          <w:b w:val="1"/>
          <w:bCs w:val="1"/>
          <w:color w:val="auto"/>
        </w:rPr>
        <w:t>Existing Grantor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Grantors</w:t>
      </w:r>
      <w:r>
        <w:rPr>
          <w:rFonts w:ascii="Arial" w:cs="Arial" w:eastAsia="Arial" w:hAnsi="Arial"/>
          <w:sz w:val="17"/>
          <w:szCs w:val="17"/>
          <w:color w:val="auto"/>
        </w:rPr>
        <w:t>”), granted liens and security interests in the collateral described therein to the Buyer as security for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Grantors’ obligations under, among other things, the Subscription Agreement, the Note issued pursuant thereto and the other “Transaction Documents” (as defined in the Subscription Agreement), and has agreed to continue to secure certain of the Existing Grantor’s obligations thereunder pursuant to this amended and restated Agreement;</w:t>
      </w:r>
    </w:p>
    <w:p>
      <w:pPr>
        <w:spacing w:after="0" w:line="67"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color w:val="auto"/>
        </w:rPr>
        <w:t>WHEREAS, the Company, I/P and Vringo Merger Sub, Inc. (“</w:t>
      </w:r>
      <w:r>
        <w:rPr>
          <w:rFonts w:ascii="Arial" w:cs="Arial" w:eastAsia="Arial" w:hAnsi="Arial"/>
          <w:sz w:val="17"/>
          <w:szCs w:val="17"/>
          <w:b w:val="1"/>
          <w:bCs w:val="1"/>
          <w:color w:val="auto"/>
        </w:rPr>
        <w:t>Merger Sub</w:t>
      </w:r>
      <w:r>
        <w:rPr>
          <w:rFonts w:ascii="Arial" w:cs="Arial" w:eastAsia="Arial" w:hAnsi="Arial"/>
          <w:sz w:val="17"/>
          <w:szCs w:val="17"/>
          <w:color w:val="auto"/>
        </w:rPr>
        <w:t>”), a wholly-owned subsidiary of the Company, have entered into that certain Agreement and Plan of Merger, dated as of March [__], 2012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among other things, I/P shall be merged with and into Merger Sub (the “</w:t>
      </w:r>
      <w:r>
        <w:rPr>
          <w:rFonts w:ascii="Arial" w:cs="Arial" w:eastAsia="Arial" w:hAnsi="Arial"/>
          <w:sz w:val="17"/>
          <w:szCs w:val="17"/>
          <w:b w:val="1"/>
          <w:bCs w:val="1"/>
          <w:color w:val="auto"/>
        </w:rPr>
        <w:t>Merger Transaction</w:t>
      </w:r>
      <w:r>
        <w:rPr>
          <w:rFonts w:ascii="Arial" w:cs="Arial" w:eastAsia="Arial" w:hAnsi="Arial"/>
          <w:sz w:val="17"/>
          <w:szCs w:val="17"/>
          <w:color w:val="auto"/>
        </w:rPr>
        <w:t>”);</w:t>
      </w:r>
    </w:p>
    <w:p>
      <w:pPr>
        <w:spacing w:after="0" w:line="59"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WHEREAS, the Company, as part of the Merger Transaction, has agreed to grant liens on and security interest in the collateral described hereunder, and the Company has agreed to cause Vringo, Ltd., an Israeli corporation (“</w:t>
      </w:r>
      <w:r>
        <w:rPr>
          <w:rFonts w:ascii="Arial" w:cs="Arial" w:eastAsia="Arial" w:hAnsi="Arial"/>
          <w:sz w:val="18"/>
          <w:szCs w:val="18"/>
          <w:b w:val="1"/>
          <w:bCs w:val="1"/>
          <w:color w:val="auto"/>
        </w:rPr>
        <w:t>Vringo Israel</w:t>
      </w:r>
      <w:r>
        <w:rPr>
          <w:rFonts w:ascii="Arial" w:cs="Arial" w:eastAsia="Arial" w:hAnsi="Arial"/>
          <w:sz w:val="18"/>
          <w:szCs w:val="18"/>
          <w:color w:val="auto"/>
        </w:rPr>
        <w:t>”), and Vringo Israel has agreed, to grant liens on and security interest in the collateral described hereunder;</w:t>
      </w:r>
    </w:p>
    <w:p>
      <w:pPr>
        <w:spacing w:after="0" w:line="78"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WHEREAS, it is a condition precedent to the Buyer entering into certain transactions more fully described in the Merger Agreement that (i) the Existing Grantors confirm, ratify and reaffirm the liens on and security interests granted pursuant to the Existing Security Agreement in all personal property of each of the Existing Grantors to secure the obligations under the Note, and the other Note Transaction Documents, and (ii) the Company and each of the New Subsidiaries (each individually referred to herein as a “</w:t>
      </w:r>
      <w:r>
        <w:rPr>
          <w:rFonts w:ascii="Arial" w:cs="Arial" w:eastAsia="Arial" w:hAnsi="Arial"/>
          <w:sz w:val="17"/>
          <w:szCs w:val="17"/>
          <w:b w:val="1"/>
          <w:bCs w:val="1"/>
          <w:color w:val="auto"/>
        </w:rPr>
        <w:t>New Grantor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Grantors</w:t>
      </w:r>
      <w:r>
        <w:rPr>
          <w:rFonts w:ascii="Arial" w:cs="Arial" w:eastAsia="Arial" w:hAnsi="Arial"/>
          <w:sz w:val="17"/>
          <w:szCs w:val="17"/>
          <w:color w:val="auto"/>
        </w:rPr>
        <w:t>”), grant to the Buyer a security interest in all personal property of each of the New Subsidiaries to secure I/P’s obligations under the Note and the other Note Transaction Documents, and that each future Subsidiary of the Company becomes a party to this Agreement;</w:t>
      </w:r>
    </w:p>
    <w:p>
      <w:pPr>
        <w:spacing w:after="0" w:line="76"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WHEREAS, each of the Existing Subsidiaries, the Company and each other Grantor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Subsidiaries, the Company and each other Grantor and the Note; and</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7" w:name="page308"/>
    <w:bookmarkEnd w:id="3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WHEREAS, the Company and each other Grantor has determined that the execution, delivery and performance of this Agreement directly benefits, and are in the best interest of the Company and each other Grantor; and</w:t>
      </w:r>
    </w:p>
    <w:p>
      <w:pPr>
        <w:spacing w:after="0" w:line="69" w:lineRule="exact"/>
        <w:rPr>
          <w:sz w:val="20"/>
          <w:szCs w:val="20"/>
          <w:color w:val="auto"/>
        </w:rPr>
      </w:pPr>
    </w:p>
    <w:p>
      <w:pPr>
        <w:ind w:left="40" w:right="619" w:firstLine="267"/>
        <w:spacing w:after="0" w:line="270" w:lineRule="auto"/>
        <w:rPr>
          <w:sz w:val="20"/>
          <w:szCs w:val="20"/>
          <w:color w:val="auto"/>
        </w:rPr>
      </w:pPr>
      <w:r>
        <w:rPr>
          <w:rFonts w:ascii="Arial" w:cs="Arial" w:eastAsia="Arial" w:hAnsi="Arial"/>
          <w:sz w:val="18"/>
          <w:szCs w:val="18"/>
          <w:color w:val="auto"/>
        </w:rPr>
        <w:t>NOW, THEREFORE, in consideration of the premises and the agreements herein and in order to induce the Buyer to perform under the Debt Assumption Agreement, each Grantor agrees with the Buyer as follows: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70" w:lineRule="auto"/>
        <w:tabs>
          <w:tab w:leader="none" w:pos="903" w:val="left"/>
        </w:tabs>
        <w:numPr>
          <w:ilvl w:val="0"/>
          <w:numId w:val="267"/>
        </w:numPr>
        <w:rPr>
          <w:rFonts w:ascii="Arial" w:cs="Arial" w:eastAsia="Arial" w:hAnsi="Arial"/>
          <w:sz w:val="17"/>
          <w:szCs w:val="17"/>
          <w:color w:val="auto"/>
        </w:rPr>
      </w:pPr>
      <w:r>
        <w:rPr>
          <w:rFonts w:ascii="Arial" w:cs="Arial" w:eastAsia="Arial" w:hAnsi="Arial"/>
          <w:sz w:val="17"/>
          <w:szCs w:val="17"/>
          <w:color w:val="auto"/>
        </w:rPr>
        <w:t>Reference is hereby made to the Note for a statement of the terms thereof. All terms used in this Agreement and the recitals hereto which are defined in the Note or in Articles 8 or 9 of the Uniform Commercial Code (the “</w:t>
      </w:r>
      <w:r>
        <w:rPr>
          <w:rFonts w:ascii="Arial" w:cs="Arial" w:eastAsia="Arial" w:hAnsi="Arial"/>
          <w:sz w:val="17"/>
          <w:szCs w:val="17"/>
          <w:b w:val="1"/>
          <w:bCs w:val="1"/>
          <w:color w:val="auto"/>
        </w:rPr>
        <w:t>Code</w:t>
      </w:r>
      <w:r>
        <w:rPr>
          <w:rFonts w:ascii="Arial" w:cs="Arial" w:eastAsia="Arial" w:hAnsi="Arial"/>
          <w:sz w:val="17"/>
          <w:szCs w:val="17"/>
          <w:color w:val="auto"/>
        </w:rPr>
        <w:t xml:space="preserve">”) as in effect from time to time in the State of New York, and which are not otherwise defined herein shall have the same meanings herein as set forth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terms used herein which are defined in the Code as in effect in the State of New York on the date hereof shall continue to have the same meaning notwithstanding any replacement or amendment of such statute except as the Buyer may otherwise determine.</w:t>
      </w:r>
    </w:p>
    <w:p>
      <w:pPr>
        <w:spacing w:after="0" w:line="70" w:lineRule="exact"/>
        <w:rPr>
          <w:rFonts w:ascii="Arial" w:cs="Arial" w:eastAsia="Arial" w:hAnsi="Arial"/>
          <w:sz w:val="17"/>
          <w:szCs w:val="17"/>
          <w:color w:val="auto"/>
        </w:rPr>
      </w:pPr>
    </w:p>
    <w:p>
      <w:pPr>
        <w:jc w:val="both"/>
        <w:ind w:left="320" w:right="619" w:firstLine="260"/>
        <w:spacing w:after="0" w:line="253" w:lineRule="auto"/>
        <w:tabs>
          <w:tab w:leader="none" w:pos="94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following terms shall have the respective meanings provided for in the Code: “Accounts”, “Cash Proceeds”, “Chattel Paper”, “Commercial Tort Claim”, “Commodity Account”, “Commodity Contracts”, “Deposit Account”, “Documents”, “Equipment”, “Fixtures”, “General Intangibles”, “Goods”, “Instruments”, “Inventory”, “Investment Property”, “Letter-of-Credit Rights”, “Noncash Proceeds”, “Payment Intangibles”, “Proceeds”, “Promissory Notes”, “Security”, “Record”, “Security Account”, “Software”, and “Supporting Obligations”.</w:t>
      </w:r>
    </w:p>
    <w:p>
      <w:pPr>
        <w:spacing w:after="0" w:line="85" w:lineRule="exact"/>
        <w:rPr>
          <w:rFonts w:ascii="Arial" w:cs="Arial" w:eastAsia="Arial" w:hAnsi="Arial"/>
          <w:sz w:val="18"/>
          <w:szCs w:val="18"/>
          <w:color w:val="auto"/>
        </w:rPr>
      </w:pPr>
    </w:p>
    <w:p>
      <w:pPr>
        <w:ind w:left="320" w:right="619" w:firstLine="260"/>
        <w:spacing w:after="0" w:line="270" w:lineRule="auto"/>
        <w:tabs>
          <w:tab w:leader="none" w:pos="86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respective meanings indicated below, such meanings to be applicable equally to both the singular and plural forms of such terms:</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14" w:lineRule="exact"/>
        <w:rPr>
          <w:sz w:val="20"/>
          <w:szCs w:val="20"/>
          <w:color w:val="auto"/>
        </w:rPr>
      </w:pPr>
    </w:p>
    <w:p>
      <w:pPr>
        <w:jc w:val="both"/>
        <w:ind w:left="580" w:right="619" w:firstLine="26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Licenses</w:t>
      </w:r>
      <w:r>
        <w:rPr>
          <w:rFonts w:ascii="Arial" w:cs="Arial" w:eastAsia="Arial" w:hAnsi="Arial"/>
          <w:sz w:val="18"/>
          <w:szCs w:val="18"/>
          <w:color w:val="auto"/>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73" w:lineRule="exact"/>
        <w:rPr>
          <w:sz w:val="20"/>
          <w:szCs w:val="20"/>
          <w:color w:val="auto"/>
        </w:rPr>
      </w:pPr>
    </w:p>
    <w:p>
      <w:pPr>
        <w:jc w:val="both"/>
        <w:ind w:left="580" w:right="619" w:firstLine="26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w:t>
      </w:r>
    </w:p>
    <w:p>
      <w:pPr>
        <w:spacing w:after="0" w:line="53" w:lineRule="exact"/>
        <w:rPr>
          <w:sz w:val="20"/>
          <w:szCs w:val="20"/>
          <w:color w:val="auto"/>
        </w:rPr>
      </w:pPr>
    </w:p>
    <w:p>
      <w:pPr>
        <w:jc w:val="both"/>
        <w:ind w:left="580" w:right="639" w:firstLine="267"/>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means (i) any defined event of default under any one or more of the Note Transaction Documents, in each instance, after giving effect to any notice, grace, or cure periods provided for in the applicable Note Transaction Document, (ii) the failure by the Company to pay any amounts when due under the Note or any other Note Transaction Document, or (iii) the breach of any representation, warranty or covenant by any Grantor under this Agreement.</w:t>
      </w:r>
    </w:p>
    <w:p>
      <w:pPr>
        <w:spacing w:after="0" w:line="4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Issuer</w:t>
      </w:r>
      <w:r>
        <w:rPr>
          <w:rFonts w:ascii="Arial" w:cs="Arial" w:eastAsia="Arial" w:hAnsi="Arial"/>
          <w:sz w:val="18"/>
          <w:szCs w:val="18"/>
          <w:color w:val="auto"/>
        </w:rPr>
        <w:t>” has the meaning specified therefor in the definition of the term “Pledged Shares”.</w:t>
      </w:r>
    </w:p>
    <w:p>
      <w:pPr>
        <w:spacing w:after="0" w:line="114" w:lineRule="exact"/>
        <w:rPr>
          <w:sz w:val="20"/>
          <w:szCs w:val="20"/>
          <w:color w:val="auto"/>
        </w:rPr>
      </w:pPr>
    </w:p>
    <w:p>
      <w:pPr>
        <w:jc w:val="both"/>
        <w:ind w:left="580" w:right="619" w:firstLine="26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the Amended and Restated Guaranty, dated as of the date hereof, by the Existing Subsidiaries in favor of the Buyer.</w:t>
      </w:r>
    </w:p>
    <w:p>
      <w:pPr>
        <w:spacing w:after="0" w:line="60" w:lineRule="exact"/>
        <w:rPr>
          <w:sz w:val="20"/>
          <w:szCs w:val="20"/>
          <w:color w:val="auto"/>
        </w:rPr>
      </w:pPr>
    </w:p>
    <w:p>
      <w:pPr>
        <w:jc w:val="both"/>
        <w:ind w:left="580" w:right="619" w:firstLine="26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means any proceeding commenced by or against any Person under any provision of the Bankruptcy Code (Chapter 11 of Title 11 of the United States Code) or under any other bankruptcy or insolvency law, assignments for the benefit of creditors, formal or informal</w:t>
      </w:r>
    </w:p>
    <w:p>
      <w:pPr>
        <w:spacing w:after="0" w:line="200" w:lineRule="exact"/>
        <w:rPr>
          <w:sz w:val="20"/>
          <w:szCs w:val="20"/>
          <w:color w:val="auto"/>
        </w:rPr>
      </w:pPr>
    </w:p>
    <w:p>
      <w:pPr>
        <w:spacing w:after="0" w:line="3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8" w:name="page309"/>
    <w:bookmarkEnd w:id="3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39"/>
        <w:spacing w:after="0" w:line="270" w:lineRule="auto"/>
        <w:rPr>
          <w:sz w:val="20"/>
          <w:szCs w:val="20"/>
          <w:color w:val="auto"/>
        </w:rPr>
      </w:pPr>
      <w:r>
        <w:rPr>
          <w:rFonts w:ascii="Arial" w:cs="Arial" w:eastAsia="Arial" w:hAnsi="Arial"/>
          <w:sz w:val="18"/>
          <w:szCs w:val="18"/>
          <w:color w:val="auto"/>
        </w:rPr>
        <w:t>moratoria, compositions, or extensions generally with creditors, or proceedings seeking reorganization, arrangement, or other similar relief.</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Copyrights, Trademarks and Patents.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Licenses</w:t>
      </w:r>
      <w:r>
        <w:rPr>
          <w:rFonts w:ascii="Arial" w:cs="Arial" w:eastAsia="Arial" w:hAnsi="Arial"/>
          <w:sz w:val="18"/>
          <w:szCs w:val="18"/>
          <w:color w:val="auto"/>
        </w:rPr>
        <w:t>” means the Copyright Licenses, the Trademark Licenses and the Patent Licenses.</w:t>
      </w:r>
    </w:p>
    <w:p>
      <w:pPr>
        <w:spacing w:after="0" w:line="114" w:lineRule="exact"/>
        <w:rPr>
          <w:sz w:val="20"/>
          <w:szCs w:val="20"/>
          <w:color w:val="auto"/>
        </w:rPr>
      </w:pPr>
    </w:p>
    <w:p>
      <w:pPr>
        <w:jc w:val="both"/>
        <w:ind w:left="580" w:right="619" w:firstLine="26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7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114" w:lineRule="exact"/>
        <w:rPr>
          <w:sz w:val="20"/>
          <w:szCs w:val="20"/>
          <w:color w:val="auto"/>
        </w:rPr>
      </w:pPr>
    </w:p>
    <w:p>
      <w:pPr>
        <w:jc w:val="both"/>
        <w:ind w:left="580" w:right="639" w:firstLine="26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Licenses</w:t>
      </w:r>
      <w:r>
        <w:rPr>
          <w:rFonts w:ascii="Arial" w:cs="Arial" w:eastAsia="Arial" w:hAnsi="Arial"/>
          <w:sz w:val="18"/>
          <w:szCs w:val="18"/>
          <w:color w:val="auto"/>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73" w:lineRule="exact"/>
        <w:rPr>
          <w:sz w:val="20"/>
          <w:szCs w:val="20"/>
          <w:color w:val="auto"/>
        </w:rPr>
      </w:pPr>
    </w:p>
    <w:p>
      <w:pPr>
        <w:jc w:val="both"/>
        <w:ind w:left="580" w:right="619" w:firstLine="26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of any Grantor,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divisions, continuations, continuations in part and extensions or renewals thereof.</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have the meaning as ascribed to such term in the Note.</w:t>
      </w:r>
    </w:p>
    <w:p>
      <w:pPr>
        <w:spacing w:after="0" w:line="114" w:lineRule="exact"/>
        <w:rPr>
          <w:sz w:val="20"/>
          <w:szCs w:val="20"/>
          <w:color w:val="auto"/>
        </w:rPr>
      </w:pPr>
    </w:p>
    <w:p>
      <w:pPr>
        <w:jc w:val="both"/>
        <w:ind w:left="580" w:right="619" w:firstLine="26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Debt</w:t>
      </w:r>
      <w:r>
        <w:rPr>
          <w:rFonts w:ascii="Arial" w:cs="Arial" w:eastAsia="Arial" w:hAnsi="Arial"/>
          <w:sz w:val="18"/>
          <w:szCs w:val="18"/>
          <w:color w:val="auto"/>
        </w:rPr>
        <w:t>” means the indebtedness described in Schedule VII hereto and all indebtedness from time to time owned or acquired by a Grantor, the promissory notes and other Instruments evidencing any or all of such indebtedness, and all interest, cash, Instruments, Investment Property, financial assets, securities, capital stock, other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81" w:lineRule="exact"/>
        <w:rPr>
          <w:sz w:val="20"/>
          <w:szCs w:val="20"/>
          <w:color w:val="auto"/>
        </w:rPr>
      </w:pPr>
    </w:p>
    <w:p>
      <w:pPr>
        <w:jc w:val="both"/>
        <w:ind w:left="580" w:right="639" w:firstLine="26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Interests</w:t>
      </w:r>
      <w:r>
        <w:rPr>
          <w:rFonts w:ascii="Arial" w:cs="Arial" w:eastAsia="Arial" w:hAnsi="Arial"/>
          <w:sz w:val="18"/>
          <w:szCs w:val="18"/>
          <w:color w:val="auto"/>
        </w:rPr>
        <w:t>” means, collectively, (a) the Pledged Debt, (b) the Pledged Shares and (c) all security entitlements in any and all of the foregoing.</w:t>
      </w:r>
    </w:p>
    <w:p>
      <w:pPr>
        <w:spacing w:after="0" w:line="6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Issuer</w:t>
      </w:r>
      <w:r>
        <w:rPr>
          <w:rFonts w:ascii="Arial" w:cs="Arial" w:eastAsia="Arial" w:hAnsi="Arial"/>
          <w:sz w:val="18"/>
          <w:szCs w:val="18"/>
          <w:color w:val="auto"/>
        </w:rPr>
        <w:t>” has the meaning specified therefor in the definition of the term “Pledged Shares”.</w:t>
      </w:r>
    </w:p>
    <w:p>
      <w:pPr>
        <w:spacing w:after="0" w:line="114" w:lineRule="exact"/>
        <w:rPr>
          <w:sz w:val="20"/>
          <w:szCs w:val="20"/>
          <w:color w:val="auto"/>
        </w:rPr>
      </w:pPr>
    </w:p>
    <w:p>
      <w:pPr>
        <w:jc w:val="both"/>
        <w:ind w:left="580" w:right="619" w:firstLine="26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Shares</w:t>
      </w:r>
      <w:r>
        <w:rPr>
          <w:rFonts w:ascii="Arial" w:cs="Arial" w:eastAsia="Arial" w:hAnsi="Arial"/>
          <w:sz w:val="16"/>
          <w:szCs w:val="16"/>
          <w:color w:val="auto"/>
        </w:rPr>
        <w:t>” means (a) the shares of capital stock or other equity interests described in Schedule VIII hereto, whether or not evidenced or represented by any stock certificate, certificated security or other Instrument, issued by the Persons described in such Schedule VIII (the “</w:t>
      </w:r>
      <w:r>
        <w:rPr>
          <w:rFonts w:ascii="Arial" w:cs="Arial" w:eastAsia="Arial" w:hAnsi="Arial"/>
          <w:sz w:val="16"/>
          <w:szCs w:val="16"/>
          <w:u w:val="single" w:color="auto"/>
          <w:color w:val="auto"/>
        </w:rPr>
        <w:t>Existing Issuers</w:t>
      </w:r>
      <w:r>
        <w:rPr>
          <w:rFonts w:ascii="Arial" w:cs="Arial" w:eastAsia="Arial" w:hAnsi="Arial"/>
          <w:sz w:val="16"/>
          <w:szCs w:val="16"/>
          <w:color w:val="auto"/>
        </w:rPr>
        <w:t>”), (b) the shares of capital stock or other equity interests at any time and from time to time acquired by a Grantor of any and all Persons now or hereafter existing (such Persons, together with the Existing Issuers, being hereinafter referred to collectively as the “</w:t>
      </w:r>
      <w:r>
        <w:rPr>
          <w:rFonts w:ascii="Arial" w:cs="Arial" w:eastAsia="Arial" w:hAnsi="Arial"/>
          <w:sz w:val="16"/>
          <w:szCs w:val="16"/>
          <w:u w:val="single" w:color="auto"/>
          <w:color w:val="auto"/>
        </w:rPr>
        <w:t>Pledged Issuers</w:t>
      </w:r>
      <w:r>
        <w:rPr>
          <w:rFonts w:ascii="Arial" w:cs="Arial" w:eastAsia="Arial" w:hAnsi="Arial"/>
          <w:sz w:val="16"/>
          <w:szCs w:val="16"/>
          <w:color w:val="auto"/>
        </w:rPr>
        <w:t>” and each individually as a “</w:t>
      </w:r>
      <w:r>
        <w:rPr>
          <w:rFonts w:ascii="Arial" w:cs="Arial" w:eastAsia="Arial" w:hAnsi="Arial"/>
          <w:sz w:val="16"/>
          <w:szCs w:val="16"/>
          <w:u w:val="single" w:color="auto"/>
          <w:color w:val="auto"/>
        </w:rPr>
        <w:t>Pledged Issuer</w:t>
      </w:r>
      <w:r>
        <w:rPr>
          <w:rFonts w:ascii="Arial" w:cs="Arial" w:eastAsia="Arial" w:hAnsi="Arial"/>
          <w:sz w:val="16"/>
          <w:szCs w:val="16"/>
          <w:color w:val="auto"/>
        </w:rPr>
        <w:t>”), whether or not evidenced or represented by any stock certificate, certificated security or other Instrument, and (c) the certificates representing such shares of capital stock, all options and other rights, contractual or otherwise, in respect thereof and all dividends, distributions, cash, Instruments, Investment Property, financial assets, securities, capital stock, other equity interests, stock options and commodity contracts, notes, debentures, bonds,</w:t>
      </w: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09" w:name="page310"/>
    <w:bookmarkEnd w:id="3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59" w:lineRule="auto"/>
        <w:rPr>
          <w:sz w:val="20"/>
          <w:szCs w:val="20"/>
          <w:color w:val="auto"/>
        </w:rPr>
      </w:pPr>
      <w:r>
        <w:rPr>
          <w:rFonts w:ascii="Arial" w:cs="Arial" w:eastAsia="Arial" w:hAnsi="Arial"/>
          <w:sz w:val="18"/>
          <w:szCs w:val="18"/>
          <w:color w:val="auto"/>
        </w:rPr>
        <w:t>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capital stock.</w:t>
      </w:r>
    </w:p>
    <w:p>
      <w:pPr>
        <w:spacing w:after="0" w:line="74" w:lineRule="exact"/>
        <w:rPr>
          <w:sz w:val="20"/>
          <w:szCs w:val="20"/>
          <w:color w:val="auto"/>
        </w:rPr>
      </w:pPr>
    </w:p>
    <w:p>
      <w:pPr>
        <w:jc w:val="both"/>
        <w:ind w:left="580" w:right="619" w:firstLine="267"/>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 Licenses</w:t>
      </w:r>
      <w:r>
        <w:rPr>
          <w:rFonts w:ascii="Arial" w:cs="Arial" w:eastAsia="Arial" w:hAnsi="Arial"/>
          <w:sz w:val="16"/>
          <w:szCs w:val="16"/>
          <w:color w:val="auto"/>
        </w:rPr>
        <w:t xml:space="preserve">” means all licenses, contracts or other agreements, whether written or oral, naming any Grantor as licensor or licensee and providing for the grant of any right concerning any Trademark, together with any goodwill connected with and symbolized by any such trademark licenses, contracts or agreements and the right to prepare for sale or lease and sell or lease any and all Inventory now or hereafter owned by any Grantor and now or hereafter covered by such licenses (including, without limitation, all Trademark Licenses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49" w:lineRule="exact"/>
        <w:rPr>
          <w:sz w:val="20"/>
          <w:szCs w:val="20"/>
          <w:color w:val="auto"/>
        </w:rPr>
      </w:pPr>
    </w:p>
    <w:p>
      <w:pPr>
        <w:jc w:val="both"/>
        <w:ind w:left="580" w:right="619" w:firstLine="267"/>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xml:space="preserve">” means all domestic and foreign trademarks, service marks, collective marks, certification marks, trade names, business names, d/b/a’s,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Internet domain names, trade styles, designs, logos and other source or business identifiers described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w:t>
      </w:r>
    </w:p>
    <w:p>
      <w:pPr>
        <w:spacing w:after="0" w:line="80"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As collateral security for all of the Obligations, each New Grantor hereby pledges and assigns to the Buyer and grants to the Buyer a continuing security interest in, all personal property of such Grantor, wherever located and whether now or hereafter existing and whether now owned or hereafter acquired, of every kind and description, tangible or intangible (collectively, the “</w:t>
      </w:r>
      <w:r>
        <w:rPr>
          <w:rFonts w:ascii="Arial" w:cs="Arial" w:eastAsia="Arial" w:hAnsi="Arial"/>
          <w:sz w:val="17"/>
          <w:szCs w:val="17"/>
          <w:b w:val="1"/>
          <w:bCs w:val="1"/>
          <w:color w:val="auto"/>
        </w:rPr>
        <w:t>Collateral</w:t>
      </w:r>
      <w:r>
        <w:rPr>
          <w:rFonts w:ascii="Arial" w:cs="Arial" w:eastAsia="Arial" w:hAnsi="Arial"/>
          <w:sz w:val="17"/>
          <w:szCs w:val="17"/>
          <w:color w:val="auto"/>
        </w:rPr>
        <w:t>”), including, without limitation, the following:</w:t>
      </w:r>
    </w:p>
    <w:p>
      <w:pPr>
        <w:spacing w:after="0" w:line="66" w:lineRule="exact"/>
        <w:rPr>
          <w:sz w:val="20"/>
          <w:szCs w:val="20"/>
          <w:color w:val="auto"/>
        </w:rPr>
      </w:pPr>
    </w:p>
    <w:p>
      <w:pPr>
        <w:ind w:left="860" w:hanging="280"/>
        <w:spacing w:after="0"/>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Chattel Paper (whether tangible or electronic);</w:t>
      </w:r>
    </w:p>
    <w:p>
      <w:pPr>
        <w:spacing w:after="0" w:line="113" w:lineRule="exact"/>
        <w:rPr>
          <w:rFonts w:ascii="Arial" w:cs="Arial" w:eastAsia="Arial" w:hAnsi="Arial"/>
          <w:sz w:val="18"/>
          <w:szCs w:val="18"/>
          <w:color w:val="auto"/>
        </w:rPr>
      </w:pPr>
    </w:p>
    <w:p>
      <w:pPr>
        <w:ind w:left="860" w:hanging="280"/>
        <w:spacing w:after="0"/>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the Commercial Tort Claims specified on </w:t>
      </w:r>
      <w:r>
        <w:rPr>
          <w:rFonts w:ascii="Arial" w:cs="Arial" w:eastAsia="Arial" w:hAnsi="Arial"/>
          <w:sz w:val="18"/>
          <w:szCs w:val="18"/>
          <w:u w:val="single" w:color="auto"/>
          <w:color w:val="auto"/>
        </w:rPr>
        <w:t>Schedule VI</w:t>
      </w:r>
      <w:r>
        <w:rPr>
          <w:rFonts w:ascii="Arial" w:cs="Arial" w:eastAsia="Arial" w:hAnsi="Arial"/>
          <w:sz w:val="18"/>
          <w:szCs w:val="18"/>
          <w:color w:val="auto"/>
        </w:rPr>
        <w:t xml:space="preserve"> hereto;</w:t>
      </w:r>
    </w:p>
    <w:p>
      <w:pPr>
        <w:spacing w:after="0" w:line="113" w:lineRule="exact"/>
        <w:rPr>
          <w:rFonts w:ascii="Arial" w:cs="Arial" w:eastAsia="Arial" w:hAnsi="Arial"/>
          <w:sz w:val="18"/>
          <w:szCs w:val="18"/>
          <w:color w:val="auto"/>
        </w:rPr>
      </w:pPr>
    </w:p>
    <w:p>
      <w:pPr>
        <w:jc w:val="both"/>
        <w:ind w:left="320" w:right="639" w:firstLine="260"/>
        <w:spacing w:after="0" w:line="259" w:lineRule="auto"/>
        <w:tabs>
          <w:tab w:leader="none" w:pos="89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Deposit Accounts (including, without limitation, all cash, and all other property from time to time deposited therein and the monies and property in the possession or under the control of the Buyer or any affiliate, representative, agent or correspondent of the Buyer;</w:t>
      </w:r>
    </w:p>
    <w:p>
      <w:pPr>
        <w:spacing w:after="0" w:line="78" w:lineRule="exact"/>
        <w:rPr>
          <w:rFonts w:ascii="Arial" w:cs="Arial" w:eastAsia="Arial" w:hAnsi="Arial"/>
          <w:sz w:val="18"/>
          <w:szCs w:val="18"/>
          <w:color w:val="auto"/>
        </w:rPr>
      </w:pPr>
    </w:p>
    <w:p>
      <w:pPr>
        <w:ind w:left="860" w:hanging="280"/>
        <w:spacing w:after="0"/>
        <w:tabs>
          <w:tab w:leader="none" w:pos="8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113" w:lineRule="exact"/>
        <w:rPr>
          <w:rFonts w:ascii="Arial" w:cs="Arial" w:eastAsia="Arial" w:hAnsi="Arial"/>
          <w:sz w:val="18"/>
          <w:szCs w:val="18"/>
          <w:color w:val="auto"/>
        </w:rPr>
      </w:pPr>
    </w:p>
    <w:p>
      <w:pPr>
        <w:ind w:left="840" w:hanging="260"/>
        <w:spacing w:after="0"/>
        <w:tabs>
          <w:tab w:leader="none" w:pos="8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all Payment Intangibles);</w:t>
      </w:r>
    </w:p>
    <w:p>
      <w:pPr>
        <w:spacing w:after="0" w:line="113" w:lineRule="exact"/>
        <w:rPr>
          <w:rFonts w:ascii="Arial" w:cs="Arial" w:eastAsia="Arial" w:hAnsi="Arial"/>
          <w:sz w:val="18"/>
          <w:szCs w:val="18"/>
          <w:color w:val="auto"/>
        </w:rPr>
      </w:pPr>
    </w:p>
    <w:p>
      <w:pPr>
        <w:ind w:left="840" w:hanging="260"/>
        <w:spacing w:after="0"/>
        <w:tabs>
          <w:tab w:leader="none" w:pos="8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Goods;</w:t>
      </w:r>
    </w:p>
    <w:p>
      <w:pPr>
        <w:spacing w:after="0" w:line="113" w:lineRule="exact"/>
        <w:rPr>
          <w:rFonts w:ascii="Arial" w:cs="Arial" w:eastAsia="Arial" w:hAnsi="Arial"/>
          <w:sz w:val="18"/>
          <w:szCs w:val="18"/>
          <w:color w:val="auto"/>
        </w:rPr>
      </w:pPr>
    </w:p>
    <w:p>
      <w:pPr>
        <w:ind w:left="840" w:hanging="260"/>
        <w:spacing w:after="0"/>
        <w:tabs>
          <w:tab w:leader="none" w:pos="8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Instruments (including, without limitation, Promissory Notes and each certificated Security);</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13" w:lineRule="exact"/>
        <w:rPr>
          <w:rFonts w:ascii="Arial" w:cs="Arial" w:eastAsia="Arial" w:hAnsi="Arial"/>
          <w:sz w:val="18"/>
          <w:szCs w:val="18"/>
          <w:color w:val="auto"/>
        </w:rPr>
      </w:pPr>
    </w:p>
    <w:p>
      <w:pPr>
        <w:ind w:left="840" w:hanging="260"/>
        <w:spacing w:after="0"/>
        <w:tabs>
          <w:tab w:leader="none" w:pos="8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13" w:lineRule="exact"/>
        <w:rPr>
          <w:rFonts w:ascii="Arial" w:cs="Arial" w:eastAsia="Arial" w:hAnsi="Arial"/>
          <w:sz w:val="18"/>
          <w:szCs w:val="18"/>
          <w:color w:val="auto"/>
        </w:rPr>
      </w:pPr>
    </w:p>
    <w:p>
      <w:pPr>
        <w:ind w:left="920" w:hanging="340"/>
        <w:spacing w:after="0"/>
        <w:tabs>
          <w:tab w:leader="none" w:pos="9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Copyrights, Patents and Trademarks, and all Licenses;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0" w:name="page311"/>
    <w:bookmarkEnd w:id="3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80" w:hanging="300"/>
        <w:spacing w:after="0"/>
        <w:tabs>
          <w:tab w:leader="none" w:pos="8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Pledged Interests;</w:t>
      </w:r>
    </w:p>
    <w:p>
      <w:pPr>
        <w:spacing w:after="0" w:line="113" w:lineRule="exact"/>
        <w:rPr>
          <w:rFonts w:ascii="Arial" w:cs="Arial" w:eastAsia="Arial" w:hAnsi="Arial"/>
          <w:sz w:val="18"/>
          <w:szCs w:val="18"/>
          <w:color w:val="auto"/>
        </w:rPr>
      </w:pPr>
    </w:p>
    <w:p>
      <w:pPr>
        <w:jc w:val="both"/>
        <w:ind w:left="320" w:right="619" w:firstLine="260"/>
        <w:spacing w:after="0" w:line="285" w:lineRule="auto"/>
        <w:tabs>
          <w:tab w:leader="none" w:pos="92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all other tangible and intangible personal property of such Grantor (whether or not subject to the Code),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without limitation, any proceeds of insurance thereon and all causes of action, claims and warranties now or hereafter held by such Grantor in respect of any of the items listed above), and all books, correspondence, files and other Records, including, without limitation, all tapes, desks,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are otherwise necessary or helpful in the collection or realization thereof; and</w:t>
      </w:r>
    </w:p>
    <w:p>
      <w:pPr>
        <w:spacing w:after="0" w:line="65" w:lineRule="exact"/>
        <w:rPr>
          <w:rFonts w:ascii="Arial" w:cs="Arial" w:eastAsia="Arial" w:hAnsi="Arial"/>
          <w:sz w:val="16"/>
          <w:szCs w:val="16"/>
          <w:color w:val="auto"/>
        </w:rPr>
      </w:pPr>
    </w:p>
    <w:p>
      <w:pPr>
        <w:ind w:left="840" w:hanging="260"/>
        <w:spacing w:after="0"/>
        <w:tabs>
          <w:tab w:leader="none" w:pos="8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all Proceeds, including all Cash Proceeds and Noncash Proceeds, and products of any and all of the foregoing Collateral;</w:t>
      </w:r>
    </w:p>
    <w:p>
      <w:pPr>
        <w:spacing w:after="0" w:line="137" w:lineRule="exact"/>
        <w:rPr>
          <w:sz w:val="20"/>
          <w:szCs w:val="20"/>
          <w:color w:val="auto"/>
        </w:rPr>
      </w:pPr>
    </w:p>
    <w:p>
      <w:pPr>
        <w:jc w:val="both"/>
        <w:ind w:left="40" w:right="639"/>
        <w:spacing w:after="0" w:line="270" w:lineRule="auto"/>
        <w:rPr>
          <w:sz w:val="20"/>
          <w:szCs w:val="20"/>
          <w:color w:val="auto"/>
        </w:rPr>
      </w:pPr>
      <w:r>
        <w:rPr>
          <w:rFonts w:ascii="Arial" w:cs="Arial" w:eastAsia="Arial" w:hAnsi="Arial"/>
          <w:sz w:val="18"/>
          <w:szCs w:val="18"/>
          <w:color w:val="auto"/>
        </w:rPr>
        <w:t>in each case howsoever such Grantor’s interest therein may arise or appear (whether by ownership, security interest, claim or otherwise).</w:t>
      </w:r>
    </w:p>
    <w:p>
      <w:pPr>
        <w:spacing w:after="0" w:line="69" w:lineRule="exact"/>
        <w:rPr>
          <w:sz w:val="20"/>
          <w:szCs w:val="20"/>
          <w:color w:val="auto"/>
        </w:rPr>
      </w:pPr>
    </w:p>
    <w:p>
      <w:pPr>
        <w:jc w:val="both"/>
        <w:ind w:left="40" w:right="619"/>
        <w:spacing w:after="0" w:line="252" w:lineRule="auto"/>
        <w:rPr>
          <w:sz w:val="20"/>
          <w:szCs w:val="20"/>
          <w:color w:val="auto"/>
        </w:rPr>
      </w:pPr>
      <w:r>
        <w:rPr>
          <w:rFonts w:ascii="Arial" w:cs="Arial" w:eastAsia="Arial" w:hAnsi="Arial"/>
          <w:sz w:val="18"/>
          <w:szCs w:val="18"/>
          <w:color w:val="auto"/>
        </w:rPr>
        <w:t>Each Existing Grantor hereby confirms, ratifies and reaffirms that the liens on and security interests granted pursuant to the Existing Security Agreement are continuing and are and shall remain unimpaired and continue to constitute fully perfected, first priority Liens in favor of the Buyer, with the same force, effect and priority in effect both immediately prior to and after entering into this Security Agreement and the other Transaction Documents entered into on or as of the date hereof. Each Existing Grantor hereby confirms and agrees that such Liens granted pursuant to the Existing Security Agreement will continue to secure all of the Obligations.</w:t>
      </w:r>
    </w:p>
    <w:p>
      <w:pPr>
        <w:spacing w:after="0" w:line="86"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Security for Obligations</w:t>
      </w:r>
      <w:r>
        <w:rPr>
          <w:rFonts w:ascii="Arial" w:cs="Arial" w:eastAsia="Arial" w:hAnsi="Arial"/>
          <w:sz w:val="16"/>
          <w:szCs w:val="16"/>
          <w:color w:val="auto"/>
        </w:rPr>
        <w:t>. The security interest created hereby in the Collateral constitutes continuing collateral security for all of the following obligations, whether now existing or hereafter incurred (collectively, the “</w:t>
      </w:r>
      <w:r>
        <w:rPr>
          <w:rFonts w:ascii="Arial" w:cs="Arial" w:eastAsia="Arial" w:hAnsi="Arial"/>
          <w:sz w:val="16"/>
          <w:szCs w:val="16"/>
          <w:b w:val="1"/>
          <w:bCs w:val="1"/>
          <w:color w:val="auto"/>
        </w:rPr>
        <w:t>Obligations</w:t>
      </w:r>
      <w:r>
        <w:rPr>
          <w:rFonts w:ascii="Arial" w:cs="Arial" w:eastAsia="Arial" w:hAnsi="Arial"/>
          <w:sz w:val="16"/>
          <w:szCs w:val="16"/>
          <w:color w:val="auto"/>
        </w:rPr>
        <w:t>”):</w:t>
      </w:r>
    </w:p>
    <w:p>
      <w:pPr>
        <w:spacing w:after="0" w:line="23" w:lineRule="exact"/>
        <w:rPr>
          <w:sz w:val="20"/>
          <w:szCs w:val="20"/>
          <w:color w:val="auto"/>
        </w:rPr>
      </w:pPr>
    </w:p>
    <w:p>
      <w:pPr>
        <w:jc w:val="both"/>
        <w:ind w:left="320" w:right="619" w:firstLine="260"/>
        <w:spacing w:after="0" w:line="282" w:lineRule="auto"/>
        <w:tabs>
          <w:tab w:leader="none" w:pos="93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the prompt payment by each Grantor, as and when due and payable (by scheduled maturity, required prepayment, acceleration, demand or otherwise), of all amounts from time to time owing by it in respect of the Note, the Guaranty and the other Note Transaction Documents, including, without limitation, (A) all principal of and interest on the Note (including, without limitation, all interest that accrues after the commencement of any Insolvency Proceeding of any Grantor, whether or not the payment of such interest is unenforceable or is not allowable due to the existence of such Insolvency Proceeding), and</w:t>
      </w:r>
    </w:p>
    <w:p>
      <w:pPr>
        <w:spacing w:after="0" w:line="1" w:lineRule="exact"/>
        <w:rPr>
          <w:rFonts w:ascii="Arial" w:cs="Arial" w:eastAsia="Arial" w:hAnsi="Arial"/>
          <w:sz w:val="16"/>
          <w:szCs w:val="16"/>
          <w:color w:val="auto"/>
        </w:rPr>
      </w:pPr>
    </w:p>
    <w:p>
      <w:pPr>
        <w:ind w:left="600" w:hanging="288"/>
        <w:spacing w:after="0"/>
        <w:tabs>
          <w:tab w:leader="none" w:pos="6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amounts from time to time owing by such Grantor under the Guaranty; and</w:t>
      </w:r>
    </w:p>
    <w:p>
      <w:pPr>
        <w:spacing w:after="0" w:line="100" w:lineRule="exact"/>
        <w:rPr>
          <w:rFonts w:ascii="Arial" w:cs="Arial" w:eastAsia="Arial" w:hAnsi="Arial"/>
          <w:sz w:val="18"/>
          <w:szCs w:val="18"/>
          <w:color w:val="auto"/>
        </w:rPr>
      </w:pPr>
    </w:p>
    <w:p>
      <w:pPr>
        <w:ind w:left="320" w:right="619" w:firstLine="260"/>
        <w:spacing w:after="0" w:line="270" w:lineRule="auto"/>
        <w:tabs>
          <w:tab w:leader="none" w:pos="89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due performance and observance by each Grantor of all of its other obligations from time to time existing in respect of any of the Note Transaction Documents for so long as the Note are outstanding.</w:t>
      </w:r>
    </w:p>
    <w:p>
      <w:pPr>
        <w:spacing w:after="0" w:line="69"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(that is not an Existing Grantor) represents and warrants as to itself as follows:</w:t>
      </w:r>
    </w:p>
    <w:p>
      <w:pPr>
        <w:spacing w:after="0" w:line="69" w:lineRule="exact"/>
        <w:rPr>
          <w:sz w:val="20"/>
          <w:szCs w:val="20"/>
          <w:color w:val="auto"/>
        </w:rPr>
      </w:pPr>
    </w:p>
    <w:p>
      <w:pPr>
        <w:ind w:left="320" w:right="639" w:firstLine="260"/>
        <w:spacing w:after="0" w:line="270" w:lineRule="auto"/>
        <w:tabs>
          <w:tab w:leader="none" w:pos="874"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sets forth (i) the exact legal name of such Grantor, and (ii) the organizational identification number of such Grantor or states that no such organizational identification number exists.</w:t>
      </w:r>
    </w:p>
    <w:p>
      <w:pPr>
        <w:spacing w:after="0" w:line="68" w:lineRule="exact"/>
        <w:rPr>
          <w:rFonts w:ascii="Arial" w:cs="Arial" w:eastAsia="Arial" w:hAnsi="Arial"/>
          <w:sz w:val="18"/>
          <w:szCs w:val="18"/>
          <w:color w:val="auto"/>
        </w:rPr>
      </w:pPr>
    </w:p>
    <w:p>
      <w:pPr>
        <w:jc w:val="both"/>
        <w:ind w:left="320" w:right="619" w:firstLine="260"/>
        <w:spacing w:after="0" w:line="275" w:lineRule="auto"/>
        <w:tabs>
          <w:tab w:leader="none" w:pos="881"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There is no pending or written notice threatening any action, suit, proceeding or claim affecting such Grantor before any governmental authority or any arbitrator, or any order, judgment or award by any governmental authority or arbitrator, that may adversely affect the grant by such Grantor, or the perfection, of the security interest purported to be created hereby in the Collateral, or the exercise by the Buyer of any of its rights or remedies hereunder.</w:t>
      </w:r>
    </w:p>
    <w:p>
      <w:pPr>
        <w:spacing w:after="0" w:line="66" w:lineRule="exact"/>
        <w:rPr>
          <w:rFonts w:ascii="Arial" w:cs="Arial" w:eastAsia="Arial" w:hAnsi="Arial"/>
          <w:sz w:val="17"/>
          <w:szCs w:val="17"/>
          <w:color w:val="auto"/>
        </w:rPr>
      </w:pPr>
    </w:p>
    <w:p>
      <w:pPr>
        <w:jc w:val="both"/>
        <w:ind w:left="320" w:right="619" w:firstLine="260"/>
        <w:spacing w:after="0" w:line="255" w:lineRule="auto"/>
        <w:tabs>
          <w:tab w:leader="none" w:pos="8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Federal, state and local tax returns and other reports required by applicable law to be filed by such Grantor have been filed, or extensions have been obtained, and all taxes, assessments and other governmental charges imposed upon such Grantor or any property of such Grantor (including, without limitation, all federal income and social security taxes on employees’ wages) and which have become due</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1" w:name="page312"/>
    <w:bookmarkEnd w:id="3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55" w:lineRule="auto"/>
        <w:rPr>
          <w:sz w:val="20"/>
          <w:szCs w:val="20"/>
          <w:color w:val="auto"/>
        </w:rPr>
      </w:pPr>
      <w:r>
        <w:rPr>
          <w:rFonts w:ascii="Arial" w:cs="Arial" w:eastAsia="Arial" w:hAnsi="Arial"/>
          <w:sz w:val="18"/>
          <w:szCs w:val="18"/>
          <w:color w:val="auto"/>
        </w:rPr>
        <w:t>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generally accepted accounting principles consistently applied (“</w:t>
      </w:r>
      <w:r>
        <w:rPr>
          <w:rFonts w:ascii="Arial" w:cs="Arial" w:eastAsia="Arial" w:hAnsi="Arial"/>
          <w:sz w:val="18"/>
          <w:szCs w:val="18"/>
          <w:b w:val="1"/>
          <w:bCs w:val="1"/>
          <w:color w:val="auto"/>
        </w:rPr>
        <w:t>GAAP</w:t>
      </w:r>
      <w:r>
        <w:rPr>
          <w:rFonts w:ascii="Arial" w:cs="Arial" w:eastAsia="Arial" w:hAnsi="Arial"/>
          <w:sz w:val="18"/>
          <w:szCs w:val="18"/>
          <w:color w:val="auto"/>
        </w:rPr>
        <w:t>”).</w:t>
      </w:r>
    </w:p>
    <w:p>
      <w:pPr>
        <w:spacing w:after="0" w:line="83" w:lineRule="exact"/>
        <w:rPr>
          <w:sz w:val="20"/>
          <w:szCs w:val="20"/>
          <w:color w:val="auto"/>
        </w:rPr>
      </w:pPr>
    </w:p>
    <w:p>
      <w:pPr>
        <w:jc w:val="both"/>
        <w:ind w:left="320" w:right="619" w:firstLine="260"/>
        <w:spacing w:after="0" w:line="281" w:lineRule="auto"/>
        <w:tabs>
          <w:tab w:leader="none" w:pos="90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All Equipment, Fixtures, Goods and Inventory of such Grantor now existing are, and all Equipment, Fixtures, Goods and Inventory of such Grantor hereafter existing will be, located and/or based at the addresses specified therefor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except that such Grantor will give the Buyer not less than 30 days’ prior written notice of any change of the location of any such Collateral, other than to locations set forth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and with respect to which the Buyer has filed financing statements and otherwise fully perfected its Liens thereon, subject to </w:t>
      </w:r>
      <w:r>
        <w:rPr>
          <w:rFonts w:ascii="Arial" w:cs="Arial" w:eastAsia="Arial" w:hAnsi="Arial"/>
          <w:sz w:val="16"/>
          <w:szCs w:val="16"/>
          <w:u w:val="single" w:color="auto"/>
          <w:color w:val="auto"/>
        </w:rPr>
        <w:t>Section 5(n)</w:t>
      </w:r>
      <w:r>
        <w:rPr>
          <w:rFonts w:ascii="Arial" w:cs="Arial" w:eastAsia="Arial" w:hAnsi="Arial"/>
          <w:sz w:val="16"/>
          <w:szCs w:val="16"/>
          <w:color w:val="auto"/>
        </w:rPr>
        <w:t xml:space="preserve"> hereof. Such Grantor’s chief place of business and chief executive office, the place where such Grantor keeps its Records concerning Accounts and all originals of all Chattel Paper are located at the addresses specified therefor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None of the Accounts is evidenced by Promissory Notes or other Instruments. Set forth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is a complete and accurate list, as of the date of this Agreement, of</w:t>
      </w:r>
    </w:p>
    <w:p>
      <w:pPr>
        <w:jc w:val="both"/>
        <w:ind w:left="320" w:right="619" w:hanging="8"/>
        <w:spacing w:after="0" w:line="288" w:lineRule="auto"/>
        <w:tabs>
          <w:tab w:leader="none" w:pos="559"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each Promissory Note, Security and other Instrument owned by each Grantor and (ii) each Deposit Account, Securities Account and Commodities Account of each Grantor, together with the name and address of each institution at which each such Account is maintained, the account number for each such Account and a description of the purpose of each such Account. Set forth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is a complete and correct list of each trade name used by each Grantor and the name of, and each trade name used by, each person from which such Grantor has acquired any substantial part of the Collateral.</w:t>
      </w:r>
    </w:p>
    <w:p>
      <w:pPr>
        <w:spacing w:after="0" w:line="59" w:lineRule="exact"/>
        <w:rPr>
          <w:rFonts w:ascii="Arial" w:cs="Arial" w:eastAsia="Arial" w:hAnsi="Arial"/>
          <w:sz w:val="16"/>
          <w:szCs w:val="16"/>
          <w:color w:val="auto"/>
        </w:rPr>
      </w:pPr>
    </w:p>
    <w:p>
      <w:pPr>
        <w:jc w:val="both"/>
        <w:ind w:left="320" w:right="619" w:firstLine="260"/>
        <w:spacing w:after="0" w:line="285" w:lineRule="auto"/>
        <w:tabs>
          <w:tab w:leader="none" w:pos="903"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Such Grantor has delivered or made available to the Buyer complete and correct copies of each License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including all schedules and exhibits thereto, which represents all of the Licenses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except as may be limited by applicable bankruptcy, insolvency, reorganization, moratorium, fraudulent conveyance, suretyship or other similar laws and equitable principles (regardless of whether enforcement is sought in equity or in law). No default under any material License by any such party has occurred, nor does any defense, offset, deduction or counterclaim exist thereunder in favor of any such party.</w:t>
      </w:r>
    </w:p>
    <w:p>
      <w:pPr>
        <w:spacing w:after="0" w:line="60" w:lineRule="exact"/>
        <w:rPr>
          <w:rFonts w:ascii="Arial" w:cs="Arial" w:eastAsia="Arial" w:hAnsi="Arial"/>
          <w:sz w:val="16"/>
          <w:szCs w:val="16"/>
          <w:color w:val="auto"/>
        </w:rPr>
      </w:pPr>
    </w:p>
    <w:p>
      <w:pPr>
        <w:jc w:val="both"/>
        <w:ind w:left="320" w:right="619" w:firstLine="260"/>
        <w:spacing w:after="0" w:line="283" w:lineRule="auto"/>
        <w:tabs>
          <w:tab w:leader="none" w:pos="86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Such Grantor owns and controls, or otherwise possesses adequate rights to use, all Trademarks, Patents and Copyrights, which are the only trademarks, patents, copyrights, inventions, trade secrets, proprietary information and technology, know-how, formulae, rights of publicity necessary to conduct its business in substantially the same manner as conducted as of the date hereof.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sets forth a true and complete list of all registered copyrights, issued patents, Trademarks (including, without limitation, any Internet domain names and the registrar of each such Internet domain name), and Licenses annually owned or used by such Grantor as of the date hereof. To the best knowledge of each Grantor, all such Intellectual Property of such Grantor is subsisting and in full force and effect, has not been adjudged invalid or unenforceable, is valid and enforceable and has not been abandoned in whole or in part. Except as set forth in Schedule II, no such Intellectual Property is the subject of any licensing or franchising agreement. Such Grantor has no knowledge of any conflict with the rights of others to any Intellectual Property and, to the best knowledge of such Grantor, such Grantor is not now infringing or in conflict with any such rights of others in any material respect, and to the best knowledge of such Grantor, no other Person is now infringing or in conflict in any material respect with any such properties, assets and rights owned or used by such Grantor. Such Grantor has not received any notice that it is violating or has violated the trademarks, patents, copyrights, inventions, trade secrets, proprietary information and technology, know-how, formulae, rights of publicity or other intellectual property rights of any third party.</w:t>
      </w:r>
    </w:p>
    <w:p>
      <w:pPr>
        <w:spacing w:after="0" w:line="200" w:lineRule="exact"/>
        <w:rPr>
          <w:sz w:val="20"/>
          <w:szCs w:val="20"/>
          <w:color w:val="auto"/>
        </w:rPr>
      </w:pPr>
    </w:p>
    <w:p>
      <w:pPr>
        <w:spacing w:after="0" w:line="3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2" w:name="page313"/>
    <w:bookmarkEnd w:id="3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3" w:lineRule="auto"/>
        <w:tabs>
          <w:tab w:leader="none" w:pos="89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Such Grantor is and will be at all times the sole and exclusive owner of, or otherwise has and will have adequate rights in, the Collateral free and clear of any Liens, except for Permitted Liens on any Collateral. No effective financing statement or other instrument similar in effect covering all or any part of the Collateral is on file in any recording or filing office except (A) such as may have been filed in favor of the Buyer relating to this Agreement, subject to </w:t>
      </w:r>
      <w:r>
        <w:rPr>
          <w:rFonts w:ascii="Arial" w:cs="Arial" w:eastAsia="Arial" w:hAnsi="Arial"/>
          <w:sz w:val="18"/>
          <w:szCs w:val="18"/>
          <w:u w:val="single" w:color="auto"/>
          <w:color w:val="auto"/>
        </w:rPr>
        <w:t>Section 5(n)</w:t>
      </w:r>
      <w:r>
        <w:rPr>
          <w:rFonts w:ascii="Arial" w:cs="Arial" w:eastAsia="Arial" w:hAnsi="Arial"/>
          <w:sz w:val="18"/>
          <w:szCs w:val="18"/>
          <w:color w:val="auto"/>
        </w:rPr>
        <w:t xml:space="preserve"> hereof, and (B) such as may have been filed to perfect any Permitted Liens.</w:t>
      </w:r>
    </w:p>
    <w:p>
      <w:pPr>
        <w:spacing w:after="0" w:line="85" w:lineRule="exact"/>
        <w:rPr>
          <w:rFonts w:ascii="Arial" w:cs="Arial" w:eastAsia="Arial" w:hAnsi="Arial"/>
          <w:sz w:val="18"/>
          <w:szCs w:val="18"/>
          <w:color w:val="auto"/>
        </w:rPr>
      </w:pPr>
    </w:p>
    <w:p>
      <w:pPr>
        <w:jc w:val="both"/>
        <w:ind w:left="320" w:right="619" w:firstLine="260"/>
        <w:spacing w:after="0" w:line="259" w:lineRule="auto"/>
        <w:tabs>
          <w:tab w:leader="none" w:pos="90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exercise by the Buyer of any of its rights and remedies hereunder will not contravene any law or any contractual restriction binding on or otherwise affecting such Grantor or any of its properties and will not result in or require the creation of any Lien, upon or with respect to any of its properties.</w:t>
      </w:r>
    </w:p>
    <w:p>
      <w:pPr>
        <w:spacing w:after="0" w:line="78" w:lineRule="exact"/>
        <w:rPr>
          <w:rFonts w:ascii="Arial" w:cs="Arial" w:eastAsia="Arial" w:hAnsi="Arial"/>
          <w:sz w:val="18"/>
          <w:szCs w:val="18"/>
          <w:color w:val="auto"/>
        </w:rPr>
      </w:pPr>
    </w:p>
    <w:p>
      <w:pPr>
        <w:jc w:val="both"/>
        <w:ind w:left="320" w:right="619" w:firstLine="260"/>
        <w:spacing w:after="0" w:line="272" w:lineRule="auto"/>
        <w:tabs>
          <w:tab w:leader="none" w:pos="88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No authorization or approval or other action by, and no notice to or filing with, any governmental authority or other regulatory body, or any other Person, is required for (i) the grant by such Grantor or any perfection of the security interest which may be created hereby in the Collateral pursuant to Section 5(n), or (ii) the exercise by the Buyer of any of its rights and remedies hereunder, except (A) for the filing under the Uniform Commercial Code as in effect in the applicable jurisdiction of any financing statements which may be filed pursuant to </w:t>
      </w:r>
      <w:r>
        <w:rPr>
          <w:rFonts w:ascii="Arial" w:cs="Arial" w:eastAsia="Arial" w:hAnsi="Arial"/>
          <w:sz w:val="17"/>
          <w:szCs w:val="17"/>
          <w:u w:val="single" w:color="auto"/>
          <w:color w:val="auto"/>
        </w:rPr>
        <w:t>Section 5(n)</w:t>
      </w:r>
      <w:r>
        <w:rPr>
          <w:rFonts w:ascii="Arial" w:cs="Arial" w:eastAsia="Arial" w:hAnsi="Arial"/>
          <w:sz w:val="17"/>
          <w:szCs w:val="17"/>
          <w:color w:val="auto"/>
        </w:rPr>
        <w:t xml:space="preserve"> hereof.</w:t>
      </w:r>
    </w:p>
    <w:p>
      <w:pPr>
        <w:spacing w:after="0" w:line="68" w:lineRule="exact"/>
        <w:rPr>
          <w:rFonts w:ascii="Arial" w:cs="Arial" w:eastAsia="Arial" w:hAnsi="Arial"/>
          <w:sz w:val="17"/>
          <w:szCs w:val="17"/>
          <w:color w:val="auto"/>
        </w:rPr>
      </w:pPr>
    </w:p>
    <w:p>
      <w:pPr>
        <w:ind w:left="320" w:right="639" w:firstLine="260"/>
        <w:spacing w:after="0" w:line="334" w:lineRule="auto"/>
        <w:tabs>
          <w:tab w:leader="none" w:pos="841"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This Agreement creates in favor of the Buyer a legal, valid and enforceable (except to the extent such enforceability may be affected by the fact that it is not perfected) security interest in the Collateral, as security for the Obligations.</w:t>
      </w:r>
    </w:p>
    <w:p>
      <w:pPr>
        <w:spacing w:after="0" w:line="22" w:lineRule="exact"/>
        <w:rPr>
          <w:rFonts w:ascii="Arial" w:cs="Arial" w:eastAsia="Arial" w:hAnsi="Arial"/>
          <w:sz w:val="16"/>
          <w:szCs w:val="16"/>
          <w:color w:val="auto"/>
        </w:rPr>
      </w:pPr>
    </w:p>
    <w:p>
      <w:pPr>
        <w:ind w:left="320" w:right="639" w:firstLine="260"/>
        <w:spacing w:after="0" w:line="270" w:lineRule="auto"/>
        <w:tabs>
          <w:tab w:leader="none" w:pos="87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As of the date hereof, such Grantor does not hold any Commercial Tort Claims nor is aware of any such pending claims, except for such claims described in </w:t>
      </w:r>
      <w:r>
        <w:rPr>
          <w:rFonts w:ascii="Arial" w:cs="Arial" w:eastAsia="Arial" w:hAnsi="Arial"/>
          <w:sz w:val="18"/>
          <w:szCs w:val="18"/>
          <w:u w:val="single" w:color="auto"/>
          <w:color w:val="auto"/>
        </w:rPr>
        <w:t>Schedule VI</w:t>
      </w:r>
      <w:r>
        <w:rPr>
          <w:rFonts w:ascii="Arial" w:cs="Arial" w:eastAsia="Arial" w:hAnsi="Arial"/>
          <w:sz w:val="18"/>
          <w:szCs w:val="18"/>
          <w:color w:val="auto"/>
        </w:rPr>
        <w:t>.</w:t>
      </w:r>
    </w:p>
    <w:p>
      <w:pPr>
        <w:spacing w:after="0" w:line="69" w:lineRule="exact"/>
        <w:rPr>
          <w:sz w:val="20"/>
          <w:szCs w:val="20"/>
          <w:color w:val="auto"/>
        </w:rPr>
      </w:pPr>
    </w:p>
    <w:p>
      <w:pPr>
        <w:ind w:left="40" w:right="619" w:firstLine="267"/>
        <w:spacing w:after="0" w:line="270"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Covenants as to the Collateral</w:t>
      </w:r>
      <w:r>
        <w:rPr>
          <w:rFonts w:ascii="Arial" w:cs="Arial" w:eastAsia="Arial" w:hAnsi="Arial"/>
          <w:sz w:val="18"/>
          <w:szCs w:val="18"/>
          <w:color w:val="auto"/>
        </w:rPr>
        <w:t>. Subject in all respects to Section 5(n), so long as any of the Obligations shall remain outstanding, unless the Buyer shall otherwise consent in writing:</w:t>
      </w:r>
    </w:p>
    <w:p>
      <w:pPr>
        <w:spacing w:after="0" w:line="69" w:lineRule="exact"/>
        <w:rPr>
          <w:sz w:val="20"/>
          <w:szCs w:val="20"/>
          <w:color w:val="auto"/>
        </w:rPr>
      </w:pPr>
    </w:p>
    <w:p>
      <w:pPr>
        <w:jc w:val="both"/>
        <w:ind w:left="320" w:right="619" w:firstLine="260"/>
        <w:spacing w:after="0" w:line="281" w:lineRule="auto"/>
        <w:tabs>
          <w:tab w:leader="none" w:pos="874"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Grantor will at its expense, at any time and from time to time, promptly execute and deliver all further instruments and documents and take all further action that the Buyer may reasonably request in order to: (i) perfect and protect the security interest purported to be created hereby; (ii) enable the Buyer to exercise and enforce its rights and remedies hereunder in respect of the Collateral; or (iii) otherwise effect the purposes of this Agreement, including, without limitation: (A) marking conspicuously all Chattel Paper and each License and, at the request of the Buyer, each of its Records pertaining to the Collateral with a legend, in form and substance satisfactory to the Buyer, indicating that such Chattel Paper, License or Collateral is subject to the security interest created hereby, (B) delivering and pledging to the Buyer hereunder each Promissory Note, Security, Chattel Paper or other Instrument, now or hereafter owned by such Grantor, duly endorsed and accompanied by executed instruments of transfer or assignment, all in form and substance satisfactory to the Buyer, (C) executing and filing (to the extent, if any, that such Grantor’s signature is required thereon) or authenticating the filing of, such financing or continuation statements, or amendments thereto, as may be necessary or desirable or that the Buyer may request in order to perfect and preserve the security interest purported to be created hereby, (D) furnishing to the Buyer from time to time statements and schedules further identifying and describing the Collateral and such other reports in connection with the Collateral in each case as the Buyer may reasonably request, all in reasonable detail, (E) if any Collateral shall be in the possession of a third party, notifying such Person of the Buyer’s security interest created hereby and obtaining a written acknowledgment from such Person that such Person holds possession of the Collateral for the benefit of the Buyer, which such written acknowledgement shall be in form and substance satisfactory to the Buyer, (F) if at any time after the date hereof, such Grantor acquires or holds any Commercial Tort Claim, promptly notifying the Buyer in a writing signed by such Grantor setting forth a brief description of such Commercial Tort Claim and granting to the Buyer a security interest therein and in the proceeds thereof, which writing shall incorporate the provisions hereof and shall be in form and substance satisfactory to the Buyer, (G) upon the acquisition after the date hereof by such Grantor of any motor vehicle or other Equipment subject to a certificate of title or ownership (other than a Motor Vehicle or Equipment that is subject to a purchase money security interest), causing the Buyer to be listed as the lienholder on such certificate of title or ownership and delivering evidence of the same to the Buyer; and (H) taking all actions required by any earlier versions of the Uniform Commercial Code or by</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3" w:name="page314"/>
    <w:bookmarkEnd w:id="3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other law, as applicable, in any relevant Uniform Commercial Code jurisdiction, or by other law as applicable in any foreign jurisdiction.</w:t>
      </w:r>
    </w:p>
    <w:p>
      <w:pPr>
        <w:spacing w:after="0" w:line="69" w:lineRule="exact"/>
        <w:rPr>
          <w:sz w:val="20"/>
          <w:szCs w:val="20"/>
          <w:color w:val="auto"/>
        </w:rPr>
      </w:pPr>
    </w:p>
    <w:p>
      <w:pPr>
        <w:jc w:val="both"/>
        <w:ind w:left="320" w:right="619" w:firstLine="260"/>
        <w:spacing w:after="0" w:line="306" w:lineRule="auto"/>
        <w:tabs>
          <w:tab w:leader="none" w:pos="897"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Location of Equipment and Inventory</w:t>
      </w:r>
      <w:r>
        <w:rPr>
          <w:rFonts w:ascii="Arial" w:cs="Arial" w:eastAsia="Arial" w:hAnsi="Arial"/>
          <w:sz w:val="16"/>
          <w:szCs w:val="16"/>
          <w:color w:val="auto"/>
        </w:rPr>
        <w:t xml:space="preserve">. Each Grantor will keep the Equipment and Inventory at the locations specified therefor in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hereof or, upon not less than thirty (30) days’ prior written notice to the Buyer accompanied by a new </w:t>
      </w:r>
      <w:r>
        <w:rPr>
          <w:rFonts w:ascii="Arial" w:cs="Arial" w:eastAsia="Arial" w:hAnsi="Arial"/>
          <w:sz w:val="16"/>
          <w:szCs w:val="16"/>
          <w:u w:val="single" w:color="auto"/>
          <w:color w:val="auto"/>
        </w:rPr>
        <w:t>Schedule V</w:t>
      </w:r>
      <w:r>
        <w:rPr>
          <w:rFonts w:ascii="Arial" w:cs="Arial" w:eastAsia="Arial" w:hAnsi="Arial"/>
          <w:sz w:val="16"/>
          <w:szCs w:val="16"/>
          <w:color w:val="auto"/>
        </w:rPr>
        <w:t xml:space="preserve"> hereto indicating each new location of the Equipment and Inventory, at such other locations in the United States.</w:t>
      </w:r>
    </w:p>
    <w:p>
      <w:pPr>
        <w:spacing w:after="0" w:line="44" w:lineRule="exact"/>
        <w:rPr>
          <w:rFonts w:ascii="Arial" w:cs="Arial" w:eastAsia="Arial" w:hAnsi="Arial"/>
          <w:sz w:val="16"/>
          <w:szCs w:val="16"/>
          <w:color w:val="auto"/>
        </w:rPr>
      </w:pPr>
    </w:p>
    <w:p>
      <w:pPr>
        <w:jc w:val="both"/>
        <w:ind w:left="320" w:right="639" w:firstLine="260"/>
        <w:spacing w:after="0" w:line="251" w:lineRule="auto"/>
        <w:tabs>
          <w:tab w:leader="none" w:pos="874"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Condition of Equipment</w:t>
      </w:r>
      <w:r>
        <w:rPr>
          <w:rFonts w:ascii="Arial" w:cs="Arial" w:eastAsia="Arial" w:hAnsi="Arial"/>
          <w:sz w:val="18"/>
          <w:szCs w:val="18"/>
          <w:color w:val="auto"/>
        </w:rPr>
        <w:t>. Each Grantor will maintain or cause the Equipment (necessary or useful to its business) to be maintained and preserved in good condition, repair and working order, ordinary wear and tear excepted, and will forthwith, or in the case of any loss or damage to any Equipment of such Grantor within a commercially reasonable time after the occurrence thereof, make or cause to be made all repairs, replacements and other improvements in connection therewith which are necessary or desirable, consistent with past practice, or which the Buyer may reasonably request to such end. Such Grantor will promptly furnish to the Buyer a statement describing in reasonable detail any such loss or damage in excess of $25,000 to any Equipment.</w:t>
      </w:r>
    </w:p>
    <w:p>
      <w:pPr>
        <w:spacing w:after="0" w:line="88" w:lineRule="exact"/>
        <w:rPr>
          <w:rFonts w:ascii="Arial" w:cs="Arial" w:eastAsia="Arial" w:hAnsi="Arial"/>
          <w:sz w:val="18"/>
          <w:szCs w:val="18"/>
          <w:color w:val="auto"/>
        </w:rPr>
      </w:pPr>
    </w:p>
    <w:p>
      <w:pPr>
        <w:jc w:val="both"/>
        <w:ind w:left="320" w:right="619" w:firstLine="260"/>
        <w:spacing w:after="0" w:line="272" w:lineRule="auto"/>
        <w:tabs>
          <w:tab w:leader="none" w:pos="884"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Taxes, Etc</w:t>
      </w:r>
      <w:r>
        <w:rPr>
          <w:rFonts w:ascii="Arial" w:cs="Arial" w:eastAsia="Arial" w:hAnsi="Arial"/>
          <w:sz w:val="17"/>
          <w:szCs w:val="17"/>
          <w:color w:val="auto"/>
        </w:rPr>
        <w:t>.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w:t>
      </w:r>
    </w:p>
    <w:p>
      <w:pPr>
        <w:spacing w:after="0" w:line="68" w:lineRule="exact"/>
        <w:rPr>
          <w:rFonts w:ascii="Arial" w:cs="Arial" w:eastAsia="Arial" w:hAnsi="Arial"/>
          <w:sz w:val="17"/>
          <w:szCs w:val="17"/>
          <w:color w:val="auto"/>
        </w:rPr>
      </w:pPr>
    </w:p>
    <w:p>
      <w:pPr>
        <w:ind w:left="860" w:hanging="280"/>
        <w:spacing w:after="0"/>
        <w:tabs>
          <w:tab w:leader="none" w:pos="86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64" w:lineRule="auto"/>
        <w:tabs>
          <w:tab w:leader="none" w:pos="1183" w:val="left"/>
        </w:tabs>
        <w:numPr>
          <w:ilvl w:val="1"/>
          <w:numId w:val="277"/>
        </w:numPr>
        <w:rPr>
          <w:rFonts w:ascii="Arial" w:cs="Arial" w:eastAsia="Arial" w:hAnsi="Arial"/>
          <w:sz w:val="17"/>
          <w:szCs w:val="17"/>
          <w:color w:val="auto"/>
        </w:rPr>
      </w:pPr>
      <w:r>
        <w:rPr>
          <w:rFonts w:ascii="Arial" w:cs="Arial" w:eastAsia="Arial" w:hAnsi="Arial"/>
          <w:sz w:val="17"/>
          <w:szCs w:val="17"/>
          <w:color w:val="auto"/>
        </w:rPr>
        <w:t>Each Grantor will, at its own expense, maintain insurance (including, without limitation, commercial general liability and property insurance) with respect to the Equipment and Inventory in such amounts, against such risks, in such form and with responsible and reputable insurance companies or associations as is required by any governmental authority having jurisdiction with respect thereto or as is carried by such Grantor as of the date hereof and in any event, in amount, adequacy and scope reasonably satisfactory to the Buyer. Each such policy for liability insurance shall provide for all losses to be paid on behalf of the Buyer and such Grantor as their respective interests may appear, and each policy for property damage insurance shall provide for all losses to be adjusted with, and paid directly to, the Buyer. Each such policy shall in addition (A) name the Buyer as an additional insured party thereunder (without any representation or warranty by or obligation upon the Buyer) as their interests may appear, (B) contain an agreement by the insurer that any loss thereunder shall be payable to the Buyer on its own account notwithstanding any action, inaction or breach of representation or warranty by such Grantor, (C) provide that there shall be no recourse against the Buyer for payment of premiums or other amounts with respect thereto, and (D) provide that at least 30 days’ prior written notice of cancellation, lapse, expiration or other adverse change shall be given to the Buyer by the insurer. Such Grantor will, if so requested by the Buyer, deliver to the Buyer original or duplicate policies of such insurance and, as often as the Buyer may reasonably request, a report of a reputable insurance broker with respect to such insurance. Such Grantor will also, at the request of the Buyer, execute and deliver instruments of assignment of such insurance policies and cause the respective insurers to acknowledge notice of such assignment.</w:t>
      </w:r>
    </w:p>
    <w:p>
      <w:pPr>
        <w:spacing w:after="0" w:line="86" w:lineRule="exact"/>
        <w:rPr>
          <w:rFonts w:ascii="Arial" w:cs="Arial" w:eastAsia="Arial" w:hAnsi="Arial"/>
          <w:sz w:val="17"/>
          <w:szCs w:val="17"/>
          <w:color w:val="auto"/>
        </w:rPr>
      </w:pPr>
    </w:p>
    <w:p>
      <w:pPr>
        <w:jc w:val="both"/>
        <w:ind w:left="580" w:right="619" w:firstLine="267"/>
        <w:spacing w:after="0" w:line="251" w:lineRule="auto"/>
        <w:tabs>
          <w:tab w:leader="none" w:pos="119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Reimbursement under any liability insurance maintained by a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may be paid directly to the Person who shall have incurred liability covered by such insurance. In the case of any loss involving damage to Equipment or Inventory, any proceeds of insurance maintained by a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paid to the Buyer (except as to which paragraph (iii) of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is not applicable), such Grantor will make or cause to be made the necessary repairs to or replacements of such Equipment or Inventory, and any proceeds of insurance maintained by such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paid by the Buyer to such Grantor as reimbursement for the costs of such repairs or replacements.</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4" w:name="page315"/>
    <w:bookmarkEnd w:id="3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80" w:right="639" w:firstLine="267"/>
        <w:spacing w:after="0" w:line="270" w:lineRule="auto"/>
        <w:tabs>
          <w:tab w:leader="none" w:pos="125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All insurance payments in respect of such Equipment or Inventory shall be paid to the Buyer and applied as specified in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hereof.</w:t>
      </w:r>
    </w:p>
    <w:p>
      <w:pPr>
        <w:spacing w:after="0" w:line="68" w:lineRule="exact"/>
        <w:rPr>
          <w:rFonts w:ascii="Arial" w:cs="Arial" w:eastAsia="Arial" w:hAnsi="Arial"/>
          <w:sz w:val="18"/>
          <w:szCs w:val="18"/>
          <w:color w:val="auto"/>
        </w:rPr>
      </w:pPr>
    </w:p>
    <w:p>
      <w:pPr>
        <w:ind w:left="840" w:hanging="260"/>
        <w:spacing w:after="0"/>
        <w:tabs>
          <w:tab w:leader="none" w:pos="84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Provisions Concerning the Accounts and the Licenses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52" w:lineRule="auto"/>
        <w:tabs>
          <w:tab w:leader="none" w:pos="1129"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Each Grantor will (A) give the Buyer at least 30 days’ prior written notice of any change in such Grantor’s name, identity or organizational structure, (B) maintain its jurisdiction of incorporation as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hereto, (C) immediately notify the Buyer upon obtaining an organizational identification number, if on the date hereof such Grantor did not have such identification number, and (D) keep adequate records concerning the Accounts and Chattel Paper and permit representatives of the Buyer during normal business hours on reasonable notice to such Grantor, to inspect and make abstracts from such Records and Chattel Paper.</w:t>
      </w:r>
    </w:p>
    <w:p>
      <w:pPr>
        <w:spacing w:after="0" w:line="86" w:lineRule="exact"/>
        <w:rPr>
          <w:sz w:val="20"/>
          <w:szCs w:val="20"/>
          <w:color w:val="auto"/>
        </w:rPr>
      </w:pPr>
    </w:p>
    <w:p>
      <w:pPr>
        <w:jc w:val="both"/>
        <w:ind w:left="580" w:right="619" w:firstLine="267"/>
        <w:spacing w:after="0" w:line="264" w:lineRule="auto"/>
        <w:tabs>
          <w:tab w:leader="none" w:pos="1182"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Each Grantor will, except as otherwise provided in this subsection (f), continue to collect, at its own expense, all amounts due or to become due under the Accounts. In connection with such collections, such Grantor may (and, at the Buyer’s direction, will) take such action as such Grantor or the Buyer may deem necessary or advisable to enforce collection or performance of the Accounts;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Buyer shall have the right at any time, upon the occurrence and during the continuance of an Event of Default, to notify the account debtors or obligors under any Accounts of the assignment of such Accounts to the Buyer and to direct such account debtors or obligors to make payment of all amounts due or to become due to such Grantor thereunder directly to the Buyer or its designated agent and, upon such notification and at the expense of such Grantor and to the extent permitted by law, to enforce collection of any such Accounts and to adjust, settle or compromise the amount or payment thereof, in the same manner and to the same extent as such Grantor might have done. After receipt by a Grantor of a notice from the Buyer that the Buyer has notified, intends to notify, or has enforced or intends to enforce a Grantor’s rights against the account debtors or obligors under any Accounts as referred to in the proviso to the immediately preceding sentence, (A) all amounts and proceeds (including Instruments) received by such Grantor in respect of the Accounts shall be received in trust for the benefit of the Buyer hereunder, shall be segregated from other funds of such Grantor and shall be forthwith paid over to the Buyer in the same form as so received (with any necessary endorsement) to be held as cash collateral and applied as specified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 and (B) such Grantor will not adjust, settle or compromise the amount or payment of any Account or release wholly or partly any account debtor or obligor thereof or allow any credit or discount thereon. In addition, upon the occurrence and during the continuance of an Event of Default, the Buyer may (in its sole and absolute discretion) direct any or all of the banks and financial institutions with which such Grantor either maintains a Deposit Account or a lockbox or deposits the proceeds of any Accounts to send immediately to the Buyer by wire transfer (to such account as the Buyer shall specify, or in such other manner as the Buyer shall direct) all or a portion of such securities, cash, investments and other items held by such institution. Any such securities, cash, investments and other items so received by the Buyer shall (in the sole and absolute discretion of the Buyer) be held as additional Collateral for the Obligations or distributed in accordance with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pacing w:after="0" w:line="78" w:lineRule="exact"/>
        <w:rPr>
          <w:rFonts w:ascii="Arial" w:cs="Arial" w:eastAsia="Arial" w:hAnsi="Arial"/>
          <w:sz w:val="17"/>
          <w:szCs w:val="17"/>
          <w:color w:val="auto"/>
        </w:rPr>
      </w:pPr>
    </w:p>
    <w:p>
      <w:pPr>
        <w:jc w:val="both"/>
        <w:ind w:left="580" w:right="619" w:firstLine="267"/>
        <w:spacing w:after="0" w:line="292" w:lineRule="auto"/>
        <w:tabs>
          <w:tab w:leader="none" w:pos="121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breach or default under any material License referred to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by any party thereto other than a Grantor, the Grantor party thereto will, promptly after obtaining knowledge thereof, give the Buyer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w:t>
      </w:r>
    </w:p>
    <w:p>
      <w:pPr>
        <w:spacing w:after="0" w:line="56" w:lineRule="exact"/>
        <w:rPr>
          <w:rFonts w:ascii="Arial" w:cs="Arial" w:eastAsia="Arial" w:hAnsi="Arial"/>
          <w:sz w:val="16"/>
          <w:szCs w:val="16"/>
          <w:color w:val="auto"/>
        </w:rPr>
      </w:pPr>
    </w:p>
    <w:p>
      <w:pPr>
        <w:jc w:val="both"/>
        <w:ind w:left="580" w:right="619" w:firstLine="267"/>
        <w:spacing w:after="0" w:line="281" w:lineRule="auto"/>
        <w:tabs>
          <w:tab w:leader="none" w:pos="123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Each Grantor will, at its expense, promptly deliver to the Buyer a copy of each notice or other communication received by it by which any other party to any material License referred to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purports to exercise any of its rights or affect any of its obligations thereunder, together with a copy of any reply by such Grantor thereto.</w:t>
      </w: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5" w:name="page316"/>
    <w:bookmarkEnd w:id="3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firstLine="267"/>
        <w:spacing w:after="0" w:line="272" w:lineRule="auto"/>
        <w:tabs>
          <w:tab w:leader="none" w:pos="118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 xml:space="preserve">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reasonably necessary to maintain such Licenses in full force and effect. No Grantor will, without the prior written consent of the Buyer, cancel, terminate, amend or otherwise modify in any respect, or waive any provision of, any material License referred to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68" w:lineRule="exact"/>
        <w:rPr>
          <w:rFonts w:ascii="Arial" w:cs="Arial" w:eastAsia="Arial" w:hAnsi="Arial"/>
          <w:sz w:val="17"/>
          <w:szCs w:val="17"/>
          <w:color w:val="auto"/>
        </w:rPr>
      </w:pPr>
    </w:p>
    <w:p>
      <w:pPr>
        <w:ind w:left="880" w:hanging="300"/>
        <w:spacing w:after="0"/>
        <w:tabs>
          <w:tab w:leader="none" w:pos="88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Transfers and Other Liens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306" w:lineRule="auto"/>
        <w:tabs>
          <w:tab w:leader="none" w:pos="1147" w:val="left"/>
        </w:tabs>
        <w:numPr>
          <w:ilvl w:val="1"/>
          <w:numId w:val="282"/>
        </w:numPr>
        <w:rPr>
          <w:rFonts w:ascii="Arial" w:cs="Arial" w:eastAsia="Arial" w:hAnsi="Arial"/>
          <w:sz w:val="16"/>
          <w:szCs w:val="16"/>
          <w:color w:val="auto"/>
        </w:rPr>
      </w:pPr>
      <w:r>
        <w:rPr>
          <w:rFonts w:ascii="Arial" w:cs="Arial" w:eastAsia="Arial" w:hAnsi="Arial"/>
          <w:sz w:val="16"/>
          <w:szCs w:val="16"/>
          <w:color w:val="auto"/>
        </w:rPr>
        <w:t>No Grantor will sell, assign (by operation of law or otherwise), lease, license, exchange or otherwise transfer or dispose of any of the Collateral, except (A) Inventory in the ordinary course of business, (B) worn-out or obsolete assets not necessary to the business, and (C) Accounts solely in accordance with the terms and conditions of the Factoring Agreement.</w:t>
      </w:r>
    </w:p>
    <w:p>
      <w:pPr>
        <w:spacing w:after="0" w:line="45" w:lineRule="exact"/>
        <w:rPr>
          <w:sz w:val="20"/>
          <w:szCs w:val="20"/>
          <w:color w:val="auto"/>
        </w:rPr>
      </w:pPr>
    </w:p>
    <w:p>
      <w:pPr>
        <w:ind w:left="580" w:right="639" w:firstLine="267"/>
        <w:spacing w:after="0" w:line="270" w:lineRule="auto"/>
        <w:tabs>
          <w:tab w:leader="none" w:pos="12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No Grantor will create, suffer to exist or grant any Lien upon or with respect to any Collateral other than a Permitted Lien.</w:t>
      </w:r>
    </w:p>
    <w:p>
      <w:pPr>
        <w:spacing w:after="0" w:line="68" w:lineRule="exact"/>
        <w:rPr>
          <w:rFonts w:ascii="Arial" w:cs="Arial" w:eastAsia="Arial" w:hAnsi="Arial"/>
          <w:sz w:val="18"/>
          <w:szCs w:val="18"/>
          <w:color w:val="auto"/>
        </w:rPr>
      </w:pPr>
    </w:p>
    <w:p>
      <w:pPr>
        <w:ind w:left="880" w:hanging="300"/>
        <w:spacing w:after="0"/>
        <w:tabs>
          <w:tab w:leader="none" w:pos="8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80" w:lineRule="auto"/>
        <w:tabs>
          <w:tab w:leader="none" w:pos="110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Except as otherwise set forth herein, if applicable, each Grantor shall, upon the Buyer’s written request, duly execute and delivered the applicable Assignment for Security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Grantor (either itself or through licensees) will, and will cause each licensee thereof to, take all action necessary to maintain all of the Intellectual Property in full force and effect, including, without limitation, using the proper statutory notices and markings and using the Trademarks on each applicable trademark class of goods in order to so maintain the Trademarks in full force and free from any claim of abandonment for non-use, and such Grantor will not (nor permit any licensee thereof to) do any act or knowingly omit to do any act whereby any Intellectual Property may become invalidated;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no Event of Default has occurred and is continuing, such Grantor shall not have an obligation to use or to maintain any Intellectual Property (A) that relates solely to any product or work, that has been, or is in the process of being, discontinued, abandoned or terminated,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or (C) that is substantially the same as another Intellectual Property that is in full force, so long the failure to use or maintain such Intellectual Property does not materially adversely affect the validity of such replacement Intellectual Property and so long as such other Intellectual Property is subject to the Lien and security interest created by this Agreement.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fees in the ordinary course of business. If any Intellectual Property (other than Intellectual Property described in the proviso to the first sentence of subsection (i) of this clause (h)) is infringed, misappropriated, diluted or otherwise violated in any material respect by a third party, such Grantor shall (x) upon learning of such infringement, misappropriation, dilution or other violation, promptly notify the Buyer and (y) to the extent such Grantor shall deem appropriate under the circumstances,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Each Grantor shall furnish to the Buyer from time to time upon its request statements and schedules further identifying and describing the Intellectual Property and Licenses and such other reports in connection with the</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6" w:name="page317"/>
    <w:bookmarkEnd w:id="3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330" w:lineRule="auto"/>
        <w:rPr>
          <w:sz w:val="20"/>
          <w:szCs w:val="20"/>
          <w:color w:val="auto"/>
        </w:rPr>
      </w:pPr>
      <w:r>
        <w:rPr>
          <w:rFonts w:ascii="Arial" w:cs="Arial" w:eastAsia="Arial" w:hAnsi="Arial"/>
          <w:sz w:val="14"/>
          <w:szCs w:val="14"/>
          <w:color w:val="auto"/>
        </w:rPr>
        <w:t xml:space="preserve">Intellectual Property and Licenses as the Buyer may reasonably request, all in reasonable detail and promptly upon request of the Buyer, following receipt by the Buyer of any such statements, schedules or reports, such Grantor shall modify this Agreement by amending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as the case may be, to include any Intellectual Property and License, as the case may be, which becomes part of the Collateral under this Agreement and shall execute and authenticate such documents and do such acts as shall be necessary or, in the judgment of the Buyer, desirable to subject such Intellectual Property and Licenses to the Lien and security interest created by this Agreement. Notwithstanding anything herein to the contrary, upon the occurrence and during the continuance of an Event of Default, such Grantor may not abandon or otherwise permit any Intellectual Property to become invalid without the prior written consent of the Buyer, and if any Intellectual Property is infringed, misappropriated, diluted or otherwise violated in any material respect by a third party, such Grantor will take such action as the Buyer shall deem appropriate under the circumstances to protect such Intellectual Property.</w:t>
      </w:r>
    </w:p>
    <w:p>
      <w:pPr>
        <w:spacing w:after="0" w:line="253" w:lineRule="exact"/>
        <w:rPr>
          <w:sz w:val="20"/>
          <w:szCs w:val="20"/>
          <w:color w:val="auto"/>
        </w:rPr>
      </w:pPr>
    </w:p>
    <w:p>
      <w:pPr>
        <w:jc w:val="both"/>
        <w:ind w:left="580" w:right="619" w:firstLine="267"/>
        <w:spacing w:after="0" w:line="284" w:lineRule="auto"/>
        <w:tabs>
          <w:tab w:leader="none" w:pos="115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In no event shall a Grantor, either itself or through any agent, employee, licensee or designee, file an application for the registration of any Trademark or Copyright or the issuance of any Patent with the United States Patent and Trademark Office or the United States Copyright Office, as applicable, or in any similar office or agency of the United States or any country or any political subdivision thereof unless it gives the Buyer prior written notice thereof. Upon request of the Buyer, but except as otherwise set forth herein, each Grantor shall execute, authenticate and deliver any and all assignments, agreements, instruments, documents and papers as the Buyer may reasonably request to evidence the Buyer’s security interest hereunder in such Intellectual Property and the General Intangibles of such Grantor relating thereto or represented thereby, and such Grantor hereby appoints the Buyer its attorney-in-fact to execute and/or authenticate and file all such writings for the foregoing purposes, all acts of such attorney being hereby ratified and confirmed, and such power (being coupled with an interest) shall be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0" w:lineRule="exact"/>
        <w:rPr>
          <w:rFonts w:ascii="Arial" w:cs="Arial" w:eastAsia="Arial" w:hAnsi="Arial"/>
          <w:sz w:val="16"/>
          <w:szCs w:val="16"/>
          <w:color w:val="auto"/>
        </w:rPr>
      </w:pPr>
    </w:p>
    <w:p>
      <w:pPr>
        <w:jc w:val="both"/>
        <w:ind w:left="580" w:right="619" w:firstLine="267"/>
        <w:spacing w:after="0" w:line="286" w:lineRule="auto"/>
        <w:tabs>
          <w:tab w:leader="none" w:pos="1241" w:val="left"/>
        </w:tabs>
        <w:numPr>
          <w:ilvl w:val="1"/>
          <w:numId w:val="285"/>
        </w:numPr>
        <w:rPr>
          <w:rFonts w:ascii="Arial" w:cs="Arial" w:eastAsia="Arial" w:hAnsi="Arial"/>
          <w:sz w:val="16"/>
          <w:szCs w:val="16"/>
          <w:color w:val="auto"/>
        </w:rPr>
      </w:pPr>
      <w:r>
        <w:rPr>
          <w:rFonts w:ascii="Arial" w:cs="Arial" w:eastAsia="Arial" w:hAnsi="Arial"/>
          <w:sz w:val="16"/>
          <w:szCs w:val="16"/>
          <w:color w:val="auto"/>
        </w:rPr>
        <w:t xml:space="preserve">Upon the Buyer’s request, each Grantor shall cause each domain registrar where any of such Grantor’s Internet domain names are registered, whether as of the date of this Agreement or at any time hereafter, to execute and deliver to the Buyer a domain name control agreement, in form and substance reasonably satisfactory to the Buyer, duly executed by such Grantor and such domain registrar, or enter into other arrangements in form and substance satisfactory to the Buyer, pursuant to which such domain registrar shall irrevocably agree, </w:t>
      </w:r>
      <w:r>
        <w:rPr>
          <w:rFonts w:ascii="Arial" w:cs="Arial" w:eastAsia="Arial" w:hAnsi="Arial"/>
          <w:sz w:val="16"/>
          <w:szCs w:val="16"/>
          <w:u w:val="single" w:color="auto"/>
          <w:color w:val="auto"/>
        </w:rPr>
        <w:t>inter alia</w:t>
      </w:r>
      <w:r>
        <w:rPr>
          <w:rFonts w:ascii="Arial" w:cs="Arial" w:eastAsia="Arial" w:hAnsi="Arial"/>
          <w:sz w:val="16"/>
          <w:szCs w:val="16"/>
          <w:color w:val="auto"/>
        </w:rPr>
        <w:t>, that (i) it will comply at any time with the instructions originated by the Buyer to such domain registrar directing substitution of the Buyer or its designee as the registered owner of such Internet domain names, without further consent of such Grantor, which instructions the Buyer will not give to such domain registrar in the absence of a continuing Event of Default.</w:t>
      </w:r>
    </w:p>
    <w:p>
      <w:pPr>
        <w:spacing w:after="0" w:line="63" w:lineRule="exact"/>
        <w:rPr>
          <w:rFonts w:ascii="Arial" w:cs="Arial" w:eastAsia="Arial" w:hAnsi="Arial"/>
          <w:sz w:val="16"/>
          <w:szCs w:val="16"/>
          <w:color w:val="auto"/>
        </w:rPr>
      </w:pPr>
    </w:p>
    <w:p>
      <w:pPr>
        <w:jc w:val="both"/>
        <w:ind w:left="320" w:right="619" w:firstLine="260"/>
        <w:spacing w:after="0" w:line="266" w:lineRule="auto"/>
        <w:tabs>
          <w:tab w:leader="none" w:pos="884"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Deposit, Commodities and Securities Accounts</w:t>
      </w:r>
      <w:r>
        <w:rPr>
          <w:rFonts w:ascii="Arial" w:cs="Arial" w:eastAsia="Arial" w:hAnsi="Arial"/>
          <w:sz w:val="17"/>
          <w:szCs w:val="17"/>
          <w:color w:val="auto"/>
        </w:rPr>
        <w:t xml:space="preserve">. Upon the Buyer’s request, each Grantor shall cause each bank and other financial institution with an account referred to in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to execute and deliver to the Buyer a control agreement, in form and substance reasonably satisfactory to the Buyer, duly executed by such Grantor and such bank or financial institution, or enter into other arrangements in form and substance satisfactory to the Buyer, pursuant to which such institution shall irrevocably agree, </w:t>
      </w:r>
      <w:r>
        <w:rPr>
          <w:rFonts w:ascii="Arial" w:cs="Arial" w:eastAsia="Arial" w:hAnsi="Arial"/>
          <w:sz w:val="17"/>
          <w:szCs w:val="17"/>
          <w:u w:val="single" w:color="auto"/>
          <w:color w:val="auto"/>
        </w:rPr>
        <w:t>inter alia</w:t>
      </w:r>
      <w:r>
        <w:rPr>
          <w:rFonts w:ascii="Arial" w:cs="Arial" w:eastAsia="Arial" w:hAnsi="Arial"/>
          <w:sz w:val="17"/>
          <w:szCs w:val="17"/>
          <w:color w:val="auto"/>
        </w:rPr>
        <w:t>, that (i) it will comply at any time with the instructions originated by the Buyer to such bank or financial institution directing the disposition of cash, Commodity Contracts, securities, Investment Property and other items from time to time credited to such account, without further consent of such Grantor, which instructions the Buyer will not give to such bank or other financial institution in the absence of a continuing Event of Default, (ii) all cash, Commodity Contracts, securities, Investment Property and other items of such Grantor deposited with such institution shall be subject to a perfected, first priority security interest in favor of the Buyer, (iii) any right of set off, banker’s Lien or other similar Lien, security interest or encumbrance shall be fully waived as against the Buyer, and (iv) upon receipt of written notice from the Buyer during the continuance of an Event of</w:t>
      </w:r>
    </w:p>
    <w:p>
      <w:pPr>
        <w:spacing w:after="0" w:line="200" w:lineRule="exact"/>
        <w:rPr>
          <w:sz w:val="20"/>
          <w:szCs w:val="20"/>
          <w:color w:val="auto"/>
        </w:rPr>
      </w:pPr>
    </w:p>
    <w:p>
      <w:pPr>
        <w:spacing w:after="0" w:line="3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17" w:name="page318"/>
    <w:bookmarkEnd w:id="3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2" w:lineRule="auto"/>
        <w:rPr>
          <w:sz w:val="20"/>
          <w:szCs w:val="20"/>
          <w:color w:val="auto"/>
        </w:rPr>
      </w:pPr>
      <w:r>
        <w:rPr>
          <w:rFonts w:ascii="Arial" w:cs="Arial" w:eastAsia="Arial" w:hAnsi="Arial"/>
          <w:sz w:val="16"/>
          <w:szCs w:val="16"/>
          <w:color w:val="auto"/>
        </w:rPr>
        <w:t xml:space="preserve">Default, such bank or financial institution shall immediately send to the Buyer by wire transfer (to such account as the Buyer shall specify, or in such other manner as the Buyer shall direct) all such cash, the value of any Commodity Contracts, securities, Investment Property and other items held by it. Without the prior written consent of the Buyer, such Grantor shall not make or maintain any Deposit Account, Commodity Account or Securities Account except for the accounts set forth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The provisions of this paragraph 5(i) shall not apply to (i) Deposit Accounts for which the Buyer is the depositary and</w:t>
      </w:r>
    </w:p>
    <w:p>
      <w:pPr>
        <w:spacing w:after="0" w:line="1" w:lineRule="exact"/>
        <w:rPr>
          <w:sz w:val="20"/>
          <w:szCs w:val="20"/>
          <w:color w:val="auto"/>
        </w:rPr>
      </w:pPr>
    </w:p>
    <w:p>
      <w:pPr>
        <w:ind w:left="320" w:right="639" w:hanging="8"/>
        <w:spacing w:after="0" w:line="255" w:lineRule="auto"/>
        <w:tabs>
          <w:tab w:leader="none" w:pos="59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Deposit Accounts specially and exclusively used for payroll, payroll taxes and other employee wage and benefit payments to or for the benefit of a Grantor’s salaried employees.</w:t>
      </w:r>
    </w:p>
    <w:p>
      <w:pPr>
        <w:spacing w:after="0" w:line="81" w:lineRule="exact"/>
        <w:rPr>
          <w:rFonts w:ascii="Arial" w:cs="Arial" w:eastAsia="Arial" w:hAnsi="Arial"/>
          <w:sz w:val="18"/>
          <w:szCs w:val="18"/>
          <w:color w:val="auto"/>
        </w:rPr>
      </w:pPr>
    </w:p>
    <w:p>
      <w:pPr>
        <w:ind w:left="840" w:hanging="260"/>
        <w:spacing w:after="0"/>
        <w:tabs>
          <w:tab w:leader="none" w:pos="840"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Motor Vehicles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580" w:right="639" w:firstLine="267"/>
        <w:spacing w:after="0" w:line="270" w:lineRule="auto"/>
        <w:tabs>
          <w:tab w:leader="none" w:pos="115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Upon the Buyer’s written request, each Grantor shall deliver to the Buyer originals of the certificates of title or ownership for all motor vehicles owned by it with the Buyer listed as lienholder.</w:t>
      </w:r>
    </w:p>
    <w:p>
      <w:pPr>
        <w:spacing w:after="0" w:line="68" w:lineRule="exact"/>
        <w:rPr>
          <w:rFonts w:ascii="Arial" w:cs="Arial" w:eastAsia="Arial" w:hAnsi="Arial"/>
          <w:sz w:val="18"/>
          <w:szCs w:val="18"/>
          <w:color w:val="auto"/>
        </w:rPr>
      </w:pPr>
    </w:p>
    <w:p>
      <w:pPr>
        <w:jc w:val="both"/>
        <w:ind w:left="580" w:right="619" w:firstLine="267"/>
        <w:spacing w:after="0" w:line="285" w:lineRule="auto"/>
        <w:tabs>
          <w:tab w:leader="none" w:pos="1178" w:val="left"/>
        </w:tabs>
        <w:numPr>
          <w:ilvl w:val="2"/>
          <w:numId w:val="287"/>
        </w:numPr>
        <w:rPr>
          <w:rFonts w:ascii="Arial" w:cs="Arial" w:eastAsia="Arial" w:hAnsi="Arial"/>
          <w:sz w:val="16"/>
          <w:szCs w:val="16"/>
          <w:color w:val="auto"/>
        </w:rPr>
      </w:pPr>
      <w:r>
        <w:rPr>
          <w:rFonts w:ascii="Arial" w:cs="Arial" w:eastAsia="Arial" w:hAnsi="Arial"/>
          <w:sz w:val="16"/>
          <w:szCs w:val="16"/>
          <w:color w:val="auto"/>
        </w:rPr>
        <w:t>Each Grantor hereby appoints the Buyer as its attorney-in-fact, effective the date hereof and terminating upon the termination of this Agreement, for the purpose of (A) executing on behalf of such Grantor title or ownership applications for filing with appropriate state agencies to enable motor vehicles now owned or hereafter acquired by such Grantor to be retitled and the Buyer listed as lienholder thereof, (B) filing such applications with such state agencies, and (C) executing such other documents and instruments on behalf of, and taking such other action in the name of, such Grantor as the Buyer may deem necessary or advisable to accomplish the purposes hereof (including, without limitation, for the purpose of creating in favor of the Buyer a perfected Lien on the motor vehicles and exercising the rights and remedies of the Buyer hereunder). This appointment as attorney-in-fact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0" w:lineRule="exact"/>
        <w:rPr>
          <w:rFonts w:ascii="Arial" w:cs="Arial" w:eastAsia="Arial" w:hAnsi="Arial"/>
          <w:sz w:val="16"/>
          <w:szCs w:val="16"/>
          <w:color w:val="auto"/>
        </w:rPr>
      </w:pPr>
    </w:p>
    <w:p>
      <w:pPr>
        <w:ind w:left="580" w:right="639" w:firstLine="267"/>
        <w:spacing w:after="0" w:line="270" w:lineRule="auto"/>
        <w:tabs>
          <w:tab w:leader="none" w:pos="1234"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Any certificates of title or ownership delivered pursuant to the terms hereof shall be accompanied by odometer statements for each motor vehicle covered thereby.</w:t>
      </w:r>
    </w:p>
    <w:p>
      <w:pPr>
        <w:spacing w:after="0" w:line="68" w:lineRule="exact"/>
        <w:rPr>
          <w:rFonts w:ascii="Arial" w:cs="Arial" w:eastAsia="Arial" w:hAnsi="Arial"/>
          <w:sz w:val="18"/>
          <w:szCs w:val="18"/>
          <w:color w:val="auto"/>
        </w:rPr>
      </w:pPr>
    </w:p>
    <w:p>
      <w:pPr>
        <w:jc w:val="both"/>
        <w:ind w:left="580" w:right="619" w:firstLine="267"/>
        <w:spacing w:after="0" w:line="268" w:lineRule="auto"/>
        <w:tabs>
          <w:tab w:leader="none" w:pos="1202" w:val="left"/>
        </w:tabs>
        <w:numPr>
          <w:ilvl w:val="2"/>
          <w:numId w:val="287"/>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upon the request of such Grantor, the Buyer shall execute and deliver to such Grantor such instruments as such Grantor shall reasonably request to remove the notation of the Buyer as lienholder on any certificate of title for any motor vehicle;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instruments shall be delivered, and the release effective, only upon receipt by the Buyer of a certificate from such Grantor stating that such motor vehicle is to be sold or has suffered a casualty loss (with title thereto passing to the casualty insurance company therefor in settlement of the claim for such loss) and the amount that such Grantor will receive as sale proceeds or insurance proceeds. Any proceeds of such sale or casualty loss shall be paid to the Buyer hereunder immediately upon receipt, to be applied to the Obligations then outstanding.</w:t>
      </w:r>
    </w:p>
    <w:p>
      <w:pPr>
        <w:spacing w:after="0" w:line="71" w:lineRule="exact"/>
        <w:rPr>
          <w:rFonts w:ascii="Arial" w:cs="Arial" w:eastAsia="Arial" w:hAnsi="Arial"/>
          <w:sz w:val="17"/>
          <w:szCs w:val="17"/>
          <w:color w:val="auto"/>
        </w:rPr>
      </w:pPr>
    </w:p>
    <w:p>
      <w:pPr>
        <w:jc w:val="both"/>
        <w:ind w:left="320" w:right="619" w:firstLine="260"/>
        <w:spacing w:after="0" w:line="255" w:lineRule="auto"/>
        <w:tabs>
          <w:tab w:leader="none" w:pos="884"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Each Grantor hereby agrees to take any or all action that may be necessary or desirable or that the Buyer may request in order for the Buyer to obtain control in accordance with Sections 9-105 – 9-107 of the Code with respect to the following Collateral: (i) Electronic Chattel Paper, (ii) Investment Property, (iii) Pledged Interests and (iv) Letter-of-Credit Rights.</w:t>
      </w:r>
    </w:p>
    <w:p>
      <w:pPr>
        <w:spacing w:after="0" w:line="82" w:lineRule="exact"/>
        <w:rPr>
          <w:rFonts w:ascii="Arial" w:cs="Arial" w:eastAsia="Arial" w:hAnsi="Arial"/>
          <w:sz w:val="18"/>
          <w:szCs w:val="18"/>
          <w:color w:val="auto"/>
        </w:rPr>
      </w:pPr>
    </w:p>
    <w:p>
      <w:pPr>
        <w:jc w:val="both"/>
        <w:ind w:left="320" w:right="639" w:firstLine="260"/>
        <w:spacing w:after="0" w:line="283" w:lineRule="auto"/>
        <w:tabs>
          <w:tab w:leader="none" w:pos="911"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Inspection and Reporting</w:t>
      </w:r>
      <w:r>
        <w:rPr>
          <w:rFonts w:ascii="Arial" w:cs="Arial" w:eastAsia="Arial" w:hAnsi="Arial"/>
          <w:sz w:val="16"/>
          <w:szCs w:val="16"/>
          <w:color w:val="auto"/>
        </w:rPr>
        <w:t>. Each Grantor shall permit the Buyer, or any agent or representatives thereof or such professionals or other Persons as the Buyer may designate, not more than once a year in the absence of an Event of Default, (i) to examine and make copies of and abstracts from such Grantor’s records and books of account, (ii) to visit and inspect its properties, (iii) to verify materials, leases, Instruments, Accounts, Inventory and other assets of such Grantor from time to time,</w:t>
      </w:r>
    </w:p>
    <w:p>
      <w:pPr>
        <w:ind w:left="320" w:right="639" w:hanging="8"/>
        <w:spacing w:after="0" w:line="285" w:lineRule="auto"/>
        <w:tabs>
          <w:tab w:leader="none" w:pos="66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to conduct audits, physical counts, appraisals and/or valuations, examinations at the locations of such Grantor. Each Grantor shall also permit the Buyer, or any agent or representatives thereof or such professionals or other</w:t>
      </w:r>
    </w:p>
    <w:p>
      <w:pPr>
        <w:spacing w:after="0" w:line="200" w:lineRule="exact"/>
        <w:rPr>
          <w:sz w:val="20"/>
          <w:szCs w:val="20"/>
          <w:color w:val="auto"/>
        </w:rPr>
      </w:pPr>
    </w:p>
    <w:p>
      <w:pPr>
        <w:spacing w:after="0" w:line="2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18" w:name="page319"/>
    <w:bookmarkEnd w:id="3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Persons as the Buyer may designate to discuss such Grantor’s affairs, finances and accounts with any of its officers subject to the execution by the Buyer or its designee(s) of a mutually agreeable confidentiality agreement.</w:t>
      </w:r>
    </w:p>
    <w:p>
      <w:pPr>
        <w:spacing w:after="0" w:line="69" w:lineRule="exact"/>
        <w:rPr>
          <w:sz w:val="20"/>
          <w:szCs w:val="20"/>
          <w:color w:val="auto"/>
        </w:rPr>
      </w:pPr>
    </w:p>
    <w:p>
      <w:pPr>
        <w:jc w:val="both"/>
        <w:ind w:left="320" w:right="619" w:firstLine="260"/>
        <w:spacing w:after="0" w:line="275" w:lineRule="auto"/>
        <w:tabs>
          <w:tab w:leader="none" w:pos="934"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Future Subsidiaries</w:t>
      </w:r>
      <w:r>
        <w:rPr>
          <w:rFonts w:ascii="Arial" w:cs="Arial" w:eastAsia="Arial" w:hAnsi="Arial"/>
          <w:sz w:val="17"/>
          <w:szCs w:val="17"/>
          <w:color w:val="auto"/>
        </w:rPr>
        <w:t>. If any Grantor shall hereafter create or acquire any Subsidiary, simultaneously with the creation of acquisition of such Subsidiary, such Grantor shall cause such Subsidiary to become a party to this Agreement as an additional “Grantor” hereunder, and to duly execute and/or deliver such opinions of counsel and other documents, in form and substance acceptable to the Buyer, as the Buyer shall reasonably request with respect thereto.</w:t>
      </w:r>
    </w:p>
    <w:p>
      <w:pPr>
        <w:spacing w:after="0" w:line="66" w:lineRule="exact"/>
        <w:rPr>
          <w:rFonts w:ascii="Arial" w:cs="Arial" w:eastAsia="Arial" w:hAnsi="Arial"/>
          <w:sz w:val="17"/>
          <w:szCs w:val="17"/>
          <w:color w:val="auto"/>
        </w:rPr>
      </w:pPr>
    </w:p>
    <w:p>
      <w:pPr>
        <w:jc w:val="both"/>
        <w:ind w:left="320" w:right="619" w:firstLine="260"/>
        <w:spacing w:after="0" w:line="268" w:lineRule="auto"/>
        <w:tabs>
          <w:tab w:leader="none" w:pos="924"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The Company and Vringo Israel</w:t>
      </w:r>
      <w:r>
        <w:rPr>
          <w:rFonts w:ascii="Arial" w:cs="Arial" w:eastAsia="Arial" w:hAnsi="Arial"/>
          <w:sz w:val="17"/>
          <w:szCs w:val="17"/>
          <w:color w:val="auto"/>
        </w:rPr>
        <w:t xml:space="preserve">. Notwithstanding anything contained in this Agreement, the Company and Vringo Israel shall not be required to take any action, including, without limitation, to perfect any lien on or security interest in, or otherwise protect or enforce the rights of the Buyer in, the Collateral, </w:t>
      </w:r>
      <w:r>
        <w:rPr>
          <w:rFonts w:ascii="Arial" w:cs="Arial" w:eastAsia="Arial" w:hAnsi="Arial"/>
          <w:sz w:val="17"/>
          <w:szCs w:val="17"/>
          <w:u w:val="single" w:color="auto"/>
          <w:color w:val="auto"/>
        </w:rPr>
        <w:t>provided that</w:t>
      </w:r>
      <w:r>
        <w:rPr>
          <w:rFonts w:ascii="Arial" w:cs="Arial" w:eastAsia="Arial" w:hAnsi="Arial"/>
          <w:sz w:val="17"/>
          <w:szCs w:val="17"/>
          <w:color w:val="auto"/>
        </w:rPr>
        <w:t>, on and after the Default Date and so long as an Event of Default is continuing, the Buyer, in its sole discretion, may require the Company or Vringo Israel to take any and all actions necessary or desirable in order to perfect its liens on and security interests in the Collateral and otherwise, to comply with the other covenants related to actions to be taken in respect of further insuring the attachment, perfection and priority of, or the ability of the Buyer to enforce the security interests in, the Collateral.</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Additional Provisions Concerning the Collateral</w:t>
      </w:r>
      <w:r>
        <w:rPr>
          <w:rFonts w:ascii="Arial" w:cs="Arial" w:eastAsia="Arial" w:hAnsi="Arial"/>
          <w:sz w:val="18"/>
          <w:szCs w:val="18"/>
          <w:color w:val="auto"/>
        </w:rPr>
        <w:t>. Subject to Section 5(n)</w:t>
      </w:r>
    </w:p>
    <w:p>
      <w:pPr>
        <w:spacing w:after="0" w:line="114" w:lineRule="exact"/>
        <w:rPr>
          <w:sz w:val="20"/>
          <w:szCs w:val="20"/>
          <w:color w:val="auto"/>
        </w:rPr>
      </w:pPr>
    </w:p>
    <w:p>
      <w:pPr>
        <w:jc w:val="both"/>
        <w:ind w:left="320" w:right="619" w:firstLine="260"/>
        <w:spacing w:after="0" w:line="253" w:lineRule="auto"/>
        <w:tabs>
          <w:tab w:leader="none" w:pos="8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Grantor hereby (i) authorizes the Buyer to file one or more Uniform Commercial Code financing or continuation statements, and amendments thereto, relating to the Collateral, and (ii) ratifies such authorization to the extent that the Buyer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85" w:lineRule="exact"/>
        <w:rPr>
          <w:rFonts w:ascii="Arial" w:cs="Arial" w:eastAsia="Arial" w:hAnsi="Arial"/>
          <w:sz w:val="18"/>
          <w:szCs w:val="18"/>
          <w:color w:val="auto"/>
        </w:rPr>
      </w:pPr>
    </w:p>
    <w:p>
      <w:pPr>
        <w:jc w:val="both"/>
        <w:ind w:left="320" w:right="619" w:firstLine="260"/>
        <w:spacing w:after="0" w:line="283" w:lineRule="auto"/>
        <w:tabs>
          <w:tab w:leader="none" w:pos="91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Each Grantor hereby irrevocably appoints the Buyer as its attorney-in-fact and proxy, with full authority in the place and stead of such Grantor and in the name of such Grantor or otherwise, from time to time in the Buyer’s discretion, so long as an Event of Default shall have occurred and is continuing, to take any action and to execute any instrument which the Buyer may deem necessary or advisable to accomplish the purposes of this Agreement (subject to the rights of such Grantor under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including, without limitation, (i) to obtain and adjust insurance required to be paid to the Buyer pursuant to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proceedings which the Buyer may deem necessary or desirable for the collection of any Collateral or otherwise to enforce the rights of the Buyer with respect to any Collateral, and (v) to execute assignments, licenses and other documents to enforce the rights of the Buyer with respect to any Collateral. This power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6" w:lineRule="exact"/>
        <w:rPr>
          <w:rFonts w:ascii="Arial" w:cs="Arial" w:eastAsia="Arial" w:hAnsi="Arial"/>
          <w:sz w:val="16"/>
          <w:szCs w:val="16"/>
          <w:color w:val="auto"/>
        </w:rPr>
      </w:pPr>
    </w:p>
    <w:p>
      <w:pPr>
        <w:jc w:val="both"/>
        <w:ind w:left="320" w:right="619" w:firstLine="260"/>
        <w:spacing w:after="0" w:line="285" w:lineRule="auto"/>
        <w:tabs>
          <w:tab w:leader="none" w:pos="90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For the purpose of enabling the Buyer to exercise rights and remedies hereunder, at such time as the Buyer shall be lawfully entitled to exercise such rights and remedies upon and during an Event of Default, and for no other purpose, each Grantor hereby grants to the Buyer, to the extent assignable, an irrevocable, non-exclusive license (exercisable without payment of royalty or other compensation to such Grantor) to use, assign, license or sublicense any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 Notwithstanding anything contained herein to the contrary, so long as no Event of Default shall have occurred and be continuing, such Grantor may exploit, use, enjoy, protect, license, sublicense, assign, sell, dispose of or take other actions with respect to the Intellectual Property in the ordinary course of its business. In furtherance of the foregoing, unless an Event of</w:t>
      </w:r>
    </w:p>
    <w:p>
      <w:pPr>
        <w:spacing w:after="0" w:line="200" w:lineRule="exact"/>
        <w:rPr>
          <w:sz w:val="20"/>
          <w:szCs w:val="20"/>
          <w:color w:val="auto"/>
        </w:rPr>
      </w:pPr>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19" w:name="page320"/>
    <w:bookmarkEnd w:id="3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3" w:lineRule="auto"/>
        <w:rPr>
          <w:sz w:val="20"/>
          <w:szCs w:val="20"/>
          <w:color w:val="auto"/>
        </w:rPr>
      </w:pPr>
      <w:r>
        <w:rPr>
          <w:rFonts w:ascii="Arial" w:cs="Arial" w:eastAsia="Arial" w:hAnsi="Arial"/>
          <w:sz w:val="16"/>
          <w:szCs w:val="16"/>
          <w:color w:val="auto"/>
        </w:rPr>
        <w:t xml:space="preserve">Default shall have occurred and be continuing, the Buyer shall from time to time, upon the request of a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indefeasible payment in full in cash of all obligations under the Note (together with any matured indemnification obligations as of the date of such payment, but excluding any inchoate or unmatured contingent indemnification obligations), the Buyer (subject to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hereof) shall release and reassign to such Grantor all of the Buyer’s right, title and interest in and to the Intellectual Property, and the Licenses, all without recourse, representation or warranty whatsoever. The exercise of rights and remedies hereunder by the Buyer shall not terminate the rights of the holders of any licenses or sublicenses theretofore granted by such Grantor in accordance with the second sentence of this clause (c). Each Grantor hereby releases the Buyer from any claims, causes of action and demands at any time arising out of or with respect to any actions taken or omitted to be taken by the Buyer under the powers of attorney granted herein other than actions taken or omitted to be taken through the Buyer’s gross negligence or willful misconduct, as determined by a final determination of a court of competent jurisdiction.</w:t>
      </w:r>
    </w:p>
    <w:p>
      <w:pPr>
        <w:spacing w:after="0" w:line="67" w:lineRule="exact"/>
        <w:rPr>
          <w:sz w:val="20"/>
          <w:szCs w:val="20"/>
          <w:color w:val="auto"/>
        </w:rPr>
      </w:pPr>
    </w:p>
    <w:p>
      <w:pPr>
        <w:jc w:val="both"/>
        <w:ind w:left="320" w:right="639" w:firstLine="260"/>
        <w:spacing w:after="0" w:line="306" w:lineRule="auto"/>
        <w:tabs>
          <w:tab w:leader="none" w:pos="90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If a Grantor fails to perform any agreement contained herein, the Buyer may itself perform, or cause performance of, such agreement or obligation, in the name of such Grantor or the Buyer, and the expenses of the Buyer incurred in connection therewith shall be payable by such Grantor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and shall be secured by the Collateral.</w:t>
      </w:r>
    </w:p>
    <w:p>
      <w:pPr>
        <w:spacing w:after="0" w:line="44" w:lineRule="exact"/>
        <w:rPr>
          <w:rFonts w:ascii="Arial" w:cs="Arial" w:eastAsia="Arial" w:hAnsi="Arial"/>
          <w:sz w:val="16"/>
          <w:szCs w:val="16"/>
          <w:color w:val="auto"/>
        </w:rPr>
      </w:pPr>
    </w:p>
    <w:p>
      <w:pPr>
        <w:jc w:val="both"/>
        <w:ind w:left="320" w:right="619" w:firstLine="260"/>
        <w:spacing w:after="0" w:line="275" w:lineRule="auto"/>
        <w:tabs>
          <w:tab w:leader="none" w:pos="87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powers conferred on the Buyer hereunder are solely to protect its interest in the Collateral and shall not impose any duty upon it to exercise any such powers. Except for the safe custody of any Collateral in its possession and the accounting for moneys actually received by it hereunder, the Buyer shall have no duty as to any Collateral or as to the taking of any necessary steps to preserve rights against prior parties or any other rights pertaining to any Collateral.</w:t>
      </w:r>
    </w:p>
    <w:p>
      <w:pPr>
        <w:spacing w:after="0" w:line="66" w:lineRule="exact"/>
        <w:rPr>
          <w:rFonts w:ascii="Arial" w:cs="Arial" w:eastAsia="Arial" w:hAnsi="Arial"/>
          <w:sz w:val="17"/>
          <w:szCs w:val="17"/>
          <w:color w:val="auto"/>
        </w:rPr>
      </w:pPr>
    </w:p>
    <w:p>
      <w:pPr>
        <w:jc w:val="both"/>
        <w:ind w:left="320" w:right="619" w:firstLine="260"/>
        <w:spacing w:after="0" w:line="268" w:lineRule="auto"/>
        <w:tabs>
          <w:tab w:leader="none" w:pos="86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Buyer of any of its rights hereunder shall not release such Grantor from any of its obligations under the Licenses or otherwise in respect of the Collateral, and (iii) the Buyer shall not have any obligation or liability by reason of this Agreement under the Licenses or with respect to any of the other Collateral, nor shall the Buyer be obligated to perform any of the obligations or duties of such Grantor thereunder or to take any action to collect or enforce any claim for payment assigned hereunder.</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shall have occurred and be continuing:</w:t>
      </w:r>
    </w:p>
    <w:p>
      <w:pPr>
        <w:spacing w:after="0" w:line="114" w:lineRule="exact"/>
        <w:rPr>
          <w:sz w:val="20"/>
          <w:szCs w:val="20"/>
          <w:color w:val="auto"/>
        </w:rPr>
      </w:pPr>
    </w:p>
    <w:p>
      <w:pPr>
        <w:jc w:val="both"/>
        <w:ind w:left="320" w:right="619" w:firstLine="260"/>
        <w:spacing w:after="0" w:line="265" w:lineRule="auto"/>
        <w:tabs>
          <w:tab w:leader="none" w:pos="881"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Buyer may exercise in respect of the Collateral, in addition to any other rights and remedies provided for herein or otherwise available to it, all of the rights and remedies of a secured party upon default under the Code (whether or not the Code applies to the affected Collateral), and also may (i) take absolute control of the Collateral, including, without limitation, transfer into the Buyer’s name or into the name of its nominee or nominees (to the extent the Buyer has not theretofore done so) and thereafter receive, for the benefit of the Buyer,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Buyer forthwith, assemble all or part of its respective Collateral as directed by the Buyer and make it available to the Buyer at a place or places to be designated by the Buyer that is reasonably convenient to both parties, and the Buyer may enter into and occupy any premises owned or leased by such Grantor where the Collateral or any part thereof is located or assembled for a reasonable period in order to effectuate the Buyer’s rights and remedies hereunder or under law, without obligation to such Grantor in respect of such occupation, and (iii) without notice except as specified below and without any obligation to prepare or process the Collateral for sale, (A) sell the Collateral or any part thereof in one or more parcels at public or private sale, at any of the Buyer’s offices or elsewhere, for cash, on credit or</w:t>
      </w:r>
    </w:p>
    <w:p>
      <w:pPr>
        <w:spacing w:after="0" w:line="200" w:lineRule="exact"/>
        <w:rPr>
          <w:sz w:val="20"/>
          <w:szCs w:val="20"/>
          <w:color w:val="auto"/>
        </w:rPr>
      </w:pPr>
    </w:p>
    <w:p>
      <w:pPr>
        <w:spacing w:after="0" w:line="3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0" w:name="page321"/>
    <w:bookmarkEnd w:id="3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81" w:lineRule="auto"/>
        <w:rPr>
          <w:sz w:val="20"/>
          <w:szCs w:val="20"/>
          <w:color w:val="auto"/>
        </w:rPr>
      </w:pPr>
      <w:r>
        <w:rPr>
          <w:rFonts w:ascii="Arial" w:cs="Arial" w:eastAsia="Arial" w:hAnsi="Arial"/>
          <w:sz w:val="16"/>
          <w:szCs w:val="16"/>
          <w:color w:val="auto"/>
        </w:rPr>
        <w:t xml:space="preserve">for future delivery, and at such price or prices and upon such other terms as the Buyer may deem commercially reasonable and/or (B) lease, license or dispose of the Collateral or any part thereof upon such terms as the Buyer may deem commercially reasonable. Each Grantor agrees that, to the extent notice of sale or any other disposition of its respective Collateral shall be required by law, at least ten (10) days’ notice to such Grantor of the time and place of any public sale or the time after which any private sale or other disposition of its respective Collateral is to be made shall constitute reasonable notification. The Buyer shall not be obligated to make any sale or other disposition of any Collateral regardless of notice of sale having been given. The Buyer may adjourn any public or private sale from time to time by announcement at the time and place fixed therefor, and such sale may, without further notice, be made at the time and place to which it was so adjourned. Each Grantor hereby waives any claims against the Buyer arising by reason of the fact that the price at which its respective Collateral may have been sold at a private sale was less than the price which might have been obtained at a public sale or was less than the aggregate amount of the Obligations, even if the Buyer accepts the first offer received and does not offer such Collateral to more than one offeree, and waives all rights that such Grantor may have to require that all or any part of such Collateral be marshalled upon any sale (public or private) thereof. Each Grantor hereby acknowledges that (i) any such sale of its respective Collateral by the Buyer shall be made without warranty, (ii) the Buyer may specifically disclaim any warranties of title, possession, quiet enjoyment or the like, and (iii) such actions set forth in clauses (i) and (ii) above shall not adversely effect the commercial reasonableness of any such sale of Collateral. In addition to the foregoing, (1) upon written notice to any Grantor from the Buyer, such Grantor shall cease any use of the Intellectual Property or any trademark, patent or copyright similar thereto for any purpose described in such notice; (2) the Buyer may, at any time and from time to time, upon 10 days’ prior notice to such Grantor, license, whether general, special or otherwise, and whether on an exclusive or non-exclusive basis, any of the Intellectual Property, throughout the universe for such term or terms, on such conditions, and in such manner, as the Buyer shall in its sole discretion determine to the extent consistent with any restrictions or conditions imposed upon such Grantor with respect to such Intellectual Property by license or other contractual arrangement; and (3) the Buyer may, at any time, pursuant to the authority granted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w:t>
      </w:r>
    </w:p>
    <w:p>
      <w:pPr>
        <w:spacing w:after="0" w:line="68" w:lineRule="exact"/>
        <w:rPr>
          <w:sz w:val="20"/>
          <w:szCs w:val="20"/>
          <w:color w:val="auto"/>
        </w:rPr>
      </w:pPr>
    </w:p>
    <w:p>
      <w:pPr>
        <w:jc w:val="both"/>
        <w:ind w:left="320" w:right="619" w:firstLine="260"/>
        <w:spacing w:after="0" w:line="286" w:lineRule="auto"/>
        <w:tabs>
          <w:tab w:leader="none" w:pos="91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Any cash held by the Buyer as Collateral and all Cash Proceeds received by the Buyer in respect of any sale of or collection from, or other realization upon, all or any part of the Collateral may, in the discretion of the Buyer, be held by the Buyer as collateral for, and/or then or at any time thereafter applied (after payment of any amounts payable to the Buyer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in whole or in part by the Buyer against, all or any part of the Obligations in such order as the Buyer shall elect. Any surplus of such cash or Cash Proceeds held by the Buyer and remaining after the indefeasible payment in full in cash of all obligations under the Note (together with any matured indemnification obligations as of the date of such payment, but excluding any inchoate or unmatured contingent indemnification obligations) shall be paid over to whomsoever shall be lawfully entitled to receive the same or as a court of competent jurisdiction shall direct.</w:t>
      </w:r>
    </w:p>
    <w:p>
      <w:pPr>
        <w:spacing w:after="0" w:line="63" w:lineRule="exact"/>
        <w:rPr>
          <w:rFonts w:ascii="Arial" w:cs="Arial" w:eastAsia="Arial" w:hAnsi="Arial"/>
          <w:sz w:val="16"/>
          <w:szCs w:val="16"/>
          <w:color w:val="auto"/>
        </w:rPr>
      </w:pPr>
    </w:p>
    <w:p>
      <w:pPr>
        <w:jc w:val="both"/>
        <w:ind w:left="320" w:right="639" w:firstLine="260"/>
        <w:spacing w:after="0" w:line="272" w:lineRule="auto"/>
        <w:tabs>
          <w:tab w:leader="none" w:pos="88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 the event that the proceeds of any such sale, collection or realization are insufficient to pay all amounts to which the Buyer is legally entitled, each Grantor shall be liable for the deficiency, together with interest thereon at the highest rate specified in any of the applicable Note Transaction Documents for interest on overdue principal thereof or such other rate as shall be fixed by applicable law, together with the costs of collection and the reasonable fees, costs, expenses and other client charges of any attorneys employed by the Buyer to collect such deficiency.</w:t>
      </w:r>
    </w:p>
    <w:p>
      <w:pPr>
        <w:spacing w:after="0" w:line="68" w:lineRule="exact"/>
        <w:rPr>
          <w:rFonts w:ascii="Arial" w:cs="Arial" w:eastAsia="Arial" w:hAnsi="Arial"/>
          <w:sz w:val="17"/>
          <w:szCs w:val="17"/>
          <w:color w:val="auto"/>
        </w:rPr>
      </w:pPr>
    </w:p>
    <w:p>
      <w:pPr>
        <w:jc w:val="both"/>
        <w:ind w:left="320" w:right="639" w:firstLine="260"/>
        <w:spacing w:after="0" w:line="259" w:lineRule="auto"/>
        <w:tabs>
          <w:tab w:leader="none" w:pos="93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Grantor hereby acknowledges that if the Buyer complies with any applicable state, provincial, or federal law requirements in connection with a disposition of the Collateral, such compliance will not adversely affect the commercial reasonableness of any sale or other disposition of the Collateral.</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21" w:name="page322"/>
    <w:bookmarkEnd w:id="3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67" w:lineRule="auto"/>
        <w:tabs>
          <w:tab w:leader="none" w:pos="89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Buyer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Buyer’s rights hereunder and in respect of such collateral security and other assurances of payment shall be cumulative and in addition to all other rights, however existing or arising. To the extent that each Grantor lawfully may, such Grantor hereby agrees that it will not invoke any law relating to the marshalling of collateral which might cause delay in or impede the enforcement of the Buyer’s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such Grantor hereby irrevocably waives the benefits of all such laws.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Indemnity and Expenses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2" w:lineRule="auto"/>
        <w:tabs>
          <w:tab w:leader="none" w:pos="8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Each Grantor agrees, jointly and severally, to defend, protect, indemnify and hold the Buyer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claims, losses or liabilities resulting solely and directly from such Person’s gross negligence or willful misconduct, as determined by a final judgment of a court of competent jurisdiction.</w:t>
      </w:r>
    </w:p>
    <w:p>
      <w:pPr>
        <w:spacing w:after="0" w:line="86" w:lineRule="exact"/>
        <w:rPr>
          <w:rFonts w:ascii="Arial" w:cs="Arial" w:eastAsia="Arial" w:hAnsi="Arial"/>
          <w:sz w:val="18"/>
          <w:szCs w:val="18"/>
          <w:color w:val="auto"/>
        </w:rPr>
      </w:pPr>
    </w:p>
    <w:p>
      <w:pPr>
        <w:jc w:val="both"/>
        <w:ind w:left="320" w:right="619" w:firstLine="260"/>
        <w:spacing w:after="0" w:line="268" w:lineRule="auto"/>
        <w:tabs>
          <w:tab w:leader="none" w:pos="93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Each Grantor agrees, jointly and severally, to upon demand pay to the Buyer the amount of any and all costs and expenses, including the reasonable fees, costs, expenses and disbursements of counsel for the Buyer and of any experts and agents (including, without limitation, any collateral trustee which may act as agent of the Buyer), which the Buyer may incur in connection with (i) the preparation, negotiation, execution, delivery, recordation, administration, amendment, waiver or other modification or termination of this Agreement, (ii) the custody, preservation, use or operation of, or the sale of, collection from, or other realization upon, any Collateral, (iii) the exercise or enforcement of any of the rights of the Buyer hereunder, or (iv) the failure by any Grantor to perform or observe any of the provisions hereof.</w:t>
      </w:r>
    </w:p>
    <w:p>
      <w:pPr>
        <w:spacing w:after="0" w:line="76"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provided for hereunder shall be in writing and shall be mailed (by certified mail, postage prepaid and return receipt requested), telecopied or delivered, if to a Grantor at its address specified below and if to the Buyer to it, at its address specified below; or as to any such Person, at such other address as shall be designated by such Person in a written notice to such other Person complying as to delivery with the terms of this </w:t>
      </w:r>
      <w:r>
        <w:rPr>
          <w:rFonts w:ascii="Arial" w:cs="Arial" w:eastAsia="Arial" w:hAnsi="Arial"/>
          <w:sz w:val="18"/>
          <w:szCs w:val="18"/>
          <w:u w:val="single" w:color="auto"/>
          <w:color w:val="auto"/>
        </w:rPr>
        <w:t>Section 9</w:t>
      </w:r>
      <w:r>
        <w:rPr>
          <w:rFonts w:ascii="Arial" w:cs="Arial" w:eastAsia="Arial" w:hAnsi="Arial"/>
          <w:sz w:val="18"/>
          <w:szCs w:val="18"/>
          <w:color w:val="auto"/>
        </w:rPr>
        <w:t>. All such notices and other communications shall be effective (a) if sent by certified mail, return receipt requested, when received or five days after deposited in the mails, whichever occurs first, (b) if telecopied, when transmitted (during normal business hours) and confirmation is received, otherwise, the day after the notice was transmitted if confirmation is received, or (c) if delivered, upon delivery.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4" w:lineRule="exact"/>
        <w:rPr>
          <w:sz w:val="20"/>
          <w:szCs w:val="20"/>
          <w:color w:val="auto"/>
        </w:rPr>
      </w:pPr>
    </w:p>
    <w:p>
      <w:pPr>
        <w:jc w:val="both"/>
        <w:ind w:left="320" w:right="639" w:firstLine="260"/>
        <w:spacing w:after="0" w:line="255" w:lineRule="auto"/>
        <w:tabs>
          <w:tab w:leader="none" w:pos="88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amendment of any provision of this Agreement shall be effective unless it is in writing and signed by each Grantor and the Buyer, and no waiver of any provision of this Agreement, and no consent to any departure by a Grantor therefrom, shall be effective unless it is in writing and signed by the Buyer, and then such waiver or consent shall be effective only in the specific instance and for the specific purpose for which given.</w:t>
      </w:r>
    </w:p>
    <w:p>
      <w:pPr>
        <w:spacing w:after="0" w:line="82" w:lineRule="exact"/>
        <w:rPr>
          <w:rFonts w:ascii="Arial" w:cs="Arial" w:eastAsia="Arial" w:hAnsi="Arial"/>
          <w:sz w:val="18"/>
          <w:szCs w:val="18"/>
          <w:color w:val="auto"/>
        </w:rPr>
      </w:pPr>
    </w:p>
    <w:p>
      <w:pPr>
        <w:jc w:val="both"/>
        <w:ind w:left="320" w:right="619" w:firstLine="260"/>
        <w:spacing w:after="0" w:line="270" w:lineRule="auto"/>
        <w:tabs>
          <w:tab w:leader="none" w:pos="88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No failure on the part of the Buyer to exercise, and no delay in exercising, any right hereunder or under any of the other Note Transaction Documents shall operate as a waiver thereof; nor shall any single or partial exercise of any such right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of the other Note Transaction Documents against any party thereto are not conditional or contingent on any attempt by such Person to exercise any</w:t>
      </w:r>
    </w:p>
    <w:p>
      <w:pPr>
        <w:spacing w:after="0" w:line="200" w:lineRule="exact"/>
        <w:rPr>
          <w:sz w:val="20"/>
          <w:szCs w:val="20"/>
          <w:color w:val="auto"/>
        </w:rPr>
      </w:pP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2" w:name="page323"/>
    <w:bookmarkEnd w:id="3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of its rights under any of the other Note Transaction Documents against such party or against any other Person, including but not limited to, any Grantor.</w:t>
      </w:r>
    </w:p>
    <w:p>
      <w:pPr>
        <w:spacing w:after="0" w:line="69" w:lineRule="exact"/>
        <w:rPr>
          <w:sz w:val="20"/>
          <w:szCs w:val="20"/>
          <w:color w:val="auto"/>
        </w:rPr>
      </w:pPr>
    </w:p>
    <w:p>
      <w:pPr>
        <w:jc w:val="both"/>
        <w:ind w:left="320" w:right="619" w:firstLine="260"/>
        <w:spacing w:after="0" w:line="290" w:lineRule="auto"/>
        <w:tabs>
          <w:tab w:leader="none" w:pos="883"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each Grantor hereby waives promptness, diligence, notice of acceptance and any other notice with respect to any of the Obligations and this Agreement and any requirement that the Buyer exhaust any right or take any action against any other Person or any Collateral. Each Grantor acknowledges that it will receive direct and indirect benefits from the financing arrangements contemplated herein and that the waiver set forth in this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is knowingly made in contemplation of such benefits. The Grantors hereby waive any right to revoke this Agreement, and acknowledge that this Agreement is continuing in nature and applies to all Obligations, whether existing now or in the future.</w:t>
      </w:r>
    </w:p>
    <w:p>
      <w:pPr>
        <w:spacing w:after="0" w:line="56" w:lineRule="exact"/>
        <w:rPr>
          <w:rFonts w:ascii="Arial" w:cs="Arial" w:eastAsia="Arial" w:hAnsi="Arial"/>
          <w:sz w:val="16"/>
          <w:szCs w:val="16"/>
          <w:color w:val="auto"/>
        </w:rPr>
      </w:pPr>
    </w:p>
    <w:p>
      <w:pPr>
        <w:jc w:val="both"/>
        <w:ind w:left="320" w:right="619" w:firstLine="260"/>
        <w:spacing w:after="0" w:line="282" w:lineRule="auto"/>
        <w:tabs>
          <w:tab w:leader="none" w:pos="90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No Grantor may exercise any rights that it may now or hereafter acquire against any other Grantor that arise from the existence, payment, performance or enforcement of any Grantor’s obligations under this Agreement, including, without limitation, any right of subrogation, reimbursement, exoneration, contribution or indemnification and any right to participate in any claim or remedy of the Buyer against any Grantor or any Collateral, whether or not such claim, remedy or right arises in equity or under contract, statute or common law, including, without limitation, the right to take or receive from any Grantor,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If any amount shall be paid to a Grantor in violation of the immediately preceding sentence at any time prior to the indefeasible payment in full in cash of all obligations under the Note (together with any matured indemnification obligations as of the date of such payment, but excluding any inchoate or unmatured contingent indemnification obligations), such amount shall be held in trust for the benefit of the Buyer and shall forthwith be paid to the Buyer to be credited and applied to the Obligations and all other amounts payable under the Note Transaction Documents, whether matured or unmatured, in accordance with the terms of the Note Transaction Documents, or to be held as Collateral for any Obligations or other amounts payable under the Note Transaction Documents thereafter arising.</w:t>
      </w:r>
    </w:p>
    <w:p>
      <w:pPr>
        <w:spacing w:after="0" w:line="71" w:lineRule="exact"/>
        <w:rPr>
          <w:rFonts w:ascii="Arial" w:cs="Arial" w:eastAsia="Arial" w:hAnsi="Arial"/>
          <w:sz w:val="16"/>
          <w:szCs w:val="16"/>
          <w:color w:val="auto"/>
        </w:rPr>
      </w:pPr>
    </w:p>
    <w:p>
      <w:pPr>
        <w:jc w:val="both"/>
        <w:ind w:left="320" w:right="639" w:firstLine="260"/>
        <w:spacing w:after="0" w:line="259" w:lineRule="auto"/>
        <w:tabs>
          <w:tab w:leader="none" w:pos="87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portions hereof or thereof or affecting the validity or enforceability of such provision in any other jurisdiction.</w:t>
      </w:r>
    </w:p>
    <w:p>
      <w:pPr>
        <w:spacing w:after="0" w:line="78" w:lineRule="exact"/>
        <w:rPr>
          <w:rFonts w:ascii="Arial" w:cs="Arial" w:eastAsia="Arial" w:hAnsi="Arial"/>
          <w:sz w:val="18"/>
          <w:szCs w:val="18"/>
          <w:color w:val="auto"/>
        </w:rPr>
      </w:pPr>
    </w:p>
    <w:p>
      <w:pPr>
        <w:jc w:val="both"/>
        <w:ind w:left="320" w:right="619" w:firstLine="260"/>
        <w:spacing w:after="0" w:line="284" w:lineRule="auto"/>
        <w:tabs>
          <w:tab w:leader="none" w:pos="873"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This Agreement shall create a continuing security interest in the Collateral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(ii) be binding on each Grantor and all other Persons who become bound as debtor to this Agreement in accordance with Section 9-203(d) of the Code and shall inure, together with all rights and remedies of the Buyer hereunder, to the benefit of the Buyer and its respective permitted successors, transferees and assigns. Without limiting the generality of clause (ii) of the immediately preceding sentence, without notice to any Grantor, the Buyer may assign or otherwise transfer its rights and obligations under this Agreement and any of the other Note Transaction Documents, to any other Person and such other Person shall thereupon become vested with all of the benefits in respect thereof granted to the Buyer herein or otherwise. Upon any such assignment or transfer, all references in this Agreement to the Buyer shall mean the assignee of the Buyer. None of the rights or obligations of any Grantor hereunder may be assigned or otherwise transferred without the prior written consent of the Buyer, and any such assignment or transfer without the consent of the Buyer shall be null and void.</w:t>
      </w:r>
    </w:p>
    <w:p>
      <w:pPr>
        <w:spacing w:after="0" w:line="60" w:lineRule="exact"/>
        <w:rPr>
          <w:rFonts w:ascii="Arial" w:cs="Arial" w:eastAsia="Arial" w:hAnsi="Arial"/>
          <w:sz w:val="16"/>
          <w:szCs w:val="16"/>
          <w:color w:val="auto"/>
        </w:rPr>
      </w:pPr>
    </w:p>
    <w:p>
      <w:pPr>
        <w:jc w:val="both"/>
        <w:ind w:left="320" w:right="619" w:firstLine="260"/>
        <w:spacing w:after="0" w:line="255" w:lineRule="auto"/>
        <w:tabs>
          <w:tab w:leader="none" w:pos="99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Upon the indefeasible payment in full in cash of all obligations under the Note (together with any matured indemnification obligations as of the date of such payment, but excluding any inchoate or unmatured contingent indemnification obligations), (i) this Agreement and the security interests created hereby shall terminate and all rights to the Collateral shall revert to the respective Grantor that granted</w:t>
      </w:r>
    </w:p>
    <w:p>
      <w:pPr>
        <w:spacing w:after="0" w:line="200" w:lineRule="exact"/>
        <w:rPr>
          <w:sz w:val="20"/>
          <w:szCs w:val="20"/>
          <w:color w:val="auto"/>
        </w:rPr>
      </w:pP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3" w:name="page324"/>
    <w:bookmarkEnd w:id="3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75" w:lineRule="auto"/>
        <w:rPr>
          <w:sz w:val="20"/>
          <w:szCs w:val="20"/>
          <w:color w:val="auto"/>
        </w:rPr>
      </w:pPr>
      <w:r>
        <w:rPr>
          <w:rFonts w:ascii="Arial" w:cs="Arial" w:eastAsia="Arial" w:hAnsi="Arial"/>
          <w:sz w:val="17"/>
          <w:szCs w:val="17"/>
          <w:color w:val="auto"/>
        </w:rPr>
        <w:t>such security interests hereunder, and (ii) the Buyer will, upon such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w:t>
      </w:r>
    </w:p>
    <w:p>
      <w:pPr>
        <w:spacing w:after="0" w:line="66" w:lineRule="exact"/>
        <w:rPr>
          <w:sz w:val="20"/>
          <w:szCs w:val="20"/>
          <w:color w:val="auto"/>
        </w:rPr>
      </w:pPr>
    </w:p>
    <w:p>
      <w:pPr>
        <w:jc w:val="both"/>
        <w:ind w:left="320" w:right="619" w:firstLine="260"/>
        <w:spacing w:after="0" w:line="252" w:lineRule="auto"/>
        <w:tabs>
          <w:tab w:leader="none" w:pos="88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INTERPRETED IN ACCORDANCE WITH THE LAWS OF THE STATE OF NEW YORK, EXCEPT AS REQUIRED BY MANDATORY PROVISIONS OF LAW AND EXCEPT TO THE EXTENT THAT THE VALIDITY AND PERFECTION OR THE PERFECTION AND THE EFFECT OF PERFECTION OR NON-PERFECTION OF THE SECURITY INTEREST CREATED HEREBY, OR REMEDIES HEREUNDER, IN RESPECT OF ANY PARTICULAR COLLATERAL ARE GOVERNED BY THE LAW OF A JURISDICTION OTHER THAN THE STATE OF NEW YORK.</w:t>
      </w:r>
    </w:p>
    <w:p>
      <w:pPr>
        <w:spacing w:after="0" w:line="86" w:lineRule="exact"/>
        <w:rPr>
          <w:rFonts w:ascii="Arial" w:cs="Arial" w:eastAsia="Arial" w:hAnsi="Arial"/>
          <w:sz w:val="18"/>
          <w:szCs w:val="18"/>
          <w:color w:val="auto"/>
        </w:rPr>
      </w:pPr>
    </w:p>
    <w:p>
      <w:pPr>
        <w:jc w:val="both"/>
        <w:ind w:left="320" w:right="619" w:firstLine="260"/>
        <w:spacing w:after="0" w:line="266" w:lineRule="auto"/>
        <w:tabs>
          <w:tab w:leader="none" w:pos="98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ANY LEGAL ACTION, SUIT OR PROCEEDING WITH RESPECT TO THIS AGREEMENT OR ANY DOCUMENT RELATED THERETO MAY BE BROUGHT IN THE COURTS OF THE STATE OF NEW YORK IN THE COUNTY OF NEW YORK OR THE UNITED STATES OF AMERICA FOR THE SOUTHERN DISTRICT OF NEW YORK, AND APPELLATE COURTS THEREOF, AND, BY EXECUTION AND DELIVERY OF THIS AGREEMENT, EACH GRANTOR HEREBY ACCEPTS FOR ITSELF AND IN RESPECT OF ITS PROPERTY, GENERALLY AND UNCONDITIONALLY, THE JURISDICTION OF THE AFORESAID COURTS. EACH GRANTOR HEREBY EXPRESSLY AND IRREVOCABLY WAIVES, TO THE FULLEST EXTENT PERMITTED BY LAW, ANY OBJECTION, INCLUDING, WITHOUT LIMITATION, ANY OBJECTION TO THE LAYING OF VENUE OR BASED ON THE GROUNDS OF </w:t>
      </w:r>
      <w:r>
        <w:rPr>
          <w:rFonts w:ascii="Arial" w:cs="Arial" w:eastAsia="Arial" w:hAnsi="Arial"/>
          <w:sz w:val="17"/>
          <w:szCs w:val="17"/>
          <w:u w:val="single" w:color="auto"/>
          <w:color w:val="auto"/>
        </w:rPr>
        <w:t>FORUM NON CONVENIENS</w:t>
      </w:r>
      <w:r>
        <w:rPr>
          <w:rFonts w:ascii="Arial" w:cs="Arial" w:eastAsia="Arial" w:hAnsi="Arial"/>
          <w:sz w:val="17"/>
          <w:szCs w:val="17"/>
          <w:color w:val="auto"/>
        </w:rPr>
        <w:t>, WHICH IT MAY NOW OR HEREAFTER HAVE TO THE BRINGING OF ANY SUCH ACTION, SUIT OR PROCEEDING IN SUCH RESPECTIVE JURISDICTIONS AND CONSENTS TO THE GRANTING OF SUCH LEGAL OR EQUITABLE RELIEF AS IS DEEMED APPROPRIATE BY THE COURT.</w:t>
      </w:r>
    </w:p>
    <w:p>
      <w:pPr>
        <w:spacing w:after="0" w:line="76" w:lineRule="exact"/>
        <w:rPr>
          <w:rFonts w:ascii="Arial" w:cs="Arial" w:eastAsia="Arial" w:hAnsi="Arial"/>
          <w:sz w:val="17"/>
          <w:szCs w:val="17"/>
          <w:color w:val="auto"/>
        </w:rPr>
      </w:pPr>
    </w:p>
    <w:p>
      <w:pPr>
        <w:jc w:val="both"/>
        <w:ind w:left="320" w:right="619" w:firstLine="260"/>
        <w:spacing w:after="0" w:line="253" w:lineRule="auto"/>
        <w:tabs>
          <w:tab w:leader="none" w:pos="88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GRANTOR AND (BY ITS ACCEPTANCE OF THE BENEFITS OF THIS AGREEMENT) THE HOLDER WAIVES ANY RIGHT IT MAY HAVE TO TRIAL BY JURY IN RESPECT OF ANY LITIGATION BASED ON, ARISING OUT OF, UNDER OR IN CONNECTION WITH THIS AGREEMENT OR ANY OF THE OTHER NOTE TRANSACTION DOCUMENTS, OR ANY COURSE OF CONDUCT, COURSE OF DEALING, VERBAL OR WRITTEN STATEMENT OR OTHER ACTION OF THE PARTIES HERETO.</w:t>
      </w:r>
    </w:p>
    <w:p>
      <w:pPr>
        <w:spacing w:after="0" w:line="85" w:lineRule="exact"/>
        <w:rPr>
          <w:rFonts w:ascii="Arial" w:cs="Arial" w:eastAsia="Arial" w:hAnsi="Arial"/>
          <w:sz w:val="18"/>
          <w:szCs w:val="18"/>
          <w:color w:val="auto"/>
        </w:rPr>
      </w:pPr>
    </w:p>
    <w:p>
      <w:pPr>
        <w:jc w:val="both"/>
        <w:ind w:left="320" w:right="619" w:firstLine="260"/>
        <w:spacing w:after="0" w:line="259" w:lineRule="auto"/>
        <w:tabs>
          <w:tab w:leader="none" w:pos="90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Nothing contained herein shall affect the right of the Buyer to serve process in any other manner permitted by law or commence legal proceedings or otherwise proceed against any Grantor or any property of such Grantor in any other jurisdiction.</w:t>
      </w:r>
    </w:p>
    <w:p>
      <w:pPr>
        <w:spacing w:after="0" w:line="78" w:lineRule="exact"/>
        <w:rPr>
          <w:rFonts w:ascii="Arial" w:cs="Arial" w:eastAsia="Arial" w:hAnsi="Arial"/>
          <w:sz w:val="18"/>
          <w:szCs w:val="18"/>
          <w:color w:val="auto"/>
        </w:rPr>
      </w:pPr>
    </w:p>
    <w:p>
      <w:pPr>
        <w:ind w:left="320" w:right="619" w:firstLine="260"/>
        <w:spacing w:after="0" w:line="270" w:lineRule="auto"/>
        <w:tabs>
          <w:tab w:leader="none" w:pos="85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Grantor irrevocably and unconditionally waives any right it may have to claim or recover in any legal action, suit or proceeding referred to in this Section any special, exemplary, punitive or consequential damages.</w:t>
      </w:r>
    </w:p>
    <w:p>
      <w:pPr>
        <w:spacing w:after="0" w:line="68" w:lineRule="exact"/>
        <w:rPr>
          <w:rFonts w:ascii="Arial" w:cs="Arial" w:eastAsia="Arial" w:hAnsi="Arial"/>
          <w:sz w:val="18"/>
          <w:szCs w:val="18"/>
          <w:color w:val="auto"/>
        </w:rPr>
      </w:pPr>
    </w:p>
    <w:p>
      <w:pPr>
        <w:ind w:left="320" w:right="639" w:firstLine="260"/>
        <w:spacing w:after="0" w:line="270" w:lineRule="auto"/>
        <w:tabs>
          <w:tab w:leader="none" w:pos="101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Section headings herein are included for convenience of reference only and shall not constitute a part of this Agreement for any other purpose.</w:t>
      </w:r>
    </w:p>
    <w:p>
      <w:pPr>
        <w:spacing w:after="0" w:line="68" w:lineRule="exact"/>
        <w:rPr>
          <w:rFonts w:ascii="Arial" w:cs="Arial" w:eastAsia="Arial" w:hAnsi="Arial"/>
          <w:sz w:val="18"/>
          <w:szCs w:val="18"/>
          <w:color w:val="auto"/>
        </w:rPr>
      </w:pPr>
    </w:p>
    <w:p>
      <w:pPr>
        <w:ind w:left="320" w:right="619" w:firstLine="260"/>
        <w:spacing w:after="0" w:line="334" w:lineRule="auto"/>
        <w:tabs>
          <w:tab w:leader="none" w:pos="88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by different parties hereto in separate counterparts, each of which shall be deemed to be an original, but all of which taken together constitute one in the same Agreement.</w:t>
      </w:r>
    </w:p>
    <w:p>
      <w:pPr>
        <w:spacing w:after="0" w:line="22" w:lineRule="exact"/>
        <w:rPr>
          <w:rFonts w:ascii="Arial" w:cs="Arial" w:eastAsia="Arial" w:hAnsi="Arial"/>
          <w:sz w:val="16"/>
          <w:szCs w:val="16"/>
          <w:color w:val="auto"/>
        </w:rPr>
      </w:pPr>
    </w:p>
    <w:p>
      <w:pPr>
        <w:jc w:val="both"/>
        <w:ind w:left="320" w:right="619" w:firstLine="260"/>
        <w:spacing w:after="0" w:line="306" w:lineRule="auto"/>
        <w:tabs>
          <w:tab w:leader="none" w:pos="899"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parties hereto hereby acknowledge and agree that this Agreement shall amend, restate, modify, extend, renew and continue the terms and provisions contained in the Existing Security Agreement and shall not extinguish or release any Grantor from any liability under the Existing Security Agreement or otherwise constitute a novation of its obligations thereunder.</w:t>
      </w:r>
    </w:p>
    <w:p>
      <w:pPr>
        <w:spacing w:after="0" w:line="4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4" w:name="page325"/>
    <w:bookmarkEnd w:id="3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267"/>
        <w:spacing w:after="0" w:line="255" w:lineRule="auto"/>
        <w:rPr>
          <w:sz w:val="20"/>
          <w:szCs w:val="20"/>
          <w:color w:val="auto"/>
        </w:rPr>
      </w:pPr>
      <w:r>
        <w:rPr>
          <w:rFonts w:ascii="Arial" w:cs="Arial" w:eastAsia="Arial" w:hAnsi="Arial"/>
          <w:sz w:val="18"/>
          <w:szCs w:val="18"/>
          <w:color w:val="auto"/>
        </w:rPr>
        <w:t>IN WITNESS WHEREOF, each Grantor has caused this Agreement to be executed and delivered by its officer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3461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51263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INNOVATE/PROTECT, INC.</w:t>
      </w:r>
      <w:r>
        <w:rPr>
          <w:rFonts w:ascii="Arial" w:cs="Arial" w:eastAsia="Arial" w:hAnsi="Arial"/>
          <w:sz w:val="18"/>
          <w:szCs w:val="18"/>
          <w:color w:val="auto"/>
        </w:rPr>
        <w:t>, a Delaware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formerly known as Labrador Search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-130175</wp:posOffset>
            </wp:positionV>
            <wp:extent cx="245300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0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51263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I/P LABS, INC.</w:t>
      </w:r>
      <w:r>
        <w:rPr>
          <w:rFonts w:ascii="Arial" w:cs="Arial" w:eastAsia="Arial" w:hAnsi="Arial"/>
          <w:sz w:val="18"/>
          <w:szCs w:val="18"/>
          <w:color w:val="auto"/>
        </w:rPr>
        <w:t>, a Delaware corporation formerly known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Scottish Terrier Capital,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-130175</wp:posOffset>
            </wp:positionV>
            <wp:extent cx="245300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51263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I/P ENGINE, INC.</w:t>
      </w:r>
      <w:r>
        <w:rPr>
          <w:rFonts w:ascii="Arial" w:cs="Arial" w:eastAsia="Arial" w:hAnsi="Arial"/>
          <w:sz w:val="18"/>
          <w:szCs w:val="18"/>
          <w:color w:val="auto"/>
        </w:rPr>
        <w:t>, a Virginia corporation formerly</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known as Smart Search Labs,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-130175</wp:posOffset>
            </wp:positionV>
            <wp:extent cx="245300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0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Vringo Pledge and Security Agreement</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5" w:name="page326"/>
    <w:bookmarkEnd w:id="3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513461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6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VRINGO, LTD.</w:t>
      </w:r>
      <w:r>
        <w:rPr>
          <w:rFonts w:ascii="Arial" w:cs="Arial" w:eastAsia="Arial" w:hAnsi="Arial"/>
          <w:sz w:val="17"/>
          <w:szCs w:val="17"/>
          <w:color w:val="auto"/>
        </w:rPr>
        <w:t>, an Israeli corporation</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0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513461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ACCEPTED BY</w:t>
      </w: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HUDSON BAY MASTER FUND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 Buyer</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-130175</wp:posOffset>
            </wp:positionV>
            <wp:extent cx="20453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045335"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w:t>
      </w:r>
    </w:p>
    <w:p>
      <w:pPr>
        <w:spacing w:after="0" w:line="10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Vringo Pledge and Security Agreement</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6" w:name="page327"/>
    <w:bookmarkEnd w:id="3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J</w:t>
      </w:r>
    </w:p>
    <w:p>
      <w:pPr>
        <w:spacing w:after="0" w:line="2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FORM OF AMENDED AND RESTATED GUARANTY</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AMENDED AND RESTATED GUARANTY, dated as of [_______ __], 2012 (this “</w:t>
      </w:r>
      <w:r>
        <w:rPr>
          <w:rFonts w:ascii="Arial" w:cs="Arial" w:eastAsia="Arial" w:hAnsi="Arial"/>
          <w:sz w:val="17"/>
          <w:szCs w:val="17"/>
          <w:b w:val="1"/>
          <w:bCs w:val="1"/>
          <w:color w:val="auto"/>
        </w:rPr>
        <w:t>Guaranty</w:t>
      </w:r>
      <w:r>
        <w:rPr>
          <w:rFonts w:ascii="Arial" w:cs="Arial" w:eastAsia="Arial" w:hAnsi="Arial"/>
          <w:sz w:val="17"/>
          <w:szCs w:val="17"/>
          <w:color w:val="auto"/>
        </w:rPr>
        <w:t xml:space="preserve">”), made by </w:t>
      </w:r>
      <w:r>
        <w:rPr>
          <w:rFonts w:ascii="Arial" w:cs="Arial" w:eastAsia="Arial" w:hAnsi="Arial"/>
          <w:sz w:val="17"/>
          <w:szCs w:val="17"/>
          <w:b w:val="1"/>
          <w:bCs w:val="1"/>
          <w:color w:val="auto"/>
        </w:rPr>
        <w:t>VRINGO, INC.</w:t>
      </w:r>
      <w:r>
        <w:rPr>
          <w:rFonts w:ascii="Arial" w:cs="Arial" w:eastAsia="Arial" w:hAnsi="Arial"/>
          <w:sz w:val="17"/>
          <w:szCs w:val="17"/>
          <w:color w:val="auto"/>
        </w:rPr>
        <w:t>, a</w:t>
      </w:r>
    </w:p>
    <w:p>
      <w:pPr>
        <w:spacing w:after="0" w:line="35" w:lineRule="exact"/>
        <w:rPr>
          <w:sz w:val="20"/>
          <w:szCs w:val="20"/>
          <w:color w:val="auto"/>
        </w:rPr>
      </w:pPr>
    </w:p>
    <w:p>
      <w:pPr>
        <w:jc w:val="both"/>
        <w:ind w:left="40" w:right="639"/>
        <w:spacing w:after="0" w:line="268" w:lineRule="auto"/>
        <w:rPr>
          <w:sz w:val="20"/>
          <w:szCs w:val="20"/>
          <w:color w:val="auto"/>
        </w:rPr>
      </w:pPr>
      <w:r>
        <w:rPr>
          <w:rFonts w:ascii="Arial" w:cs="Arial" w:eastAsia="Arial" w:hAnsi="Arial"/>
          <w:sz w:val="17"/>
          <w:szCs w:val="17"/>
          <w:color w:val="auto"/>
        </w:rPr>
        <w:t>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its existing “Subsidiaries” (as defined in the Note defined below) as named on the signature pages hereto (collectively, the “</w:t>
      </w:r>
      <w:r>
        <w:rPr>
          <w:rFonts w:ascii="Arial" w:cs="Arial" w:eastAsia="Arial" w:hAnsi="Arial"/>
          <w:sz w:val="17"/>
          <w:szCs w:val="17"/>
          <w:b w:val="1"/>
          <w:bCs w:val="1"/>
          <w:color w:val="auto"/>
        </w:rPr>
        <w:t>Existing Subsidiaries</w:t>
      </w:r>
      <w:r>
        <w:rPr>
          <w:rFonts w:ascii="Arial" w:cs="Arial" w:eastAsia="Arial" w:hAnsi="Arial"/>
          <w:sz w:val="17"/>
          <w:szCs w:val="17"/>
          <w:color w:val="auto"/>
        </w:rPr>
        <w:t>”) and each other Subsidiary of the Company hereafter becoming party hereto (each individually referred to herein as a “</w:t>
      </w:r>
      <w:r>
        <w:rPr>
          <w:rFonts w:ascii="Arial" w:cs="Arial" w:eastAsia="Arial" w:hAnsi="Arial"/>
          <w:sz w:val="17"/>
          <w:szCs w:val="17"/>
          <w:b w:val="1"/>
          <w:bCs w:val="1"/>
          <w:color w:val="auto"/>
        </w:rPr>
        <w:t>New Subsidiary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Subsidiaries</w:t>
      </w:r>
      <w:r>
        <w:rPr>
          <w:rFonts w:ascii="Arial" w:cs="Arial" w:eastAsia="Arial" w:hAnsi="Arial"/>
          <w:sz w:val="17"/>
          <w:szCs w:val="17"/>
          <w:color w:val="auto"/>
        </w:rPr>
        <w:t xml:space="preserve">,” together with the Company and the Existing Subsidiaries, each a “ </w:t>
      </w:r>
      <w:r>
        <w:rPr>
          <w:rFonts w:ascii="Arial" w:cs="Arial" w:eastAsia="Arial" w:hAnsi="Arial"/>
          <w:sz w:val="17"/>
          <w:szCs w:val="17"/>
          <w:b w:val="1"/>
          <w:bCs w:val="1"/>
          <w:color w:val="auto"/>
        </w:rPr>
        <w:t>Guarantor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Guarantor</w:t>
      </w:r>
      <w:r>
        <w:rPr>
          <w:rFonts w:ascii="Arial" w:cs="Arial" w:eastAsia="Arial" w:hAnsi="Arial"/>
          <w:sz w:val="17"/>
          <w:szCs w:val="17"/>
          <w:color w:val="auto"/>
        </w:rPr>
        <w:t>”), in favor of the “Buyer” (as defined below) party to the Note referenced below.</w:t>
      </w:r>
    </w:p>
    <w:p>
      <w:pPr>
        <w:spacing w:after="0" w:line="175"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14" w:lineRule="exact"/>
        <w:rPr>
          <w:sz w:val="20"/>
          <w:szCs w:val="20"/>
          <w:color w:val="auto"/>
        </w:rPr>
      </w:pPr>
    </w:p>
    <w:p>
      <w:pPr>
        <w:jc w:val="both"/>
        <w:ind w:left="40" w:right="619" w:firstLine="267"/>
        <w:spacing w:after="0" w:line="254" w:lineRule="auto"/>
        <w:rPr>
          <w:sz w:val="20"/>
          <w:szCs w:val="20"/>
          <w:color w:val="auto"/>
        </w:rPr>
      </w:pPr>
      <w:r>
        <w:rPr>
          <w:rFonts w:ascii="Arial" w:cs="Arial" w:eastAsia="Arial" w:hAnsi="Arial"/>
          <w:sz w:val="18"/>
          <w:szCs w:val="18"/>
          <w:color w:val="auto"/>
        </w:rPr>
        <w:t>WHEREAS, Innovate/Protect, Inc., a Delaware corporation formerly known as Labrador Search Corporation (“</w:t>
      </w:r>
      <w:r>
        <w:rPr>
          <w:rFonts w:ascii="Arial" w:cs="Arial" w:eastAsia="Arial" w:hAnsi="Arial"/>
          <w:sz w:val="18"/>
          <w:szCs w:val="18"/>
          <w:b w:val="1"/>
          <w:bCs w:val="1"/>
          <w:color w:val="auto"/>
        </w:rPr>
        <w:t>I/P</w:t>
      </w:r>
      <w:r>
        <w:rPr>
          <w:rFonts w:ascii="Arial" w:cs="Arial" w:eastAsia="Arial" w:hAnsi="Arial"/>
          <w:sz w:val="18"/>
          <w:szCs w:val="18"/>
          <w:color w:val="auto"/>
        </w:rPr>
        <w:t>”), and Hudson Bay Master Fund Ltd. (the “</w:t>
      </w:r>
      <w:r>
        <w:rPr>
          <w:rFonts w:ascii="Arial" w:cs="Arial" w:eastAsia="Arial" w:hAnsi="Arial"/>
          <w:sz w:val="18"/>
          <w:szCs w:val="18"/>
          <w:b w:val="1"/>
          <w:bCs w:val="1"/>
          <w:color w:val="auto"/>
        </w:rPr>
        <w:t>Buyer</w:t>
      </w:r>
      <w:r>
        <w:rPr>
          <w:rFonts w:ascii="Arial" w:cs="Arial" w:eastAsia="Arial" w:hAnsi="Arial"/>
          <w:sz w:val="18"/>
          <w:szCs w:val="18"/>
          <w:color w:val="auto"/>
        </w:rPr>
        <w:t>”) are parties to that certain Subscription Agreement, dated as of June 22, 2011 (as amended, restated or otherwise modified from time to time,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among other things, I/P issued the Senior Secured Note in the original principal amount of $3,200,000 (as amended, restated or otherwise modified from time to time, the “</w:t>
      </w:r>
      <w:r>
        <w:rPr>
          <w:rFonts w:ascii="Arial" w:cs="Arial" w:eastAsia="Arial" w:hAnsi="Arial"/>
          <w:sz w:val="18"/>
          <w:szCs w:val="18"/>
          <w:b w:val="1"/>
          <w:bCs w:val="1"/>
          <w:color w:val="auto"/>
        </w:rPr>
        <w:t>Note</w:t>
      </w:r>
      <w:r>
        <w:rPr>
          <w:rFonts w:ascii="Arial" w:cs="Arial" w:eastAsia="Arial" w:hAnsi="Arial"/>
          <w:sz w:val="18"/>
          <w:szCs w:val="18"/>
          <w:color w:val="auto"/>
        </w:rPr>
        <w:t>”) to the Buyer;</w:t>
      </w:r>
    </w:p>
    <w:p>
      <w:pPr>
        <w:spacing w:after="0" w:line="81"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WHEREAS, pursuant to the Guaranty dated as of June 22, 2011 (as amended prior to the date hereof,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Guaranty</w:t>
      </w:r>
      <w:r>
        <w:rPr>
          <w:rFonts w:ascii="Arial" w:cs="Arial" w:eastAsia="Arial" w:hAnsi="Arial"/>
          <w:sz w:val="18"/>
          <w:szCs w:val="18"/>
          <w:color w:val="auto"/>
        </w:rPr>
        <w:t>”), I/P Engine, Inc., a Virginia corporation formerly known as Smart Search Labs, Inc. (“</w:t>
      </w:r>
      <w:r>
        <w:rPr>
          <w:rFonts w:ascii="Arial" w:cs="Arial" w:eastAsia="Arial" w:hAnsi="Arial"/>
          <w:sz w:val="18"/>
          <w:szCs w:val="18"/>
          <w:b w:val="1"/>
          <w:bCs w:val="1"/>
          <w:color w:val="auto"/>
        </w:rPr>
        <w:t>I/P Engine</w:t>
      </w:r>
      <w:r>
        <w:rPr>
          <w:rFonts w:ascii="Arial" w:cs="Arial" w:eastAsia="Arial" w:hAnsi="Arial"/>
          <w:sz w:val="18"/>
          <w:szCs w:val="18"/>
          <w:color w:val="auto"/>
        </w:rPr>
        <w:t>”), I/P Labs,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formerly known as Scottish Terrier Capital, Inc. (“</w:t>
      </w:r>
      <w:r>
        <w:rPr>
          <w:rFonts w:ascii="Arial" w:cs="Arial" w:eastAsia="Arial" w:hAnsi="Arial"/>
          <w:sz w:val="18"/>
          <w:szCs w:val="18"/>
          <w:b w:val="1"/>
          <w:bCs w:val="1"/>
          <w:color w:val="auto"/>
        </w:rPr>
        <w:t>I/P Labs</w:t>
      </w:r>
      <w:r>
        <w:rPr>
          <w:rFonts w:ascii="Arial" w:cs="Arial" w:eastAsia="Arial" w:hAnsi="Arial"/>
          <w:sz w:val="18"/>
          <w:szCs w:val="18"/>
          <w:color w:val="auto"/>
        </w:rPr>
        <w:t>” and together with I/P Engine, each individually referred to herein as an “</w:t>
      </w:r>
      <w:r>
        <w:rPr>
          <w:rFonts w:ascii="Arial" w:cs="Arial" w:eastAsia="Arial" w:hAnsi="Arial"/>
          <w:sz w:val="18"/>
          <w:szCs w:val="18"/>
          <w:b w:val="1"/>
          <w:bCs w:val="1"/>
          <w:color w:val="auto"/>
        </w:rPr>
        <w:t>Existing Guarantor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Existing Guarantors</w:t>
      </w:r>
      <w:r>
        <w:rPr>
          <w:rFonts w:ascii="Arial" w:cs="Arial" w:eastAsia="Arial" w:hAnsi="Arial"/>
          <w:sz w:val="18"/>
          <w:szCs w:val="18"/>
          <w:color w:val="auto"/>
        </w:rPr>
        <w:t>”), guaranteed all of the obligations of I/P under, among other things, the Subscription Agreement, the Note and the other “Transaction Documents” (as defined in the Note), and have agreed to ratify and confirm certain of their guaranty obligations thereunder pursuant to this amended and restated Guaranty;</w:t>
      </w:r>
    </w:p>
    <w:p>
      <w:pPr>
        <w:spacing w:after="0" w:line="83"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7"/>
          <w:szCs w:val="17"/>
          <w:color w:val="auto"/>
        </w:rPr>
        <w:t>WHEREAS, the Company, I/P and Vringo Merger Sub, Inc. (“</w:t>
      </w:r>
      <w:r>
        <w:rPr>
          <w:rFonts w:ascii="Arial" w:cs="Arial" w:eastAsia="Arial" w:hAnsi="Arial"/>
          <w:sz w:val="17"/>
          <w:szCs w:val="17"/>
          <w:b w:val="1"/>
          <w:bCs w:val="1"/>
          <w:color w:val="auto"/>
        </w:rPr>
        <w:t>Merger Sub</w:t>
      </w:r>
      <w:r>
        <w:rPr>
          <w:rFonts w:ascii="Arial" w:cs="Arial" w:eastAsia="Arial" w:hAnsi="Arial"/>
          <w:sz w:val="17"/>
          <w:szCs w:val="17"/>
          <w:color w:val="auto"/>
        </w:rPr>
        <w:t>”), a wholly-owned subsidiary of the Company, have entered into that certain Agreement and Plan of Merger, dated as of March [__], 2012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among other things, I/P shall be merged with and into Merger Sub (the “</w:t>
      </w:r>
      <w:r>
        <w:rPr>
          <w:rFonts w:ascii="Arial" w:cs="Arial" w:eastAsia="Arial" w:hAnsi="Arial"/>
          <w:sz w:val="17"/>
          <w:szCs w:val="17"/>
          <w:b w:val="1"/>
          <w:bCs w:val="1"/>
          <w:color w:val="auto"/>
        </w:rPr>
        <w:t>Merger Transaction</w:t>
      </w:r>
      <w:r>
        <w:rPr>
          <w:rFonts w:ascii="Arial" w:cs="Arial" w:eastAsia="Arial" w:hAnsi="Arial"/>
          <w:sz w:val="17"/>
          <w:szCs w:val="17"/>
          <w:color w:val="auto"/>
        </w:rPr>
        <w:t>”);</w:t>
      </w:r>
    </w:p>
    <w:p>
      <w:pPr>
        <w:spacing w:after="0" w:line="59"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WHEREAS, the Company, as part of the Merger Transaction, has agreed to guarantee the obligations of I/P under the Note and the Note Transaction Documents, and the Company has agreed to cause Vringo, Ltd., an Israeli corporation (“</w:t>
      </w:r>
      <w:r>
        <w:rPr>
          <w:rFonts w:ascii="Arial" w:cs="Arial" w:eastAsia="Arial" w:hAnsi="Arial"/>
          <w:sz w:val="16"/>
          <w:szCs w:val="16"/>
          <w:b w:val="1"/>
          <w:bCs w:val="1"/>
          <w:color w:val="auto"/>
        </w:rPr>
        <w:t>Vringo Israel</w:t>
      </w:r>
      <w:r>
        <w:rPr>
          <w:rFonts w:ascii="Arial" w:cs="Arial" w:eastAsia="Arial" w:hAnsi="Arial"/>
          <w:sz w:val="16"/>
          <w:szCs w:val="16"/>
          <w:color w:val="auto"/>
        </w:rPr>
        <w:t>”), and Vringo Israel has agreed, to guarantee the obligations of I/P under the Note and the Note Transaction Documents;</w:t>
      </w:r>
    </w:p>
    <w:p>
      <w:pPr>
        <w:spacing w:after="0" w:line="45"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WHEREAS, pursuant to an Amended and Restated Pledge and Security Agreement, dated as of the date hereof (as amended, restated or otherwise modified from time to time, the “</w:t>
      </w:r>
      <w:r>
        <w:rPr>
          <w:rFonts w:ascii="Arial" w:cs="Arial" w:eastAsia="Arial" w:hAnsi="Arial"/>
          <w:sz w:val="18"/>
          <w:szCs w:val="18"/>
          <w:b w:val="1"/>
          <w:bCs w:val="1"/>
          <w:color w:val="auto"/>
        </w:rPr>
        <w:t>Security Agreement</w:t>
      </w:r>
      <w:r>
        <w:rPr>
          <w:rFonts w:ascii="Arial" w:cs="Arial" w:eastAsia="Arial" w:hAnsi="Arial"/>
          <w:sz w:val="18"/>
          <w:szCs w:val="18"/>
          <w:color w:val="auto"/>
        </w:rPr>
        <w:t>”), the Guarantors have granted to the Buyer a security interest in and lien on their assets to secure their respective obligations under this Guaranty, the Note and the other Note Transaction Documents (as defined in the Note);</w:t>
      </w:r>
    </w:p>
    <w:p>
      <w:pPr>
        <w:spacing w:after="0" w:line="83"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WHEREAS, each of the Existing Guarantors, the Company and each other Guarantor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Guarantors, the Company and each other Guarantor.</w:t>
      </w:r>
    </w:p>
    <w:p>
      <w:pPr>
        <w:spacing w:after="0" w:line="66"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NOW, THEREFORE, in consideration of the premises and the agreements herein and for other consideration, the sufficiency of which is hereby acknowledged, each Guarantor hereby agrees with the Buyer as follows:</w:t>
      </w:r>
    </w:p>
    <w:p>
      <w:pPr>
        <w:spacing w:after="0" w:line="69"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Reference is hereby made to the Note for a statement of the terms thereof. All terms used in this Guaranty, which are defined in the Note and not otherwise defined herein, shall have the same meanings herein as set forth therein.</w:t>
      </w:r>
    </w:p>
    <w:p>
      <w:pPr>
        <w:spacing w:after="0" w:line="200" w:lineRule="exact"/>
        <w:rPr>
          <w:sz w:val="20"/>
          <w:szCs w:val="20"/>
          <w:color w:val="auto"/>
        </w:rPr>
      </w:pPr>
    </w:p>
    <w:p>
      <w:pPr>
        <w:spacing w:after="0" w:line="26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7" w:name="page328"/>
    <w:bookmarkEnd w:id="3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Guaranty</w:t>
      </w:r>
      <w:r>
        <w:rPr>
          <w:rFonts w:ascii="Arial" w:cs="Arial" w:eastAsia="Arial" w:hAnsi="Arial"/>
          <w:sz w:val="17"/>
          <w:szCs w:val="17"/>
          <w:color w:val="auto"/>
        </w:rPr>
        <w:t>. The Guarantors, jointly and severally, hereby unconditionally and irrevocably, guaranty (a) the punctual payment, as and when due and payable, by stated maturity or otherwise, of all obligations and any other amounts now or hereafter owing by the Company in respect of it in respect of the Note and the other Note Transaction Documents, including, without limitation, all interest that accrues after the commencement of any proceeding commenced by or against any the Company or any Guarantor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 (an “</w:t>
      </w:r>
      <w:r>
        <w:rPr>
          <w:rFonts w:ascii="Arial" w:cs="Arial" w:eastAsia="Arial" w:hAnsi="Arial"/>
          <w:sz w:val="17"/>
          <w:szCs w:val="17"/>
          <w:b w:val="1"/>
          <w:bCs w:val="1"/>
          <w:color w:val="auto"/>
        </w:rPr>
        <w:t>Insolvency Proceeding</w:t>
      </w:r>
      <w:r>
        <w:rPr>
          <w:rFonts w:ascii="Arial" w:cs="Arial" w:eastAsia="Arial" w:hAnsi="Arial"/>
          <w:sz w:val="17"/>
          <w:szCs w:val="17"/>
          <w:color w:val="auto"/>
        </w:rPr>
        <w:t>”), whether or not the payment of such interest is unenforceable or is not allowable due to the existence of such Insolvency Proceeding, and any and all expenses (including reasonable counsel fees and expenses) reasonably incurred by the Buyer in enforcing any rights under this Guaranty (such obligations, to the extent not paid by the Company, being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and (b) the punctual and faithful performance, keeping, observance and fulfillment by the Company of all of the agreements, conditions, covenants and obligations of the Company contained in the Note and the other Note Transaction Documents. Without limiting the generality of the foregoing, each Guarantor’s liability hereunder shall extend to all amounts that constitute part of the Guaranteed Obligations and would be owed by the Company to the Buyer under the Note but for the fact that they are unenforceable or not allowable due to the existence of an Insolvency Proceeding involving any Guarantor or the Company (each, a “</w:t>
      </w:r>
      <w:r>
        <w:rPr>
          <w:rFonts w:ascii="Arial" w:cs="Arial" w:eastAsia="Arial" w:hAnsi="Arial"/>
          <w:sz w:val="17"/>
          <w:szCs w:val="17"/>
          <w:b w:val="1"/>
          <w:bCs w:val="1"/>
          <w:color w:val="auto"/>
        </w:rPr>
        <w:t>Transaction</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Guaranty Absolute; Continuing Guaranty; Assignments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86" w:lineRule="auto"/>
        <w:tabs>
          <w:tab w:leader="none" w:pos="88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Guarantors, jointly and severally, guaranty that the Guaranteed Obligations will be paid strictly in accordance with the terms of the Note Transaction Documents, regardless of any law, regulation or order now or hereafter in effect in any jurisdiction affecting any of such terms or the rights of the Buyer with respect thereto.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irrevocable, absolute and unconditional irrespective of, and each Guarantor hereby irrevocably waives, to the extent permitted by law, any defenses it may now or hereafter have in any way relating to, any or all of the following:</w:t>
      </w:r>
    </w:p>
    <w:p>
      <w:pPr>
        <w:spacing w:after="0" w:line="63" w:lineRule="exact"/>
        <w:rPr>
          <w:rFonts w:ascii="Arial" w:cs="Arial" w:eastAsia="Arial" w:hAnsi="Arial"/>
          <w:sz w:val="16"/>
          <w:szCs w:val="16"/>
          <w:color w:val="auto"/>
        </w:rPr>
      </w:pPr>
    </w:p>
    <w:p>
      <w:pPr>
        <w:ind w:left="1140" w:hanging="293"/>
        <w:spacing w:after="0"/>
        <w:tabs>
          <w:tab w:leader="none" w:pos="114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any lack of validity or enforceability of any Note Transaction Document or any agreement or instrument relating</w:t>
      </w:r>
    </w:p>
    <w:p>
      <w:pPr>
        <w:spacing w:after="0" w:line="4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0" w:lineRule="exact"/>
        <w:rPr>
          <w:rFonts w:ascii="Arial" w:cs="Arial" w:eastAsia="Arial" w:hAnsi="Arial"/>
          <w:sz w:val="16"/>
          <w:szCs w:val="16"/>
          <w:color w:val="auto"/>
        </w:rPr>
      </w:pPr>
    </w:p>
    <w:p>
      <w:pPr>
        <w:jc w:val="both"/>
        <w:ind w:left="580" w:right="619" w:firstLine="267"/>
        <w:spacing w:after="0" w:line="255" w:lineRule="auto"/>
        <w:tabs>
          <w:tab w:leader="none" w:pos="120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any Note Transaction Document, including, without limitation, any increase in the Guaranteed Obligations resulting from the extension of additional credit to any Transaction Party or otherwise;</w:t>
      </w:r>
    </w:p>
    <w:p>
      <w:pPr>
        <w:spacing w:after="0" w:line="82" w:lineRule="exact"/>
        <w:rPr>
          <w:rFonts w:ascii="Arial" w:cs="Arial" w:eastAsia="Arial" w:hAnsi="Arial"/>
          <w:sz w:val="18"/>
          <w:szCs w:val="18"/>
          <w:color w:val="auto"/>
        </w:rPr>
      </w:pPr>
    </w:p>
    <w:p>
      <w:pPr>
        <w:jc w:val="both"/>
        <w:ind w:left="580" w:right="639" w:firstLine="267"/>
        <w:spacing w:after="0" w:line="259" w:lineRule="auto"/>
        <w:tabs>
          <w:tab w:leader="none" w:pos="120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with respect to the Guaranteed Obligations, or any taking, release or amendment or waiver of or consent to departure from any other guaranty, for all or any of the Guaranteed Obligations; or</w:t>
      </w:r>
    </w:p>
    <w:p>
      <w:pPr>
        <w:spacing w:after="0" w:line="78" w:lineRule="exact"/>
        <w:rPr>
          <w:rFonts w:ascii="Arial" w:cs="Arial" w:eastAsia="Arial" w:hAnsi="Arial"/>
          <w:sz w:val="18"/>
          <w:szCs w:val="18"/>
          <w:color w:val="auto"/>
        </w:rPr>
      </w:pPr>
    </w:p>
    <w:p>
      <w:pPr>
        <w:ind w:left="580" w:right="639" w:firstLine="267"/>
        <w:spacing w:after="0" w:line="270" w:lineRule="auto"/>
        <w:tabs>
          <w:tab w:leader="none" w:pos="124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limited liability company or partnership structure or existence of any Transaction Party.</w:t>
      </w:r>
    </w:p>
    <w:p>
      <w:pPr>
        <w:spacing w:after="0" w:line="69"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7"/>
          <w:szCs w:val="17"/>
          <w:color w:val="auto"/>
        </w:rPr>
        <w:t>This Guaranty shall continue to be effective or be reinstated, as the case may be, if at any time any payment of any of the Guaranteed Obligations is rescinded or must otherwise be returned by the Buyer or any other Person upon the insolvency, bankruptcy or reorganization of any Transaction Party or otherwise, all as though such payment had not been made.</w:t>
      </w:r>
    </w:p>
    <w:p>
      <w:pPr>
        <w:spacing w:after="0" w:line="62" w:lineRule="exact"/>
        <w:rPr>
          <w:sz w:val="20"/>
          <w:szCs w:val="20"/>
          <w:color w:val="auto"/>
        </w:rPr>
      </w:pPr>
    </w:p>
    <w:p>
      <w:pPr>
        <w:jc w:val="both"/>
        <w:ind w:left="320" w:right="619" w:firstLine="260"/>
        <w:spacing w:after="0" w:line="297" w:lineRule="auto"/>
        <w:tabs>
          <w:tab w:leader="none" w:pos="88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This Guaranty is a continuing guaranty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and (ii) be binding upon</w:t>
      </w:r>
    </w:p>
    <w:p>
      <w:pPr>
        <w:spacing w:after="0" w:line="200" w:lineRule="exact"/>
        <w:rPr>
          <w:sz w:val="20"/>
          <w:szCs w:val="20"/>
          <w:color w:val="auto"/>
        </w:rPr>
      </w:pPr>
    </w:p>
    <w:p>
      <w:pPr>
        <w:spacing w:after="0" w:line="2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8" w:name="page329"/>
    <w:bookmarkEnd w:id="3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2" w:lineRule="auto"/>
        <w:rPr>
          <w:sz w:val="20"/>
          <w:szCs w:val="20"/>
          <w:color w:val="auto"/>
        </w:rPr>
      </w:pPr>
      <w:r>
        <w:rPr>
          <w:rFonts w:ascii="Arial" w:cs="Arial" w:eastAsia="Arial" w:hAnsi="Arial"/>
          <w:sz w:val="18"/>
          <w:szCs w:val="18"/>
          <w:color w:val="auto"/>
        </w:rPr>
        <w:t>each Guarantor and its respective successors and assigns. This Guaranty shall inure to the benefit of and be enforceable by the Buyer and its respective successors, and permitted pledgees, transferees and assigns. Without limiting the generality of the foregoing sentence, the Buyer may pledge, assign or otherwise transfer all or any portion of its rights and obligations under and subject to the terms of any Note Transaction Document to any other Person, and such other Person shall thereupon become vested with all the benefits in respect thereof granted to the Buyer herein or otherwise, in each case as provided in the other Note Transaction Document.</w:t>
      </w:r>
    </w:p>
    <w:p>
      <w:pPr>
        <w:spacing w:after="0" w:line="86"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Waivers</w:t>
      </w:r>
      <w:r>
        <w:rPr>
          <w:rFonts w:ascii="Arial" w:cs="Arial" w:eastAsia="Arial" w:hAnsi="Arial"/>
          <w:sz w:val="17"/>
          <w:szCs w:val="17"/>
          <w:color w:val="auto"/>
        </w:rPr>
        <w:t xml:space="preserve">. To the extent permitted by applicable law, each Guarantor hereby waives promptness, diligence, notice of acceptance and any other notice with respect to any of the Guaranteed Obligations and this Guaranty and any requirement that the Buyer exhausts any right or takes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is knowingly made in contemplation of such benefits. The Guarantors hereby waive any right to revoke this Guaranty, and acknowledge that this Guaranty is continuing in nature and applies to all Guaranteed Obligations, whether existing now or in the future.</w:t>
      </w:r>
    </w:p>
    <w:p>
      <w:pPr>
        <w:spacing w:after="0" w:line="76" w:lineRule="exact"/>
        <w:rPr>
          <w:sz w:val="20"/>
          <w:szCs w:val="20"/>
          <w:color w:val="auto"/>
        </w:rPr>
      </w:pPr>
    </w:p>
    <w:p>
      <w:pPr>
        <w:jc w:val="both"/>
        <w:ind w:left="40" w:right="619" w:firstLine="267"/>
        <w:spacing w:after="0" w:line="28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Subrogation</w:t>
      </w:r>
      <w:r>
        <w:rPr>
          <w:rFonts w:ascii="Arial" w:cs="Arial" w:eastAsia="Arial" w:hAnsi="Arial"/>
          <w:sz w:val="16"/>
          <w:szCs w:val="16"/>
          <w:color w:val="auto"/>
        </w:rPr>
        <w:t>.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Buyer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Guaranty, such amount shall be held in trust for the benefit of the Buyer and shall forthwith be paid to the Buyer to be credited and applied to the Guaranteed Obligations and all other amounts payable under this Guaranty, whether matured or unmatured, in accordance with the terms of the Note Transaction Document, or to be held as collateral for any Guaranteed Obligations or other amounts payable under this Guaranty thereafter arising. If (a) any Guarantor shall make payment to the Buyer of all or any part of the Guaranteed Obligations, and (b) the Buyer receives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the Buyer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w:t>
      </w:r>
    </w:p>
    <w:p>
      <w:pPr>
        <w:spacing w:after="0" w:line="114" w:lineRule="exact"/>
        <w:rPr>
          <w:sz w:val="20"/>
          <w:szCs w:val="20"/>
          <w:color w:val="auto"/>
        </w:rPr>
      </w:pPr>
    </w:p>
    <w:p>
      <w:pPr>
        <w:ind w:left="860" w:hanging="280"/>
        <w:spacing w:after="0"/>
        <w:tabs>
          <w:tab w:leader="none" w:pos="8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Guarantor hereby represents and warrants as of the date first written above as follows:</w:t>
      </w:r>
    </w:p>
    <w:p>
      <w:pPr>
        <w:spacing w:after="0" w:line="113" w:lineRule="exact"/>
        <w:rPr>
          <w:rFonts w:ascii="Arial" w:cs="Arial" w:eastAsia="Arial" w:hAnsi="Arial"/>
          <w:sz w:val="18"/>
          <w:szCs w:val="18"/>
          <w:color w:val="auto"/>
        </w:rPr>
      </w:pPr>
    </w:p>
    <w:p>
      <w:pPr>
        <w:jc w:val="both"/>
        <w:ind w:left="580" w:right="619" w:firstLine="267"/>
        <w:spacing w:after="0" w:line="292" w:lineRule="auto"/>
        <w:tabs>
          <w:tab w:leader="none" w:pos="1105" w:val="left"/>
        </w:tabs>
        <w:numPr>
          <w:ilvl w:val="1"/>
          <w:numId w:val="301"/>
        </w:numPr>
        <w:rPr>
          <w:rFonts w:ascii="Arial" w:cs="Arial" w:eastAsia="Arial" w:hAnsi="Arial"/>
          <w:sz w:val="16"/>
          <w:szCs w:val="16"/>
          <w:color w:val="auto"/>
        </w:rPr>
      </w:pPr>
      <w:r>
        <w:rPr>
          <w:rFonts w:ascii="Arial" w:cs="Arial" w:eastAsia="Arial" w:hAnsi="Arial"/>
          <w:sz w:val="16"/>
          <w:szCs w:val="16"/>
          <w:color w:val="auto"/>
        </w:rPr>
        <w:t>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presently contemplated and to execute and deliver this Guaranty and each other Note Transaction Document to which the Guarantor is a party, and to consummate the transactions contemplated hereby and thereby</w:t>
      </w:r>
    </w:p>
    <w:p>
      <w:pPr>
        <w:spacing w:after="0" w:line="200" w:lineRule="exact"/>
        <w:rPr>
          <w:sz w:val="20"/>
          <w:szCs w:val="20"/>
          <w:color w:val="auto"/>
        </w:rPr>
      </w:pP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29" w:name="page330"/>
    <w:bookmarkEnd w:id="3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59" w:lineRule="auto"/>
        <w:rPr>
          <w:sz w:val="20"/>
          <w:szCs w:val="20"/>
          <w:color w:val="auto"/>
        </w:rPr>
      </w:pPr>
      <w:r>
        <w:rPr>
          <w:rFonts w:ascii="Arial" w:cs="Arial" w:eastAsia="Arial" w:hAnsi="Arial"/>
          <w:sz w:val="18"/>
          <w:szCs w:val="18"/>
          <w:color w:val="auto"/>
        </w:rPr>
        <w:t>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w:t>
      </w:r>
    </w:p>
    <w:p>
      <w:pPr>
        <w:spacing w:after="0" w:line="78" w:lineRule="exact"/>
        <w:rPr>
          <w:sz w:val="20"/>
          <w:szCs w:val="20"/>
          <w:color w:val="auto"/>
        </w:rPr>
      </w:pPr>
    </w:p>
    <w:p>
      <w:pPr>
        <w:jc w:val="both"/>
        <w:ind w:left="580" w:right="619" w:firstLine="267"/>
        <w:spacing w:after="0" w:line="250" w:lineRule="auto"/>
        <w:tabs>
          <w:tab w:leader="none" w:pos="12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execution, delivery and performance by each Guarantor of this Guaranty and each other Note Transaction Document to which such Guarantor is a party (A) 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the Guarantor or its properties do not and will not result in or require the creation of any lien (other than pursuant to any Note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spacing w:after="0" w:line="91" w:lineRule="exact"/>
        <w:rPr>
          <w:rFonts w:ascii="Arial" w:cs="Arial" w:eastAsia="Arial" w:hAnsi="Arial"/>
          <w:sz w:val="18"/>
          <w:szCs w:val="18"/>
          <w:color w:val="auto"/>
        </w:rPr>
      </w:pPr>
    </w:p>
    <w:p>
      <w:pPr>
        <w:jc w:val="both"/>
        <w:ind w:left="580" w:right="619" w:firstLine="267"/>
        <w:spacing w:after="0" w:line="255" w:lineRule="auto"/>
        <w:tabs>
          <w:tab w:leader="none" w:pos="124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is required in connection with the due execution, delivery and performance by the Guarantor of this Guaranty or any of the other Note Transaction Documents to which the Guarantor is a party (other than expressly provided for in any of the Note Transaction Documents).</w:t>
      </w:r>
    </w:p>
    <w:p>
      <w:pPr>
        <w:spacing w:after="0" w:line="82" w:lineRule="exact"/>
        <w:rPr>
          <w:rFonts w:ascii="Arial" w:cs="Arial" w:eastAsia="Arial" w:hAnsi="Arial"/>
          <w:sz w:val="18"/>
          <w:szCs w:val="18"/>
          <w:color w:val="auto"/>
        </w:rPr>
      </w:pPr>
    </w:p>
    <w:p>
      <w:pPr>
        <w:jc w:val="both"/>
        <w:ind w:left="580" w:right="619" w:firstLine="267"/>
        <w:spacing w:after="0" w:line="272" w:lineRule="auto"/>
        <w:tabs>
          <w:tab w:leader="none" w:pos="119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Each of this Guaranty and the other Note Transaction Documents to which the Guarantor is or will be a party, when delivered, will be, a legal, valid and binding obligation of the Guarantor, enforceable against the Guarantor in accordance with its terms, except as may be limited by applicable bankruptcy, insolvency, reorganization, moratorium, fraudulent conveyance, suretyship or other similar laws and equitable principles, including those relating to upstream guaranties (regardless of whether enforcement is sought in equity or at law).</w:t>
      </w:r>
    </w:p>
    <w:p>
      <w:pPr>
        <w:spacing w:after="0" w:line="68" w:lineRule="exact"/>
        <w:rPr>
          <w:rFonts w:ascii="Arial" w:cs="Arial" w:eastAsia="Arial" w:hAnsi="Arial"/>
          <w:sz w:val="17"/>
          <w:szCs w:val="17"/>
          <w:color w:val="auto"/>
        </w:rPr>
      </w:pPr>
    </w:p>
    <w:p>
      <w:pPr>
        <w:jc w:val="both"/>
        <w:ind w:left="580" w:right="619" w:firstLine="267"/>
        <w:spacing w:after="0" w:line="253" w:lineRule="auto"/>
        <w:tabs>
          <w:tab w:leader="none" w:pos="117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There is no pending or, to the best knowledge of the Guarantor, threatened action, suit or proceeding against the Guarantor or to which any of the properties of the Guarantor is subject, before any court or other governmental authority or any arbitrator that (A) if adversely determined, could reasonably be expected to have a Material Adverse Effect or (B) relates to this Guaranty or any of the other Note Transaction Documents to which the Guarantor is a party or any transaction contemplated hereby or thereby.</w:t>
      </w:r>
    </w:p>
    <w:p>
      <w:pPr>
        <w:spacing w:after="0" w:line="85" w:lineRule="exact"/>
        <w:rPr>
          <w:rFonts w:ascii="Arial" w:cs="Arial" w:eastAsia="Arial" w:hAnsi="Arial"/>
          <w:sz w:val="18"/>
          <w:szCs w:val="18"/>
          <w:color w:val="auto"/>
        </w:rPr>
      </w:pPr>
    </w:p>
    <w:p>
      <w:pPr>
        <w:jc w:val="both"/>
        <w:ind w:left="580" w:right="619" w:firstLine="267"/>
        <w:spacing w:after="0" w:line="272" w:lineRule="auto"/>
        <w:tabs>
          <w:tab w:leader="none" w:pos="1212"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Guarantor (A) has read and understands the terms and conditions of the Note and the other Note Transaction Documents, and (B) now has and will continue to have independent means of obtaining information concerning the affairs, financial condition and business of the Company and the other Transaction Parties, and has no need of, or right to obtain from the Buyer, any credit or other information concerning the affairs, financial condition or business of the Company or the other Transaction Parties that may come under the control of the Buyer.</w:t>
      </w:r>
    </w:p>
    <w:p>
      <w:pPr>
        <w:spacing w:after="0" w:line="68"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the occurrence and during the continuance of any Event of Default, the Buyer may, and is hereby authorized to, at any time and from time to time, without notice to the Guarantors (any such notice being expressly waived by each Guarantor) and to the fullest extent permitted by law, set-off and apply any and all deposits (general or special, time or demand, provisional or final) at any time held and other indebtedness at any time owing by the Buyer to or for the credit or the account of any Guarantor against any and all obligations of the Guarantors now or hereafter existing under this Guaranty or any other Note Transaction Document, irrespective of whether or not the Buyer shall have made any demand under this Guaranty or any other Note Transaction Document and although such obligations may be contingent or unmatured. The Buyer agrees to notify the relevant Guarantor promptly after any such set-off and application made by the Buyer, provided that the failure to give such notice shall not affect the validity of such set-off and application. The rights of the Buyer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in addition to other rights and remedies (including, without limitation, other rights of set-off) which the Buyer may have under this Guaranty or any other Note Transaction Document in law or otherwise.</w:t>
      </w: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0" w:name="page331"/>
    <w:bookmarkEnd w:id="3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shall be mailed (by overnight mail or by certified mail, postage prepaid and return receipt requested), telecopied or delivered, if to any Guarantor, to the address for such Guarantor set forth on the signature page hereto, or if to the Buyer, to it at its respective address set forth in the Note; or as to any Person at such other address as shall be designated by such Person in a written notice to such other Person complying as to delivery with the terms of this </w:t>
      </w:r>
      <w:r>
        <w:rPr>
          <w:rFonts w:ascii="Arial" w:cs="Arial" w:eastAsia="Arial" w:hAnsi="Arial"/>
          <w:sz w:val="16"/>
          <w:szCs w:val="16"/>
          <w:u w:val="single" w:color="auto"/>
          <w:color w:val="auto"/>
        </w:rPr>
        <w:t>Section 8</w:t>
      </w:r>
      <w:r>
        <w:rPr>
          <w:rFonts w:ascii="Arial" w:cs="Arial" w:eastAsia="Arial" w:hAnsi="Arial"/>
          <w:sz w:val="16"/>
          <w:szCs w:val="16"/>
          <w:color w:val="auto"/>
        </w:rPr>
        <w:t>. All such notices and other communications shall be effective</w:t>
      </w:r>
    </w:p>
    <w:p>
      <w:pPr>
        <w:spacing w:after="0" w:line="1" w:lineRule="exact"/>
        <w:rPr>
          <w:sz w:val="20"/>
          <w:szCs w:val="20"/>
          <w:color w:val="auto"/>
        </w:rPr>
      </w:pPr>
    </w:p>
    <w:p>
      <w:pPr>
        <w:jc w:val="both"/>
        <w:ind w:left="40" w:right="639" w:firstLine="5"/>
        <w:spacing w:after="0" w:line="250" w:lineRule="auto"/>
        <w:tabs>
          <w:tab w:leader="none" w:pos="25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mailed (by certified mail, postage prepaid and return receipt requested), when received or three Business Days after deposited in the mails, whichever occurs first; (ii) if telecopied, when transmitted and confirmation is received, provided same is on a Business Day and, if not, on the next Business Day; or (iii) if delivered by hand, upon delivery, provided same is on a Business Day and, if not, on the next Business Day.</w:t>
      </w:r>
    </w:p>
    <w:p>
      <w:pPr>
        <w:spacing w:after="0" w:line="87" w:lineRule="exact"/>
        <w:rPr>
          <w:sz w:val="20"/>
          <w:szCs w:val="20"/>
          <w:color w:val="auto"/>
        </w:rPr>
      </w:pPr>
    </w:p>
    <w:p>
      <w:pPr>
        <w:jc w:val="both"/>
        <w:ind w:left="40" w:right="619" w:firstLine="267"/>
        <w:spacing w:after="0" w:line="264"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CONSENT TO JURISDICTION; SERVICE OF PROCESS AND VENUE</w:t>
      </w:r>
      <w:r>
        <w:rPr>
          <w:rFonts w:ascii="Arial" w:cs="Arial" w:eastAsia="Arial" w:hAnsi="Arial"/>
          <w:sz w:val="17"/>
          <w:szCs w:val="17"/>
          <w:color w:val="auto"/>
        </w:rPr>
        <w:t>. ANY LEGAL ACTION OR PROCEEDING WITH RESPECT TO THIS GUARANTY OR ANY OTHER NOTE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BUYER TO SERVICE OF PROCESS IN ANY OTHER MANNER PERMITTED BY LAW OR TO COMMENCE LEGAL PROCEEDINGS OR OTHERWISE PROCEED AGAINST EACH GUARANTOR IN ANY OTHER JURISDICTION. EACH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GUARANTY AND THE OTHER NOTE TRANSACTION DOCUMENTS.</w:t>
      </w:r>
    </w:p>
    <w:p>
      <w:pPr>
        <w:spacing w:after="0" w:line="87"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WAIVER OF JURY TRIAL, ETC</w:t>
      </w:r>
      <w:r>
        <w:rPr>
          <w:rFonts w:ascii="Arial" w:cs="Arial" w:eastAsia="Arial" w:hAnsi="Arial"/>
          <w:sz w:val="17"/>
          <w:szCs w:val="17"/>
          <w:color w:val="auto"/>
        </w:rPr>
        <w:t>. EACH GUARANTOR HEREBY WAIVES ANY RIGHT TO A TRIAL BY JURY IN ANY ACTION, PROCEEDING OR COUNTERCLAIM CONCERNING ANY RIGHTS UNDER THIS GUARANTY OR THE OTHER NOTE TRANSACTION DOCUMENTS, OR UNDER ANY AMENDMENT, WAIVER, CONSENT, INSTRUMENT, DOCUMENT OR OTHER AGREEMENT DELIVERED OR WHICH IN THE FUTURE MAY BE DELIVERED IN CONNECTION HEREWITH OR THEREWITH, OR ARISING FROM ANY FINANCING RELATIONSHIP EXISTING IN CONNECTION WITH THIS GUARANTY OR THE OTHER NOTE TRANSACTION DOCUMENTS, AND AGREES THAT ANY SUCH ACTION, PROCEEDING OR COUNTERCLAIM SHALL BE TRIED BEFORE A COURT AND NOT BEFORE A JURY. EACH GUARANTOR CERTIFIES THAT NO OFFICER, REPRESENTATIVE, AGENT OR ATTORNEY OF THE BUYER HAS REPRESENTED, EXPRESSLY OR OTHERWISE, THAT THE BUYER WOULD NOT, IN THE EVENT OF ANY ACTION, PROCEEDING OR COUNTERCLAIM, SEEK TO ENFORCE THE FOREGOING WAIVERS. EACH GUARANTOR HEREBY ACKNOWLEDGES THAT THIS PROVISION IS A MATERIAL INDUCEMENT FOR THE BUYER ENTERING INTO THE OTHER NOTE TRANSACTION DOCUMENTS.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4" w:lineRule="exact"/>
        <w:rPr>
          <w:sz w:val="20"/>
          <w:szCs w:val="20"/>
          <w:color w:val="auto"/>
        </w:rPr>
      </w:pPr>
    </w:p>
    <w:p>
      <w:pPr>
        <w:jc w:val="both"/>
        <w:ind w:left="320" w:right="619" w:firstLine="260"/>
        <w:spacing w:after="0" w:line="292" w:lineRule="auto"/>
        <w:tabs>
          <w:tab w:leader="none" w:pos="92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All payments made by any Guarantor hereunder or under any other Note Transaction Document shall be made in accordance with the terms of the respective Note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taxes imposed on the net income of the Buyer by the jurisdiction in which the Buyer is organized or where it has its principal lending office (all</w:t>
      </w:r>
    </w:p>
    <w:p>
      <w:pPr>
        <w:spacing w:after="0" w:line="200" w:lineRule="exact"/>
        <w:rPr>
          <w:sz w:val="20"/>
          <w:szCs w:val="20"/>
          <w:color w:val="auto"/>
        </w:rPr>
      </w:pP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1" w:name="page332"/>
    <w:bookmarkEnd w:id="3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such nonexcluded taxes, levies, imposts, deductions, charges, withholdings and liabilities, collectively or individually, “</w:t>
      </w:r>
      <w:r>
        <w:rPr>
          <w:rFonts w:ascii="Arial" w:cs="Arial" w:eastAsia="Arial" w:hAnsi="Arial"/>
          <w:sz w:val="18"/>
          <w:szCs w:val="18"/>
          <w:b w:val="1"/>
          <w:bCs w:val="1"/>
          <w:color w:val="auto"/>
        </w:rPr>
        <w:t>Taxes</w:t>
      </w:r>
      <w:r>
        <w:rPr>
          <w:rFonts w:ascii="Arial" w:cs="Arial" w:eastAsia="Arial" w:hAnsi="Arial"/>
          <w:sz w:val="18"/>
          <w:szCs w:val="18"/>
          <w:color w:val="auto"/>
        </w:rPr>
        <w:t>”). If any Guarantor shall be required to deduct or to withhold any Taxes from or in respect of any amount payable hereunder or under any other Note Transaction Document:</w:t>
      </w:r>
    </w:p>
    <w:p>
      <w:pPr>
        <w:spacing w:after="0" w:line="78" w:lineRule="exact"/>
        <w:rPr>
          <w:sz w:val="20"/>
          <w:szCs w:val="20"/>
          <w:color w:val="auto"/>
        </w:rPr>
      </w:pPr>
    </w:p>
    <w:p>
      <w:pPr>
        <w:jc w:val="both"/>
        <w:ind w:left="580" w:right="619" w:firstLine="267"/>
        <w:spacing w:after="0" w:line="281" w:lineRule="auto"/>
        <w:tabs>
          <w:tab w:leader="none" w:pos="1138"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the amount so payable shall be increased to the extent necessary so that after making all required deductions and withholdings (including Taxes on amounts payable to the Buyer pursuant to this sentence) the Buyer receives an amount equal to the sum it would have received had no such deduction or withholding been made,</w:t>
      </w:r>
    </w:p>
    <w:p>
      <w:pPr>
        <w:spacing w:after="0" w:line="61" w:lineRule="exact"/>
        <w:rPr>
          <w:rFonts w:ascii="Arial" w:cs="Arial" w:eastAsia="Arial" w:hAnsi="Arial"/>
          <w:sz w:val="17"/>
          <w:szCs w:val="17"/>
          <w:color w:val="auto"/>
        </w:rPr>
      </w:pPr>
    </w:p>
    <w:p>
      <w:pPr>
        <w:ind w:left="1160" w:hanging="313"/>
        <w:spacing w:after="0"/>
        <w:tabs>
          <w:tab w:leader="none" w:pos="11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such Guarantor shall make such deduction or withholding,</w:t>
      </w:r>
    </w:p>
    <w:p>
      <w:pPr>
        <w:spacing w:after="0" w:line="113" w:lineRule="exact"/>
        <w:rPr>
          <w:rFonts w:ascii="Arial" w:cs="Arial" w:eastAsia="Arial" w:hAnsi="Arial"/>
          <w:sz w:val="18"/>
          <w:szCs w:val="18"/>
          <w:color w:val="auto"/>
        </w:rPr>
      </w:pPr>
    </w:p>
    <w:p>
      <w:pPr>
        <w:ind w:left="580" w:right="639" w:firstLine="267"/>
        <w:spacing w:after="0" w:line="270" w:lineRule="auto"/>
        <w:tabs>
          <w:tab w:leader="none" w:pos="120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such Guarantor shall pay the full amount deducted or withheld to the relevant taxation authority in accordance with applicable law, and</w:t>
      </w:r>
    </w:p>
    <w:p>
      <w:pPr>
        <w:spacing w:after="0" w:line="68" w:lineRule="exact"/>
        <w:rPr>
          <w:rFonts w:ascii="Arial" w:cs="Arial" w:eastAsia="Arial" w:hAnsi="Arial"/>
          <w:sz w:val="18"/>
          <w:szCs w:val="18"/>
          <w:color w:val="auto"/>
        </w:rPr>
      </w:pPr>
    </w:p>
    <w:p>
      <w:pPr>
        <w:jc w:val="both"/>
        <w:ind w:left="580" w:right="619" w:firstLine="267"/>
        <w:spacing w:after="0" w:line="292" w:lineRule="auto"/>
        <w:tabs>
          <w:tab w:leader="none" w:pos="1208"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as promptly as possible thereafter, such Guarantor shall send the Buyer an official receipt (or, if an official receipt is not available, such other documentation as shall be satisfactory to the Buyer)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Note Transaction Document (collectively, “</w:t>
      </w:r>
      <w:r>
        <w:rPr>
          <w:rFonts w:ascii="Arial" w:cs="Arial" w:eastAsia="Arial" w:hAnsi="Arial"/>
          <w:sz w:val="16"/>
          <w:szCs w:val="16"/>
          <w:b w:val="1"/>
          <w:bCs w:val="1"/>
          <w:color w:val="auto"/>
        </w:rPr>
        <w:t>Other Taxes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left="320" w:right="619" w:firstLine="260"/>
        <w:spacing w:after="0" w:line="251" w:lineRule="auto"/>
        <w:tabs>
          <w:tab w:leader="none" w:pos="93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Each Guarantor hereby indemnifies and agrees to hold the Buyer harmless from and against Taxes or Other Taxes (including, without limitation, any Taxes or Other Taxes imposed by any jurisdiction on amounts payable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paid by the Buyer as a result of any payment made hereunder or from the execution, delivery, registration or enforcement of, or otherwise with respect to, this Agreement or any other Note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the Holder makes written demand therefor, which demand shall identify the nature and amount of such Taxes or Other Taxes.</w:t>
      </w:r>
    </w:p>
    <w:p>
      <w:pPr>
        <w:spacing w:after="0" w:line="85" w:lineRule="exact"/>
        <w:rPr>
          <w:rFonts w:ascii="Arial" w:cs="Arial" w:eastAsia="Arial" w:hAnsi="Arial"/>
          <w:sz w:val="18"/>
          <w:szCs w:val="18"/>
          <w:color w:val="auto"/>
        </w:rPr>
      </w:pPr>
    </w:p>
    <w:p>
      <w:pPr>
        <w:jc w:val="both"/>
        <w:ind w:left="320" w:right="639" w:firstLine="260"/>
        <w:spacing w:after="0" w:line="255" w:lineRule="auto"/>
        <w:tabs>
          <w:tab w:leader="none" w:pos="8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If any Guarantor fails to perform any of its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such Guarantor shall indemnify the Buyer for any taxes, interest or penalties that may become payable as a result of any such failure. The obligations of the Guarantors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termination of this Guaranty and the payment of the Obligations and all other amounts payable hereunder.</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4" w:lineRule="exact"/>
        <w:rPr>
          <w:sz w:val="20"/>
          <w:szCs w:val="20"/>
          <w:color w:val="auto"/>
        </w:rPr>
      </w:pPr>
    </w:p>
    <w:p>
      <w:pPr>
        <w:ind w:left="320" w:right="619" w:firstLine="260"/>
        <w:spacing w:after="0" w:line="300" w:lineRule="auto"/>
        <w:tabs>
          <w:tab w:leader="none" w:pos="97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Each Guarantor will make each payment hereunder in lawful money of the United States of America and in immediately available funds to Buyer, at such address specified by Buyer from time to time by notice to the Guarantors.</w:t>
      </w:r>
    </w:p>
    <w:p>
      <w:pPr>
        <w:spacing w:after="0" w:line="45" w:lineRule="exact"/>
        <w:rPr>
          <w:rFonts w:ascii="Arial" w:cs="Arial" w:eastAsia="Arial" w:hAnsi="Arial"/>
          <w:sz w:val="17"/>
          <w:szCs w:val="17"/>
          <w:color w:val="auto"/>
        </w:rPr>
      </w:pPr>
    </w:p>
    <w:p>
      <w:pPr>
        <w:jc w:val="both"/>
        <w:ind w:left="320" w:right="619" w:firstLine="260"/>
        <w:spacing w:after="0" w:line="306" w:lineRule="auto"/>
        <w:tabs>
          <w:tab w:leader="none" w:pos="95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No amendment or waiver of any provision of this Guaranty and no consent to any departure by any Guarantor therefrom shall in any event be effective unless the same shall be in writing and signed by each Guarantor and the Buyer, and then such waiver or consent shall be effective only in the specific instance and for the specific purpose for which given.</w:t>
      </w:r>
    </w:p>
    <w:p>
      <w:pPr>
        <w:spacing w:after="0" w:line="44" w:lineRule="exact"/>
        <w:rPr>
          <w:rFonts w:ascii="Arial" w:cs="Arial" w:eastAsia="Arial" w:hAnsi="Arial"/>
          <w:sz w:val="16"/>
          <w:szCs w:val="16"/>
          <w:color w:val="auto"/>
        </w:rPr>
      </w:pPr>
    </w:p>
    <w:p>
      <w:pPr>
        <w:jc w:val="both"/>
        <w:ind w:left="320" w:right="619" w:firstLine="260"/>
        <w:spacing w:after="0" w:line="288" w:lineRule="auto"/>
        <w:tabs>
          <w:tab w:leader="none" w:pos="883" w:val="left"/>
        </w:tabs>
        <w:numPr>
          <w:ilvl w:val="0"/>
          <w:numId w:val="307"/>
        </w:numPr>
        <w:rPr>
          <w:rFonts w:ascii="Arial" w:cs="Arial" w:eastAsia="Arial" w:hAnsi="Arial"/>
          <w:sz w:val="16"/>
          <w:szCs w:val="16"/>
          <w:color w:val="auto"/>
        </w:rPr>
      </w:pPr>
      <w:r>
        <w:rPr>
          <w:rFonts w:ascii="Arial" w:cs="Arial" w:eastAsia="Arial" w:hAnsi="Arial"/>
          <w:sz w:val="16"/>
          <w:szCs w:val="16"/>
          <w:color w:val="auto"/>
        </w:rPr>
        <w:t>No failure on the part of the Buyer to exercise, and no delay in exercising, any right hereunder or under any other Note Transaction Document shall operate as a waiver thereof, nor shall any single or partial exercise of any right hereunder or under any Note Transaction Document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Note Transaction Document against any party thereto are not conditional or contingent on any attempt by the Buyer to exercise any of its rights under any other Note Transaction Document against such party or against any other Person.</w:t>
      </w:r>
    </w:p>
    <w:p>
      <w:pPr>
        <w:spacing w:after="0" w:line="200" w:lineRule="exact"/>
        <w:rPr>
          <w:sz w:val="20"/>
          <w:szCs w:val="20"/>
          <w:color w:val="auto"/>
        </w:rPr>
      </w:pPr>
    </w:p>
    <w:p>
      <w:pPr>
        <w:spacing w:after="0" w:line="2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2" w:name="page333"/>
    <w:bookmarkEnd w:id="3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firstLine="260"/>
        <w:spacing w:after="0" w:line="259" w:lineRule="auto"/>
        <w:tabs>
          <w:tab w:leader="none" w:pos="89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provision of this Guaranty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78" w:lineRule="exact"/>
        <w:rPr>
          <w:rFonts w:ascii="Arial" w:cs="Arial" w:eastAsia="Arial" w:hAnsi="Arial"/>
          <w:sz w:val="18"/>
          <w:szCs w:val="18"/>
          <w:color w:val="auto"/>
        </w:rPr>
      </w:pPr>
    </w:p>
    <w:p>
      <w:pPr>
        <w:jc w:val="both"/>
        <w:ind w:left="320" w:right="619" w:firstLine="260"/>
        <w:spacing w:after="0" w:line="268" w:lineRule="auto"/>
        <w:tabs>
          <w:tab w:leader="none" w:pos="88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This Guaranty shall (i) be binding on each Guarantor and its respective successors and assigns, and (ii) inure, together with all rights and remedies of the Buyer hereunder, to the benefit of the Buyer and its successors, transferees and assigns. Without limiting the generality of clause (ii) of the immediately preceding sentence, the Buyer may assign or otherwise transfer its rights and obligations under the Note or any other Note Transaction Document to any other Person in accordance with the terms thereof, and such other Person shall thereupon become vested with all of the benefits in respect thereof granted to the Buyer herein or otherwise. None of the rights or obligations of any Guarantor hereunder may be assigned or otherwise transferred without the prior written consent of the Buyer.</w:t>
      </w:r>
    </w:p>
    <w:p>
      <w:pPr>
        <w:spacing w:after="0" w:line="75" w:lineRule="exact"/>
        <w:rPr>
          <w:rFonts w:ascii="Arial" w:cs="Arial" w:eastAsia="Arial" w:hAnsi="Arial"/>
          <w:sz w:val="17"/>
          <w:szCs w:val="17"/>
          <w:color w:val="auto"/>
        </w:rPr>
      </w:pPr>
    </w:p>
    <w:p>
      <w:pPr>
        <w:ind w:left="320" w:right="639" w:firstLine="260"/>
        <w:spacing w:after="0" w:line="270" w:lineRule="auto"/>
        <w:tabs>
          <w:tab w:leader="none" w:pos="86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This Guaranty reflects the entire understanding of the transaction contemplated hereby and shall not be contradicted or qualified by any other agreement, oral or written, entered into before the date hereof.</w:t>
      </w:r>
    </w:p>
    <w:p>
      <w:pPr>
        <w:spacing w:after="0" w:line="68" w:lineRule="exact"/>
        <w:rPr>
          <w:rFonts w:ascii="Arial" w:cs="Arial" w:eastAsia="Arial" w:hAnsi="Arial"/>
          <w:sz w:val="18"/>
          <w:szCs w:val="18"/>
          <w:color w:val="auto"/>
        </w:rPr>
      </w:pPr>
    </w:p>
    <w:p>
      <w:pPr>
        <w:ind w:left="320" w:right="619" w:firstLine="260"/>
        <w:spacing w:after="0" w:line="270" w:lineRule="auto"/>
        <w:tabs>
          <w:tab w:leader="none" w:pos="88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Section headings herein are included for convenience of reference only and shall not constitute a part of this Agreement for any other purpose.</w:t>
      </w:r>
    </w:p>
    <w:p>
      <w:pPr>
        <w:spacing w:after="0" w:line="68" w:lineRule="exact"/>
        <w:rPr>
          <w:rFonts w:ascii="Arial" w:cs="Arial" w:eastAsia="Arial" w:hAnsi="Arial"/>
          <w:sz w:val="18"/>
          <w:szCs w:val="18"/>
          <w:color w:val="auto"/>
        </w:rPr>
      </w:pPr>
    </w:p>
    <w:p>
      <w:pPr>
        <w:jc w:val="both"/>
        <w:ind w:left="320" w:right="619" w:firstLine="260"/>
        <w:spacing w:after="0" w:line="259" w:lineRule="auto"/>
        <w:tabs>
          <w:tab w:leader="none" w:pos="91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THIS GUARANTY SHALL BE GOVERNED BY AND CONSTRUED IN ACCORDANCE WITH THE LAW OF THE STATE OF NEW YORK APPLICABLE TO CONTRACTS MADE AND TO BE PERFORMED THEREIN WITHOUT REGARD TO CONFLICT OF LAW PRINCIPLES.</w:t>
      </w:r>
    </w:p>
    <w:p>
      <w:pPr>
        <w:spacing w:after="0" w:line="78" w:lineRule="exact"/>
        <w:rPr>
          <w:rFonts w:ascii="Arial" w:cs="Arial" w:eastAsia="Arial" w:hAnsi="Arial"/>
          <w:sz w:val="18"/>
          <w:szCs w:val="18"/>
          <w:color w:val="auto"/>
        </w:rPr>
      </w:pPr>
    </w:p>
    <w:p>
      <w:pPr>
        <w:jc w:val="both"/>
        <w:ind w:left="320" w:right="619" w:firstLine="260"/>
        <w:spacing w:after="0" w:line="275" w:lineRule="auto"/>
        <w:tabs>
          <w:tab w:leader="none" w:pos="88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Each Guarantor hereby acknowledges and agrees that this Guaranty shall amend, restate, modify, extend, renew and continue the terms and provisions contained in the Existing Guaranty and shall not extinguish or release such Guarantor from any liability under such Existing Guaranty or otherwise constitute a novation of the obligations (including, without limitation, the Guaranteed Obligations (as defined in the Existing Guaranty)) thereunder.</w:t>
      </w:r>
    </w:p>
    <w:p>
      <w:pPr>
        <w:spacing w:after="0" w:line="66" w:lineRule="exact"/>
        <w:rPr>
          <w:rFonts w:ascii="Arial" w:cs="Arial" w:eastAsia="Arial" w:hAnsi="Arial"/>
          <w:sz w:val="17"/>
          <w:szCs w:val="17"/>
          <w:color w:val="auto"/>
        </w:rPr>
      </w:pPr>
    </w:p>
    <w:p>
      <w:pPr>
        <w:jc w:val="both"/>
        <w:ind w:left="320" w:right="619" w:firstLine="260"/>
        <w:spacing w:after="0" w:line="268" w:lineRule="auto"/>
        <w:tabs>
          <w:tab w:leader="none" w:pos="87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By its execution and delivery of this Guaranty, the Company and its Subsidiaries hereby agree and covenant (i) to do each of the things set forth in the Note that I/P agrees and covenants to use its commercially reasonably efforts to cause the Company and its Subsidiaries to do, (ii) to not do each of the things set forth in the Note that I/P agrees and covenants to use its commercially reasonably efforts to cause the Company and its Subsidiaries not to do, in each case, fully as though the Company and its Subsidiaries were a party thereto, and such agreements and covenants are incorporated herein by this reference, mutatis mutandis, and (iii) all payments due under this Guaranty shall be senior to all other Indebtedness of the Company and its Subsidiaries other than Permitted Senior Indebtedness.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200" w:lineRule="exact"/>
        <w:rPr>
          <w:sz w:val="20"/>
          <w:szCs w:val="20"/>
          <w:color w:val="auto"/>
        </w:rPr>
      </w:pPr>
    </w:p>
    <w:p>
      <w:pPr>
        <w:spacing w:after="0" w:line="3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3" w:name="page334"/>
    <w:bookmarkEnd w:id="3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firstLine="267"/>
        <w:spacing w:after="0" w:line="255" w:lineRule="auto"/>
        <w:rPr>
          <w:sz w:val="20"/>
          <w:szCs w:val="20"/>
          <w:color w:val="auto"/>
        </w:rPr>
      </w:pPr>
      <w:r>
        <w:rPr>
          <w:rFonts w:ascii="Arial" w:cs="Arial" w:eastAsia="Arial" w:hAnsi="Arial"/>
          <w:sz w:val="18"/>
          <w:szCs w:val="18"/>
          <w:color w:val="auto"/>
        </w:rPr>
        <w:t>IN WITNESS WHEREOF, each Guarantor has caused this Guaranty to be executed by its respective duly authorized officer,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3461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 xml:space="preserve">I/P LABS, INC., </w:t>
      </w:r>
      <w:r>
        <w:rPr>
          <w:rFonts w:ascii="Arial" w:cs="Arial" w:eastAsia="Arial" w:hAnsi="Arial"/>
          <w:sz w:val="18"/>
          <w:szCs w:val="18"/>
          <w:color w:val="auto"/>
        </w:rPr>
        <w:t>a Delaware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formerly known as Scottish Terrier Capital,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14"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Vringo Guaranty</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4" w:name="page335"/>
    <w:bookmarkEnd w:id="3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513461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6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 xml:space="preserve">I/P ENGINE, INC., </w:t>
      </w:r>
      <w:r>
        <w:rPr>
          <w:rFonts w:ascii="Arial" w:cs="Arial" w:eastAsia="Arial" w:hAnsi="Arial"/>
          <w:sz w:val="17"/>
          <w:szCs w:val="17"/>
          <w:color w:val="auto"/>
        </w:rPr>
        <w:t>a Virginia corporation</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formerly known as Smart Search Labs, Inc.</w:t>
      </w:r>
    </w:p>
    <w:p>
      <w:pPr>
        <w:spacing w:after="0" w:line="3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 xml:space="preserve">VRINGO, LTD., </w:t>
      </w:r>
      <w:r>
        <w:rPr>
          <w:rFonts w:ascii="Arial" w:cs="Arial" w:eastAsia="Arial" w:hAnsi="Arial"/>
          <w:sz w:val="18"/>
          <w:szCs w:val="18"/>
          <w:color w:val="auto"/>
        </w:rPr>
        <w:t>an Israeli corporation</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ind w:left="3900"/>
        <w:spacing w:after="0" w:line="189" w:lineRule="auto"/>
        <w:rPr>
          <w:sz w:val="20"/>
          <w:szCs w:val="20"/>
          <w:color w:val="auto"/>
        </w:rPr>
      </w:pPr>
      <w:r>
        <w:rPr>
          <w:rFonts w:ascii="Arial" w:cs="Arial" w:eastAsia="Arial" w:hAnsi="Arial"/>
          <w:sz w:val="18"/>
          <w:szCs w:val="18"/>
          <w:color w:val="auto"/>
        </w:rPr>
        <w:t>120 Broadway,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10271</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(646) 214-7946</w:t>
      </w:r>
    </w:p>
    <w:p>
      <w:pPr>
        <w:spacing w:after="0" w:line="114"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Vringo Guaranty</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5" w:name="page336"/>
    <w:bookmarkEnd w:id="3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K</w:t>
      </w:r>
    </w:p>
    <w:p>
      <w:pPr>
        <w:spacing w:after="0" w:line="21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CERTIFICATE OF INCORPORATION</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VIP MERGER SUB, INC.</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undersigned, for the purpose of organizing a corporation under the provisions and subject to the requirements of the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Delaware General Corporation Law (the “DGCL”), hereby certifies that: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FIRST: The name of the corporation is VIP Merger Sub, Inc. (the “Corporation”).</w:t>
      </w:r>
    </w:p>
    <w:p>
      <w:pPr>
        <w:spacing w:after="0" w:line="114" w:lineRule="exact"/>
        <w:rPr>
          <w:sz w:val="20"/>
          <w:szCs w:val="20"/>
          <w:color w:val="auto"/>
        </w:rPr>
      </w:pPr>
    </w:p>
    <w:p>
      <w:pPr>
        <w:jc w:val="both"/>
        <w:ind w:left="40" w:right="639" w:firstLine="267"/>
        <w:spacing w:after="0" w:line="334" w:lineRule="auto"/>
        <w:rPr>
          <w:sz w:val="20"/>
          <w:szCs w:val="20"/>
          <w:color w:val="auto"/>
        </w:rPr>
      </w:pPr>
      <w:r>
        <w:rPr>
          <w:rFonts w:ascii="Arial" w:cs="Arial" w:eastAsia="Arial" w:hAnsi="Arial"/>
          <w:sz w:val="16"/>
          <w:szCs w:val="16"/>
          <w:color w:val="auto"/>
        </w:rPr>
        <w:t>SECOND: The address of the Corporation’s registered office in the State of Delaware is 615 South DuPont Highway, Dover, Delaware 19901, Kent County. The name of its registered agent at such address is National Corporate Research, Ltd.</w:t>
      </w:r>
    </w:p>
    <w:p>
      <w:pPr>
        <w:spacing w:after="0" w:line="23"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DGCL.</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FOURTH: The total number of shares of all classes of stock which the Corporation shall have authority to issue is five thousand (5,000) shares of common stock, par value $0.01 per share.</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FIFTH: The name and mailing address of the sole incorporator of the Corporation is Michael A. Brown, c/o Mintz, Levin, Cohn, Ferris, Glovsky and Popeo, P.C., 666 Third Avenue, New York, New York 10017.</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SIXTH: The Corporation is to have perpetual existence.</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SEVENTH: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w:t>
      </w:r>
    </w:p>
    <w:p>
      <w:pPr>
        <w:spacing w:after="0" w:line="78" w:lineRule="exact"/>
        <w:rPr>
          <w:sz w:val="20"/>
          <w:szCs w:val="20"/>
          <w:color w:val="auto"/>
        </w:rPr>
      </w:pPr>
    </w:p>
    <w:p>
      <w:pPr>
        <w:jc w:val="both"/>
        <w:ind w:left="320" w:right="619" w:firstLine="260"/>
        <w:spacing w:after="0" w:line="253" w:lineRule="auto"/>
        <w:tabs>
          <w:tab w:leader="none" w:pos="90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85" w:lineRule="exact"/>
        <w:rPr>
          <w:rFonts w:ascii="Arial" w:cs="Arial" w:eastAsia="Arial" w:hAnsi="Arial"/>
          <w:sz w:val="18"/>
          <w:szCs w:val="18"/>
          <w:color w:val="auto"/>
        </w:rPr>
      </w:pPr>
    </w:p>
    <w:p>
      <w:pPr>
        <w:jc w:val="both"/>
        <w:ind w:left="320" w:right="619" w:firstLine="260"/>
        <w:spacing w:after="0" w:line="255" w:lineRule="auto"/>
        <w:tabs>
          <w:tab w:leader="none" w:pos="85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After the original or other Bylaws of the Corporation have been adopted, amended or repealed, as the case may be, in accordance with the provisions of Section 109 of the DGCL, and, after the Corporation has received any payment for any of its stock, the power to adopt, amend, or repeal the Bylaws of the Corporation may be exercised by the Board of Directors of the Corporation.</w:t>
      </w:r>
    </w:p>
    <w:p>
      <w:pPr>
        <w:spacing w:after="0" w:line="82" w:lineRule="exact"/>
        <w:rPr>
          <w:rFonts w:ascii="Arial" w:cs="Arial" w:eastAsia="Arial" w:hAnsi="Arial"/>
          <w:sz w:val="18"/>
          <w:szCs w:val="18"/>
          <w:color w:val="auto"/>
        </w:rPr>
      </w:pPr>
    </w:p>
    <w:p>
      <w:pPr>
        <w:ind w:left="320" w:right="619" w:firstLine="260"/>
        <w:spacing w:after="0" w:line="300" w:lineRule="auto"/>
        <w:tabs>
          <w:tab w:leader="none" w:pos="8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books of the Corporation may be kept at such place within or without the State of Delaware as the Bylaws of the Corporation may provide or as may be designated from time to time by the Board of Directors of the Corporation.</w:t>
      </w:r>
    </w:p>
    <w:p>
      <w:pPr>
        <w:spacing w:after="0" w:line="46"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EIGHTH: The Corporation shall, to the fullest extent permitted by Section 145 of the DGCL,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w:t>
      </w: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36" w:name="page337"/>
    <w:bookmarkEnd w:id="3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spacing w:after="0" w:line="297" w:lineRule="auto"/>
        <w:rPr>
          <w:sz w:val="20"/>
          <w:szCs w:val="20"/>
          <w:color w:val="auto"/>
        </w:rPr>
      </w:pPr>
      <w:r>
        <w:rPr>
          <w:rFonts w:ascii="Arial" w:cs="Arial" w:eastAsia="Arial" w:hAnsi="Arial"/>
          <w:sz w:val="16"/>
          <w:szCs w:val="16"/>
          <w:color w:val="auto"/>
        </w:rPr>
        <w:t>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52"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NINTH: No director of the Corporation shall be liable to the Corporation or any of its stockholders for monetary damages for breach of fiduciary duty as a director, provided that this provision does not eliminate or limit the liability of the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For purposes of the prior sentence, the term “damages” shall, to the extent permitted by law, include without limitation, any judgment, fine, amount paid in settlement, penalty, punitive damages, excise or other tax assessed with respect to an employee benefit plan, or expense of any nature (including, without limitation, reasonable counsel fees and disbursements). Each person who serves as a director of the Corporation while this Article NINTH is in effect shall be deemed to be doing so in reliance on the provisions of this Article NINTH, and neither the amendment or repeal of this Article NINTH, nor the adoption of any provision of this Certificate of Incorporation inconsistent with this Article NINTH, shall apply to or have any effect on the liability or alleged liability of any director of the Corporation for, arising out of, based upon, or in connection with any acts or omissions of such director occurring prior to such amendment, repeal, or adoption of an inconsistent provision. The provisions of this Article NINTH are cumulative and shall be in addition to and independent of any and all other limitations on or eliminations of the liabilities of directors of the Corporation, as such, whether such limitations or eliminations arise under or are created by any law, rule, regulation, bylaw, agreement, vote of stockholders or disinterested directors, or otherwise.</w:t>
      </w:r>
    </w:p>
    <w:p>
      <w:pPr>
        <w:spacing w:after="0" w:line="75"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TENTH.</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WITNESS WHEREOF, I have signed this Certificate of Incorporation as of 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81280</wp:posOffset>
            </wp:positionV>
            <wp:extent cx="142557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425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7" w:name="page338"/>
    <w:bookmarkEnd w:id="3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L</w:t>
      </w:r>
    </w:p>
    <w:p>
      <w:pPr>
        <w:spacing w:after="0" w:line="21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VIP MERGER SUB,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i w:val="1"/>
          <w:iCs w:val="1"/>
          <w:color w:val="auto"/>
        </w:rPr>
        <w:t>ARTICLE I — STOCKHOLDERS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Annual Meeting.</w:t>
      </w:r>
    </w:p>
    <w:p>
      <w:pPr>
        <w:spacing w:after="0" w:line="114"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An annual meeting of the stockholders, for the election of directors to succeed those whose terms expire and for the transaction of such other business as may properly come before the meeting, shall be held at ten o’clock a.m.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Special Meetings.</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Notice of Meetings.</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83"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Quorum.</w:t>
      </w:r>
    </w:p>
    <w:p>
      <w:pPr>
        <w:spacing w:after="0" w:line="114" w:lineRule="exact"/>
        <w:rPr>
          <w:sz w:val="20"/>
          <w:szCs w:val="20"/>
          <w:color w:val="auto"/>
        </w:rPr>
      </w:pPr>
    </w:p>
    <w:p>
      <w:pPr>
        <w:jc w:val="both"/>
        <w:ind w:left="40" w:right="639" w:firstLine="267"/>
        <w:spacing w:after="0" w:line="253" w:lineRule="auto"/>
        <w:rPr>
          <w:sz w:val="20"/>
          <w:szCs w:val="20"/>
          <w:color w:val="auto"/>
        </w:rPr>
      </w:pPr>
      <w:r>
        <w:rPr>
          <w:rFonts w:ascii="Arial" w:cs="Arial" w:eastAsia="Arial" w:hAnsi="Arial"/>
          <w:sz w:val="18"/>
          <w:szCs w:val="18"/>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85"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Organization.</w:t>
      </w:r>
    </w:p>
    <w:p>
      <w:pPr>
        <w:spacing w:after="0" w:line="114"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8" w:name="page339"/>
    <w:bookmarkEnd w:id="3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Conduct of Business.</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Chairman of the Board of Directors or his or her designee or, if neither the Chairman of the Board nor his or her designee is present at the meeting, then a person appointed by 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Proxies and Voting.</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At any meeting of the stockholders, every stockholder entitled to vote may vote in person or by proxy authorized by an instrument in writing filed in accordance with the procedure established for the meeting.</w:t>
      </w:r>
    </w:p>
    <w:p>
      <w:pPr>
        <w:spacing w:after="0" w:line="69"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Each stockholder shall have one (1) vote for every share of stock entitled to vote which is registered in his or her name on the record date for the meeting, except as otherwise provided herein or required by law.</w:t>
      </w:r>
    </w:p>
    <w:p>
      <w:pPr>
        <w:spacing w:after="0" w:line="69"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23"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Action Without Meeting.</w:t>
      </w:r>
    </w:p>
    <w:p>
      <w:pPr>
        <w:spacing w:after="0" w:line="11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Stock List.</w:t>
      </w:r>
    </w:p>
    <w:p>
      <w:pPr>
        <w:spacing w:after="0" w:line="114"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57"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39" w:name="page340"/>
    <w:bookmarkEnd w:id="3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3839" w:firstLine="2952"/>
        <w:spacing w:after="0" w:line="371" w:lineRule="auto"/>
        <w:rPr>
          <w:sz w:val="20"/>
          <w:szCs w:val="20"/>
          <w:color w:val="auto"/>
        </w:rPr>
      </w:pPr>
      <w:r>
        <w:rPr>
          <w:rFonts w:ascii="Arial" w:cs="Arial" w:eastAsia="Arial" w:hAnsi="Arial"/>
          <w:sz w:val="18"/>
          <w:szCs w:val="18"/>
          <w:i w:val="1"/>
          <w:iCs w:val="1"/>
          <w:color w:val="auto"/>
        </w:rPr>
        <w:t>ARTICLE II — BOARD OF DIRECTORS Section 1. Number, Election, Tenure and Qualification.</w:t>
      </w:r>
    </w:p>
    <w:p>
      <w:pPr>
        <w:spacing w:after="0" w:line="2"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Vacancies and Newly Created Directorships.</w:t>
      </w:r>
    </w:p>
    <w:p>
      <w:pPr>
        <w:spacing w:after="0" w:line="11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Subject to the rights of the holders of any class or series of preferred stock of the Corporation to elect directors, newly created directorships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Resignation and Removal.</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Regular Meetings.</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Special Meetings.</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each director by whom it is not waived by mailing written notice not less than three (3) days before the meeting or orally, by telegraph, telex, cable or telecopy given not less than twenty-four (24) hours before the meeting. Unless otherwise indicated in the notice thereof, any and all business may be transacted at a special meeting.</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Quorum.</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Action by Consent.</w:t>
      </w:r>
    </w:p>
    <w:p>
      <w:pPr>
        <w:spacing w:after="0" w:line="114"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0" w:name="page341"/>
    <w:bookmarkEnd w:id="3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Participation in Meetings By Conference Telephone.</w:t>
      </w:r>
    </w:p>
    <w:p>
      <w:pPr>
        <w:spacing w:after="0" w:line="114"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Conduct of Business.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Powers.</w:t>
      </w:r>
    </w:p>
    <w:p>
      <w:pPr>
        <w:spacing w:after="0" w:line="114"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23" w:lineRule="exact"/>
        <w:rPr>
          <w:sz w:val="20"/>
          <w:szCs w:val="20"/>
          <w:color w:val="auto"/>
        </w:rPr>
      </w:pPr>
    </w:p>
    <w:p>
      <w:pPr>
        <w:ind w:left="540" w:hanging="268"/>
        <w:spacing w:after="0"/>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declare dividends from time to time in accordance with law;</w:t>
      </w:r>
    </w:p>
    <w:p>
      <w:pPr>
        <w:spacing w:after="0" w:line="113" w:lineRule="exact"/>
        <w:rPr>
          <w:rFonts w:ascii="Arial" w:cs="Arial" w:eastAsia="Arial" w:hAnsi="Arial"/>
          <w:sz w:val="18"/>
          <w:szCs w:val="18"/>
          <w:color w:val="auto"/>
        </w:rPr>
      </w:pPr>
    </w:p>
    <w:p>
      <w:pPr>
        <w:ind w:left="540" w:hanging="268"/>
        <w:spacing w:after="0"/>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purchase or otherwise acquire any property, rights or privileges on such terms as it shall determine;</w:t>
      </w:r>
    </w:p>
    <w:p>
      <w:pPr>
        <w:spacing w:after="0" w:line="113" w:lineRule="exact"/>
        <w:rPr>
          <w:rFonts w:ascii="Arial" w:cs="Arial" w:eastAsia="Arial" w:hAnsi="Arial"/>
          <w:sz w:val="18"/>
          <w:szCs w:val="18"/>
          <w:color w:val="auto"/>
        </w:rPr>
      </w:pPr>
    </w:p>
    <w:p>
      <w:pPr>
        <w:jc w:val="both"/>
        <w:ind w:left="540" w:right="639" w:hanging="268"/>
        <w:spacing w:after="0" w:line="259"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7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remove any officer of the Corporation with or without cause, and from time to time to devolve the powers and duties of any officer upon any other person for the time being;</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confer upon any officer of the Corporation the power to appoint, remove and suspend subordinate officers, employees and agents;</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adopt from time to time such stock, option, stock purchase, bonus or other compensation plans for directors, officers, employees and agents of the Corporation and its subsidiaries as it may determine;</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adopt from time to time such insurance, retirement, and other benefit plans for directors, officers, employees and agents of the Corporation and its subsidiaries as it may determine; and,</w:t>
      </w:r>
    </w:p>
    <w:p>
      <w:pPr>
        <w:spacing w:after="0" w:line="68"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adopt from time to time regulations, not inconsistent with these Bylaws, for the management of the Corporation’s business and affairs.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11. Compensation of Directors.</w:t>
      </w:r>
    </w:p>
    <w:p>
      <w:pPr>
        <w:spacing w:after="0" w:line="114" w:lineRule="exact"/>
        <w:rPr>
          <w:sz w:val="20"/>
          <w:szCs w:val="20"/>
          <w:color w:val="auto"/>
        </w:rPr>
      </w:pPr>
    </w:p>
    <w:p>
      <w:pPr>
        <w:jc w:val="both"/>
        <w:ind w:left="40" w:right="639" w:firstLine="267"/>
        <w:spacing w:after="0" w:line="300" w:lineRule="auto"/>
        <w:rPr>
          <w:sz w:val="20"/>
          <w:szCs w:val="20"/>
          <w:color w:val="auto"/>
        </w:rPr>
      </w:pPr>
      <w:r>
        <w:rPr>
          <w:rFonts w:ascii="Arial" w:cs="Arial" w:eastAsia="Arial" w:hAnsi="Arial"/>
          <w:sz w:val="17"/>
          <w:szCs w:val="17"/>
          <w:color w:val="auto"/>
        </w:rPr>
        <w:t>Directors, as such, may receive, pursuant to a resolution of the Board of Directors, fixed fees and other compensation for their services as directors, including, without limitation, their services as members of committees of the Board of Directors.</w:t>
      </w:r>
    </w:p>
    <w:p>
      <w:pPr>
        <w:spacing w:after="0" w:line="46"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ARTICLE III — COMMITTEES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Committees of the Board of Directors.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w:t>
      </w:r>
    </w:p>
    <w:p>
      <w:pPr>
        <w:spacing w:after="0" w:line="200" w:lineRule="exact"/>
        <w:rPr>
          <w:sz w:val="20"/>
          <w:szCs w:val="20"/>
          <w:color w:val="auto"/>
        </w:rPr>
      </w:pPr>
    </w:p>
    <w:p>
      <w:pPr>
        <w:spacing w:after="0" w:line="2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1" w:name="page342"/>
    <w:bookmarkEnd w:id="3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7"/>
          <w:szCs w:val="17"/>
          <w:color w:val="auto"/>
        </w:rPr>
        <w:t>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Conduct of Business.</w:t>
      </w:r>
    </w:p>
    <w:p>
      <w:pPr>
        <w:spacing w:after="0" w:line="11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( 1/3) of the members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68"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ARTICLE IV — OFFICERS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Enumeration.</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Election.</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Qualification.</w:t>
      </w:r>
    </w:p>
    <w:p>
      <w:pPr>
        <w:spacing w:after="0" w:line="114"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Tenure and Removal.</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2" w:name="page343"/>
    <w:bookmarkEnd w:id="3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59" w:lineRule="auto"/>
        <w:rPr>
          <w:sz w:val="20"/>
          <w:szCs w:val="20"/>
          <w:color w:val="auto"/>
        </w:rPr>
      </w:pPr>
      <w:r>
        <w:rPr>
          <w:rFonts w:ascii="Arial" w:cs="Arial" w:eastAsia="Arial" w:hAnsi="Arial"/>
          <w:sz w:val="18"/>
          <w:szCs w:val="18"/>
          <w:color w:val="auto"/>
        </w:rPr>
        <w:t>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Chairman of the Board.</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Chairman of the Board, if any,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President.</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The President shall, subject to the control and direction of the Board of Directors, have and perform such powers and duties as may be prescribed by these Bylaws or from time to time be determined by the Board of Directors.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Vice Presidents.</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Treasurer and Assistant Treasurers.</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Secretary and Assistant Secretaries.</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Bond.</w:t>
      </w:r>
    </w:p>
    <w:p>
      <w:pPr>
        <w:spacing w:after="0" w:line="114"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11. Action with Respect to Securities of Other Corporations.</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3" w:name="page344"/>
    <w:bookmarkEnd w:id="3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ARTICLE V — STOCK</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Certificates of Stock.</w:t>
      </w:r>
    </w:p>
    <w:p>
      <w:pPr>
        <w:spacing w:after="0" w:line="114" w:lineRule="exact"/>
        <w:rPr>
          <w:sz w:val="20"/>
          <w:szCs w:val="20"/>
          <w:color w:val="auto"/>
        </w:rPr>
      </w:pPr>
    </w:p>
    <w:p>
      <w:pPr>
        <w:jc w:val="both"/>
        <w:ind w:left="40" w:right="619" w:firstLine="267"/>
        <w:spacing w:after="0" w:line="306" w:lineRule="auto"/>
        <w:rPr>
          <w:sz w:val="20"/>
          <w:szCs w:val="20"/>
          <w:color w:val="auto"/>
        </w:rPr>
      </w:pPr>
      <w:r>
        <w:rPr>
          <w:rFonts w:ascii="Arial" w:cs="Arial" w:eastAsia="Arial" w:hAnsi="Arial"/>
          <w:sz w:val="16"/>
          <w:szCs w:val="16"/>
          <w:color w:val="auto"/>
        </w:rPr>
        <w:t>Each stockholder shall be entitled to a certificate signed by, or in the name of the Corporation by the Chairman of the Board of Directors, or the President or a Vice President, and by the Treasurer or an Assistant Treasurer, or the Secretary or an Assistant Secretary, certifying the number of shares owned by him or her. Any or all of the signatures on the certificate may be by facsimile.</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Transfers of Stock.</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Record Date.</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73" w:lineRule="exact"/>
        <w:rPr>
          <w:sz w:val="20"/>
          <w:szCs w:val="20"/>
          <w:color w:val="auto"/>
        </w:rPr>
      </w:pPr>
    </w:p>
    <w:p>
      <w:pPr>
        <w:jc w:val="both"/>
        <w:ind w:left="40" w:right="619" w:firstLine="267"/>
        <w:spacing w:after="0" w:line="334" w:lineRule="auto"/>
        <w:rPr>
          <w:sz w:val="20"/>
          <w:szCs w:val="20"/>
          <w:color w:val="auto"/>
        </w:rPr>
      </w:pPr>
      <w:r>
        <w:rPr>
          <w:rFonts w:ascii="Arial" w:cs="Arial" w:eastAsia="Arial" w:hAnsi="Arial"/>
          <w:sz w:val="16"/>
          <w:szCs w:val="16"/>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Lost, Stolen or Destroyed Certificates.</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Regulations.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issue, transfer, conversion and registration of certificates of stock shall be governed by such other regulations as the Board of Directors may establish.</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Interpretation.</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The Board of Directors shall have the power to interpret all of the terms and provisions of these Bylaws, which interpretation shall be conclusive.</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4" w:name="page345"/>
    <w:bookmarkEnd w:id="3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ARTICLE VI — NOTICES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Notices.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or by sending such notice by courier service, prepaid telegram or mailgram, or telecopy, cable, or telex.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telegram, mailgram, telecopy, cable, or telex shall be the time of the giving of the notice.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Waiver of Notice.</w:t>
      </w:r>
    </w:p>
    <w:p>
      <w:pPr>
        <w:spacing w:after="0" w:line="114"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85"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ARTICLE VII — INDEMNIFICATION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Actions other than by or in the Right of the Corporation.</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Actions by or in the Right of the Corporation.</w:t>
      </w:r>
    </w:p>
    <w:p>
      <w:pPr>
        <w:spacing w:after="0" w:line="114"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00" w:lineRule="exact"/>
        <w:rPr>
          <w:sz w:val="20"/>
          <w:szCs w:val="20"/>
          <w:color w:val="auto"/>
        </w:rPr>
      </w:pPr>
    </w:p>
    <w:p>
      <w:pPr>
        <w:spacing w:after="0" w:line="30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5" w:name="page346"/>
    <w:bookmarkEnd w:id="3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Success on the Merits.</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Specific Authorization.</w:t>
      </w:r>
    </w:p>
    <w:p>
      <w:pPr>
        <w:spacing w:after="0" w:line="114"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Advance Payment.</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Expenses incurred in defending any civil, criminal, administrative, or investigative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Non-Exclusivity.</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Insurance.</w:t>
      </w:r>
    </w:p>
    <w:p>
      <w:pPr>
        <w:spacing w:after="0" w:line="114"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Continuation of Indemnification and Advancement of Expenses.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indemnification and advancement of expenses provided by, or granted pursuant to, this Article shall continue as to a person who has ceased to be a director, officer, employee or agent and shall inure to the benefit of the heirs, executors and administrators of such a person.</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Severability.</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If any word, clause or provision of this Article or any award made hereunder shall for any reason be determined to be invalid, the provisions hereof shall not otherwise be affected thereby but shall remain in full force and effect.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Intent of Article.</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intent of this Article is to provide for indemnification and advancement of expenses to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200" w:lineRule="exact"/>
        <w:rPr>
          <w:sz w:val="20"/>
          <w:szCs w:val="20"/>
          <w:color w:val="auto"/>
        </w:rPr>
      </w:pPr>
    </w:p>
    <w:p>
      <w:pPr>
        <w:spacing w:after="0" w:line="30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6" w:name="page347"/>
    <w:bookmarkEnd w:id="3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3679" w:firstLine="2796"/>
        <w:spacing w:after="0" w:line="371" w:lineRule="auto"/>
        <w:rPr>
          <w:sz w:val="20"/>
          <w:szCs w:val="20"/>
          <w:color w:val="auto"/>
        </w:rPr>
      </w:pPr>
      <w:r>
        <w:rPr>
          <w:rFonts w:ascii="Arial" w:cs="Arial" w:eastAsia="Arial" w:hAnsi="Arial"/>
          <w:sz w:val="18"/>
          <w:szCs w:val="18"/>
          <w:i w:val="1"/>
          <w:iCs w:val="1"/>
          <w:color w:val="auto"/>
        </w:rPr>
        <w:t>ARTICLE VIII — CERTAIN TRANSACTIONS Section 1. Transactions with Interested Parties.</w:t>
      </w:r>
    </w:p>
    <w:p>
      <w:pPr>
        <w:spacing w:after="0" w:line="2" w:lineRule="exact"/>
        <w:rPr>
          <w:sz w:val="20"/>
          <w:szCs w:val="20"/>
          <w:color w:val="auto"/>
        </w:rPr>
      </w:pPr>
    </w:p>
    <w:p>
      <w:pPr>
        <w:jc w:val="both"/>
        <w:ind w:left="40" w:right="619" w:firstLine="267"/>
        <w:spacing w:after="0" w:line="272" w:lineRule="auto"/>
        <w:rPr>
          <w:sz w:val="20"/>
          <w:szCs w:val="20"/>
          <w:color w:val="auto"/>
        </w:rPr>
      </w:pPr>
      <w:r>
        <w:rPr>
          <w:rFonts w:ascii="Arial" w:cs="Arial" w:eastAsia="Arial" w:hAnsi="Arial"/>
          <w:sz w:val="17"/>
          <w:szCs w:val="17"/>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68" w:lineRule="exact"/>
        <w:rPr>
          <w:sz w:val="20"/>
          <w:szCs w:val="20"/>
          <w:color w:val="auto"/>
        </w:rPr>
      </w:pPr>
    </w:p>
    <w:p>
      <w:pPr>
        <w:jc w:val="both"/>
        <w:ind w:left="320" w:right="639" w:firstLine="260"/>
        <w:spacing w:after="0" w:line="255" w:lineRule="auto"/>
        <w:tabs>
          <w:tab w:leader="none" w:pos="87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82" w:lineRule="exact"/>
        <w:rPr>
          <w:rFonts w:ascii="Arial" w:cs="Arial" w:eastAsia="Arial" w:hAnsi="Arial"/>
          <w:sz w:val="18"/>
          <w:szCs w:val="18"/>
          <w:color w:val="auto"/>
        </w:rPr>
      </w:pPr>
    </w:p>
    <w:p>
      <w:pPr>
        <w:jc w:val="both"/>
        <w:ind w:left="320" w:right="639" w:firstLine="260"/>
        <w:spacing w:after="0" w:line="259" w:lineRule="auto"/>
        <w:tabs>
          <w:tab w:leader="none" w:pos="88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78" w:lineRule="exact"/>
        <w:rPr>
          <w:rFonts w:ascii="Arial" w:cs="Arial" w:eastAsia="Arial" w:hAnsi="Arial"/>
          <w:sz w:val="18"/>
          <w:szCs w:val="18"/>
          <w:color w:val="auto"/>
        </w:rPr>
      </w:pPr>
    </w:p>
    <w:p>
      <w:pPr>
        <w:ind w:left="320" w:right="639" w:firstLine="260"/>
        <w:spacing w:after="0" w:line="270" w:lineRule="auto"/>
        <w:tabs>
          <w:tab w:leader="none" w:pos="87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Quorum.</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69"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ARTICLE IX — MISCELLANEOUS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Facsimile Signatures.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Corporate Seal.</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Reliance upon Books, Reports and Records.</w:t>
      </w:r>
    </w:p>
    <w:p>
      <w:pPr>
        <w:spacing w:after="0" w:line="11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7"/>
          <w:szCs w:val="17"/>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Fiscal Year.</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8"/>
          <w:szCs w:val="18"/>
          <w:color w:val="auto"/>
        </w:rPr>
        <w:t>Except as otherwise determined by the Board of Directors from time to time, the fiscal year of the Corporation shall end on the last day of December of each year.</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Time Periods.</w:t>
      </w:r>
    </w:p>
    <w:p>
      <w:pPr>
        <w:spacing w:after="0" w:line="11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0" w:lineRule="exact"/>
        <w:rPr>
          <w:sz w:val="20"/>
          <w:szCs w:val="20"/>
          <w:color w:val="auto"/>
        </w:rPr>
      </w:pPr>
    </w:p>
    <w:p>
      <w:pPr>
        <w:spacing w:after="0" w:line="3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7" w:name="page348"/>
    <w:bookmarkEnd w:id="3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i w:val="1"/>
          <w:iCs w:val="1"/>
          <w:color w:val="auto"/>
        </w:rPr>
        <w:t>ARTICLE X — AMENDMENTS</w:t>
      </w:r>
    </w:p>
    <w:p>
      <w:pPr>
        <w:spacing w:after="0" w:line="114"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200" w:lineRule="exact"/>
        <w:rPr>
          <w:sz w:val="20"/>
          <w:szCs w:val="20"/>
          <w:color w:val="auto"/>
        </w:rPr>
      </w:pPr>
    </w:p>
    <w:p>
      <w:pPr>
        <w:spacing w:after="0" w:line="30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8" w:name="page349"/>
    <w:bookmarkEnd w:id="3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Exhibit M</w:t>
      </w:r>
    </w:p>
    <w:p>
      <w:pPr>
        <w:spacing w:after="0" w:line="2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FORM OF HUDSON BAY LETTER AGREEMENT</w:t>
      </w:r>
    </w:p>
    <w:p>
      <w:pPr>
        <w:spacing w:after="0" w:line="11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Hudson Bay Master Fund Ltd.</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777 Third Avenue, 30 Floor</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New York, NY 10017</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__________,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ind w:left="40"/>
        <w:spacing w:after="0" w:line="218" w:lineRule="auto"/>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 10001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 Andrew Perlman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Gentlemen:</w:t>
      </w:r>
    </w:p>
    <w:p>
      <w:pPr>
        <w:spacing w:after="0" w:line="110" w:lineRule="exact"/>
        <w:rPr>
          <w:sz w:val="20"/>
          <w:szCs w:val="20"/>
          <w:color w:val="auto"/>
        </w:rPr>
      </w:pPr>
    </w:p>
    <w:p>
      <w:pPr>
        <w:jc w:val="both"/>
        <w:ind w:left="40" w:right="639" w:firstLine="267"/>
        <w:spacing w:after="0" w:line="289"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color w:val="auto"/>
        </w:rPr>
        <w:t>Letter Agreement</w:t>
      </w:r>
      <w:r>
        <w:rPr>
          <w:rFonts w:ascii="Arial" w:cs="Arial" w:eastAsia="Arial" w:hAnsi="Arial"/>
          <w:sz w:val="16"/>
          <w:szCs w:val="16"/>
          <w:color w:val="auto"/>
        </w:rPr>
        <w:t>”) is made with reference to that certain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dated as of _____________, 2012,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VIP</w:t>
      </w:r>
    </w:p>
    <w:p>
      <w:pPr>
        <w:spacing w:after="0" w:line="1" w:lineRule="exact"/>
        <w:rPr>
          <w:sz w:val="20"/>
          <w:szCs w:val="20"/>
          <w:color w:val="auto"/>
        </w:rPr>
      </w:pPr>
    </w:p>
    <w:p>
      <w:pPr>
        <w:jc w:val="both"/>
        <w:ind w:left="40" w:right="639"/>
        <w:spacing w:after="0" w:line="251" w:lineRule="auto"/>
        <w:rPr>
          <w:sz w:val="20"/>
          <w:szCs w:val="20"/>
          <w:color w:val="auto"/>
        </w:rPr>
      </w:pPr>
      <w:r>
        <w:rPr>
          <w:rFonts w:ascii="Arial" w:cs="Arial" w:eastAsia="Arial" w:hAnsi="Arial"/>
          <w:sz w:val="18"/>
          <w:szCs w:val="18"/>
          <w:color w:val="auto"/>
        </w:rPr>
        <w:t>Merger Sub, Inc., a Delaware corporation and wholly-owned subsidiary of Parent and Innovate/Protect, Inc, a Delaware corporation. Capitalized terms used and not otherwise defined herein shall have the meanings ascribed to them in the Merger Agreement.</w:t>
      </w:r>
    </w:p>
    <w:p>
      <w:pPr>
        <w:spacing w:after="0" w:line="86" w:lineRule="exact"/>
        <w:rPr>
          <w:sz w:val="20"/>
          <w:szCs w:val="20"/>
          <w:color w:val="auto"/>
        </w:rPr>
      </w:pPr>
    </w:p>
    <w:p>
      <w:pPr>
        <w:jc w:val="both"/>
        <w:ind w:left="280" w:right="619" w:hanging="275"/>
        <w:spacing w:after="0" w:line="281" w:lineRule="auto"/>
        <w:tabs>
          <w:tab w:leader="none" w:pos="2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In consideration of the premises and the agreements herein and for other consideration, the sufficiency of which is hereby acknowledged, Hudson Bay Master Fund Ltd. (the “</w:t>
      </w:r>
      <w:r>
        <w:rPr>
          <w:rFonts w:ascii="Arial" w:cs="Arial" w:eastAsia="Arial" w:hAnsi="Arial"/>
          <w:sz w:val="16"/>
          <w:szCs w:val="16"/>
          <w:b w:val="1"/>
          <w:bCs w:val="1"/>
          <w:color w:val="auto"/>
        </w:rPr>
        <w:t>Undersigned</w:t>
      </w:r>
      <w:r>
        <w:rPr>
          <w:rFonts w:ascii="Arial" w:cs="Arial" w:eastAsia="Arial" w:hAnsi="Arial"/>
          <w:sz w:val="16"/>
          <w:szCs w:val="16"/>
          <w:color w:val="auto"/>
        </w:rPr>
        <w:t>”) hereby agrees that from and after the Closing Date until the Termination Date (as defined below), the Undersigned shall not sell Excess Discounted Shares on any Trading Day. For purposes hereof, (x) “</w:t>
      </w:r>
      <w:r>
        <w:rPr>
          <w:rFonts w:ascii="Arial" w:cs="Arial" w:eastAsia="Arial" w:hAnsi="Arial"/>
          <w:sz w:val="16"/>
          <w:szCs w:val="16"/>
          <w:b w:val="1"/>
          <w:bCs w:val="1"/>
          <w:color w:val="auto"/>
        </w:rPr>
        <w:t>Excess Discounted Shares</w:t>
      </w:r>
      <w:r>
        <w:rPr>
          <w:rFonts w:ascii="Arial" w:cs="Arial" w:eastAsia="Arial" w:hAnsi="Arial"/>
          <w:sz w:val="16"/>
          <w:szCs w:val="16"/>
          <w:color w:val="auto"/>
        </w:rPr>
        <w:t>” means the sale on any Trading Day of any Merger Shares at a price that is lower than $2.00 per share (as adjusted for stock splits, stock dividends, stock combinations or other similar transactions) to the extent the sale of such Merger Shares is in excess of the greater of (i) fifteen percent (15%) of the daily trading volume (as reported on Bloomberg Financial Markets) of all shares of Common Stock traded on such Trading Day and (ii) 5,000 (as adjusted for stock splits, stock dividends, stock combinations or other similar transactions) Merger Shares; (y) “</w:t>
      </w:r>
      <w:r>
        <w:rPr>
          <w:rFonts w:ascii="Arial" w:cs="Arial" w:eastAsia="Arial" w:hAnsi="Arial"/>
          <w:sz w:val="16"/>
          <w:szCs w:val="16"/>
          <w:b w:val="1"/>
          <w:bCs w:val="1"/>
          <w:color w:val="auto"/>
        </w:rPr>
        <w:t>Merger Shares</w:t>
      </w:r>
      <w:r>
        <w:rPr>
          <w:rFonts w:ascii="Arial" w:cs="Arial" w:eastAsia="Arial" w:hAnsi="Arial"/>
          <w:sz w:val="16"/>
          <w:szCs w:val="16"/>
          <w:color w:val="auto"/>
        </w:rPr>
        <w:t>” means shares of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Parent issued to the Undersigned (1) pursuant to the Merger Agreement, (2) upon exercise of any Series 1 Warrants or Series 2 Warrants issued to the Undersigned on the Closing Date or (3) upon conversion of those certain shares of Series A Convertible Preferred Stock of Parent (the “</w:t>
      </w:r>
      <w:r>
        <w:rPr>
          <w:rFonts w:ascii="Arial" w:cs="Arial" w:eastAsia="Arial" w:hAnsi="Arial"/>
          <w:sz w:val="16"/>
          <w:szCs w:val="16"/>
          <w:b w:val="1"/>
          <w:bCs w:val="1"/>
          <w:color w:val="auto"/>
        </w:rPr>
        <w:t>Preferred Shares</w:t>
      </w:r>
      <w:r>
        <w:rPr>
          <w:rFonts w:ascii="Arial" w:cs="Arial" w:eastAsia="Arial" w:hAnsi="Arial"/>
          <w:sz w:val="16"/>
          <w:szCs w:val="16"/>
          <w:color w:val="auto"/>
        </w:rPr>
        <w:t>”) issued to the Undersigned on the Closing Date. For the avoidance of doubt, (i) sales by the Undersigned of shares of Common Stock that are not Merger Shares are not subject to the Sale Limitation and (ii) nothing set forth in this Letter Agreement shall restrict the Undersigned from selling shares of Common Stock or Merger Shares at a price equal to or greater than $2.00 (as adjusted for stock splits, stock dividends, stock combinations or other similar transactions) or Merger Shares in an amount that constitutes no more than the greater of (x) fifteen percent (15%) of the daily trading volume of all shares of Common Stock traded on such Trading Day and (y) 5,000 (as adjusted for stock splits, stock dividends, stock combinations or other similar transactions) Merger Shares. The Sale Limitation shall terminate upon written notice by the Parent to the Undersigned, which notice shall be given in accordance with Section 8.1 of the Merger Agreement (the date the Undersigned receives such notice, the “</w:t>
      </w:r>
      <w:r>
        <w:rPr>
          <w:rFonts w:ascii="Arial" w:cs="Arial" w:eastAsia="Arial" w:hAnsi="Arial"/>
          <w:sz w:val="16"/>
          <w:szCs w:val="16"/>
          <w:b w:val="1"/>
          <w:bCs w:val="1"/>
          <w:color w:val="auto"/>
        </w:rPr>
        <w:t>Termination Date</w:t>
      </w:r>
      <w:r>
        <w:rPr>
          <w:rFonts w:ascii="Arial" w:cs="Arial" w:eastAsia="Arial" w:hAnsi="Arial"/>
          <w:sz w:val="16"/>
          <w:szCs w:val="16"/>
          <w:color w:val="auto"/>
        </w:rPr>
        <w:t>”).</w:t>
      </w:r>
    </w:p>
    <w:p>
      <w:pPr>
        <w:spacing w:after="0" w:line="7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Pages to Letter Agreement]</w:t>
      </w:r>
    </w:p>
    <w:p>
      <w:pPr>
        <w:spacing w:after="0" w:line="200" w:lineRule="exact"/>
        <w:rPr>
          <w:sz w:val="20"/>
          <w:szCs w:val="20"/>
          <w:color w:val="auto"/>
        </w:rPr>
      </w:pPr>
    </w:p>
    <w:p>
      <w:pPr>
        <w:spacing w:after="0" w:line="35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49" w:name="page350"/>
    <w:bookmarkEnd w:id="3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In consideration of the premises and the agreements herein and for other consideration, the sufficiency of which is hereby acknowledged, Parent hereby agrees that from the Closing Date until thirty (30) days following the Termination Date, Parent will not, directly or indirectly, effect any Subsequent Placement (as defined below) unless Parent shall have first complied with the following provisions:</w:t>
      </w:r>
    </w:p>
    <w:p>
      <w:pPr>
        <w:spacing w:after="0" w:line="83" w:lineRule="exact"/>
        <w:rPr>
          <w:sz w:val="20"/>
          <w:szCs w:val="20"/>
          <w:color w:val="auto"/>
        </w:rPr>
      </w:pPr>
    </w:p>
    <w:p>
      <w:pPr>
        <w:jc w:val="both"/>
        <w:ind w:left="40" w:right="619" w:firstLine="272"/>
        <w:spacing w:after="0" w:line="281" w:lineRule="auto"/>
        <w:tabs>
          <w:tab w:leader="none" w:pos="65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No later than three (3) Trading Days prior to the consummation of any Subsequent Placement, Parent shall notify the General Counsel of the Undersigned indicating that it would like to discuss with the Undersigned matters that may include material, nonpublic information (the “</w:t>
      </w:r>
      <w:r>
        <w:rPr>
          <w:rFonts w:ascii="Arial" w:cs="Arial" w:eastAsia="Arial" w:hAnsi="Arial"/>
          <w:sz w:val="16"/>
          <w:szCs w:val="16"/>
          <w:b w:val="1"/>
          <w:bCs w:val="1"/>
          <w:color w:val="auto"/>
        </w:rPr>
        <w:t>Pre-Notice</w:t>
      </w:r>
      <w:r>
        <w:rPr>
          <w:rFonts w:ascii="Arial" w:cs="Arial" w:eastAsia="Arial" w:hAnsi="Arial"/>
          <w:sz w:val="16"/>
          <w:szCs w:val="16"/>
          <w:color w:val="auto"/>
        </w:rPr>
        <w:t>”), but which Pre-Notice Parent shall acknowledge shall not contain any material, nonpublic information, and shall ask the Undersigned if it wants to receive a further notice in order to review the details of such matters (such additional written notice, the “</w:t>
      </w:r>
      <w:r>
        <w:rPr>
          <w:rFonts w:ascii="Arial" w:cs="Arial" w:eastAsia="Arial" w:hAnsi="Arial"/>
          <w:sz w:val="16"/>
          <w:szCs w:val="16"/>
          <w:b w:val="1"/>
          <w:bCs w:val="1"/>
          <w:color w:val="auto"/>
        </w:rPr>
        <w:t>Offer Notice</w:t>
      </w:r>
      <w:r>
        <w:rPr>
          <w:rFonts w:ascii="Arial" w:cs="Arial" w:eastAsia="Arial" w:hAnsi="Arial"/>
          <w:sz w:val="16"/>
          <w:szCs w:val="16"/>
          <w:color w:val="auto"/>
        </w:rPr>
        <w:t>” and the time Parent so contacts the Undersigned, the “</w:t>
      </w:r>
      <w:r>
        <w:rPr>
          <w:rFonts w:ascii="Arial" w:cs="Arial" w:eastAsia="Arial" w:hAnsi="Arial"/>
          <w:sz w:val="16"/>
          <w:szCs w:val="16"/>
          <w:b w:val="1"/>
          <w:bCs w:val="1"/>
          <w:color w:val="auto"/>
        </w:rPr>
        <w:t>Notice Time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an Overnight Offering (as defined below), Parent shall not be required to deliver a Pre-Notice pursuant to the immediately preceding sentence, but shall rather be required to contact the Undersigned by contacting both Yoav Roth and George Antonopoulos (both are collectively referred to herein as the “</w:t>
      </w:r>
      <w:r>
        <w:rPr>
          <w:rFonts w:ascii="Arial" w:cs="Arial" w:eastAsia="Arial" w:hAnsi="Arial"/>
          <w:sz w:val="16"/>
          <w:szCs w:val="16"/>
          <w:b w:val="1"/>
          <w:bCs w:val="1"/>
          <w:color w:val="auto"/>
        </w:rPr>
        <w:t>Undersigned’s Contact Persons</w:t>
      </w:r>
      <w:r>
        <w:rPr>
          <w:rFonts w:ascii="Arial" w:cs="Arial" w:eastAsia="Arial" w:hAnsi="Arial"/>
          <w:sz w:val="16"/>
          <w:szCs w:val="16"/>
          <w:color w:val="auto"/>
        </w:rPr>
        <w:t xml:space="preserve">”) by e-mail (all of the following: __________________, __________________, __________________, and __________________), facsimile (__________________), telephone (__________________) and cell phone (__________________ and __________________) to communicate to both the details set forth in the Offer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Parent contacts the Undersigned’s Contact Persons between 10:00 p.m. and 8:00 a.m. New York City time on a Business Day or on a day that is not a Business Day, the Notice Time shall be deemed to be the immediately succeeding 8:00 a.m. New York City time that falls on a Business Day immediately following such contact. Upon the request of the Undersigned to receive an Offer Notice, which must be made no later than two (2) Trading Days following receipt of the Pre-Notice in order to participate in such Subsequent Placement, and only upon request by the Undersigned (other than in connection with an Overnight Offering), Parent shall promptly, but no later than one (1) Trading Day after such request, deliver an Offer Notice to the Undersigned. The Offer Notice delivered pursuant to the immediately preceding sentence or in connection with an Overnight Offering shall (x) identify and describe in reasonable detail the proposed terms of any proposed or intended issuance or sale or exchange (the “</w:t>
      </w:r>
      <w:r>
        <w:rPr>
          <w:rFonts w:ascii="Arial" w:cs="Arial" w:eastAsia="Arial" w:hAnsi="Arial"/>
          <w:sz w:val="16"/>
          <w:szCs w:val="16"/>
          <w:b w:val="1"/>
          <w:bCs w:val="1"/>
          <w:color w:val="auto"/>
        </w:rPr>
        <w:t>Offer</w:t>
      </w:r>
      <w:r>
        <w:rPr>
          <w:rFonts w:ascii="Arial" w:cs="Arial" w:eastAsia="Arial" w:hAnsi="Arial"/>
          <w:sz w:val="16"/>
          <w:szCs w:val="16"/>
          <w:color w:val="auto"/>
        </w:rPr>
        <w:t>”) of the securities being offered (the “</w:t>
      </w:r>
      <w:r>
        <w:rPr>
          <w:rFonts w:ascii="Arial" w:cs="Arial" w:eastAsia="Arial" w:hAnsi="Arial"/>
          <w:sz w:val="16"/>
          <w:szCs w:val="16"/>
          <w:b w:val="1"/>
          <w:bCs w:val="1"/>
          <w:color w:val="auto"/>
        </w:rPr>
        <w:t>Offered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including, the price and other terms upon which they are to be issued, sold or exchanged, and the number or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Offered Securities to be issued, sold or exchanged, (y) identify the persons or entities (if known) to which or with which the Offered Securities are to be offered, issued, sold or exchanged and (z) offer to issue and sell to or exchange with the Undersigned twenty-five percent (25%) of the Offered Securities (the “</w:t>
      </w:r>
      <w:r>
        <w:rPr>
          <w:rFonts w:ascii="Arial" w:cs="Arial" w:eastAsia="Arial" w:hAnsi="Arial"/>
          <w:sz w:val="16"/>
          <w:szCs w:val="16"/>
          <w:b w:val="1"/>
          <w:bCs w:val="1"/>
          <w:color w:val="auto"/>
        </w:rPr>
        <w:t>Basic Amount</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jc w:val="both"/>
        <w:ind w:left="40" w:right="619" w:firstLine="272"/>
        <w:spacing w:after="0" w:line="252" w:lineRule="auto"/>
        <w:tabs>
          <w:tab w:leader="none" w:pos="61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accept an Offer, in whole or in part, the Undersigned must deliver a written notice to Parent within five (5) hours of the Notice Time (the “</w:t>
      </w:r>
      <w:r>
        <w:rPr>
          <w:rFonts w:ascii="Arial" w:cs="Arial" w:eastAsia="Arial" w:hAnsi="Arial"/>
          <w:sz w:val="18"/>
          <w:szCs w:val="18"/>
          <w:b w:val="1"/>
          <w:bCs w:val="1"/>
          <w:color w:val="auto"/>
        </w:rPr>
        <w:t>Offer Period</w:t>
      </w:r>
      <w:r>
        <w:rPr>
          <w:rFonts w:ascii="Arial" w:cs="Arial" w:eastAsia="Arial" w:hAnsi="Arial"/>
          <w:sz w:val="18"/>
          <w:szCs w:val="18"/>
          <w:color w:val="auto"/>
        </w:rPr>
        <w:t>”), setting forth the portion of the Undersigned’s Basic Amount that the Undersigned elects to purchase (the “</w:t>
      </w:r>
      <w:r>
        <w:rPr>
          <w:rFonts w:ascii="Arial" w:cs="Arial" w:eastAsia="Arial" w:hAnsi="Arial"/>
          <w:sz w:val="18"/>
          <w:szCs w:val="18"/>
          <w:b w:val="1"/>
          <w:bCs w:val="1"/>
          <w:color w:val="auto"/>
        </w:rPr>
        <w:t>Notice of Acceptance</w:t>
      </w:r>
      <w:r>
        <w:rPr>
          <w:rFonts w:ascii="Arial" w:cs="Arial" w:eastAsia="Arial" w:hAnsi="Arial"/>
          <w:sz w:val="18"/>
          <w:szCs w:val="18"/>
          <w:color w:val="auto"/>
        </w:rPr>
        <w:t>”). Notwithstanding anything to the contrary contained herein, if Parent desires to modify or amend the terms and conditions of the Offer prior to the expiration of the Offer Period, Parent shall be required to deliver to the Undersigned a new Pre-Notice, or Offer Notice in case of an Overnight Offering, and follow the procedures set forth in clause (1) above and this clause (2).</w:t>
      </w:r>
    </w:p>
    <w:p>
      <w:pPr>
        <w:spacing w:after="0" w:line="86" w:lineRule="exact"/>
        <w:rPr>
          <w:rFonts w:ascii="Arial" w:cs="Arial" w:eastAsia="Arial" w:hAnsi="Arial"/>
          <w:sz w:val="18"/>
          <w:szCs w:val="18"/>
          <w:color w:val="auto"/>
        </w:rPr>
      </w:pPr>
    </w:p>
    <w:p>
      <w:pPr>
        <w:jc w:val="both"/>
        <w:ind w:left="40" w:right="619" w:firstLine="272"/>
        <w:spacing w:after="0" w:line="285" w:lineRule="auto"/>
        <w:tabs>
          <w:tab w:leader="none" w:pos="61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Parent shall have five (5) Business Days from the expiration of the Offer Period above, or forty (40) hours from the Notice Time in case of an Overnight Offering, (i) to offer, issue, sell or exchange all or any part of such Offered Securities as to which a Notice of Acceptance has not been given by the Undersigned (the “</w:t>
      </w:r>
      <w:r>
        <w:rPr>
          <w:rFonts w:ascii="Arial" w:cs="Arial" w:eastAsia="Arial" w:hAnsi="Arial"/>
          <w:sz w:val="16"/>
          <w:szCs w:val="16"/>
          <w:b w:val="1"/>
          <w:bCs w:val="1"/>
          <w:color w:val="auto"/>
        </w:rPr>
        <w:t>Refused Securities</w:t>
      </w:r>
      <w:r>
        <w:rPr>
          <w:rFonts w:ascii="Arial" w:cs="Arial" w:eastAsia="Arial" w:hAnsi="Arial"/>
          <w:sz w:val="16"/>
          <w:szCs w:val="16"/>
          <w:color w:val="auto"/>
        </w:rPr>
        <w:t>”) pursuant to a definitive agreement (the “</w:t>
      </w:r>
      <w:r>
        <w:rPr>
          <w:rFonts w:ascii="Arial" w:cs="Arial" w:eastAsia="Arial" w:hAnsi="Arial"/>
          <w:sz w:val="16"/>
          <w:szCs w:val="16"/>
          <w:b w:val="1"/>
          <w:bCs w:val="1"/>
          <w:color w:val="auto"/>
        </w:rPr>
        <w:t>Subsequent Placement Agreement</w:t>
      </w:r>
      <w:r>
        <w:rPr>
          <w:rFonts w:ascii="Arial" w:cs="Arial" w:eastAsia="Arial" w:hAnsi="Arial"/>
          <w:sz w:val="16"/>
          <w:szCs w:val="16"/>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Parent than those set forth in the Offer Notice and (ii) to publicly announce (a) if a Subsequent Placement Agreement is executed, the execution of such Subsequent Placement Agreement, and (b) if a Subsequent Placement is consummated, the consummation of the transactions contemplated by such Subsequent Placement Agreement, which shall be filed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a Current Report on Form 8-K with such Subsequent Placement Agreement and any documents contemplated therein filed as exhibits thereto.</w:t>
      </w:r>
    </w:p>
    <w:p>
      <w:pPr>
        <w:spacing w:after="0" w:line="200" w:lineRule="exact"/>
        <w:rPr>
          <w:sz w:val="20"/>
          <w:szCs w:val="20"/>
          <w:color w:val="auto"/>
        </w:rPr>
      </w:pPr>
    </w:p>
    <w:p>
      <w:pPr>
        <w:spacing w:after="0" w:line="3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50" w:name="page351"/>
    <w:bookmarkEnd w:id="3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72"/>
        <w:spacing w:after="0" w:line="266" w:lineRule="auto"/>
        <w:tabs>
          <w:tab w:leader="none" w:pos="624"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In the event Parent shall propose to sell less than all the Refused Securities (any such sale to be in the manner and on the terms specified in clause (3) above), then the Undersigned may, at its sole option and in its sole discretion, reduce the number or amount of the Offered Securities specified in its Notice of Acceptance to an amount that shall be not less than the number or amount of the Offered Securities that the Undersigned elected to purchase pursuant to Section clause (2) above multiplied by a fraction, (i) the numerator of which shall be the number or amount of Offered Securities Parent actually proposes to issue, sell or exchange (including Offered Securities to be issued or sold to the Undersigned pursuant to clause (3) above prior to such reduction) and (ii) the denominator of which shall be the original amount of the Offered Securities. In the event that the Undersigned so elects to reduce the number or amount of Offered Securities specified in its Notice of Acceptance, Parent may not issue, sell or exchange more than the reduced number or amount of the Offered Securities unless and until such securities have again been offered to the Undersigned in accordance with clause (1) above.</w:t>
      </w:r>
    </w:p>
    <w:p>
      <w:pPr>
        <w:spacing w:after="0" w:line="78" w:lineRule="exact"/>
        <w:rPr>
          <w:rFonts w:ascii="Arial" w:cs="Arial" w:eastAsia="Arial" w:hAnsi="Arial"/>
          <w:sz w:val="17"/>
          <w:szCs w:val="17"/>
          <w:color w:val="auto"/>
        </w:rPr>
      </w:pPr>
    </w:p>
    <w:p>
      <w:pPr>
        <w:jc w:val="both"/>
        <w:ind w:left="40" w:right="619" w:firstLine="272"/>
        <w:spacing w:after="0" w:line="270" w:lineRule="auto"/>
        <w:tabs>
          <w:tab w:leader="none" w:pos="62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Upon the closing of the issuance, sale or exchange of all or less than all of the Refused Securities, the Undersigned shall acquire from Parent, and Parent shall issue to the Undersigned, the number or amount of Offered Securities specified in the Notices of Acceptance, as reduced pursuant to clause (4) above if the Undersigned has so elected, upon the terms and conditions specified in the Offer. The purchase by the Undersigned of any Offered Securities is subject in all cases to the preparation, execution and delivery by Parent and the Undersigned of a Subsequent Placement Agreement, in all cases with the same terms and conditions as the agreement(s) entered into with other purchasers of Offered Securities.</w:t>
      </w:r>
    </w:p>
    <w:p>
      <w:pPr>
        <w:spacing w:after="0" w:line="70" w:lineRule="exact"/>
        <w:rPr>
          <w:rFonts w:ascii="Arial" w:cs="Arial" w:eastAsia="Arial" w:hAnsi="Arial"/>
          <w:sz w:val="17"/>
          <w:szCs w:val="17"/>
          <w:color w:val="auto"/>
        </w:rPr>
      </w:pPr>
    </w:p>
    <w:p>
      <w:pPr>
        <w:ind w:left="40" w:right="639" w:firstLine="272"/>
        <w:spacing w:after="0" w:line="334" w:lineRule="auto"/>
        <w:tabs>
          <w:tab w:leader="none" w:pos="60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Any Offered Securities not acquired by the Undersigned or other persons in accordance with the provisions above may not be issued, sold or exchanged until they are again offered to the Undersigned under the procedures specified in this Agreement.</w:t>
      </w:r>
    </w:p>
    <w:p>
      <w:pPr>
        <w:spacing w:after="0" w:line="22" w:lineRule="exact"/>
        <w:rPr>
          <w:rFonts w:ascii="Arial" w:cs="Arial" w:eastAsia="Arial" w:hAnsi="Arial"/>
          <w:sz w:val="16"/>
          <w:szCs w:val="16"/>
          <w:color w:val="auto"/>
        </w:rPr>
      </w:pPr>
    </w:p>
    <w:p>
      <w:pPr>
        <w:jc w:val="both"/>
        <w:ind w:left="40" w:right="619" w:firstLine="272"/>
        <w:spacing w:after="0" w:line="292" w:lineRule="auto"/>
        <w:tabs>
          <w:tab w:leader="none" w:pos="65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Parent and the Undersigned agree that if the Undersigned elects to participate in the Offer, (x) neither the Subsequent Placement Agreement with respect to such Offer nor any other transaction documents related thereto (collectively, the “</w:t>
      </w:r>
      <w:r>
        <w:rPr>
          <w:rFonts w:ascii="Arial" w:cs="Arial" w:eastAsia="Arial" w:hAnsi="Arial"/>
          <w:sz w:val="16"/>
          <w:szCs w:val="16"/>
          <w:b w:val="1"/>
          <w:bCs w:val="1"/>
          <w:color w:val="auto"/>
        </w:rPr>
        <w:t>Subsequent</w:t>
      </w:r>
      <w:r>
        <w:rPr>
          <w:rFonts w:ascii="Arial" w:cs="Arial" w:eastAsia="Arial" w:hAnsi="Arial"/>
          <w:sz w:val="16"/>
          <w:szCs w:val="16"/>
          <w:color w:val="auto"/>
        </w:rPr>
        <w:t xml:space="preserve"> </w:t>
      </w:r>
      <w:r>
        <w:rPr>
          <w:rFonts w:ascii="Arial" w:cs="Arial" w:eastAsia="Arial" w:hAnsi="Arial"/>
          <w:sz w:val="16"/>
          <w:szCs w:val="16"/>
          <w:b w:val="1"/>
          <w:bCs w:val="1"/>
          <w:color w:val="auto"/>
        </w:rPr>
        <w:t>Placement Documents</w:t>
      </w:r>
      <w:r>
        <w:rPr>
          <w:rFonts w:ascii="Arial" w:cs="Arial" w:eastAsia="Arial" w:hAnsi="Arial"/>
          <w:sz w:val="16"/>
          <w:szCs w:val="16"/>
          <w:color w:val="auto"/>
        </w:rPr>
        <w:t>”) shall include any term or provisions whereby the Undersigned shall be required to agree to any</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in trading as to any securities of Parent owned by the Undersigned prior to such Subsequent Placement, and (y) the Undersigned shall be entitled to the same registration rights provided to other investors in the Subsequent Placement.</w:t>
      </w:r>
    </w:p>
    <w:p>
      <w:pPr>
        <w:spacing w:after="0" w:line="56" w:lineRule="exact"/>
        <w:rPr>
          <w:rFonts w:ascii="Arial" w:cs="Arial" w:eastAsia="Arial" w:hAnsi="Arial"/>
          <w:sz w:val="16"/>
          <w:szCs w:val="16"/>
          <w:color w:val="auto"/>
        </w:rPr>
      </w:pPr>
    </w:p>
    <w:p>
      <w:pPr>
        <w:jc w:val="both"/>
        <w:ind w:left="40" w:right="619" w:firstLine="272"/>
        <w:spacing w:after="0" w:line="292" w:lineRule="auto"/>
        <w:tabs>
          <w:tab w:leader="none" w:pos="62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Notwithstanding anything to the contrary in herein and unless otherwise agreed to by the Undersigned, Parent shall either confirm in writing to the Undersigned that the transaction with respect to the Subsequent Placement has been abandoned or shall publicly disclose its intention to issue the Offered Securities, in either case in such a manner such that the Undersigned will not be</w:t>
      </w:r>
    </w:p>
    <w:p>
      <w:pPr>
        <w:jc w:val="both"/>
        <w:ind w:left="40" w:right="639"/>
        <w:spacing w:after="0" w:line="230" w:lineRule="auto"/>
        <w:rPr>
          <w:sz w:val="20"/>
          <w:szCs w:val="20"/>
          <w:color w:val="auto"/>
        </w:rPr>
      </w:pPr>
      <w:r>
        <w:rPr>
          <w:rFonts w:ascii="Arial" w:cs="Arial" w:eastAsia="Arial" w:hAnsi="Arial"/>
          <w:sz w:val="16"/>
          <w:szCs w:val="16"/>
          <w:color w:val="auto"/>
        </w:rPr>
        <w:t>in possession of material non-public information, by (i)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Business Day following delivery of the Offer Notice or (ii) in case of an Overnight Offering, by the fortieth (40</w:t>
      </w:r>
      <w:r>
        <w:rPr>
          <w:rFonts w:ascii="Arial" w:cs="Arial" w:eastAsia="Arial" w:hAnsi="Arial"/>
          <w:sz w:val="26"/>
          <w:szCs w:val="26"/>
          <w:color w:val="auto"/>
          <w:vertAlign w:val="superscript"/>
        </w:rPr>
        <w:t>th</w:t>
      </w:r>
      <w:r>
        <w:rPr>
          <w:rFonts w:ascii="Arial" w:cs="Arial" w:eastAsia="Arial" w:hAnsi="Arial"/>
          <w:sz w:val="16"/>
          <w:szCs w:val="16"/>
          <w:color w:val="auto"/>
        </w:rPr>
        <w:t>) hour following delivery of the Offer Notice. If by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jc w:val="both"/>
        <w:ind w:left="40" w:right="619"/>
        <w:spacing w:after="0" w:line="247" w:lineRule="auto"/>
        <w:rPr>
          <w:sz w:val="20"/>
          <w:szCs w:val="20"/>
          <w:color w:val="auto"/>
        </w:rPr>
      </w:pPr>
      <w:r>
        <w:rPr>
          <w:rFonts w:ascii="Arial" w:cs="Arial" w:eastAsia="Arial" w:hAnsi="Arial"/>
          <w:sz w:val="17"/>
          <w:szCs w:val="17"/>
          <w:color w:val="auto"/>
        </w:rPr>
        <w:t>Business Day or the fortieth (40</w:t>
      </w:r>
      <w:r>
        <w:rPr>
          <w:rFonts w:ascii="Arial" w:cs="Arial" w:eastAsia="Arial" w:hAnsi="Arial"/>
          <w:sz w:val="28"/>
          <w:szCs w:val="28"/>
          <w:color w:val="auto"/>
          <w:vertAlign w:val="superscript"/>
        </w:rPr>
        <w:t>th</w:t>
      </w:r>
      <w:r>
        <w:rPr>
          <w:rFonts w:ascii="Arial" w:cs="Arial" w:eastAsia="Arial" w:hAnsi="Arial"/>
          <w:sz w:val="17"/>
          <w:szCs w:val="17"/>
          <w:color w:val="auto"/>
        </w:rPr>
        <w:t>) hour, as applicable, following delivery of the Offer Notice no public disclosure regarding a transaction with respect to the Offered Securities has been made, and no notice regarding the abandonment of such transaction has been received by the Undersigned, such transaction shall be deemed to have been abandoned and the Undersigned shall not be deemed to be in possession of any material, non-public information with respect to Parent. Should Parent decide to pursue such transaction with respect to the Offered Securities, Parent shall provide the Undersigned with another Offer Notice and the Undersigned will again have the right of participation set forth herein. Parent shall not be permitted to deliver more than one such Offer Notice to the Undersigned in any sixty (60) day period.</w:t>
      </w:r>
    </w:p>
    <w:p>
      <w:pPr>
        <w:spacing w:after="0" w:line="90" w:lineRule="exact"/>
        <w:rPr>
          <w:sz w:val="20"/>
          <w:szCs w:val="20"/>
          <w:color w:val="auto"/>
        </w:rPr>
      </w:pPr>
    </w:p>
    <w:p>
      <w:pPr>
        <w:ind w:left="600" w:hanging="288"/>
        <w:spacing w:after="0"/>
        <w:tabs>
          <w:tab w:leader="none" w:pos="6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foregoing restrictions shall not apply in connection with the issuance of any Excluded Securities.</w:t>
      </w:r>
    </w:p>
    <w:p>
      <w:pPr>
        <w:spacing w:after="0" w:line="109" w:lineRule="exact"/>
        <w:rPr>
          <w:rFonts w:ascii="Arial" w:cs="Arial" w:eastAsia="Arial" w:hAnsi="Arial"/>
          <w:sz w:val="18"/>
          <w:szCs w:val="18"/>
          <w:color w:val="auto"/>
        </w:rPr>
      </w:pPr>
    </w:p>
    <w:p>
      <w:pPr>
        <w:jc w:val="both"/>
        <w:ind w:left="40" w:right="619" w:firstLine="272"/>
        <w:spacing w:after="0" w:line="271" w:lineRule="auto"/>
        <w:tabs>
          <w:tab w:leader="none" w:pos="692"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As used herein, (t)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 (u) “</w:t>
      </w:r>
      <w:r>
        <w:rPr>
          <w:rFonts w:ascii="Arial" w:cs="Arial" w:eastAsia="Arial" w:hAnsi="Arial"/>
          <w:sz w:val="17"/>
          <w:szCs w:val="17"/>
          <w:b w:val="1"/>
          <w:bCs w:val="1"/>
          <w:color w:val="auto"/>
        </w:rPr>
        <w:t>Overnight Offering</w:t>
      </w:r>
      <w:r>
        <w:rPr>
          <w:rFonts w:ascii="Arial" w:cs="Arial" w:eastAsia="Arial" w:hAnsi="Arial"/>
          <w:sz w:val="17"/>
          <w:szCs w:val="17"/>
          <w:color w:val="auto"/>
        </w:rPr>
        <w:t>” means a financing transaction by Parent, which is scheduled to close and be publicly announced pursuant to the provisions of clause (8) above within forty (40) hours of the Notice Time, (v) “</w:t>
      </w:r>
      <w:r>
        <w:rPr>
          <w:rFonts w:ascii="Arial" w:cs="Arial" w:eastAsia="Arial" w:hAnsi="Arial"/>
          <w:sz w:val="17"/>
          <w:szCs w:val="17"/>
          <w:b w:val="1"/>
          <w:bCs w:val="1"/>
          <w:color w:val="auto"/>
        </w:rPr>
        <w:t>Subsequent Placement</w:t>
      </w:r>
      <w:r>
        <w:rPr>
          <w:rFonts w:ascii="Arial" w:cs="Arial" w:eastAsia="Arial" w:hAnsi="Arial"/>
          <w:sz w:val="17"/>
          <w:szCs w:val="17"/>
          <w:color w:val="auto"/>
        </w:rPr>
        <w:t>” means any direct or indirect, offer, sale (including any sale of options to purchase), or other disposition of (or announcement of any offer, sale, or sale of any option to purchase or other disposition of) any of Parent’s or its Subsidiaries’ equity or equity equivalent securities, including</w:t>
      </w:r>
    </w:p>
    <w:p>
      <w:pPr>
        <w:spacing w:after="0" w:line="200" w:lineRule="exact"/>
        <w:rPr>
          <w:sz w:val="20"/>
          <w:szCs w:val="20"/>
          <w:color w:val="auto"/>
        </w:rPr>
      </w:pPr>
    </w:p>
    <w:p>
      <w:pPr>
        <w:spacing w:after="0" w:line="3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1" w:name="page352"/>
    <w:bookmarkEnd w:id="3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2" w:lineRule="auto"/>
        <w:rPr>
          <w:sz w:val="20"/>
          <w:szCs w:val="20"/>
          <w:color w:val="auto"/>
        </w:rPr>
      </w:pPr>
      <w:r>
        <w:rPr>
          <w:rFonts w:ascii="Arial" w:cs="Arial" w:eastAsia="Arial" w:hAnsi="Arial"/>
          <w:sz w:val="16"/>
          <w:szCs w:val="16"/>
          <w:color w:val="auto"/>
        </w:rPr>
        <w:t>without limitation any debt, preferred stock or other instrument or security that is, at any time during its life and under any circumstances, convertible into or exchangeable or exercisable for Common Stock or Common Stock Equivalents; (w)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 Equivalents</w:t>
      </w:r>
      <w:r>
        <w:rPr>
          <w:rFonts w:ascii="Arial" w:cs="Arial" w:eastAsia="Arial" w:hAnsi="Arial"/>
          <w:sz w:val="16"/>
          <w:szCs w:val="16"/>
          <w:color w:val="auto"/>
        </w:rPr>
        <w:t>” means, collectively, Options and Convertible Securities; (x) “</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subscribe for or purchase Common Stock or Convertible Securities; (y) “</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securities (other than Options) directly or indirectly convertible into or exchangeable or exercisable for Common Stock; and (z) “</w:t>
      </w:r>
      <w:r>
        <w:rPr>
          <w:rFonts w:ascii="Arial" w:cs="Arial" w:eastAsia="Arial" w:hAnsi="Arial"/>
          <w:sz w:val="16"/>
          <w:szCs w:val="16"/>
          <w:b w:val="1"/>
          <w:bCs w:val="1"/>
          <w:color w:val="auto"/>
        </w:rPr>
        <w:t>Excluded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means any capital stock issued or issuable: (i) upon conversion of the Preferred Shares; provided that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Shares are not amended, modified or changed after the Closing Date; (ii) as a dividend or distribution on the Preferred Shares; (iii) upon conversion of any Options or Convertible Securities which are outstanding on the day immediately preceding the date hereof, provided that the terms of such Options or Convertible Securities are not amended, modified or changed on or after the Closing Date; (iv) pursuant to any employee benefit plan which has been is approved by the Board of Directors of Parent pursuant to which Parent’s securities may be issued to any employee, officer or director for bona fide services provided to Parent; and (v) pursuant to acquisitions or strategic transactions approved by a majority of the disinterested directors of Parent, provided that any such issuance shall only be to a Person (or to the equity holders of a Person) which is, itself or through its subsidiaries, an operating company or an owner of an asset in a business synergistic with the business of Parent and shall provide to Parent additional benefits in addition to the investment of funds, but shall not include a transaction in which Parent is issuing securities for the purpose of raising capital or to an entity whose primary business is investing in securities.</w:t>
      </w:r>
    </w:p>
    <w:p>
      <w:pPr>
        <w:spacing w:after="0" w:line="70"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This Letter Agreement may be executed in any number of counterparts, which together shall constitute this Letter Agreement. This Letter Agreement shall be governed by, and construed in accordance with, the laws of the State of New York (without giving effect to the conflict of laws principles thereof). Any amendments or modifications hereto must be executed in writing by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-73660</wp:posOffset>
            </wp:positionV>
            <wp:extent cx="51263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Very truly yours,</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HUDSON BAY MASTER FUND LTD.</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HUDSON BAY CAPITAL MANAGEMENT, L.P., its</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Investment Manager</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-130175</wp:posOffset>
            </wp:positionV>
            <wp:extent cx="245300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189" w:lineRule="auto"/>
        <w:rPr>
          <w:sz w:val="20"/>
          <w:szCs w:val="20"/>
          <w:color w:val="auto"/>
        </w:rPr>
      </w:pPr>
      <w:r>
        <w:rPr>
          <w:rFonts w:ascii="Arial" w:cs="Arial" w:eastAsia="Arial" w:hAnsi="Arial"/>
          <w:sz w:val="18"/>
          <w:szCs w:val="18"/>
          <w:color w:val="auto"/>
        </w:rPr>
        <w:t>Agreed and Accepted as of this __</w:t>
      </w:r>
      <w:r>
        <w:rPr>
          <w:rFonts w:ascii="Arial" w:cs="Arial" w:eastAsia="Arial" w:hAnsi="Arial"/>
          <w:sz w:val="29"/>
          <w:szCs w:val="29"/>
          <w:color w:val="auto"/>
          <w:vertAlign w:val="superscript"/>
        </w:rPr>
        <w:t>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day of ______, 2012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-130175</wp:posOffset>
            </wp:positionV>
            <wp:extent cx="20370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Title:</w:t>
      </w:r>
    </w:p>
    <w:p>
      <w:pPr>
        <w:spacing w:after="0" w:line="10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Pages to Letter Agreement]</w:t>
      </w:r>
    </w:p>
    <w:p>
      <w:pPr>
        <w:spacing w:after="0" w:line="200" w:lineRule="exact"/>
        <w:rPr>
          <w:sz w:val="20"/>
          <w:szCs w:val="20"/>
          <w:color w:val="auto"/>
        </w:rPr>
      </w:pPr>
    </w:p>
    <w:p>
      <w:pPr>
        <w:spacing w:after="0" w:line="35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52" w:name="page353"/>
    <w:bookmarkEnd w:id="3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B</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CERTIFICATE OF AMENDMENT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 THE</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AMENDED AND RESTATED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VRINGO, INC.</w:t>
      </w:r>
    </w:p>
    <w:p>
      <w:pPr>
        <w:spacing w:after="0" w:line="114"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on January 9, 2006 and the Amended and Restated Certificate of Incorporation of the Corporation was filed with the Secretary of State of the State of Delaware on June 22, 2010.</w:t>
      </w:r>
    </w:p>
    <w:p>
      <w:pPr>
        <w:spacing w:after="0" w:line="73"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acting in accordance with the provisions of Sections 141</w:t>
      </w:r>
      <w:r>
        <w:rPr>
          <w:rFonts w:ascii="Arial" w:cs="Arial" w:eastAsia="Arial" w:hAnsi="Arial"/>
          <w:sz w:val="18"/>
          <w:szCs w:val="18"/>
          <w:b w:val="1"/>
          <w:bCs w:val="1"/>
          <w:color w:val="auto"/>
        </w:rPr>
        <w:t xml:space="preserve"> </w:t>
      </w:r>
      <w:r>
        <w:rPr>
          <w:rFonts w:ascii="Arial" w:cs="Arial" w:eastAsia="Arial" w:hAnsi="Arial"/>
          <w:sz w:val="18"/>
          <w:szCs w:val="18"/>
          <w:color w:val="auto"/>
        </w:rPr>
        <w:t>and 242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adopted resolutions amending the Corporation’s Amended and Restated Certificate of Incorporation as follows:</w:t>
      </w:r>
    </w:p>
    <w:p>
      <w:pPr>
        <w:spacing w:after="0" w:line="77" w:lineRule="exact"/>
        <w:rPr>
          <w:sz w:val="20"/>
          <w:szCs w:val="20"/>
          <w:color w:val="auto"/>
        </w:rPr>
      </w:pPr>
    </w:p>
    <w:p>
      <w:pPr>
        <w:ind w:left="40" w:right="639" w:firstLine="272"/>
        <w:spacing w:after="0" w:line="270" w:lineRule="auto"/>
        <w:tabs>
          <w:tab w:leader="none" w:pos="557"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Article Fourth of the Corporation’s Amended and Restated Certificate of Incorporation is hereby amended by adding the following Sections (3):</w:t>
      </w:r>
    </w:p>
    <w:p>
      <w:pPr>
        <w:spacing w:after="0" w:line="69" w:lineRule="exact"/>
        <w:rPr>
          <w:sz w:val="20"/>
          <w:szCs w:val="20"/>
          <w:color w:val="auto"/>
        </w:rPr>
      </w:pPr>
    </w:p>
    <w:p>
      <w:pPr>
        <w:jc w:val="both"/>
        <w:ind w:left="320" w:right="619" w:firstLine="267"/>
        <w:spacing w:after="0" w:line="282" w:lineRule="auto"/>
        <w:rPr>
          <w:sz w:val="20"/>
          <w:szCs w:val="20"/>
          <w:color w:val="auto"/>
        </w:rPr>
      </w:pPr>
      <w:r>
        <w:rPr>
          <w:rFonts w:ascii="Arial" w:cs="Arial" w:eastAsia="Arial" w:hAnsi="Arial"/>
          <w:sz w:val="16"/>
          <w:szCs w:val="16"/>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____ (___) shares of the Corporation’s issued and</w:t>
      </w:r>
    </w:p>
    <w:p>
      <w:pPr>
        <w:spacing w:after="0" w:line="1" w:lineRule="exact"/>
        <w:rPr>
          <w:sz w:val="20"/>
          <w:szCs w:val="20"/>
          <w:color w:val="auto"/>
        </w:rPr>
      </w:pPr>
    </w:p>
    <w:p>
      <w:pPr>
        <w:jc w:val="both"/>
        <w:ind w:left="320" w:right="639"/>
        <w:spacing w:after="0" w:line="291" w:lineRule="auto"/>
        <w:rPr>
          <w:sz w:val="20"/>
          <w:szCs w:val="20"/>
          <w:color w:val="auto"/>
        </w:rPr>
      </w:pPr>
      <w:r>
        <w:rPr>
          <w:rFonts w:ascii="Arial" w:cs="Arial" w:eastAsia="Arial" w:hAnsi="Arial"/>
          <w:sz w:val="16"/>
          <w:szCs w:val="16"/>
          <w:color w:val="auto"/>
        </w:rPr>
        <w:t>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57" w:lineRule="exact"/>
        <w:rPr>
          <w:sz w:val="20"/>
          <w:szCs w:val="20"/>
          <w:color w:val="auto"/>
        </w:rPr>
      </w:pPr>
    </w:p>
    <w:p>
      <w:pPr>
        <w:jc w:val="both"/>
        <w:ind w:left="320" w:right="619" w:firstLine="260"/>
        <w:spacing w:after="0" w:line="266" w:lineRule="auto"/>
        <w:tabs>
          <w:tab w:leader="none" w:pos="923" w:val="left"/>
        </w:tabs>
        <w:numPr>
          <w:ilvl w:val="0"/>
          <w:numId w:val="317"/>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75"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for their approval, and was duly adopted in accordance with the provisions of Sections 222 and 242 of the DGCL.</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3" w:name="page354"/>
    <w:bookmarkEnd w:id="3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160" w:type="dxa"/>
            <w:vAlign w:val="bottom"/>
          </w:tcPr>
          <w:p>
            <w:pPr>
              <w:spacing w:after="0"/>
              <w:rPr>
                <w:sz w:val="18"/>
                <w:szCs w:val="18"/>
                <w:color w:val="auto"/>
              </w:rPr>
            </w:pPr>
          </w:p>
        </w:tc>
        <w:tc>
          <w:tcPr>
            <w:tcW w:w="10120" w:type="dxa"/>
            <w:vAlign w:val="bottom"/>
            <w:gridSpan w:val="4"/>
          </w:tcPr>
          <w:p>
            <w:pPr>
              <w:ind w:left="1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w:t>
            </w:r>
            <w:r>
              <w:rPr>
                <w:rFonts w:ascii="Arial" w:cs="Arial" w:eastAsia="Arial" w:hAnsi="Arial"/>
                <w:sz w:val="18"/>
                <w:szCs w:val="18"/>
                <w:b w:val="1"/>
                <w:bCs w:val="1"/>
                <w:color w:val="auto"/>
              </w:rPr>
              <w:t xml:space="preserve"> CERTIFICATE OF AMENDMENT </w:t>
            </w:r>
            <w:r>
              <w:rPr>
                <w:rFonts w:ascii="Arial" w:cs="Arial" w:eastAsia="Arial" w:hAnsi="Arial"/>
                <w:sz w:val="18"/>
                <w:szCs w:val="18"/>
                <w:color w:val="auto"/>
              </w:rPr>
              <w:t>to be signed by its</w:t>
            </w:r>
          </w:p>
        </w:tc>
      </w:tr>
      <w:tr>
        <w:trPr>
          <w:trHeight w:val="210"/>
        </w:trPr>
        <w:tc>
          <w:tcPr>
            <w:tcW w:w="160" w:type="dxa"/>
            <w:vAlign w:val="bottom"/>
          </w:tcPr>
          <w:p>
            <w:pPr>
              <w:jc w:val="right"/>
              <w:ind w:right="11"/>
              <w:spacing w:after="0"/>
              <w:rPr>
                <w:sz w:val="20"/>
                <w:szCs w:val="20"/>
                <w:color w:val="auto"/>
              </w:rPr>
            </w:pPr>
            <w:r>
              <w:rPr>
                <w:rFonts w:ascii="Arial" w:cs="Arial" w:eastAsia="Arial" w:hAnsi="Arial"/>
                <w:sz w:val="18"/>
                <w:szCs w:val="18"/>
                <w:color w:val="auto"/>
                <w:w w:val="78"/>
              </w:rPr>
              <w:t>[</w:t>
            </w:r>
          </w:p>
        </w:tc>
        <w:tc>
          <w:tcPr>
            <w:tcW w:w="10120" w:type="dxa"/>
            <w:vAlign w:val="bottom"/>
            <w:gridSpan w:val="4"/>
          </w:tcPr>
          <w:p>
            <w:pPr>
              <w:ind w:left="620"/>
              <w:spacing w:after="0"/>
              <w:rPr>
                <w:sz w:val="20"/>
                <w:szCs w:val="20"/>
                <w:color w:val="auto"/>
              </w:rPr>
            </w:pPr>
            <w:r>
              <w:rPr>
                <w:rFonts w:ascii="Arial" w:cs="Arial" w:eastAsia="Arial" w:hAnsi="Arial"/>
                <w:sz w:val="18"/>
                <w:szCs w:val="18"/>
                <w:color w:val="auto"/>
                <w:w w:val="89"/>
              </w:rPr>
              <w:t>] as of the [  ] day of [], 2012.</w:t>
            </w:r>
          </w:p>
        </w:tc>
      </w:tr>
      <w:tr>
        <w:trPr>
          <w:trHeight w:val="218"/>
        </w:trPr>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520"/>
              <w:spacing w:after="0"/>
              <w:rPr>
                <w:sz w:val="20"/>
                <w:szCs w:val="20"/>
                <w:color w:val="auto"/>
              </w:rPr>
            </w:pPr>
            <w:r>
              <w:rPr>
                <w:rFonts w:ascii="Arial" w:cs="Arial" w:eastAsia="Arial" w:hAnsi="Arial"/>
                <w:sz w:val="18"/>
                <w:szCs w:val="18"/>
                <w:b w:val="1"/>
                <w:bCs w:val="1"/>
                <w:color w:val="auto"/>
              </w:rPr>
              <w:t>VRINGO, INC.</w:t>
            </w:r>
          </w:p>
        </w:tc>
      </w:tr>
      <w:tr>
        <w:trPr>
          <w:trHeight w:val="227"/>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520"/>
              <w:spacing w:after="0"/>
              <w:rPr>
                <w:sz w:val="20"/>
                <w:szCs w:val="20"/>
                <w:color w:val="auto"/>
              </w:rPr>
            </w:pPr>
            <w:r>
              <w:rPr>
                <w:rFonts w:ascii="Arial" w:cs="Arial" w:eastAsia="Arial" w:hAnsi="Arial"/>
                <w:sz w:val="18"/>
                <w:szCs w:val="18"/>
                <w:color w:val="auto"/>
              </w:rPr>
              <w:t>By:</w:t>
            </w:r>
          </w:p>
        </w:tc>
      </w:tr>
      <w:tr>
        <w:trPr>
          <w:trHeight w:val="194"/>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200" w:type="dxa"/>
            <w:vAlign w:val="bottom"/>
          </w:tcPr>
          <w:p>
            <w:pPr>
              <w:spacing w:after="0"/>
              <w:rPr>
                <w:sz w:val="16"/>
                <w:szCs w:val="16"/>
                <w:color w:val="auto"/>
              </w:rPr>
            </w:pPr>
          </w:p>
        </w:tc>
      </w:tr>
      <w:tr>
        <w:trPr>
          <w:trHeight w:val="227"/>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880"/>
              <w:spacing w:after="0"/>
              <w:rPr>
                <w:sz w:val="20"/>
                <w:szCs w:val="20"/>
                <w:color w:val="auto"/>
              </w:rPr>
            </w:pPr>
            <w:r>
              <w:rPr>
                <w:rFonts w:ascii="Arial" w:cs="Arial" w:eastAsia="Arial" w:hAnsi="Arial"/>
                <w:sz w:val="18"/>
                <w:szCs w:val="18"/>
                <w:color w:val="auto"/>
              </w:rPr>
              <w:t>Title:</w:t>
            </w:r>
          </w:p>
        </w:tc>
      </w:tr>
      <w:tr>
        <w:trPr>
          <w:trHeight w:val="762"/>
        </w:trPr>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500" w:type="dxa"/>
            <w:vAlign w:val="bottom"/>
            <w:gridSpan w:val="3"/>
          </w:tcPr>
          <w:p>
            <w:pPr>
              <w:ind w:left="3640"/>
              <w:spacing w:after="0"/>
              <w:rPr>
                <w:sz w:val="20"/>
                <w:szCs w:val="20"/>
                <w:color w:val="auto"/>
              </w:rPr>
            </w:pPr>
            <w:r>
              <w:rPr>
                <w:rFonts w:ascii="Arial" w:cs="Arial" w:eastAsia="Arial" w:hAnsi="Arial"/>
                <w:sz w:val="18"/>
                <w:szCs w:val="18"/>
                <w:color w:val="auto"/>
              </w:rPr>
              <w:t>B-2</w:t>
            </w:r>
          </w:p>
        </w:tc>
      </w:tr>
      <w:tr>
        <w:trPr>
          <w:trHeight w:val="162"/>
        </w:trPr>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80" w:type="dxa"/>
            <w:vAlign w:val="bottom"/>
            <w:tcBorders>
              <w:bottom w:val="single" w:sz="8" w:color="9A9A9A"/>
            </w:tcBorders>
          </w:tcPr>
          <w:p>
            <w:pPr>
              <w:spacing w:after="0"/>
              <w:rPr>
                <w:sz w:val="14"/>
                <w:szCs w:val="14"/>
                <w:color w:val="auto"/>
              </w:rPr>
            </w:pPr>
          </w:p>
        </w:tc>
        <w:tc>
          <w:tcPr>
            <w:tcW w:w="3420" w:type="dxa"/>
            <w:vAlign w:val="bottom"/>
            <w:tcBorders>
              <w:bottom w:val="single" w:sz="8" w:color="9A9A9A"/>
            </w:tcBorders>
          </w:tcPr>
          <w:p>
            <w:pPr>
              <w:spacing w:after="0"/>
              <w:rPr>
                <w:sz w:val="14"/>
                <w:szCs w:val="14"/>
                <w:color w:val="auto"/>
              </w:rPr>
            </w:pPr>
          </w:p>
        </w:tc>
        <w:tc>
          <w:tcPr>
            <w:tcW w:w="2200" w:type="dxa"/>
            <w:vAlign w:val="bottom"/>
            <w:tcBorders>
              <w:bottom w:val="single" w:sz="8" w:color="9A9A9A"/>
            </w:tcBorders>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8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-45720</wp:posOffset>
            </wp:positionV>
            <wp:extent cx="33655" cy="590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-45720</wp:posOffset>
            </wp:positionV>
            <wp:extent cx="33655" cy="590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-1247140</wp:posOffset>
            </wp:positionV>
            <wp:extent cx="514350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10320"/>
          </w:cols>
          <w:pgMar w:left="380" w:top="785" w:right="1199" w:bottom="1440" w:gutter="0" w:footer="0" w:header="0"/>
        </w:sectPr>
      </w:pPr>
    </w:p>
    <w:bookmarkStart w:id="354" w:name="page355"/>
    <w:bookmarkEnd w:id="3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FORM OF CERTIFICATE OF AMENDMENT</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 THE</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AMENDED AND RESTATED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CERTIFICATE OF INCORPORATION</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 does hereby certify that: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VRINGO, INC.</w:t>
      </w:r>
    </w:p>
    <w:p>
      <w:pPr>
        <w:spacing w:after="0" w:line="114"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on January 9, 2006 and the Amended and Restated Certificate of Incorporation of the Corporation was filed with the Secretary of State of the State of Delaware on June 22, 2010.</w:t>
      </w:r>
    </w:p>
    <w:p>
      <w:pPr>
        <w:spacing w:after="0" w:line="73"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w:t>
      </w:r>
      <w:r>
        <w:rPr>
          <w:rFonts w:ascii="Arial" w:cs="Arial" w:eastAsia="Arial" w:hAnsi="Arial"/>
          <w:sz w:val="18"/>
          <w:szCs w:val="18"/>
          <w:b w:val="1"/>
          <w:bCs w:val="1"/>
          <w:color w:val="auto"/>
        </w:rPr>
        <w:t xml:space="preserve"> “Board”</w:t>
      </w:r>
      <w:r>
        <w:rPr>
          <w:rFonts w:ascii="Arial" w:cs="Arial" w:eastAsia="Arial" w:hAnsi="Arial"/>
          <w:sz w:val="18"/>
          <w:szCs w:val="18"/>
          <w:color w:val="auto"/>
        </w:rPr>
        <w:t>), acting in accordance with the provisions of Sections 141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242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adopted resolutions amending the Corporation’s Amended and Restated Certificate of Incorporation as follows:</w:t>
      </w:r>
    </w:p>
    <w:p>
      <w:pPr>
        <w:spacing w:after="0" w:line="77" w:lineRule="exact"/>
        <w:rPr>
          <w:sz w:val="20"/>
          <w:szCs w:val="20"/>
          <w:color w:val="auto"/>
        </w:rPr>
      </w:pPr>
    </w:p>
    <w:p>
      <w:pPr>
        <w:ind w:left="320" w:right="639" w:firstLine="260"/>
        <w:spacing w:after="0" w:line="270" w:lineRule="auto"/>
        <w:tabs>
          <w:tab w:leader="none" w:pos="813"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69" w:lineRule="exact"/>
        <w:rPr>
          <w:sz w:val="20"/>
          <w:szCs w:val="20"/>
          <w:color w:val="auto"/>
        </w:rPr>
      </w:pPr>
    </w:p>
    <w:p>
      <w:pPr>
        <w:jc w:val="both"/>
        <w:ind w:left="580" w:right="619"/>
        <w:spacing w:after="0" w:line="259" w:lineRule="auto"/>
        <w:rPr>
          <w:sz w:val="20"/>
          <w:szCs w:val="20"/>
          <w:color w:val="auto"/>
        </w:rPr>
      </w:pPr>
      <w:r>
        <w:rPr>
          <w:rFonts w:ascii="Arial" w:cs="Arial" w:eastAsia="Arial" w:hAnsi="Arial"/>
          <w:sz w:val="18"/>
          <w:szCs w:val="18"/>
          <w:color w:val="auto"/>
        </w:rPr>
        <w:t>“The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74" w:lineRule="exact"/>
        <w:rPr>
          <w:sz w:val="20"/>
          <w:szCs w:val="20"/>
          <w:color w:val="auto"/>
        </w:rPr>
      </w:pPr>
    </w:p>
    <w:p>
      <w:pPr>
        <w:jc w:val="both"/>
        <w:ind w:left="40" w:right="639" w:firstLine="267"/>
        <w:spacing w:after="0" w:line="261"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for their approval, and was duly adopted in accordance with the provisions of Sections 222 and 242 of the DGCL.</w:t>
      </w:r>
    </w:p>
    <w:p>
      <w:pPr>
        <w:sectPr>
          <w:pgSz w:w="11900" w:h="16838" w:orient="portrait"/>
          <w:cols w:equalWidth="0" w:num="1">
            <w:col w:w="10079"/>
          </w:cols>
          <w:pgMar w:left="380" w:top="785" w:right="1440" w:bottom="1440" w:gutter="0" w:footer="0" w:header="0"/>
        </w:sectPr>
      </w:pP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Corporation has caused this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 be signed by its</w:t>
      </w:r>
    </w:p>
    <w:p>
      <w:pPr>
        <w:spacing w:after="0" w:line="20" w:lineRule="exact"/>
        <w:rPr>
          <w:sz w:val="20"/>
          <w:szCs w:val="20"/>
          <w:color w:val="auto"/>
        </w:rPr>
      </w:pPr>
    </w:p>
    <w:p>
      <w:pPr>
        <w:sectPr>
          <w:pgSz w:w="11900" w:h="16838" w:orient="portrait"/>
          <w:cols w:equalWidth="0" w:num="4">
            <w:col w:w="2460" w:space="100"/>
            <w:col w:w="2400" w:space="80"/>
            <w:col w:w="2840" w:space="100"/>
            <w:col w:w="2099"/>
          </w:cols>
          <w:pgMar w:left="380" w:top="785" w:right="1440" w:bottom="1440" w:gutter="0" w:footer="0" w:header="0"/>
          <w:type w:val="continuous"/>
        </w:sectPr>
      </w:pPr>
    </w:p>
    <w:p>
      <w:pPr>
        <w:ind w:left="40"/>
        <w:spacing w:after="0"/>
        <w:tabs>
          <w:tab w:leader="none" w:pos="620" w:val="left"/>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of the [</w:t>
      </w:r>
      <w:r>
        <w:rPr>
          <w:sz w:val="20"/>
          <w:szCs w:val="20"/>
          <w:color w:val="auto"/>
        </w:rPr>
        <w:tab/>
      </w:r>
      <w:r>
        <w:rPr>
          <w:rFonts w:ascii="Arial" w:cs="Arial" w:eastAsia="Arial" w:hAnsi="Arial"/>
          <w:sz w:val="17"/>
          <w:szCs w:val="17"/>
          <w:color w:val="auto"/>
        </w:rPr>
        <w:t>] day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278384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783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-55880</wp:posOffset>
            </wp:positionV>
            <wp:extent cx="22402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240280" cy="825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2380" w:space="260"/>
            <w:col w:w="7439"/>
          </w:cols>
          <w:pgMar w:left="380" w:top="785" w:right="1440" w:bottom="1440" w:gutter="0" w:footer="0" w:header="0"/>
          <w:type w:val="continuous"/>
        </w:sectPr>
      </w:pPr>
    </w:p>
    <w:p>
      <w:pPr>
        <w:ind w:left="456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type w:val="continuous"/>
        </w:sectPr>
      </w:pPr>
    </w:p>
    <w:bookmarkStart w:id="355" w:name="page356"/>
    <w:bookmarkEnd w:id="3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D</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118" w:lineRule="exact"/>
        <w:rPr>
          <w:sz w:val="20"/>
          <w:szCs w:val="20"/>
          <w:color w:val="auto"/>
        </w:rPr>
      </w:pPr>
    </w:p>
    <w:p>
      <w:pPr>
        <w:ind w:left="540" w:hanging="228"/>
        <w:spacing w:after="0"/>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specified or unless the context otherwise requires, the following terms, as used in this Vringo, Inc. 2012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Director and Consultant Equity Incentive Plan, have the following meanings:</w:t>
      </w:r>
    </w:p>
    <w:p>
      <w:pPr>
        <w:spacing w:after="0" w:line="101"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69"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69"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114" w:lineRule="exact"/>
        <w:rPr>
          <w:sz w:val="20"/>
          <w:szCs w:val="20"/>
          <w:color w:val="auto"/>
        </w:rPr>
      </w:pPr>
    </w:p>
    <w:p>
      <w:pPr>
        <w:jc w:val="both"/>
        <w:ind w:left="320" w:right="619"/>
        <w:spacing w:after="0" w:line="268" w:lineRule="auto"/>
        <w:rPr>
          <w:sz w:val="20"/>
          <w:szCs w:val="20"/>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71"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United States Internal Revenue Code of 1986, as amended including any successor statute, regulation and guidance thereto.</w:t>
      </w:r>
    </w:p>
    <w:p>
      <w:pPr>
        <w:spacing w:after="0" w:line="69"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Vringo, Inc., a Delaware corporation.</w:t>
      </w:r>
    </w:p>
    <w:p>
      <w:pPr>
        <w:spacing w:after="0" w:line="114" w:lineRule="exact"/>
        <w:rPr>
          <w:sz w:val="20"/>
          <w:szCs w:val="20"/>
          <w:color w:val="auto"/>
        </w:rPr>
      </w:pPr>
    </w:p>
    <w:p>
      <w:pPr>
        <w:jc w:val="both"/>
        <w:ind w:left="320" w:right="619"/>
        <w:spacing w:after="0" w:line="281" w:lineRule="auto"/>
        <w:rPr>
          <w:sz w:val="20"/>
          <w:szCs w:val="20"/>
          <w:color w:val="auto"/>
        </w:rPr>
      </w:pPr>
      <w:r>
        <w:rPr>
          <w:rFonts w:ascii="Arial" w:cs="Arial" w:eastAsia="Arial" w:hAnsi="Arial"/>
          <w:sz w:val="17"/>
          <w:szCs w:val="17"/>
          <w:u w:val="single" w:color="auto"/>
          <w:color w:val="auto"/>
        </w:rPr>
        <w:t>Consultant</w:t>
      </w:r>
      <w:r>
        <w:rPr>
          <w:rFonts w:ascii="Arial" w:cs="Arial" w:eastAsia="Arial" w:hAnsi="Arial"/>
          <w:sz w:val="17"/>
          <w:szCs w:val="17"/>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114"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114" w:lineRule="exact"/>
        <w:rPr>
          <w:sz w:val="20"/>
          <w:szCs w:val="20"/>
          <w:color w:val="auto"/>
        </w:rPr>
      </w:pPr>
    </w:p>
    <w:p>
      <w:pPr>
        <w:jc w:val="both"/>
        <w:ind w:left="320" w:right="639" w:firstLine="260"/>
        <w:spacing w:after="0" w:line="255" w:lineRule="auto"/>
        <w:tabs>
          <w:tab w:leader="none" w:pos="93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200" w:lineRule="exact"/>
        <w:rPr>
          <w:sz w:val="20"/>
          <w:szCs w:val="20"/>
          <w:color w:val="auto"/>
        </w:rPr>
      </w:pP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6" w:name="page357"/>
    <w:bookmarkEnd w:id="3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92" w:lineRule="auto"/>
        <w:tabs>
          <w:tab w:leader="none" w:pos="916"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56" w:lineRule="exact"/>
        <w:rPr>
          <w:rFonts w:ascii="Arial" w:cs="Arial" w:eastAsia="Arial" w:hAnsi="Arial"/>
          <w:sz w:val="16"/>
          <w:szCs w:val="16"/>
          <w:color w:val="auto"/>
        </w:rPr>
      </w:pPr>
    </w:p>
    <w:p>
      <w:pPr>
        <w:ind w:left="320" w:right="619" w:firstLine="260"/>
        <w:spacing w:after="0" w:line="270" w:lineRule="auto"/>
        <w:tabs>
          <w:tab w:leader="none" w:pos="89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in the over-the-counter market, such value as the Administrator, in good faith, shall determine.</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114" w:lineRule="exact"/>
        <w:rPr>
          <w:sz w:val="20"/>
          <w:szCs w:val="20"/>
          <w:color w:val="auto"/>
        </w:rPr>
      </w:pPr>
    </w:p>
    <w:p>
      <w:pPr>
        <w:jc w:val="both"/>
        <w:ind w:left="320" w:right="639"/>
        <w:spacing w:after="0" w:line="334" w:lineRule="auto"/>
        <w:rPr>
          <w:sz w:val="20"/>
          <w:szCs w:val="20"/>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Vringo, Inc. 2012 Employee, Director and Consultant Equity Incentive Plan.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114"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83" w:lineRule="exact"/>
        <w:rPr>
          <w:sz w:val="20"/>
          <w:szCs w:val="20"/>
          <w:color w:val="auto"/>
        </w:rPr>
      </w:pPr>
    </w:p>
    <w:p>
      <w:pPr>
        <w:jc w:val="both"/>
        <w:ind w:left="320" w:right="619"/>
        <w:spacing w:after="0" w:line="270"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114"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69" w:lineRule="exact"/>
        <w:rPr>
          <w:sz w:val="20"/>
          <w:szCs w:val="20"/>
          <w:color w:val="auto"/>
        </w:rPr>
      </w:pPr>
    </w:p>
    <w:p>
      <w:pPr>
        <w:jc w:val="both"/>
        <w:ind w:left="320" w:right="639"/>
        <w:spacing w:after="0" w:line="270"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69" w:lineRule="exact"/>
        <w:rPr>
          <w:sz w:val="20"/>
          <w:szCs w:val="20"/>
          <w:color w:val="auto"/>
        </w:rPr>
      </w:pPr>
    </w:p>
    <w:p>
      <w:pPr>
        <w:ind w:left="540" w:hanging="228"/>
        <w:spacing w:after="0"/>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114" w:lineRule="exact"/>
        <w:rPr>
          <w:sz w:val="20"/>
          <w:szCs w:val="20"/>
          <w:color w:val="auto"/>
        </w:rPr>
      </w:pPr>
    </w:p>
    <w:p>
      <w:pPr>
        <w:jc w:val="both"/>
        <w:ind w:left="40" w:right="639" w:firstLine="267"/>
        <w:spacing w:after="0" w:line="275" w:lineRule="auto"/>
        <w:rPr>
          <w:sz w:val="20"/>
          <w:szCs w:val="20"/>
          <w:color w:val="auto"/>
        </w:rPr>
      </w:pPr>
      <w:r>
        <w:rPr>
          <w:rFonts w:ascii="Arial" w:cs="Arial" w:eastAsia="Arial" w:hAnsi="Arial"/>
          <w:sz w:val="17"/>
          <w:szCs w:val="17"/>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66" w:lineRule="exact"/>
        <w:rPr>
          <w:sz w:val="20"/>
          <w:szCs w:val="20"/>
          <w:color w:val="auto"/>
        </w:rPr>
      </w:pPr>
    </w:p>
    <w:p>
      <w:pPr>
        <w:ind w:left="540" w:hanging="228"/>
        <w:spacing w:after="0"/>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09" w:lineRule="exact"/>
        <w:rPr>
          <w:rFonts w:ascii="Arial" w:cs="Arial" w:eastAsia="Arial" w:hAnsi="Arial"/>
          <w:sz w:val="18"/>
          <w:szCs w:val="18"/>
          <w:color w:val="auto"/>
        </w:rPr>
      </w:pPr>
    </w:p>
    <w:p>
      <w:pPr>
        <w:jc w:val="both"/>
        <w:ind w:left="320" w:right="639" w:firstLine="260"/>
        <w:spacing w:after="0" w:line="309" w:lineRule="auto"/>
        <w:tabs>
          <w:tab w:leader="none" w:pos="883"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The number of Shares which may be issued from time to time pursuant to this Plan shall be </w:t>
      </w:r>
      <w:r>
        <w:rPr>
          <w:rFonts w:ascii="Arial" w:cs="Arial" w:eastAsia="Arial" w:hAnsi="Arial"/>
          <w:sz w:val="16"/>
          <w:szCs w:val="16"/>
          <w:b w:val="1"/>
          <w:bCs w:val="1"/>
          <w:color w:val="auto"/>
        </w:rPr>
        <w:t>Number of Shares</w:t>
      </w:r>
      <w:r>
        <w:rPr>
          <w:rFonts w:ascii="Arial" w:cs="Arial" w:eastAsia="Arial" w:hAnsi="Arial"/>
          <w:sz w:val="16"/>
          <w:szCs w:val="16"/>
          <w:color w:val="auto"/>
        </w:rPr>
        <w:t>, or the equivalent of such number of Shares after the Administrator, in its sole discretion, has interpreted the effect of any stock split, stock dividend, combination, recapitalization or similar transaction in accordance with Paragraph 24 of the Plan.</w:t>
      </w:r>
    </w:p>
    <w:p>
      <w:pPr>
        <w:spacing w:after="0" w:line="41" w:lineRule="exact"/>
        <w:rPr>
          <w:rFonts w:ascii="Arial" w:cs="Arial" w:eastAsia="Arial" w:hAnsi="Arial"/>
          <w:sz w:val="16"/>
          <w:szCs w:val="16"/>
          <w:color w:val="auto"/>
        </w:rPr>
      </w:pPr>
    </w:p>
    <w:p>
      <w:pPr>
        <w:jc w:val="both"/>
        <w:ind w:left="320" w:right="619" w:firstLine="260"/>
        <w:spacing w:after="0" w:line="270" w:lineRule="auto"/>
        <w:tabs>
          <w:tab w:leader="none" w:pos="898" w:val="left"/>
        </w:tabs>
        <w:numPr>
          <w:ilvl w:val="1"/>
          <w:numId w:val="323"/>
        </w:numPr>
        <w:rPr>
          <w:rFonts w:ascii="Arial" w:cs="Arial" w:eastAsia="Arial" w:hAnsi="Arial"/>
          <w:sz w:val="17"/>
          <w:szCs w:val="17"/>
          <w:color w:val="auto"/>
        </w:rPr>
      </w:pPr>
      <w:r>
        <w:rPr>
          <w:rFonts w:ascii="Arial" w:cs="Arial" w:eastAsia="Arial" w:hAnsi="Arial"/>
          <w:sz w:val="17"/>
          <w:szCs w:val="17"/>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7" w:name="page358"/>
    <w:bookmarkEnd w:id="3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306" w:lineRule="auto"/>
        <w:rPr>
          <w:sz w:val="20"/>
          <w:szCs w:val="20"/>
          <w:color w:val="auto"/>
        </w:rPr>
      </w:pPr>
      <w:r>
        <w:rPr>
          <w:rFonts w:ascii="Arial" w:cs="Arial" w:eastAsia="Arial" w:hAnsi="Arial"/>
          <w:sz w:val="16"/>
          <w:szCs w:val="16"/>
          <w:color w:val="auto"/>
        </w:rPr>
        <w:t>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45" w:lineRule="exact"/>
        <w:rPr>
          <w:sz w:val="20"/>
          <w:szCs w:val="20"/>
          <w:color w:val="auto"/>
        </w:rPr>
      </w:pPr>
    </w:p>
    <w:p>
      <w:pPr>
        <w:ind w:left="540" w:hanging="228"/>
        <w:spacing w:after="0"/>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78" w:lineRule="exact"/>
        <w:rPr>
          <w:sz w:val="20"/>
          <w:szCs w:val="20"/>
          <w:color w:val="auto"/>
        </w:rPr>
      </w:pPr>
    </w:p>
    <w:p>
      <w:pPr>
        <w:ind w:left="320" w:right="639" w:firstLine="260"/>
        <w:spacing w:after="0" w:line="270" w:lineRule="auto"/>
        <w:tabs>
          <w:tab w:leader="none" w:pos="92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68" w:lineRule="exact"/>
        <w:rPr>
          <w:rFonts w:ascii="Arial" w:cs="Arial" w:eastAsia="Arial" w:hAnsi="Arial"/>
          <w:sz w:val="18"/>
          <w:szCs w:val="18"/>
          <w:color w:val="auto"/>
        </w:rPr>
      </w:pPr>
    </w:p>
    <w:p>
      <w:pPr>
        <w:ind w:left="880" w:hanging="300"/>
        <w:spacing w:after="0"/>
        <w:tabs>
          <w:tab w:leader="none" w:pos="8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113" w:lineRule="exact"/>
        <w:rPr>
          <w:rFonts w:ascii="Arial" w:cs="Arial" w:eastAsia="Arial" w:hAnsi="Arial"/>
          <w:sz w:val="18"/>
          <w:szCs w:val="18"/>
          <w:color w:val="auto"/>
        </w:rPr>
      </w:pPr>
    </w:p>
    <w:p>
      <w:pPr>
        <w:ind w:left="320" w:right="639" w:firstLine="260"/>
        <w:spacing w:after="0" w:line="334" w:lineRule="auto"/>
        <w:tabs>
          <w:tab w:leader="none" w:pos="87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Determine the number of Shares for which a Stock Right or Stock Rights shall be granted, provided, however, that in no event shall Stock Rights with respect to more than ______________ Shares be granted to any Participant in any fiscal year;</w:t>
      </w:r>
    </w:p>
    <w:p>
      <w:pPr>
        <w:spacing w:after="0" w:line="22" w:lineRule="exact"/>
        <w:rPr>
          <w:rFonts w:ascii="Arial" w:cs="Arial" w:eastAsia="Arial" w:hAnsi="Arial"/>
          <w:sz w:val="16"/>
          <w:szCs w:val="16"/>
          <w:color w:val="auto"/>
        </w:rPr>
      </w:pPr>
    </w:p>
    <w:p>
      <w:pPr>
        <w:ind w:left="880" w:hanging="300"/>
        <w:spacing w:after="0"/>
        <w:tabs>
          <w:tab w:leader="none" w:pos="8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113" w:lineRule="exact"/>
        <w:rPr>
          <w:rFonts w:ascii="Arial" w:cs="Arial" w:eastAsia="Arial" w:hAnsi="Arial"/>
          <w:sz w:val="18"/>
          <w:szCs w:val="18"/>
          <w:color w:val="auto"/>
        </w:rPr>
      </w:pPr>
    </w:p>
    <w:p>
      <w:pPr>
        <w:jc w:val="both"/>
        <w:ind w:left="320" w:right="639" w:firstLine="260"/>
        <w:spacing w:after="0" w:line="288" w:lineRule="auto"/>
        <w:tabs>
          <w:tab w:leader="none" w:pos="89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Amend any term or condition of any outstanding Stock Right, including, without limitation, to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58" w:lineRule="exact"/>
        <w:rPr>
          <w:rFonts w:ascii="Arial" w:cs="Arial" w:eastAsia="Arial" w:hAnsi="Arial"/>
          <w:sz w:val="16"/>
          <w:szCs w:val="16"/>
          <w:color w:val="auto"/>
        </w:rPr>
      </w:pPr>
    </w:p>
    <w:p>
      <w:pPr>
        <w:jc w:val="both"/>
        <w:ind w:left="320" w:right="619" w:firstLine="260"/>
        <w:spacing w:after="0" w:line="255" w:lineRule="auto"/>
        <w:tabs>
          <w:tab w:leader="none" w:pos="85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83" w:lineRule="exact"/>
        <w:rPr>
          <w:sz w:val="20"/>
          <w:szCs w:val="20"/>
          <w:color w:val="auto"/>
        </w:rPr>
      </w:pPr>
    </w:p>
    <w:p>
      <w:pPr>
        <w:jc w:val="both"/>
        <w:ind w:left="40" w:right="619"/>
        <w:spacing w:after="0" w:line="290" w:lineRule="auto"/>
        <w:rPr>
          <w:sz w:val="20"/>
          <w:szCs w:val="20"/>
          <w:color w:val="auto"/>
        </w:rPr>
      </w:pPr>
      <w:r>
        <w:rPr>
          <w:rFonts w:ascii="Arial" w:cs="Arial" w:eastAsia="Arial" w:hAnsi="Arial"/>
          <w:sz w:val="16"/>
          <w:szCs w:val="16"/>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56"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8" w:name="page359"/>
    <w:bookmarkEnd w:id="3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40" w:hanging="228"/>
        <w:spacing w:after="0"/>
        <w:tabs>
          <w:tab w:leader="none" w:pos="54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114" w:lineRule="exact"/>
        <w:rPr>
          <w:sz w:val="20"/>
          <w:szCs w:val="20"/>
          <w:color w:val="auto"/>
        </w:rPr>
      </w:pPr>
    </w:p>
    <w:p>
      <w:pPr>
        <w:jc w:val="both"/>
        <w:ind w:left="40" w:right="619" w:firstLine="267"/>
        <w:spacing w:after="0" w:line="266" w:lineRule="auto"/>
        <w:rPr>
          <w:sz w:val="20"/>
          <w:szCs w:val="20"/>
          <w:color w:val="auto"/>
        </w:rPr>
      </w:pPr>
      <w:r>
        <w:rPr>
          <w:rFonts w:ascii="Arial" w:cs="Arial" w:eastAsia="Arial" w:hAnsi="Arial"/>
          <w:sz w:val="17"/>
          <w:szCs w:val="17"/>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79" w:lineRule="exact"/>
        <w:rPr>
          <w:sz w:val="20"/>
          <w:szCs w:val="20"/>
          <w:color w:val="auto"/>
        </w:rPr>
      </w:pPr>
    </w:p>
    <w:p>
      <w:pPr>
        <w:ind w:left="540" w:hanging="228"/>
        <w:spacing w:after="0"/>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14"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57" w:lineRule="exact"/>
        <w:rPr>
          <w:sz w:val="20"/>
          <w:szCs w:val="20"/>
          <w:color w:val="auto"/>
        </w:rPr>
      </w:pPr>
    </w:p>
    <w:p>
      <w:pPr>
        <w:jc w:val="both"/>
        <w:ind w:left="320" w:right="619" w:firstLine="260"/>
        <w:spacing w:after="0" w:line="259" w:lineRule="auto"/>
        <w:tabs>
          <w:tab w:leader="none" w:pos="954"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Non-Qualified Options</w:t>
      </w:r>
      <w:r>
        <w:rPr>
          <w:rFonts w:ascii="Arial" w:cs="Arial" w:eastAsia="Arial" w:hAnsi="Arial"/>
          <w:sz w:val="18"/>
          <w:szCs w:val="18"/>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78" w:lineRule="exact"/>
        <w:rPr>
          <w:rFonts w:ascii="Arial" w:cs="Arial" w:eastAsia="Arial" w:hAnsi="Arial"/>
          <w:sz w:val="18"/>
          <w:szCs w:val="18"/>
          <w:color w:val="auto"/>
        </w:rPr>
      </w:pPr>
    </w:p>
    <w:p>
      <w:pPr>
        <w:jc w:val="both"/>
        <w:ind w:left="580" w:right="619" w:firstLine="267"/>
        <w:spacing w:after="0" w:line="253" w:lineRule="auto"/>
        <w:tabs>
          <w:tab w:leader="none" w:pos="1145" w:val="left"/>
        </w:tabs>
        <w:numPr>
          <w:ilvl w:val="2"/>
          <w:numId w:val="32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to whom Section 409A of the Code does not apply.</w:t>
      </w:r>
    </w:p>
    <w:p>
      <w:pPr>
        <w:spacing w:after="0" w:line="85" w:lineRule="exact"/>
        <w:rPr>
          <w:rFonts w:ascii="Arial" w:cs="Arial" w:eastAsia="Arial" w:hAnsi="Arial"/>
          <w:sz w:val="18"/>
          <w:szCs w:val="18"/>
          <w:color w:val="auto"/>
        </w:rPr>
      </w:pPr>
    </w:p>
    <w:p>
      <w:pPr>
        <w:ind w:left="1160" w:hanging="313"/>
        <w:spacing w:after="0"/>
        <w:tabs>
          <w:tab w:leader="none" w:pos="1160" w:val="left"/>
        </w:tabs>
        <w:numPr>
          <w:ilvl w:val="2"/>
          <w:numId w:val="328"/>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113" w:lineRule="exact"/>
        <w:rPr>
          <w:rFonts w:ascii="Arial" w:cs="Arial" w:eastAsia="Arial" w:hAnsi="Arial"/>
          <w:sz w:val="18"/>
          <w:szCs w:val="18"/>
          <w:color w:val="auto"/>
        </w:rPr>
      </w:pPr>
    </w:p>
    <w:p>
      <w:pPr>
        <w:jc w:val="both"/>
        <w:ind w:left="580" w:right="619" w:firstLine="267"/>
        <w:spacing w:after="0" w:line="255" w:lineRule="auto"/>
        <w:tabs>
          <w:tab w:leader="none" w:pos="1217" w:val="left"/>
        </w:tabs>
        <w:numPr>
          <w:ilvl w:val="2"/>
          <w:numId w:val="328"/>
        </w:numPr>
        <w:rPr>
          <w:rFonts w:ascii="Arial" w:cs="Arial" w:eastAsia="Arial" w:hAnsi="Arial"/>
          <w:sz w:val="18"/>
          <w:szCs w:val="18"/>
          <w:color w:val="auto"/>
        </w:rPr>
      </w:pPr>
      <w:r>
        <w:rPr>
          <w:rFonts w:ascii="Arial" w:cs="Arial" w:eastAsia="Arial" w:hAnsi="Arial"/>
          <w:sz w:val="18"/>
          <w:szCs w:val="18"/>
          <w:u w:val="single" w:color="auto"/>
          <w:color w:val="auto"/>
        </w:rPr>
        <w:t>Option Periods</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82" w:lineRule="exact"/>
        <w:rPr>
          <w:rFonts w:ascii="Arial" w:cs="Arial" w:eastAsia="Arial" w:hAnsi="Arial"/>
          <w:sz w:val="18"/>
          <w:szCs w:val="18"/>
          <w:color w:val="auto"/>
        </w:rPr>
      </w:pPr>
    </w:p>
    <w:p>
      <w:pPr>
        <w:jc w:val="both"/>
        <w:ind w:left="580" w:right="619" w:firstLine="267"/>
        <w:spacing w:after="0" w:line="259" w:lineRule="auto"/>
        <w:tabs>
          <w:tab w:leader="none" w:pos="1260" w:val="left"/>
        </w:tabs>
        <w:numPr>
          <w:ilvl w:val="2"/>
          <w:numId w:val="328"/>
        </w:numPr>
        <w:rPr>
          <w:rFonts w:ascii="Arial" w:cs="Arial" w:eastAsia="Arial" w:hAnsi="Arial"/>
          <w:sz w:val="18"/>
          <w:szCs w:val="18"/>
          <w:color w:val="auto"/>
        </w:rPr>
      </w:pPr>
      <w:r>
        <w:rPr>
          <w:rFonts w:ascii="Arial" w:cs="Arial" w:eastAsia="Arial" w:hAnsi="Arial"/>
          <w:sz w:val="18"/>
          <w:szCs w:val="18"/>
          <w:u w:val="single" w:color="auto"/>
          <w:color w:val="auto"/>
        </w:rPr>
        <w:t>Option Conditions</w:t>
      </w:r>
      <w:r>
        <w:rPr>
          <w:rFonts w:ascii="Arial" w:cs="Arial" w:eastAsia="Arial" w:hAnsi="Arial"/>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78" w:lineRule="exact"/>
        <w:rPr>
          <w:rFonts w:ascii="Arial" w:cs="Arial" w:eastAsia="Arial" w:hAnsi="Arial"/>
          <w:sz w:val="18"/>
          <w:szCs w:val="18"/>
          <w:color w:val="auto"/>
        </w:rPr>
      </w:pPr>
    </w:p>
    <w:p>
      <w:pPr>
        <w:ind w:left="1080" w:hanging="273"/>
        <w:spacing w:after="0"/>
        <w:tabs>
          <w:tab w:leader="none" w:pos="108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113" w:lineRule="exact"/>
        <w:rPr>
          <w:rFonts w:ascii="Arial" w:cs="Arial" w:eastAsia="Arial" w:hAnsi="Arial"/>
          <w:sz w:val="18"/>
          <w:szCs w:val="18"/>
          <w:color w:val="auto"/>
        </w:rPr>
      </w:pPr>
    </w:p>
    <w:p>
      <w:pPr>
        <w:ind w:left="1080" w:right="639" w:hanging="273"/>
        <w:spacing w:after="0" w:line="270" w:lineRule="auto"/>
        <w:tabs>
          <w:tab w:leader="none" w:pos="108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68" w:lineRule="exact"/>
        <w:rPr>
          <w:rFonts w:ascii="Arial" w:cs="Arial" w:eastAsia="Arial" w:hAnsi="Arial"/>
          <w:sz w:val="18"/>
          <w:szCs w:val="18"/>
          <w:color w:val="auto"/>
        </w:rPr>
      </w:pPr>
    </w:p>
    <w:p>
      <w:pPr>
        <w:ind w:left="580" w:right="639" w:firstLine="267"/>
        <w:spacing w:after="0" w:line="270" w:lineRule="auto"/>
        <w:tabs>
          <w:tab w:leader="none" w:pos="1158" w:val="left"/>
        </w:tabs>
        <w:numPr>
          <w:ilvl w:val="2"/>
          <w:numId w:val="329"/>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59" w:name="page360"/>
    <w:bookmarkEnd w:id="3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5" w:lineRule="auto"/>
        <w:tabs>
          <w:tab w:leader="none" w:pos="897"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ISOs</w:t>
      </w:r>
      <w:r>
        <w:rPr>
          <w:rFonts w:ascii="Arial" w:cs="Arial" w:eastAsia="Arial" w:hAnsi="Arial"/>
          <w:sz w:val="18"/>
          <w:szCs w:val="18"/>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82" w:lineRule="exact"/>
        <w:rPr>
          <w:rFonts w:ascii="Arial" w:cs="Arial" w:eastAsia="Arial" w:hAnsi="Arial"/>
          <w:sz w:val="18"/>
          <w:szCs w:val="18"/>
          <w:color w:val="auto"/>
        </w:rPr>
      </w:pPr>
    </w:p>
    <w:p>
      <w:pPr>
        <w:ind w:left="580" w:right="619" w:firstLine="267"/>
        <w:spacing w:after="0" w:line="270" w:lineRule="auto"/>
        <w:tabs>
          <w:tab w:leader="none" w:pos="1104" w:val="left"/>
        </w:tabs>
        <w:numPr>
          <w:ilvl w:val="2"/>
          <w:numId w:val="330"/>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68" w:lineRule="exact"/>
        <w:rPr>
          <w:rFonts w:ascii="Arial" w:cs="Arial" w:eastAsia="Arial" w:hAnsi="Arial"/>
          <w:sz w:val="18"/>
          <w:szCs w:val="18"/>
          <w:color w:val="auto"/>
        </w:rPr>
      </w:pPr>
    </w:p>
    <w:p>
      <w:pPr>
        <w:ind w:left="580" w:right="639" w:firstLine="267"/>
        <w:spacing w:after="0" w:line="270" w:lineRule="auto"/>
        <w:tabs>
          <w:tab w:leader="none" w:pos="1221" w:val="left"/>
        </w:tabs>
        <w:numPr>
          <w:ilvl w:val="2"/>
          <w:numId w:val="33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68" w:lineRule="exact"/>
        <w:rPr>
          <w:rFonts w:ascii="Arial" w:cs="Arial" w:eastAsia="Arial" w:hAnsi="Arial"/>
          <w:sz w:val="18"/>
          <w:szCs w:val="18"/>
          <w:color w:val="auto"/>
        </w:rPr>
      </w:pPr>
    </w:p>
    <w:p>
      <w:pPr>
        <w:jc w:val="both"/>
        <w:ind w:left="1080" w:right="639" w:hanging="273"/>
        <w:spacing w:after="0" w:line="259" w:lineRule="auto"/>
        <w:tabs>
          <w:tab w:leader="none" w:pos="10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78" w:lineRule="exact"/>
        <w:rPr>
          <w:rFonts w:ascii="Arial" w:cs="Arial" w:eastAsia="Arial" w:hAnsi="Arial"/>
          <w:sz w:val="18"/>
          <w:szCs w:val="18"/>
          <w:color w:val="auto"/>
        </w:rPr>
      </w:pPr>
    </w:p>
    <w:p>
      <w:pPr>
        <w:jc w:val="both"/>
        <w:ind w:left="1080" w:right="619" w:hanging="273"/>
        <w:spacing w:after="0" w:line="259" w:lineRule="auto"/>
        <w:tabs>
          <w:tab w:leader="none" w:pos="10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78" w:lineRule="exact"/>
        <w:rPr>
          <w:rFonts w:ascii="Arial" w:cs="Arial" w:eastAsia="Arial" w:hAnsi="Arial"/>
          <w:sz w:val="18"/>
          <w:szCs w:val="18"/>
          <w:color w:val="auto"/>
        </w:rPr>
      </w:pPr>
    </w:p>
    <w:p>
      <w:pPr>
        <w:ind w:left="1200" w:hanging="353"/>
        <w:spacing w:after="0"/>
        <w:tabs>
          <w:tab w:leader="none" w:pos="1200" w:val="left"/>
        </w:tabs>
        <w:numPr>
          <w:ilvl w:val="2"/>
          <w:numId w:val="33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114" w:lineRule="exact"/>
        <w:rPr>
          <w:sz w:val="20"/>
          <w:szCs w:val="20"/>
          <w:color w:val="auto"/>
        </w:rPr>
      </w:pPr>
    </w:p>
    <w:p>
      <w:pPr>
        <w:jc w:val="both"/>
        <w:ind w:left="1080" w:right="619" w:hanging="273"/>
        <w:spacing w:after="0" w:line="259" w:lineRule="auto"/>
        <w:tabs>
          <w:tab w:leader="none" w:pos="10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78" w:lineRule="exact"/>
        <w:rPr>
          <w:rFonts w:ascii="Arial" w:cs="Arial" w:eastAsia="Arial" w:hAnsi="Arial"/>
          <w:sz w:val="18"/>
          <w:szCs w:val="18"/>
          <w:color w:val="auto"/>
        </w:rPr>
      </w:pPr>
    </w:p>
    <w:p>
      <w:pPr>
        <w:jc w:val="both"/>
        <w:ind w:left="1080" w:right="619" w:hanging="273"/>
        <w:spacing w:after="0" w:line="259" w:lineRule="auto"/>
        <w:tabs>
          <w:tab w:leader="none" w:pos="10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78" w:lineRule="exact"/>
        <w:rPr>
          <w:rFonts w:ascii="Arial" w:cs="Arial" w:eastAsia="Arial" w:hAnsi="Arial"/>
          <w:sz w:val="18"/>
          <w:szCs w:val="18"/>
          <w:color w:val="auto"/>
        </w:rPr>
      </w:pPr>
    </w:p>
    <w:p>
      <w:pPr>
        <w:jc w:val="both"/>
        <w:ind w:left="580" w:right="619" w:firstLine="267"/>
        <w:spacing w:after="0" w:line="255" w:lineRule="auto"/>
        <w:tabs>
          <w:tab w:leader="none" w:pos="1234" w:val="left"/>
        </w:tabs>
        <w:numPr>
          <w:ilvl w:val="2"/>
          <w:numId w:val="332"/>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82" w:lineRule="exact"/>
        <w:rPr>
          <w:rFonts w:ascii="Arial" w:cs="Arial" w:eastAsia="Arial" w:hAnsi="Arial"/>
          <w:sz w:val="18"/>
          <w:szCs w:val="18"/>
          <w:color w:val="auto"/>
        </w:rPr>
      </w:pPr>
    </w:p>
    <w:p>
      <w:pPr>
        <w:ind w:left="540" w:hanging="228"/>
        <w:spacing w:after="0"/>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114" w:lineRule="exact"/>
        <w:rPr>
          <w:sz w:val="20"/>
          <w:szCs w:val="20"/>
          <w:color w:val="auto"/>
        </w:rPr>
      </w:pPr>
    </w:p>
    <w:p>
      <w:pPr>
        <w:jc w:val="both"/>
        <w:ind w:left="40" w:right="639" w:firstLine="267"/>
        <w:spacing w:after="0" w:line="255" w:lineRule="auto"/>
        <w:rPr>
          <w:sz w:val="20"/>
          <w:szCs w:val="20"/>
          <w:color w:val="auto"/>
        </w:rPr>
      </w:pPr>
      <w:r>
        <w:rPr>
          <w:rFonts w:ascii="Arial" w:cs="Arial" w:eastAsia="Arial" w:hAnsi="Arial"/>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83" w:lineRule="exact"/>
        <w:rPr>
          <w:sz w:val="20"/>
          <w:szCs w:val="20"/>
          <w:color w:val="auto"/>
        </w:rPr>
      </w:pPr>
    </w:p>
    <w:p>
      <w:pPr>
        <w:jc w:val="both"/>
        <w:ind w:left="320" w:right="639" w:firstLine="260"/>
        <w:spacing w:after="0" w:line="281" w:lineRule="auto"/>
        <w:tabs>
          <w:tab w:leader="none" w:pos="91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61" w:lineRule="exact"/>
        <w:rPr>
          <w:rFonts w:ascii="Arial" w:cs="Arial" w:eastAsia="Arial" w:hAnsi="Arial"/>
          <w:sz w:val="17"/>
          <w:szCs w:val="17"/>
          <w:color w:val="auto"/>
        </w:rPr>
      </w:pPr>
    </w:p>
    <w:p>
      <w:pPr>
        <w:ind w:left="880" w:hanging="300"/>
        <w:spacing w:after="0"/>
        <w:tabs>
          <w:tab w:leader="none" w:pos="8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113" w:lineRule="exact"/>
        <w:rPr>
          <w:rFonts w:ascii="Arial" w:cs="Arial" w:eastAsia="Arial" w:hAnsi="Arial"/>
          <w:sz w:val="18"/>
          <w:szCs w:val="18"/>
          <w:color w:val="auto"/>
        </w:rPr>
      </w:pPr>
    </w:p>
    <w:p>
      <w:pPr>
        <w:ind w:left="320" w:right="639" w:firstLine="260"/>
        <w:spacing w:after="0" w:line="334" w:lineRule="auto"/>
        <w:tabs>
          <w:tab w:leader="none" w:pos="89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0" w:name="page361"/>
    <w:bookmarkEnd w:id="3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40" w:hanging="228"/>
        <w:spacing w:after="0"/>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 Administrator shall have the right to grant other Stock-Based Awards based upon the Common Stock having such terms and conditions as the Administrator may determine, including, without limitation,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89" w:lineRule="exact"/>
        <w:rPr>
          <w:sz w:val="20"/>
          <w:szCs w:val="20"/>
          <w:color w:val="auto"/>
        </w:rPr>
      </w:pPr>
    </w:p>
    <w:p>
      <w:pPr>
        <w:jc w:val="both"/>
        <w:ind w:left="40" w:right="639" w:firstLine="267"/>
        <w:spacing w:after="0" w:line="272"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68" w:lineRule="exact"/>
        <w:rPr>
          <w:sz w:val="20"/>
          <w:szCs w:val="20"/>
          <w:color w:val="auto"/>
        </w:rPr>
      </w:pPr>
    </w:p>
    <w:p>
      <w:pPr>
        <w:ind w:left="540" w:hanging="228"/>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67"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57" w:lineRule="exact"/>
        <w:rPr>
          <w:sz w:val="20"/>
          <w:szCs w:val="20"/>
          <w:color w:val="auto"/>
        </w:rPr>
      </w:pPr>
    </w:p>
    <w:p>
      <w:pPr>
        <w:ind w:left="40" w:right="639" w:firstLine="272"/>
        <w:spacing w:after="0" w:line="270" w:lineRule="auto"/>
        <w:tabs>
          <w:tab w:leader="none" w:pos="632"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 BASED AWARDS AND ISSUE OF SHARES.</w:t>
      </w:r>
    </w:p>
    <w:p>
      <w:pPr>
        <w:spacing w:after="0" w:line="69" w:lineRule="exact"/>
        <w:rPr>
          <w:sz w:val="20"/>
          <w:szCs w:val="20"/>
          <w:color w:val="auto"/>
        </w:rPr>
      </w:pPr>
    </w:p>
    <w:p>
      <w:pPr>
        <w:jc w:val="both"/>
        <w:ind w:left="40" w:right="639" w:firstLine="267"/>
        <w:spacing w:after="0" w:line="292"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w:t>
      </w:r>
    </w:p>
    <w:p>
      <w:pPr>
        <w:ind w:left="40"/>
        <w:spacing w:after="0"/>
        <w:rPr>
          <w:sz w:val="20"/>
          <w:szCs w:val="20"/>
          <w:color w:val="auto"/>
        </w:rPr>
      </w:pPr>
      <w:r>
        <w:rPr>
          <w:rFonts w:ascii="Arial" w:cs="Arial" w:eastAsia="Arial" w:hAnsi="Arial"/>
          <w:sz w:val="18"/>
          <w:szCs w:val="18"/>
          <w:color w:val="auto"/>
        </w:rPr>
        <w:t>treatment) and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having a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1087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80" w:right="639" w:hanging="275"/>
        <w:spacing w:after="0" w:line="270" w:lineRule="auto"/>
        <w:tabs>
          <w:tab w:leader="none" w:pos="2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1" w:name="page362"/>
    <w:bookmarkEnd w:id="3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280" w:right="619"/>
        <w:spacing w:after="0" w:line="259" w:lineRule="auto"/>
        <w:rPr>
          <w:sz w:val="20"/>
          <w:szCs w:val="20"/>
          <w:color w:val="auto"/>
        </w:rPr>
      </w:pPr>
      <w:r>
        <w:rPr>
          <w:rFonts w:ascii="Arial" w:cs="Arial" w:eastAsia="Arial" w:hAnsi="Arial"/>
          <w:sz w:val="18"/>
          <w:szCs w:val="18"/>
          <w:color w:val="auto"/>
        </w:rPr>
        <w:t>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78" w:lineRule="exact"/>
        <w:rPr>
          <w:sz w:val="20"/>
          <w:szCs w:val="20"/>
          <w:color w:val="auto"/>
        </w:rPr>
      </w:pPr>
    </w:p>
    <w:p>
      <w:pPr>
        <w:jc w:val="both"/>
        <w:ind w:left="40" w:right="619" w:firstLine="267"/>
        <w:spacing w:after="0" w:line="252"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86" w:lineRule="exact"/>
        <w:rPr>
          <w:sz w:val="20"/>
          <w:szCs w:val="20"/>
          <w:color w:val="auto"/>
        </w:rPr>
      </w:pPr>
    </w:p>
    <w:p>
      <w:pPr>
        <w:ind w:left="620" w:hanging="308"/>
        <w:spacing w:after="0"/>
        <w:tabs>
          <w:tab w:leader="none" w:pos="62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83" w:lineRule="exact"/>
        <w:rPr>
          <w:sz w:val="20"/>
          <w:szCs w:val="20"/>
          <w:color w:val="auto"/>
        </w:rPr>
      </w:pPr>
    </w:p>
    <w:p>
      <w:pPr>
        <w:ind w:left="620" w:hanging="308"/>
        <w:spacing w:after="0"/>
        <w:tabs>
          <w:tab w:leader="none" w:pos="62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114" w:lineRule="exact"/>
        <w:rPr>
          <w:sz w:val="20"/>
          <w:szCs w:val="20"/>
          <w:color w:val="auto"/>
        </w:rPr>
      </w:pPr>
    </w:p>
    <w:p>
      <w:pPr>
        <w:jc w:val="both"/>
        <w:ind w:left="40" w:right="619" w:firstLine="267"/>
        <w:spacing w:after="0" w:line="285" w:lineRule="auto"/>
        <w:rPr>
          <w:sz w:val="20"/>
          <w:szCs w:val="20"/>
          <w:color w:val="auto"/>
        </w:rPr>
      </w:pPr>
      <w:r>
        <w:rPr>
          <w:rFonts w:ascii="Arial" w:cs="Arial" w:eastAsia="Arial" w:hAnsi="Arial"/>
          <w:sz w:val="16"/>
          <w:szCs w:val="16"/>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61" w:lineRule="exact"/>
        <w:rPr>
          <w:sz w:val="20"/>
          <w:szCs w:val="20"/>
          <w:color w:val="auto"/>
        </w:rPr>
      </w:pPr>
    </w:p>
    <w:p>
      <w:pPr>
        <w:ind w:left="620" w:hanging="308"/>
        <w:spacing w:after="0"/>
        <w:tabs>
          <w:tab w:leader="none" w:pos="62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EFFECT ON OPTIONS OF TERMINATION OF SERVICE OTHER THAN FOR CAUSE OR DEATH OR DISABILITY.</w:t>
      </w:r>
    </w:p>
    <w:p>
      <w:pPr>
        <w:spacing w:after="0" w:line="125"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78" w:lineRule="exact"/>
        <w:rPr>
          <w:sz w:val="20"/>
          <w:szCs w:val="20"/>
          <w:color w:val="auto"/>
        </w:rPr>
      </w:pPr>
    </w:p>
    <w:p>
      <w:pPr>
        <w:jc w:val="both"/>
        <w:ind w:left="320" w:right="619" w:firstLine="260"/>
        <w:spacing w:after="0" w:line="297" w:lineRule="auto"/>
        <w:tabs>
          <w:tab w:leader="none" w:pos="88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w:t>
      </w:r>
    </w:p>
    <w:p>
      <w:pPr>
        <w:spacing w:after="0" w:line="51" w:lineRule="exact"/>
        <w:rPr>
          <w:rFonts w:ascii="Arial" w:cs="Arial" w:eastAsia="Arial" w:hAnsi="Arial"/>
          <w:sz w:val="16"/>
          <w:szCs w:val="16"/>
          <w:color w:val="auto"/>
        </w:rPr>
      </w:pPr>
    </w:p>
    <w:p>
      <w:pPr>
        <w:ind w:left="320" w:right="619" w:firstLine="260"/>
        <w:spacing w:after="0" w:line="270" w:lineRule="auto"/>
        <w:tabs>
          <w:tab w:leader="none" w:pos="88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68" w:lineRule="exact"/>
        <w:rPr>
          <w:rFonts w:ascii="Arial" w:cs="Arial" w:eastAsia="Arial" w:hAnsi="Arial"/>
          <w:sz w:val="18"/>
          <w:szCs w:val="18"/>
          <w:color w:val="auto"/>
        </w:rPr>
      </w:pPr>
    </w:p>
    <w:p>
      <w:pPr>
        <w:jc w:val="both"/>
        <w:ind w:left="320" w:right="619" w:firstLine="260"/>
        <w:spacing w:after="0" w:line="272" w:lineRule="auto"/>
        <w:tabs>
          <w:tab w:leader="none" w:pos="933"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2" w:name="page363"/>
    <w:bookmarkEnd w:id="3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75" w:lineRule="auto"/>
        <w:tabs>
          <w:tab w:leader="none" w:pos="99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66" w:lineRule="exact"/>
        <w:rPr>
          <w:rFonts w:ascii="Arial" w:cs="Arial" w:eastAsia="Arial" w:hAnsi="Arial"/>
          <w:sz w:val="17"/>
          <w:szCs w:val="17"/>
          <w:color w:val="auto"/>
        </w:rPr>
      </w:pPr>
    </w:p>
    <w:p>
      <w:pPr>
        <w:jc w:val="both"/>
        <w:ind w:left="320" w:right="619" w:firstLine="260"/>
        <w:spacing w:after="0" w:line="285" w:lineRule="auto"/>
        <w:tabs>
          <w:tab w:leader="none" w:pos="90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shall cause such ISO to become a Non-Qualified Option on the 181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following such leave of absence.</w:t>
      </w:r>
    </w:p>
    <w:p>
      <w:pPr>
        <w:spacing w:after="0" w:line="40" w:lineRule="exact"/>
        <w:rPr>
          <w:sz w:val="20"/>
          <w:szCs w:val="20"/>
          <w:color w:val="auto"/>
        </w:rPr>
      </w:pPr>
    </w:p>
    <w:p>
      <w:pPr>
        <w:jc w:val="both"/>
        <w:ind w:left="320" w:right="619" w:firstLine="260"/>
        <w:spacing w:after="0" w:line="250" w:lineRule="auto"/>
        <w:tabs>
          <w:tab w:leader="none" w:pos="869"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85" w:lineRule="exact"/>
        <w:rPr>
          <w:rFonts w:ascii="Arial" w:cs="Arial" w:eastAsia="Arial" w:hAnsi="Arial"/>
          <w:sz w:val="18"/>
          <w:szCs w:val="18"/>
          <w:color w:val="auto"/>
        </w:rPr>
      </w:pPr>
    </w:p>
    <w:p>
      <w:pPr>
        <w:ind w:left="620" w:hanging="308"/>
        <w:spacing w:after="0"/>
        <w:tabs>
          <w:tab w:leader="none" w:pos="62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78" w:lineRule="exact"/>
        <w:rPr>
          <w:sz w:val="20"/>
          <w:szCs w:val="20"/>
          <w:color w:val="auto"/>
        </w:rPr>
      </w:pPr>
    </w:p>
    <w:p>
      <w:pPr>
        <w:ind w:left="320" w:right="619" w:firstLine="260"/>
        <w:spacing w:after="0" w:line="270" w:lineRule="auto"/>
        <w:tabs>
          <w:tab w:leader="none" w:pos="897"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68" w:lineRule="exact"/>
        <w:rPr>
          <w:rFonts w:ascii="Arial" w:cs="Arial" w:eastAsia="Arial" w:hAnsi="Arial"/>
          <w:sz w:val="18"/>
          <w:szCs w:val="18"/>
          <w:color w:val="auto"/>
        </w:rPr>
      </w:pPr>
    </w:p>
    <w:p>
      <w:pPr>
        <w:jc w:val="both"/>
        <w:ind w:left="320" w:right="619" w:firstLine="260"/>
        <w:spacing w:after="0" w:line="297" w:lineRule="auto"/>
        <w:tabs>
          <w:tab w:leader="none" w:pos="885" w:val="left"/>
        </w:tabs>
        <w:numPr>
          <w:ilvl w:val="1"/>
          <w:numId w:val="346"/>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51" w:lineRule="exact"/>
        <w:rPr>
          <w:rFonts w:ascii="Arial" w:cs="Arial" w:eastAsia="Arial" w:hAnsi="Arial"/>
          <w:sz w:val="16"/>
          <w:szCs w:val="16"/>
          <w:color w:val="auto"/>
        </w:rPr>
      </w:pPr>
    </w:p>
    <w:p>
      <w:pPr>
        <w:ind w:left="620" w:hanging="308"/>
        <w:spacing w:after="0"/>
        <w:tabs>
          <w:tab w:leader="none" w:pos="62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DISABILITY.</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14" w:lineRule="exact"/>
        <w:rPr>
          <w:sz w:val="20"/>
          <w:szCs w:val="20"/>
          <w:color w:val="auto"/>
        </w:rPr>
      </w:pPr>
    </w:p>
    <w:p>
      <w:pPr>
        <w:ind w:left="320" w:right="639" w:firstLine="260"/>
        <w:spacing w:after="0" w:line="270" w:lineRule="auto"/>
        <w:tabs>
          <w:tab w:leader="none" w:pos="90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68" w:lineRule="exact"/>
        <w:rPr>
          <w:rFonts w:ascii="Arial" w:cs="Arial" w:eastAsia="Arial" w:hAnsi="Arial"/>
          <w:sz w:val="18"/>
          <w:szCs w:val="18"/>
          <w:color w:val="auto"/>
        </w:rPr>
      </w:pPr>
    </w:p>
    <w:p>
      <w:pPr>
        <w:ind w:left="580" w:right="639" w:firstLine="267"/>
        <w:spacing w:after="0" w:line="270" w:lineRule="auto"/>
        <w:tabs>
          <w:tab w:leader="none" w:pos="1143"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68" w:lineRule="exact"/>
        <w:rPr>
          <w:rFonts w:ascii="Arial" w:cs="Arial" w:eastAsia="Arial" w:hAnsi="Arial"/>
          <w:sz w:val="18"/>
          <w:szCs w:val="18"/>
          <w:color w:val="auto"/>
        </w:rPr>
      </w:pPr>
    </w:p>
    <w:p>
      <w:pPr>
        <w:jc w:val="both"/>
        <w:ind w:left="580" w:right="619" w:firstLine="267"/>
        <w:spacing w:after="0" w:line="297" w:lineRule="auto"/>
        <w:tabs>
          <w:tab w:leader="none" w:pos="1168" w:val="left"/>
        </w:tabs>
        <w:numPr>
          <w:ilvl w:val="1"/>
          <w:numId w:val="348"/>
        </w:numPr>
        <w:rPr>
          <w:rFonts w:ascii="Arial" w:cs="Arial" w:eastAsia="Arial" w:hAnsi="Arial"/>
          <w:sz w:val="16"/>
          <w:szCs w:val="16"/>
          <w:color w:val="auto"/>
        </w:rPr>
      </w:pPr>
      <w:r>
        <w:rPr>
          <w:rFonts w:ascii="Arial" w:cs="Arial" w:eastAsia="Arial" w:hAnsi="Arial"/>
          <w:sz w:val="16"/>
          <w:szCs w:val="16"/>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51" w:lineRule="exact"/>
        <w:rPr>
          <w:rFonts w:ascii="Arial" w:cs="Arial" w:eastAsia="Arial" w:hAnsi="Arial"/>
          <w:sz w:val="16"/>
          <w:szCs w:val="16"/>
          <w:color w:val="auto"/>
        </w:rPr>
      </w:pPr>
    </w:p>
    <w:p>
      <w:pPr>
        <w:jc w:val="both"/>
        <w:ind w:left="320" w:right="619" w:firstLine="260"/>
        <w:spacing w:after="0" w:line="275" w:lineRule="auto"/>
        <w:tabs>
          <w:tab w:leader="none" w:pos="87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63" w:name="page364"/>
    <w:bookmarkEnd w:id="3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97" w:lineRule="auto"/>
        <w:tabs>
          <w:tab w:leader="none" w:pos="886"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51" w:lineRule="exact"/>
        <w:rPr>
          <w:rFonts w:ascii="Arial" w:cs="Arial" w:eastAsia="Arial" w:hAnsi="Arial"/>
          <w:sz w:val="16"/>
          <w:szCs w:val="16"/>
          <w:color w:val="auto"/>
        </w:rPr>
      </w:pPr>
    </w:p>
    <w:p>
      <w:pPr>
        <w:ind w:left="660" w:hanging="348"/>
        <w:spacing w:after="0"/>
        <w:tabs>
          <w:tab w:leader="none" w:pos="66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EFFECT ON OPTIONS OF DEATH WHILE AN EMPLOYEE, DIRECTOR OR CONSULTANT.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14" w:lineRule="exact"/>
        <w:rPr>
          <w:sz w:val="20"/>
          <w:szCs w:val="20"/>
          <w:color w:val="auto"/>
        </w:rPr>
      </w:pPr>
    </w:p>
    <w:p>
      <w:pPr>
        <w:ind w:left="320" w:right="619" w:firstLine="260"/>
        <w:spacing w:after="0" w:line="270" w:lineRule="auto"/>
        <w:tabs>
          <w:tab w:leader="none" w:pos="876" w:val="left"/>
        </w:tabs>
        <w:numPr>
          <w:ilvl w:val="1"/>
          <w:numId w:val="351"/>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68" w:lineRule="exact"/>
        <w:rPr>
          <w:rFonts w:ascii="Arial" w:cs="Arial" w:eastAsia="Arial" w:hAnsi="Arial"/>
          <w:sz w:val="18"/>
          <w:szCs w:val="18"/>
          <w:color w:val="auto"/>
        </w:rPr>
      </w:pPr>
    </w:p>
    <w:p>
      <w:pPr>
        <w:ind w:left="1100" w:hanging="253"/>
        <w:spacing w:after="0"/>
        <w:tabs>
          <w:tab w:leader="none" w:pos="1100" w:val="left"/>
        </w:tabs>
        <w:numPr>
          <w:ilvl w:val="2"/>
          <w:numId w:val="351"/>
        </w:numPr>
        <w:rPr>
          <w:rFonts w:ascii="Arial" w:cs="Arial" w:eastAsia="Arial" w:hAnsi="Arial"/>
          <w:sz w:val="17"/>
          <w:szCs w:val="17"/>
          <w:color w:val="auto"/>
        </w:rPr>
      </w:pPr>
      <w:r>
        <w:rPr>
          <w:rFonts w:ascii="Arial" w:cs="Arial" w:eastAsia="Arial" w:hAnsi="Arial"/>
          <w:sz w:val="17"/>
          <w:szCs w:val="17"/>
          <w:color w:val="auto"/>
        </w:rPr>
        <w:t>To the extent that the Option has become exercisable but has not been exercised on the date of death; and</w:t>
      </w:r>
    </w:p>
    <w:p>
      <w:pPr>
        <w:spacing w:after="0" w:line="125" w:lineRule="exact"/>
        <w:rPr>
          <w:rFonts w:ascii="Arial" w:cs="Arial" w:eastAsia="Arial" w:hAnsi="Arial"/>
          <w:sz w:val="17"/>
          <w:szCs w:val="17"/>
          <w:color w:val="auto"/>
        </w:rPr>
      </w:pPr>
    </w:p>
    <w:p>
      <w:pPr>
        <w:jc w:val="both"/>
        <w:ind w:left="580" w:right="639" w:firstLine="267"/>
        <w:spacing w:after="0" w:line="255" w:lineRule="auto"/>
        <w:tabs>
          <w:tab w:leader="none" w:pos="1168" w:val="left"/>
        </w:tabs>
        <w:numPr>
          <w:ilvl w:val="2"/>
          <w:numId w:val="351"/>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82" w:lineRule="exact"/>
        <w:rPr>
          <w:rFonts w:ascii="Arial" w:cs="Arial" w:eastAsia="Arial" w:hAnsi="Arial"/>
          <w:sz w:val="18"/>
          <w:szCs w:val="18"/>
          <w:color w:val="auto"/>
        </w:rPr>
      </w:pPr>
    </w:p>
    <w:p>
      <w:pPr>
        <w:jc w:val="both"/>
        <w:ind w:left="320" w:right="619" w:firstLine="260"/>
        <w:spacing w:after="0" w:line="275" w:lineRule="auto"/>
        <w:tabs>
          <w:tab w:leader="none" w:pos="927" w:val="left"/>
        </w:tabs>
        <w:numPr>
          <w:ilvl w:val="1"/>
          <w:numId w:val="351"/>
        </w:numPr>
        <w:rPr>
          <w:rFonts w:ascii="Arial" w:cs="Arial" w:eastAsia="Arial" w:hAnsi="Arial"/>
          <w:sz w:val="17"/>
          <w:szCs w:val="17"/>
          <w:color w:val="auto"/>
        </w:rPr>
      </w:pPr>
      <w:r>
        <w:rPr>
          <w:rFonts w:ascii="Arial" w:cs="Arial" w:eastAsia="Arial" w:hAnsi="Arial"/>
          <w:sz w:val="17"/>
          <w:szCs w:val="17"/>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66" w:lineRule="exact"/>
        <w:rPr>
          <w:rFonts w:ascii="Arial" w:cs="Arial" w:eastAsia="Arial" w:hAnsi="Arial"/>
          <w:sz w:val="17"/>
          <w:szCs w:val="17"/>
          <w:color w:val="auto"/>
        </w:rPr>
      </w:pPr>
    </w:p>
    <w:p>
      <w:pPr>
        <w:ind w:left="620" w:hanging="308"/>
        <w:spacing w:after="0"/>
        <w:tabs>
          <w:tab w:leader="none" w:pos="62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114"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78" w:lineRule="exact"/>
        <w:rPr>
          <w:sz w:val="20"/>
          <w:szCs w:val="20"/>
          <w:color w:val="auto"/>
        </w:rPr>
      </w:pPr>
    </w:p>
    <w:p>
      <w:pPr>
        <w:jc w:val="both"/>
        <w:ind w:left="40" w:right="619" w:firstLine="267"/>
        <w:spacing w:after="0" w:line="292" w:lineRule="auto"/>
        <w:rPr>
          <w:sz w:val="20"/>
          <w:szCs w:val="20"/>
          <w:color w:val="auto"/>
        </w:rPr>
      </w:pPr>
      <w:r>
        <w:rPr>
          <w:rFonts w:ascii="Arial" w:cs="Arial" w:eastAsia="Arial" w:hAnsi="Arial"/>
          <w:sz w:val="16"/>
          <w:szCs w:val="16"/>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57" w:lineRule="exact"/>
        <w:rPr>
          <w:sz w:val="20"/>
          <w:szCs w:val="20"/>
          <w:color w:val="auto"/>
        </w:rPr>
      </w:pPr>
    </w:p>
    <w:p>
      <w:pPr>
        <w:jc w:val="both"/>
        <w:ind w:left="40" w:right="639" w:firstLine="267"/>
        <w:spacing w:after="0" w:line="281" w:lineRule="auto"/>
        <w:rPr>
          <w:sz w:val="20"/>
          <w:szCs w:val="20"/>
          <w:color w:val="auto"/>
        </w:rPr>
      </w:pPr>
      <w:r>
        <w:rPr>
          <w:rFonts w:ascii="Arial" w:cs="Arial" w:eastAsia="Arial" w:hAnsi="Arial"/>
          <w:sz w:val="17"/>
          <w:szCs w:val="17"/>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62" w:lineRule="exact"/>
        <w:rPr>
          <w:sz w:val="20"/>
          <w:szCs w:val="20"/>
          <w:color w:val="auto"/>
        </w:rPr>
      </w:pPr>
    </w:p>
    <w:p>
      <w:pPr>
        <w:ind w:left="40" w:right="639" w:firstLine="272"/>
        <w:spacing w:after="0" w:line="270" w:lineRule="auto"/>
        <w:tabs>
          <w:tab w:leader="none" w:pos="672"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6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4" w:name="page365"/>
    <w:bookmarkEnd w:id="3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20" w:hanging="308"/>
        <w:spacing w:after="0"/>
        <w:tabs>
          <w:tab w:leader="none" w:pos="62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114" w:lineRule="exact"/>
        <w:rPr>
          <w:sz w:val="20"/>
          <w:szCs w:val="20"/>
          <w:color w:val="auto"/>
        </w:rPr>
      </w:pPr>
    </w:p>
    <w:p>
      <w:pPr>
        <w:ind w:left="40" w:right="639" w:firstLine="267"/>
        <w:spacing w:after="0" w:line="300" w:lineRule="auto"/>
        <w:rPr>
          <w:sz w:val="20"/>
          <w:szCs w:val="20"/>
          <w:color w:val="auto"/>
        </w:rPr>
      </w:pPr>
      <w:r>
        <w:rPr>
          <w:rFonts w:ascii="Arial" w:cs="Arial" w:eastAsia="Arial" w:hAnsi="Arial"/>
          <w:sz w:val="17"/>
          <w:szCs w:val="17"/>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46" w:lineRule="exact"/>
        <w:rPr>
          <w:sz w:val="20"/>
          <w:szCs w:val="20"/>
          <w:color w:val="auto"/>
        </w:rPr>
      </w:pPr>
    </w:p>
    <w:p>
      <w:pPr>
        <w:ind w:left="320" w:right="619" w:firstLine="260"/>
        <w:spacing w:after="0" w:line="270" w:lineRule="auto"/>
        <w:tabs>
          <w:tab w:leader="none" w:pos="914"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68" w:lineRule="exact"/>
        <w:rPr>
          <w:rFonts w:ascii="Arial" w:cs="Arial" w:eastAsia="Arial" w:hAnsi="Arial"/>
          <w:sz w:val="18"/>
          <w:szCs w:val="18"/>
          <w:color w:val="auto"/>
        </w:rPr>
      </w:pPr>
    </w:p>
    <w:p>
      <w:pPr>
        <w:jc w:val="both"/>
        <w:ind w:left="320" w:right="639" w:firstLine="260"/>
        <w:spacing w:after="0" w:line="292" w:lineRule="auto"/>
        <w:tabs>
          <w:tab w:leader="none" w:pos="885" w:val="left"/>
        </w:tabs>
        <w:numPr>
          <w:ilvl w:val="1"/>
          <w:numId w:val="355"/>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56" w:lineRule="exact"/>
        <w:rPr>
          <w:rFonts w:ascii="Arial" w:cs="Arial" w:eastAsia="Arial" w:hAnsi="Arial"/>
          <w:sz w:val="16"/>
          <w:szCs w:val="16"/>
          <w:color w:val="auto"/>
        </w:rPr>
      </w:pPr>
    </w:p>
    <w:p>
      <w:pPr>
        <w:ind w:left="620" w:hanging="308"/>
        <w:spacing w:after="0"/>
        <w:tabs>
          <w:tab w:leader="none" w:pos="62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114" w:lineRule="exact"/>
        <w:rPr>
          <w:sz w:val="20"/>
          <w:szCs w:val="20"/>
          <w:color w:val="auto"/>
        </w:rPr>
      </w:pPr>
    </w:p>
    <w:p>
      <w:pPr>
        <w:jc w:val="both"/>
        <w:ind w:left="40" w:right="639" w:firstLine="267"/>
        <w:spacing w:after="0" w:line="290"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56" w:lineRule="exact"/>
        <w:rPr>
          <w:sz w:val="20"/>
          <w:szCs w:val="20"/>
          <w:color w:val="auto"/>
        </w:rPr>
      </w:pPr>
    </w:p>
    <w:p>
      <w:pPr>
        <w:jc w:val="both"/>
        <w:ind w:left="40" w:right="619" w:firstLine="267"/>
        <w:spacing w:after="0" w:line="275" w:lineRule="auto"/>
        <w:rPr>
          <w:sz w:val="20"/>
          <w:szCs w:val="20"/>
          <w:color w:val="auto"/>
        </w:rPr>
      </w:pPr>
      <w:r>
        <w:rPr>
          <w:rFonts w:ascii="Arial" w:cs="Arial" w:eastAsia="Arial" w:hAnsi="Arial"/>
          <w:sz w:val="17"/>
          <w:szCs w:val="17"/>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66" w:lineRule="exact"/>
        <w:rPr>
          <w:sz w:val="20"/>
          <w:szCs w:val="20"/>
          <w:color w:val="auto"/>
        </w:rPr>
      </w:pPr>
    </w:p>
    <w:p>
      <w:pPr>
        <w:ind w:left="620" w:hanging="308"/>
        <w:spacing w:after="0"/>
        <w:tabs>
          <w:tab w:leader="none" w:pos="62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89" w:lineRule="exact"/>
        <w:rPr>
          <w:sz w:val="20"/>
          <w:szCs w:val="20"/>
          <w:color w:val="auto"/>
        </w:rPr>
      </w:pPr>
    </w:p>
    <w:p>
      <w:pPr>
        <w:ind w:left="620" w:hanging="308"/>
        <w:spacing w:after="0"/>
        <w:tabs>
          <w:tab w:leader="none" w:pos="62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114" w:lineRule="exact"/>
        <w:rPr>
          <w:sz w:val="20"/>
          <w:szCs w:val="20"/>
          <w:color w:val="auto"/>
        </w:rPr>
      </w:pPr>
    </w:p>
    <w:p>
      <w:pPr>
        <w:ind w:left="40" w:right="639" w:firstLine="267"/>
        <w:spacing w:after="0" w:line="300" w:lineRule="auto"/>
        <w:rPr>
          <w:sz w:val="20"/>
          <w:szCs w:val="20"/>
          <w:color w:val="auto"/>
        </w:rPr>
      </w:pPr>
      <w:r>
        <w:rPr>
          <w:rFonts w:ascii="Arial" w:cs="Arial" w:eastAsia="Arial" w:hAnsi="Arial"/>
          <w:sz w:val="17"/>
          <w:szCs w:val="17"/>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46" w:lineRule="exact"/>
        <w:rPr>
          <w:sz w:val="20"/>
          <w:szCs w:val="20"/>
          <w:color w:val="auto"/>
        </w:rPr>
      </w:pPr>
    </w:p>
    <w:p>
      <w:pPr>
        <w:jc w:val="both"/>
        <w:ind w:left="320" w:right="639" w:firstLine="260"/>
        <w:spacing w:after="0" w:line="253" w:lineRule="auto"/>
        <w:tabs>
          <w:tab w:leader="none" w:pos="88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65" w:name="page366"/>
    <w:bookmarkEnd w:id="3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39" w:firstLine="267"/>
        <w:spacing w:after="0" w:line="253"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85" w:lineRule="exact"/>
        <w:rPr>
          <w:sz w:val="20"/>
          <w:szCs w:val="20"/>
          <w:color w:val="auto"/>
        </w:rPr>
      </w:pPr>
    </w:p>
    <w:p>
      <w:pPr>
        <w:ind w:left="320" w:right="619" w:firstLine="260"/>
        <w:spacing w:after="0" w:line="270" w:lineRule="auto"/>
        <w:tabs>
          <w:tab w:leader="none" w:pos="874"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68" w:lineRule="exact"/>
        <w:rPr>
          <w:rFonts w:ascii="Arial" w:cs="Arial" w:eastAsia="Arial" w:hAnsi="Arial"/>
          <w:sz w:val="18"/>
          <w:szCs w:val="18"/>
          <w:color w:val="auto"/>
        </w:rPr>
      </w:pPr>
    </w:p>
    <w:p>
      <w:pPr>
        <w:ind w:left="620" w:hanging="308"/>
        <w:spacing w:after="0"/>
        <w:tabs>
          <w:tab w:leader="none" w:pos="62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71" w:lineRule="exact"/>
        <w:rPr>
          <w:sz w:val="20"/>
          <w:szCs w:val="20"/>
          <w:color w:val="auto"/>
        </w:rPr>
      </w:pPr>
    </w:p>
    <w:p>
      <w:pPr>
        <w:ind w:left="620" w:hanging="308"/>
        <w:spacing w:after="0"/>
        <w:tabs>
          <w:tab w:leader="none" w:pos="62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14" w:lineRule="exact"/>
        <w:rPr>
          <w:sz w:val="20"/>
          <w:szCs w:val="20"/>
          <w:color w:val="auto"/>
        </w:rPr>
      </w:pPr>
    </w:p>
    <w:p>
      <w:pPr>
        <w:ind w:left="40" w:right="619" w:firstLine="267"/>
        <w:spacing w:after="0" w:line="334" w:lineRule="auto"/>
        <w:rPr>
          <w:sz w:val="20"/>
          <w:szCs w:val="20"/>
          <w:color w:val="auto"/>
        </w:rPr>
      </w:pPr>
      <w:r>
        <w:rPr>
          <w:rFonts w:ascii="Arial" w:cs="Arial" w:eastAsia="Arial" w:hAnsi="Arial"/>
          <w:sz w:val="16"/>
          <w:szCs w:val="16"/>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23" w:lineRule="exact"/>
        <w:rPr>
          <w:sz w:val="20"/>
          <w:szCs w:val="20"/>
          <w:color w:val="auto"/>
        </w:rPr>
      </w:pPr>
    </w:p>
    <w:p>
      <w:pPr>
        <w:jc w:val="both"/>
        <w:ind w:left="320" w:right="619" w:firstLine="260"/>
        <w:spacing w:after="0" w:line="288" w:lineRule="auto"/>
        <w:tabs>
          <w:tab w:leader="none" w:pos="874" w:val="left"/>
        </w:tabs>
        <w:numPr>
          <w:ilvl w:val="1"/>
          <w:numId w:val="363"/>
        </w:numPr>
        <w:rPr>
          <w:rFonts w:ascii="Arial" w:cs="Arial" w:eastAsia="Arial" w:hAnsi="Arial"/>
          <w:sz w:val="16"/>
          <w:szCs w:val="16"/>
          <w:color w:val="auto"/>
        </w:rPr>
      </w:pP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58" w:lineRule="exact"/>
        <w:rPr>
          <w:rFonts w:ascii="Arial" w:cs="Arial" w:eastAsia="Arial" w:hAnsi="Arial"/>
          <w:sz w:val="16"/>
          <w:szCs w:val="16"/>
          <w:color w:val="auto"/>
        </w:rPr>
      </w:pPr>
    </w:p>
    <w:p>
      <w:pPr>
        <w:jc w:val="both"/>
        <w:ind w:left="320" w:right="619" w:firstLine="260"/>
        <w:spacing w:after="0" w:line="280" w:lineRule="auto"/>
        <w:tabs>
          <w:tab w:leader="none" w:pos="964" w:val="left"/>
        </w:tabs>
        <w:numPr>
          <w:ilvl w:val="1"/>
          <w:numId w:val="363"/>
        </w:numPr>
        <w:rPr>
          <w:rFonts w:ascii="Arial" w:cs="Arial" w:eastAsia="Arial" w:hAnsi="Arial"/>
          <w:sz w:val="16"/>
          <w:szCs w:val="16"/>
          <w:color w:val="auto"/>
        </w:rPr>
      </w:pPr>
      <w:r>
        <w:rPr>
          <w:rFonts w:ascii="Arial" w:cs="Arial" w:eastAsia="Arial" w:hAnsi="Arial"/>
          <w:sz w:val="16"/>
          <w:szCs w:val="16"/>
          <w:u w:val="single" w:color="auto"/>
          <w:color w:val="auto"/>
        </w:rPr>
        <w:t>Corporate Transactions</w:t>
      </w:r>
      <w:r>
        <w:rPr>
          <w:rFonts w:ascii="Arial" w:cs="Arial" w:eastAsia="Arial" w:hAnsi="Arial"/>
          <w:sz w:val="16"/>
          <w:szCs w:val="16"/>
          <w:color w:val="auto"/>
        </w:rPr>
        <w:t>.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[whether or not vested]; or (iii) terminate such Options in exchange for payment of an amount equal to the consideration payable upon consummation of such Corporate Transaction to a holder of the number of shares of Common Stock into which such Option would have been exercisable (either</w:t>
      </w:r>
    </w:p>
    <w:p>
      <w:pPr>
        <w:spacing w:after="0" w:line="3" w:lineRule="exact"/>
        <w:rPr>
          <w:rFonts w:ascii="Arial" w:cs="Arial" w:eastAsia="Arial" w:hAnsi="Arial"/>
          <w:sz w:val="16"/>
          <w:szCs w:val="16"/>
          <w:color w:val="auto"/>
        </w:rPr>
      </w:pPr>
    </w:p>
    <w:p>
      <w:pPr>
        <w:ind w:left="320" w:right="619" w:hanging="8"/>
        <w:spacing w:after="0" w:line="317" w:lineRule="auto"/>
        <w:tabs>
          <w:tab w:leader="none" w:pos="62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to the extent then exercisable or, (B) at the discretion of the Administrator, any such Options being made partially or fully exercisable for purposes of this Subparagraph) </w:t>
      </w:r>
      <w:r>
        <w:rPr>
          <w:rFonts w:ascii="Arial" w:cs="Arial" w:eastAsia="Arial" w:hAnsi="Arial"/>
          <w:sz w:val="16"/>
          <w:szCs w:val="16"/>
          <w:u w:val="single" w:color="auto"/>
          <w:color w:val="auto"/>
        </w:rPr>
        <w:t>less the aggregate</w:t>
      </w:r>
      <w:r>
        <w:rPr>
          <w:rFonts w:ascii="Arial" w:cs="Arial" w:eastAsia="Arial" w:hAnsi="Arial"/>
          <w:sz w:val="16"/>
          <w:szCs w:val="16"/>
          <w:color w:val="auto"/>
        </w:rPr>
        <w:t xml:space="preserve"> exercise price thereof. For purposes of determining the</w:t>
      </w:r>
    </w:p>
    <w:p>
      <w:pPr>
        <w:spacing w:after="0" w:line="200" w:lineRule="exact"/>
        <w:rPr>
          <w:sz w:val="20"/>
          <w:szCs w:val="20"/>
          <w:color w:val="auto"/>
        </w:rPr>
      </w:pPr>
    </w:p>
    <w:p>
      <w:pPr>
        <w:spacing w:after="0" w:line="2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6" w:name="page367"/>
    <w:bookmarkEnd w:id="3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spacing w:after="0" w:line="259" w:lineRule="auto"/>
        <w:rPr>
          <w:sz w:val="20"/>
          <w:szCs w:val="20"/>
          <w:color w:val="auto"/>
        </w:rPr>
      </w:pPr>
      <w:r>
        <w:rPr>
          <w:rFonts w:ascii="Arial" w:cs="Arial" w:eastAsia="Arial" w:hAnsi="Arial"/>
          <w:sz w:val="18"/>
          <w:szCs w:val="18"/>
          <w:color w:val="auto"/>
        </w:rPr>
        <w:t>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78" w:lineRule="exact"/>
        <w:rPr>
          <w:sz w:val="20"/>
          <w:szCs w:val="20"/>
          <w:color w:val="auto"/>
        </w:rPr>
      </w:pPr>
    </w:p>
    <w:p>
      <w:pPr>
        <w:jc w:val="both"/>
        <w:ind w:left="320" w:right="619" w:firstLine="267"/>
        <w:spacing w:after="0" w:line="285" w:lineRule="auto"/>
        <w:rPr>
          <w:sz w:val="20"/>
          <w:szCs w:val="20"/>
          <w:color w:val="auto"/>
        </w:rPr>
      </w:pPr>
      <w:r>
        <w:rPr>
          <w:rFonts w:ascii="Arial" w:cs="Arial" w:eastAsia="Arial" w:hAnsi="Arial"/>
          <w:sz w:val="16"/>
          <w:szCs w:val="16"/>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65" w:lineRule="exact"/>
        <w:rPr>
          <w:sz w:val="20"/>
          <w:szCs w:val="20"/>
          <w:color w:val="auto"/>
        </w:rPr>
      </w:pPr>
    </w:p>
    <w:p>
      <w:pPr>
        <w:jc w:val="both"/>
        <w:ind w:left="320" w:right="639" w:firstLine="267"/>
        <w:spacing w:after="0" w:line="300" w:lineRule="auto"/>
        <w:rPr>
          <w:sz w:val="20"/>
          <w:szCs w:val="20"/>
          <w:color w:val="auto"/>
        </w:rPr>
      </w:pPr>
      <w:r>
        <w:rPr>
          <w:rFonts w:ascii="Arial" w:cs="Arial" w:eastAsia="Arial" w:hAnsi="Arial"/>
          <w:sz w:val="17"/>
          <w:szCs w:val="17"/>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46" w:lineRule="exact"/>
        <w:rPr>
          <w:sz w:val="20"/>
          <w:szCs w:val="20"/>
          <w:color w:val="auto"/>
        </w:rPr>
      </w:pPr>
    </w:p>
    <w:p>
      <w:pPr>
        <w:jc w:val="both"/>
        <w:ind w:left="320" w:right="619" w:firstLine="260"/>
        <w:spacing w:after="0" w:line="252" w:lineRule="auto"/>
        <w:tabs>
          <w:tab w:leader="none" w:pos="901"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86" w:lineRule="exact"/>
        <w:rPr>
          <w:rFonts w:ascii="Arial" w:cs="Arial" w:eastAsia="Arial" w:hAnsi="Arial"/>
          <w:sz w:val="18"/>
          <w:szCs w:val="18"/>
          <w:color w:val="auto"/>
        </w:rPr>
      </w:pPr>
    </w:p>
    <w:p>
      <w:pPr>
        <w:ind w:left="880" w:hanging="300"/>
        <w:spacing w:after="0"/>
        <w:tabs>
          <w:tab w:leader="none" w:pos="880" w:val="left"/>
        </w:tabs>
        <w:numPr>
          <w:ilvl w:val="1"/>
          <w:numId w:val="365"/>
        </w:numPr>
        <w:rPr>
          <w:rFonts w:ascii="Arial" w:cs="Arial" w:eastAsia="Arial" w:hAnsi="Arial"/>
          <w:sz w:val="16"/>
          <w:szCs w:val="16"/>
          <w:color w:val="auto"/>
        </w:rPr>
      </w:pPr>
      <w:r>
        <w:rPr>
          <w:rFonts w:ascii="Arial" w:cs="Arial" w:eastAsia="Arial" w:hAnsi="Arial"/>
          <w:sz w:val="16"/>
          <w:szCs w:val="16"/>
          <w:u w:val="single" w:color="auto"/>
          <w:color w:val="auto"/>
        </w:rPr>
        <w:t>Adjustments to Stock-Based Awards</w:t>
      </w:r>
      <w:r>
        <w:rPr>
          <w:rFonts w:ascii="Arial" w:cs="Arial" w:eastAsia="Arial" w:hAnsi="Arial"/>
          <w:sz w:val="16"/>
          <w:szCs w:val="16"/>
          <w:color w:val="auto"/>
        </w:rPr>
        <w:t>. Upon the happening of any of the events described in Subparagraphs (a), (b) or</w:t>
      </w:r>
    </w:p>
    <w:p>
      <w:pPr>
        <w:spacing w:after="0" w:line="42" w:lineRule="exact"/>
        <w:rPr>
          <w:rFonts w:ascii="Arial" w:cs="Arial" w:eastAsia="Arial" w:hAnsi="Arial"/>
          <w:sz w:val="16"/>
          <w:szCs w:val="16"/>
          <w:color w:val="auto"/>
        </w:rPr>
      </w:pPr>
    </w:p>
    <w:p>
      <w:pPr>
        <w:jc w:val="both"/>
        <w:ind w:left="320" w:right="619" w:hanging="8"/>
        <w:spacing w:after="0" w:line="250" w:lineRule="auto"/>
        <w:tabs>
          <w:tab w:leader="none" w:pos="61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w:t>
      </w:r>
    </w:p>
    <w:p>
      <w:pPr>
        <w:spacing w:after="0" w:line="86" w:lineRule="exact"/>
        <w:rPr>
          <w:rFonts w:ascii="Arial" w:cs="Arial" w:eastAsia="Arial" w:hAnsi="Arial"/>
          <w:sz w:val="18"/>
          <w:szCs w:val="18"/>
          <w:color w:val="auto"/>
        </w:rPr>
      </w:pPr>
    </w:p>
    <w:p>
      <w:pPr>
        <w:jc w:val="both"/>
        <w:ind w:left="320" w:right="619" w:firstLine="260"/>
        <w:spacing w:after="0" w:line="266" w:lineRule="auto"/>
        <w:tabs>
          <w:tab w:leader="none" w:pos="874"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79" w:lineRule="exact"/>
        <w:rPr>
          <w:sz w:val="20"/>
          <w:szCs w:val="20"/>
          <w:color w:val="auto"/>
        </w:rPr>
      </w:pPr>
    </w:p>
    <w:p>
      <w:pPr>
        <w:ind w:left="620" w:hanging="308"/>
        <w:spacing w:after="0"/>
        <w:tabs>
          <w:tab w:leader="none" w:pos="62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114"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200" w:lineRule="exact"/>
        <w:rPr>
          <w:sz w:val="20"/>
          <w:szCs w:val="20"/>
          <w:color w:val="auto"/>
        </w:rPr>
      </w:pPr>
    </w:p>
    <w:p>
      <w:pPr>
        <w:spacing w:after="0" w:line="2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7" w:name="page368"/>
    <w:bookmarkEnd w:id="3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20" w:hanging="308"/>
        <w:spacing w:after="0"/>
        <w:tabs>
          <w:tab w:leader="none" w:pos="62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14"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69" w:lineRule="exact"/>
        <w:rPr>
          <w:sz w:val="20"/>
          <w:szCs w:val="20"/>
          <w:color w:val="auto"/>
        </w:rPr>
      </w:pPr>
    </w:p>
    <w:p>
      <w:pPr>
        <w:ind w:left="620" w:hanging="308"/>
        <w:spacing w:after="0"/>
        <w:tabs>
          <w:tab w:leader="none" w:pos="62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114" w:lineRule="exact"/>
        <w:rPr>
          <w:sz w:val="20"/>
          <w:szCs w:val="20"/>
          <w:color w:val="auto"/>
        </w:rPr>
      </w:pPr>
    </w:p>
    <w:p>
      <w:pPr>
        <w:jc w:val="both"/>
        <w:ind w:left="40" w:right="619" w:firstLine="267"/>
        <w:spacing w:after="0" w:line="267" w:lineRule="auto"/>
        <w:rPr>
          <w:sz w:val="20"/>
          <w:szCs w:val="20"/>
          <w:color w:val="auto"/>
        </w:rPr>
      </w:pPr>
      <w:r>
        <w:rPr>
          <w:rFonts w:ascii="Arial" w:cs="Arial" w:eastAsia="Arial" w:hAnsi="Arial"/>
          <w:sz w:val="17"/>
          <w:szCs w:val="17"/>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74" w:lineRule="exact"/>
        <w:rPr>
          <w:sz w:val="20"/>
          <w:szCs w:val="20"/>
          <w:color w:val="auto"/>
        </w:rPr>
      </w:pPr>
    </w:p>
    <w:p>
      <w:pPr>
        <w:ind w:left="620" w:hanging="308"/>
        <w:spacing w:after="0"/>
        <w:tabs>
          <w:tab w:leader="none" w:pos="62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14" w:lineRule="exact"/>
        <w:rPr>
          <w:sz w:val="20"/>
          <w:szCs w:val="20"/>
          <w:color w:val="auto"/>
        </w:rPr>
      </w:pPr>
    </w:p>
    <w:p>
      <w:pPr>
        <w:jc w:val="both"/>
        <w:ind w:left="40" w:right="619" w:firstLine="267"/>
        <w:spacing w:after="0" w:line="265" w:lineRule="auto"/>
        <w:rPr>
          <w:sz w:val="20"/>
          <w:szCs w:val="20"/>
          <w:color w:val="auto"/>
        </w:rPr>
      </w:pPr>
      <w:r>
        <w:rPr>
          <w:rFonts w:ascii="Arial" w:cs="Arial" w:eastAsia="Arial" w:hAnsi="Arial"/>
          <w:sz w:val="17"/>
          <w:szCs w:val="17"/>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81" w:lineRule="exact"/>
        <w:rPr>
          <w:sz w:val="20"/>
          <w:szCs w:val="20"/>
          <w:color w:val="auto"/>
        </w:rPr>
      </w:pPr>
    </w:p>
    <w:p>
      <w:pPr>
        <w:ind w:left="620" w:hanging="308"/>
        <w:spacing w:after="0"/>
        <w:tabs>
          <w:tab w:leader="none" w:pos="62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114" w:lineRule="exact"/>
        <w:rPr>
          <w:sz w:val="20"/>
          <w:szCs w:val="20"/>
          <w:color w:val="auto"/>
        </w:rPr>
      </w:pPr>
    </w:p>
    <w:p>
      <w:pPr>
        <w:jc w:val="both"/>
        <w:ind w:left="40" w:right="619" w:firstLine="267"/>
        <w:spacing w:after="0" w:line="270"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71" w:lineRule="exact"/>
        <w:rPr>
          <w:sz w:val="20"/>
          <w:szCs w:val="20"/>
          <w:color w:val="auto"/>
        </w:rPr>
      </w:pPr>
    </w:p>
    <w:p>
      <w:pPr>
        <w:ind w:left="620" w:hanging="308"/>
        <w:spacing w:after="0"/>
        <w:tabs>
          <w:tab w:leader="none" w:pos="62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10" w:lineRule="exact"/>
        <w:rPr>
          <w:sz w:val="20"/>
          <w:szCs w:val="20"/>
          <w:color w:val="auto"/>
        </w:rPr>
      </w:pPr>
    </w:p>
    <w:p>
      <w:pPr>
        <w:jc w:val="both"/>
        <w:ind w:left="40" w:right="619" w:firstLine="267"/>
        <w:spacing w:after="0" w:line="254" w:lineRule="auto"/>
        <w:rPr>
          <w:sz w:val="20"/>
          <w:szCs w:val="20"/>
          <w:color w:val="auto"/>
        </w:rPr>
      </w:pPr>
      <w:r>
        <w:rPr>
          <w:rFonts w:ascii="Arial" w:cs="Arial" w:eastAsia="Arial" w:hAnsi="Arial"/>
          <w:sz w:val="18"/>
          <w:szCs w:val="18"/>
          <w:color w:val="auto"/>
        </w:rPr>
        <w:t xml:space="preserve">The Plan will terminate on </w:t>
      </w:r>
      <w:r>
        <w:rPr>
          <w:rFonts w:ascii="Arial" w:cs="Arial" w:eastAsia="Arial" w:hAnsi="Arial"/>
          <w:sz w:val="18"/>
          <w:szCs w:val="18"/>
          <w:b w:val="1"/>
          <w:bCs w:val="1"/>
          <w:color w:val="auto"/>
        </w:rPr>
        <w:t>[Insert Date]</w:t>
      </w:r>
      <w:r>
        <w:rPr>
          <w:rFonts w:ascii="Arial" w:cs="Arial" w:eastAsia="Arial" w:hAnsi="Arial"/>
          <w:sz w:val="18"/>
          <w:szCs w:val="18"/>
          <w:color w:val="auto"/>
        </w:rPr>
        <w:t xml:space="preserve">,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8" w:name="page369"/>
    <w:bookmarkEnd w:id="3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20" w:hanging="308"/>
        <w:spacing w:after="0"/>
        <w:tabs>
          <w:tab w:leader="none" w:pos="62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65" w:lineRule="exact"/>
        <w:rPr>
          <w:sz w:val="20"/>
          <w:szCs w:val="20"/>
          <w:color w:val="auto"/>
        </w:rPr>
      </w:pPr>
    </w:p>
    <w:p>
      <w:pPr>
        <w:ind w:left="620" w:hanging="308"/>
        <w:spacing w:after="0"/>
        <w:tabs>
          <w:tab w:leader="none" w:pos="620"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114" w:lineRule="exact"/>
        <w:rPr>
          <w:sz w:val="20"/>
          <w:szCs w:val="20"/>
          <w:color w:val="auto"/>
        </w:rPr>
      </w:pPr>
    </w:p>
    <w:p>
      <w:pPr>
        <w:jc w:val="both"/>
        <w:ind w:left="40" w:right="619" w:firstLine="267"/>
        <w:spacing w:after="0" w:line="255"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83" w:lineRule="exact"/>
        <w:rPr>
          <w:sz w:val="20"/>
          <w:szCs w:val="20"/>
          <w:color w:val="auto"/>
        </w:rPr>
      </w:pPr>
    </w:p>
    <w:p>
      <w:pPr>
        <w:ind w:left="620" w:hanging="308"/>
        <w:spacing w:after="0"/>
        <w:tabs>
          <w:tab w:leader="none" w:pos="62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69" w:name="page370"/>
    <w:bookmarkEnd w:id="3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APPENDIX A — ISRAEL</w:t>
      </w:r>
    </w:p>
    <w:p>
      <w:pPr>
        <w:spacing w:after="0" w:line="101" w:lineRule="exact"/>
        <w:rPr>
          <w:sz w:val="20"/>
          <w:szCs w:val="20"/>
          <w:color w:val="auto"/>
        </w:rPr>
      </w:pPr>
    </w:p>
    <w:p>
      <w:pPr>
        <w:ind w:left="280" w:hanging="275"/>
        <w:spacing w:after="0"/>
        <w:tabs>
          <w:tab w:leader="none" w:pos="2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NAME AND EFFECTIVE DATE</w:t>
      </w:r>
    </w:p>
    <w:p>
      <w:pPr>
        <w:spacing w:after="0" w:line="109" w:lineRule="exact"/>
        <w:rPr>
          <w:rFonts w:ascii="Arial" w:cs="Arial" w:eastAsia="Arial" w:hAnsi="Arial"/>
          <w:sz w:val="18"/>
          <w:szCs w:val="18"/>
          <w:color w:val="auto"/>
        </w:rPr>
      </w:pPr>
    </w:p>
    <w:p>
      <w:pPr>
        <w:ind w:left="600" w:right="639" w:hanging="334"/>
        <w:spacing w:after="0" w:line="261" w:lineRule="auto"/>
        <w:rPr>
          <w:rFonts w:ascii="Arial" w:cs="Arial" w:eastAsia="Arial" w:hAnsi="Arial"/>
          <w:sz w:val="18"/>
          <w:szCs w:val="18"/>
          <w:color w:val="auto"/>
        </w:rPr>
      </w:pPr>
      <w:r>
        <w:rPr>
          <w:rFonts w:ascii="Arial" w:cs="Arial" w:eastAsia="Arial" w:hAnsi="Arial"/>
          <w:sz w:val="18"/>
          <w:szCs w:val="18"/>
          <w:color w:val="auto"/>
        </w:rPr>
        <w:t>1.1 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Vringo,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Options who are residents of the State of Israel for tax purposes, or are otherwise subject to taxation in Israel with respect to Options.</w:t>
      </w:r>
    </w:p>
    <w:p>
      <w:pPr>
        <w:spacing w:after="0" w:line="77"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1.2 This Appendix shall be effective as of _____________ 2012.</w:t>
      </w:r>
    </w:p>
    <w:p>
      <w:pPr>
        <w:spacing w:after="0" w:line="113" w:lineRule="exact"/>
        <w:rPr>
          <w:rFonts w:ascii="Arial" w:cs="Arial" w:eastAsia="Arial" w:hAnsi="Arial"/>
          <w:sz w:val="18"/>
          <w:szCs w:val="18"/>
          <w:color w:val="auto"/>
        </w:rPr>
      </w:pPr>
    </w:p>
    <w:p>
      <w:pPr>
        <w:ind w:left="280" w:hanging="275"/>
        <w:spacing w:after="0"/>
        <w:tabs>
          <w:tab w:leader="none" w:pos="2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PURPOSE</w:t>
      </w:r>
    </w:p>
    <w:p>
      <w:pPr>
        <w:spacing w:after="0" w:line="113" w:lineRule="exact"/>
        <w:rPr>
          <w:rFonts w:ascii="Arial" w:cs="Arial" w:eastAsia="Arial" w:hAnsi="Arial"/>
          <w:sz w:val="18"/>
          <w:szCs w:val="18"/>
          <w:color w:val="auto"/>
        </w:rPr>
      </w:pPr>
    </w:p>
    <w:p>
      <w:pPr>
        <w:ind w:left="600" w:right="619" w:hanging="334"/>
        <w:spacing w:after="0" w:line="255" w:lineRule="auto"/>
        <w:rPr>
          <w:rFonts w:ascii="Arial" w:cs="Arial" w:eastAsia="Arial" w:hAnsi="Arial"/>
          <w:sz w:val="18"/>
          <w:szCs w:val="18"/>
          <w:color w:val="auto"/>
        </w:rPr>
      </w:pPr>
      <w:r>
        <w:rPr>
          <w:rFonts w:ascii="Arial" w:cs="Arial" w:eastAsia="Arial" w:hAnsi="Arial"/>
          <w:sz w:val="18"/>
          <w:szCs w:val="18"/>
          <w:color w:val="auto"/>
        </w:rPr>
        <w:t>2.1 This Appendix applies to Options granted to Israeli Participants under the Plan and such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8"/>
          <w:szCs w:val="18"/>
          <w:b w:val="1"/>
          <w:bCs w:val="1"/>
          <w:color w:val="auto"/>
        </w:rPr>
        <w:t>102 Options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600" w:right="619" w:hanging="334"/>
        <w:spacing w:after="0" w:line="255" w:lineRule="auto"/>
        <w:rPr>
          <w:rFonts w:ascii="Arial" w:cs="Arial" w:eastAsia="Arial" w:hAnsi="Arial"/>
          <w:sz w:val="18"/>
          <w:szCs w:val="18"/>
          <w:color w:val="auto"/>
        </w:rPr>
      </w:pPr>
      <w:r>
        <w:rPr>
          <w:rFonts w:ascii="Arial" w:cs="Arial" w:eastAsia="Arial" w:hAnsi="Arial"/>
          <w:sz w:val="18"/>
          <w:szCs w:val="18"/>
          <w:color w:val="auto"/>
        </w:rPr>
        <w:t>2.2 The purpose of this Appendix is to establish certain rules and limitations applicable to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82" w:lineRule="exact"/>
        <w:rPr>
          <w:rFonts w:ascii="Arial" w:cs="Arial" w:eastAsia="Arial" w:hAnsi="Arial"/>
          <w:sz w:val="18"/>
          <w:szCs w:val="18"/>
          <w:color w:val="auto"/>
        </w:rPr>
      </w:pPr>
    </w:p>
    <w:p>
      <w:pPr>
        <w:ind w:left="280" w:hanging="275"/>
        <w:spacing w:after="0"/>
        <w:tabs>
          <w:tab w:leader="none" w:pos="2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4" w:lineRule="exact"/>
        <w:rPr>
          <w:sz w:val="20"/>
          <w:szCs w:val="20"/>
          <w:color w:val="auto"/>
        </w:rPr>
      </w:pPr>
    </w:p>
    <w:p>
      <w:pPr>
        <w:ind w:left="600" w:right="639" w:hanging="333"/>
        <w:spacing w:after="0" w:line="270" w:lineRule="auto"/>
        <w:rPr>
          <w:sz w:val="20"/>
          <w:szCs w:val="20"/>
          <w:color w:val="auto"/>
        </w:rPr>
      </w:pPr>
      <w:r>
        <w:rPr>
          <w:rFonts w:ascii="Arial" w:cs="Arial" w:eastAsia="Arial" w:hAnsi="Arial"/>
          <w:sz w:val="18"/>
          <w:szCs w:val="18"/>
          <w:color w:val="auto"/>
        </w:rPr>
        <w:t>3.1 Capitalized Terms not otherwise defined herein shall have the meanings assigned in the Plan. The following additional terms will apply to grants made pursuant to this Appendix:</w:t>
      </w:r>
    </w:p>
    <w:p>
      <w:pPr>
        <w:spacing w:after="0" w:line="65" w:lineRule="exact"/>
        <w:rPr>
          <w:sz w:val="20"/>
          <w:szCs w:val="20"/>
          <w:color w:val="auto"/>
        </w:rPr>
      </w:pPr>
    </w:p>
    <w:p>
      <w:pPr>
        <w:ind w:left="600" w:right="61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 Option</w:t>
      </w:r>
      <w:r>
        <w:rPr>
          <w:rFonts w:ascii="Arial" w:cs="Arial" w:eastAsia="Arial" w:hAnsi="Arial"/>
          <w:sz w:val="18"/>
          <w:szCs w:val="18"/>
          <w:color w:val="auto"/>
        </w:rPr>
        <w:t>” means an Option granted under the terms of Section 3(i) of the Ordinance to persons which do not qualify as “employees” under the provisions of Section 102.</w:t>
      </w:r>
    </w:p>
    <w:p>
      <w:pPr>
        <w:spacing w:after="0" w:line="60" w:lineRule="exact"/>
        <w:rPr>
          <w:sz w:val="20"/>
          <w:szCs w:val="20"/>
          <w:color w:val="auto"/>
        </w:rPr>
      </w:pPr>
    </w:p>
    <w:p>
      <w:pPr>
        <w:jc w:val="both"/>
        <w:ind w:left="600" w:right="63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 (2)), or the “Ordinary Income Track” (as set under Section 102(b)(1)), but subject to the provisions of Section 102(g) of the Ordinance.</w:t>
      </w:r>
    </w:p>
    <w:p>
      <w:pPr>
        <w:spacing w:after="0" w:line="73" w:lineRule="exact"/>
        <w:rPr>
          <w:sz w:val="20"/>
          <w:szCs w:val="20"/>
          <w:color w:val="auto"/>
        </w:rPr>
      </w:pPr>
    </w:p>
    <w:p>
      <w:pPr>
        <w:ind w:left="600" w:right="6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Option</w:t>
      </w:r>
      <w:r>
        <w:rPr>
          <w:rFonts w:ascii="Arial" w:cs="Arial" w:eastAsia="Arial" w:hAnsi="Arial"/>
          <w:sz w:val="18"/>
          <w:szCs w:val="18"/>
          <w:color w:val="auto"/>
        </w:rPr>
        <w:t>” means an Option intended to qualify, under the provisions of Section 102(b) of the Ordinance (including the Section 102(b) Choice of Track), as either:</w:t>
      </w:r>
    </w:p>
    <w:p>
      <w:pPr>
        <w:spacing w:after="0" w:line="60" w:lineRule="exact"/>
        <w:rPr>
          <w:sz w:val="20"/>
          <w:szCs w:val="20"/>
          <w:color w:val="auto"/>
        </w:rPr>
      </w:pPr>
    </w:p>
    <w:p>
      <w:pPr>
        <w:ind w:left="1080" w:hanging="273"/>
        <w:spacing w:after="0"/>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113" w:lineRule="exact"/>
        <w:rPr>
          <w:rFonts w:ascii="Arial" w:cs="Arial" w:eastAsia="Arial" w:hAnsi="Arial"/>
          <w:sz w:val="18"/>
          <w:szCs w:val="18"/>
          <w:color w:val="auto"/>
        </w:rPr>
      </w:pPr>
    </w:p>
    <w:p>
      <w:pPr>
        <w:ind w:left="1080" w:hanging="273"/>
        <w:spacing w:after="0"/>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114" w:lineRule="exact"/>
        <w:rPr>
          <w:sz w:val="20"/>
          <w:szCs w:val="20"/>
          <w:color w:val="auto"/>
        </w:rPr>
      </w:pPr>
    </w:p>
    <w:p>
      <w:pPr>
        <w:jc w:val="both"/>
        <w:ind w:left="580" w:right="63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76" w:lineRule="exact"/>
        <w:rPr>
          <w:sz w:val="20"/>
          <w:szCs w:val="20"/>
          <w:color w:val="auto"/>
        </w:rPr>
      </w:pPr>
    </w:p>
    <w:p>
      <w:pPr>
        <w:jc w:val="both"/>
        <w:ind w:left="580" w:right="6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Person</w:t>
      </w:r>
      <w:r>
        <w:rPr>
          <w:rFonts w:ascii="Arial" w:cs="Arial" w:eastAsia="Arial" w:hAnsi="Arial"/>
          <w:sz w:val="18"/>
          <w:szCs w:val="18"/>
          <w:color w:val="auto"/>
        </w:rPr>
        <w:t>” shall have the meaning ascribed to such definition under Section 102 of the Ordinance, as may be amended from time to time.</w:t>
      </w:r>
    </w:p>
    <w:p>
      <w:pPr>
        <w:spacing w:after="0" w:line="60" w:lineRule="exact"/>
        <w:rPr>
          <w:sz w:val="20"/>
          <w:szCs w:val="20"/>
          <w:color w:val="auto"/>
        </w:rPr>
      </w:pPr>
    </w:p>
    <w:p>
      <w:pPr>
        <w:jc w:val="both"/>
        <w:ind w:left="580" w:right="61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employee</w:t>
      </w:r>
      <w:r>
        <w:rPr>
          <w:rFonts w:ascii="Arial" w:cs="Arial" w:eastAsia="Arial" w:hAnsi="Arial"/>
          <w:sz w:val="18"/>
          <w:szCs w:val="18"/>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73" w:lineRule="exact"/>
        <w:rPr>
          <w:sz w:val="20"/>
          <w:szCs w:val="20"/>
          <w:color w:val="auto"/>
        </w:rPr>
      </w:pPr>
    </w:p>
    <w:p>
      <w:pPr>
        <w:jc w:val="both"/>
        <w:ind w:left="580" w:right="63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w:t>
      </w:r>
    </w:p>
    <w:p>
      <w:pPr>
        <w:spacing w:after="0" w:line="200" w:lineRule="exact"/>
        <w:rPr>
          <w:sz w:val="20"/>
          <w:szCs w:val="20"/>
          <w:color w:val="auto"/>
        </w:rPr>
      </w:pPr>
    </w:p>
    <w:p>
      <w:pPr>
        <w:spacing w:after="0" w:line="3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0" w:name="page371"/>
    <w:bookmarkEnd w:id="3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306" w:lineRule="auto"/>
        <w:rPr>
          <w:sz w:val="20"/>
          <w:szCs w:val="20"/>
          <w:color w:val="auto"/>
        </w:rPr>
      </w:pPr>
      <w:r>
        <w:rPr>
          <w:rFonts w:ascii="Arial" w:cs="Arial" w:eastAsia="Arial" w:hAnsi="Arial"/>
          <w:sz w:val="16"/>
          <w:szCs w:val="16"/>
          <w:color w:val="auto"/>
        </w:rPr>
        <w:t>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41" w:lineRule="exact"/>
        <w:rPr>
          <w:sz w:val="20"/>
          <w:szCs w:val="20"/>
          <w:color w:val="auto"/>
        </w:rPr>
      </w:pPr>
    </w:p>
    <w:p>
      <w:pPr>
        <w:jc w:val="both"/>
        <w:ind w:left="580" w:right="61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73" w:lineRule="exact"/>
        <w:rPr>
          <w:sz w:val="20"/>
          <w:szCs w:val="20"/>
          <w:color w:val="auto"/>
        </w:rPr>
      </w:pPr>
    </w:p>
    <w:p>
      <w:pPr>
        <w:jc w:val="both"/>
        <w:ind w:left="580" w:right="6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or distributed in respect of Shares issued pursuant to exercise of Options under the Appendix, including bonus shares but excluding cash dividends.</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xml:space="preserve"> means the Income Tax Rules (Tax Benefits in Share Issuances to Employees) 5763-2003.</w:t>
      </w:r>
    </w:p>
    <w:p>
      <w:pPr>
        <w:spacing w:after="0" w:line="114" w:lineRule="exact"/>
        <w:rPr>
          <w:sz w:val="20"/>
          <w:szCs w:val="20"/>
          <w:color w:val="auto"/>
        </w:rPr>
      </w:pPr>
    </w:p>
    <w:p>
      <w:pPr>
        <w:jc w:val="both"/>
        <w:ind w:left="580" w:right="6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Options granted pursuant to Section 102(c) of the Ordinance and not held in trust by a Trustee.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4.  DESIGNATION OF PARTICIPANTS</w:t>
      </w:r>
    </w:p>
    <w:p>
      <w:pPr>
        <w:spacing w:after="0" w:line="114" w:lineRule="exact"/>
        <w:rPr>
          <w:sz w:val="20"/>
          <w:szCs w:val="20"/>
          <w:color w:val="auto"/>
        </w:rPr>
      </w:pPr>
    </w:p>
    <w:p>
      <w:pPr>
        <w:jc w:val="both"/>
        <w:ind w:left="320" w:right="619"/>
        <w:spacing w:after="0" w:line="251" w:lineRule="auto"/>
        <w:rPr>
          <w:sz w:val="20"/>
          <w:szCs w:val="20"/>
          <w:color w:val="auto"/>
        </w:rPr>
      </w:pPr>
      <w:r>
        <w:rPr>
          <w:rFonts w:ascii="Arial" w:cs="Arial" w:eastAsia="Arial" w:hAnsi="Arial"/>
          <w:sz w:val="18"/>
          <w:szCs w:val="18"/>
          <w:color w:val="auto"/>
        </w:rPr>
        <w:t>The persons eligible for participation under the Appendix as recipients of Options shall include any Employees (including officers), directors and consultants of the Company or of any Affiliate of the Company who are residents of the State of Israel or those who are deemed to be residents of the State of Israel for the payment of tax. The grant of an Option hereunder shall neither entitle the recipient thereof to participate nor disqualify him from participating in, any other grant of Options pursuant to the Appendix, the Plan or any other equity plan of the Company or any of its Affiliates. Notwithstanding the foregoing, no 102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86" w:lineRule="exact"/>
        <w:rPr>
          <w:sz w:val="20"/>
          <w:szCs w:val="20"/>
          <w:color w:val="auto"/>
        </w:rPr>
      </w:pPr>
    </w:p>
    <w:p>
      <w:pPr>
        <w:ind w:left="280" w:hanging="275"/>
        <w:spacing w:after="0"/>
        <w:tabs>
          <w:tab w:leader="none" w:pos="2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DESIGNATION OF OPTIONS PURSUANT TO SECTION 102</w:t>
      </w:r>
    </w:p>
    <w:p>
      <w:pPr>
        <w:spacing w:after="0" w:line="113" w:lineRule="exact"/>
        <w:rPr>
          <w:rFonts w:ascii="Arial" w:cs="Arial" w:eastAsia="Arial" w:hAnsi="Arial"/>
          <w:sz w:val="18"/>
          <w:szCs w:val="18"/>
          <w:color w:val="auto"/>
        </w:rPr>
      </w:pPr>
    </w:p>
    <w:p>
      <w:pPr>
        <w:ind w:left="600" w:right="639" w:hanging="334"/>
        <w:spacing w:after="0" w:line="270" w:lineRule="auto"/>
        <w:rPr>
          <w:rFonts w:ascii="Arial" w:cs="Arial" w:eastAsia="Arial" w:hAnsi="Arial"/>
          <w:sz w:val="18"/>
          <w:szCs w:val="18"/>
          <w:color w:val="auto"/>
        </w:rPr>
      </w:pPr>
      <w:r>
        <w:rPr>
          <w:rFonts w:ascii="Arial" w:cs="Arial" w:eastAsia="Arial" w:hAnsi="Arial"/>
          <w:sz w:val="18"/>
          <w:szCs w:val="18"/>
          <w:color w:val="auto"/>
        </w:rPr>
        <w:t>5.1 The Company may designate Options granted to Employees pursuant to Section 102 of the Ordinance as Unapproved 102 Options or 102(b) Options.</w:t>
      </w:r>
    </w:p>
    <w:p>
      <w:pPr>
        <w:spacing w:after="0" w:line="68" w:lineRule="exact"/>
        <w:rPr>
          <w:rFonts w:ascii="Arial" w:cs="Arial" w:eastAsia="Arial" w:hAnsi="Arial"/>
          <w:sz w:val="18"/>
          <w:szCs w:val="18"/>
          <w:color w:val="auto"/>
        </w:rPr>
      </w:pPr>
    </w:p>
    <w:p>
      <w:pPr>
        <w:ind w:left="600" w:right="619" w:hanging="334"/>
        <w:spacing w:after="0" w:line="270" w:lineRule="auto"/>
        <w:rPr>
          <w:rFonts w:ascii="Arial" w:cs="Arial" w:eastAsia="Arial" w:hAnsi="Arial"/>
          <w:sz w:val="18"/>
          <w:szCs w:val="18"/>
          <w:color w:val="auto"/>
        </w:rPr>
      </w:pPr>
      <w:r>
        <w:rPr>
          <w:rFonts w:ascii="Arial" w:cs="Arial" w:eastAsia="Arial" w:hAnsi="Arial"/>
          <w:sz w:val="18"/>
          <w:szCs w:val="18"/>
          <w:color w:val="auto"/>
        </w:rPr>
        <w:t>5.2 The grant of 102(b) Options shall be made under this Appendix and shall be conditioned upon the approval of this Appendix by the Israeli Tax Authorities (the “</w:t>
      </w:r>
      <w:r>
        <w:rPr>
          <w:rFonts w:ascii="Arial" w:cs="Arial" w:eastAsia="Arial" w:hAnsi="Arial"/>
          <w:sz w:val="18"/>
          <w:szCs w:val="18"/>
          <w:b w:val="1"/>
          <w:bCs w:val="1"/>
          <w:color w:val="auto"/>
        </w:rPr>
        <w:t>ITA</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600" w:right="639" w:hanging="334"/>
        <w:spacing w:after="0" w:line="270" w:lineRule="auto"/>
        <w:rPr>
          <w:rFonts w:ascii="Arial" w:cs="Arial" w:eastAsia="Arial" w:hAnsi="Arial"/>
          <w:sz w:val="18"/>
          <w:szCs w:val="18"/>
          <w:color w:val="auto"/>
        </w:rPr>
      </w:pPr>
      <w:r>
        <w:rPr>
          <w:rFonts w:ascii="Arial" w:cs="Arial" w:eastAsia="Arial" w:hAnsi="Arial"/>
          <w:sz w:val="18"/>
          <w:szCs w:val="18"/>
          <w:color w:val="auto"/>
        </w:rPr>
        <w:t>5.3 102(b) Options may either be classified as 102(b)(2) Options under the capital gain tax Track or 102(b)(1) Options under the Ordinary Income Track.</w:t>
      </w:r>
    </w:p>
    <w:p>
      <w:pPr>
        <w:spacing w:after="0" w:line="68" w:lineRule="exact"/>
        <w:rPr>
          <w:rFonts w:ascii="Arial" w:cs="Arial" w:eastAsia="Arial" w:hAnsi="Arial"/>
          <w:sz w:val="18"/>
          <w:szCs w:val="18"/>
          <w:color w:val="auto"/>
        </w:rPr>
      </w:pPr>
    </w:p>
    <w:p>
      <w:pPr>
        <w:ind w:left="600" w:right="619" w:hanging="334"/>
        <w:spacing w:after="0" w:line="267" w:lineRule="auto"/>
        <w:rPr>
          <w:rFonts w:ascii="Arial" w:cs="Arial" w:eastAsia="Arial" w:hAnsi="Arial"/>
          <w:sz w:val="18"/>
          <w:szCs w:val="18"/>
          <w:color w:val="auto"/>
        </w:rPr>
      </w:pPr>
      <w:r>
        <w:rPr>
          <w:rFonts w:ascii="Arial" w:cs="Arial" w:eastAsia="Arial" w:hAnsi="Arial"/>
          <w:sz w:val="17"/>
          <w:szCs w:val="17"/>
          <w:color w:val="auto"/>
        </w:rPr>
        <w:t>5.4 The Company’s election of the type of 102(b) Options as 102(b)(2) Options or 102(b)(1) Options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ITA before the date of grant of 102(b) Options. Such Election shall become effective beginning the first date of grant of 102(b) Option under this Appendix and shall remain in effect at least until the end of the year following the year during which the Company first granted 102(b) Options or such other period as shall be determined from time to time under Section 102 of the Ordinance and the Rules, regulation and orders promulgated thereunder. The Election shall obligate the Company to grant only the type of 102(b)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Options simultaneously.</w:t>
      </w:r>
    </w:p>
    <w:p>
      <w:pPr>
        <w:spacing w:after="0" w:line="74"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5.5 All 102(b) Options must be held in trust by a Trustee, as described in Section 6 below.</w:t>
      </w:r>
    </w:p>
    <w:p>
      <w:pPr>
        <w:spacing w:after="0" w:line="113" w:lineRule="exact"/>
        <w:rPr>
          <w:rFonts w:ascii="Arial" w:cs="Arial" w:eastAsia="Arial" w:hAnsi="Arial"/>
          <w:sz w:val="18"/>
          <w:szCs w:val="18"/>
          <w:color w:val="auto"/>
        </w:rPr>
      </w:pPr>
    </w:p>
    <w:p>
      <w:pPr>
        <w:ind w:left="600" w:right="639" w:hanging="334"/>
        <w:spacing w:after="0" w:line="334" w:lineRule="auto"/>
        <w:rPr>
          <w:rFonts w:ascii="Arial" w:cs="Arial" w:eastAsia="Arial" w:hAnsi="Arial"/>
          <w:sz w:val="18"/>
          <w:szCs w:val="18"/>
          <w:color w:val="auto"/>
        </w:rPr>
      </w:pPr>
      <w:r>
        <w:rPr>
          <w:rFonts w:ascii="Arial" w:cs="Arial" w:eastAsia="Arial" w:hAnsi="Arial"/>
          <w:sz w:val="16"/>
          <w:szCs w:val="16"/>
          <w:color w:val="auto"/>
        </w:rPr>
        <w:t>5.6 For the avoidance of doubt, the designation of Unapproved 102 Options and 102(b) Options shall be subject to the terms and conditions set forth in Section 102 of the Ordinance and Rules, regulations and orders promulgated thereunder.</w:t>
      </w:r>
    </w:p>
    <w:p>
      <w:pPr>
        <w:spacing w:after="0" w:line="22" w:lineRule="exact"/>
        <w:rPr>
          <w:rFonts w:ascii="Arial" w:cs="Arial" w:eastAsia="Arial" w:hAnsi="Arial"/>
          <w:sz w:val="18"/>
          <w:szCs w:val="18"/>
          <w:color w:val="auto"/>
        </w:rPr>
      </w:pPr>
    </w:p>
    <w:p>
      <w:pPr>
        <w:ind w:left="600" w:right="619" w:hanging="334"/>
        <w:spacing w:after="0" w:line="259" w:lineRule="auto"/>
        <w:rPr>
          <w:rFonts w:ascii="Arial" w:cs="Arial" w:eastAsia="Arial" w:hAnsi="Arial"/>
          <w:sz w:val="18"/>
          <w:szCs w:val="18"/>
          <w:color w:val="auto"/>
        </w:rPr>
      </w:pPr>
      <w:r>
        <w:rPr>
          <w:rFonts w:ascii="Arial" w:cs="Arial" w:eastAsia="Arial" w:hAnsi="Arial"/>
          <w:sz w:val="18"/>
          <w:szCs w:val="18"/>
          <w:color w:val="auto"/>
        </w:rPr>
        <w:t>5.7 With regards to 102(b) Options, the provisions of the Appendix and/or the Option Agreement shall be subject to the provisions of Section 102 of the Ordinance and the Tax Assessing Officer’s permit, and the said provisions and permit shall be deemed an integral part of the Plan, the</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1" w:name="page372"/>
    <w:bookmarkEnd w:id="3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19"/>
        <w:spacing w:after="0" w:line="255" w:lineRule="auto"/>
        <w:rPr>
          <w:sz w:val="20"/>
          <w:szCs w:val="20"/>
          <w:color w:val="auto"/>
        </w:rPr>
      </w:pPr>
      <w:r>
        <w:rPr>
          <w:rFonts w:ascii="Arial" w:cs="Arial" w:eastAsia="Arial" w:hAnsi="Arial"/>
          <w:sz w:val="18"/>
          <w:szCs w:val="18"/>
          <w:color w:val="auto"/>
        </w:rPr>
        <w:t>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83" w:lineRule="exact"/>
        <w:rPr>
          <w:sz w:val="20"/>
          <w:szCs w:val="20"/>
          <w:color w:val="auto"/>
        </w:rPr>
      </w:pPr>
    </w:p>
    <w:p>
      <w:pPr>
        <w:ind w:left="260" w:hanging="215"/>
        <w:spacing w:after="0"/>
        <w:tabs>
          <w:tab w:leader="none" w:pos="2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TRUSTEE</w:t>
      </w:r>
    </w:p>
    <w:p>
      <w:pPr>
        <w:spacing w:after="0" w:line="113" w:lineRule="exact"/>
        <w:rPr>
          <w:rFonts w:ascii="Arial" w:cs="Arial" w:eastAsia="Arial" w:hAnsi="Arial"/>
          <w:sz w:val="18"/>
          <w:szCs w:val="18"/>
          <w:color w:val="auto"/>
        </w:rPr>
      </w:pPr>
    </w:p>
    <w:p>
      <w:pPr>
        <w:ind w:left="600" w:right="619" w:hanging="334"/>
        <w:spacing w:after="0" w:line="282" w:lineRule="auto"/>
        <w:rPr>
          <w:rFonts w:ascii="Arial" w:cs="Arial" w:eastAsia="Arial" w:hAnsi="Arial"/>
          <w:sz w:val="18"/>
          <w:szCs w:val="18"/>
          <w:color w:val="auto"/>
        </w:rPr>
      </w:pPr>
      <w:r>
        <w:rPr>
          <w:rFonts w:ascii="Arial" w:cs="Arial" w:eastAsia="Arial" w:hAnsi="Arial"/>
          <w:sz w:val="16"/>
          <w:szCs w:val="16"/>
          <w:color w:val="auto"/>
        </w:rPr>
        <w:t>6.1 The 102(b) Options which shall be granted to Participants and/or any Shares issued upon exercise of such 102(b) Options and/or any other shares received subsequently following any realization of rights resulting from a 102(b)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6"/>
          <w:szCs w:val="16"/>
          <w:b w:val="1"/>
          <w:bCs w:val="1"/>
          <w:color w:val="auto"/>
        </w:rPr>
        <w:t>Trustee</w:t>
      </w:r>
      <w:r>
        <w:rPr>
          <w:rFonts w:ascii="Arial" w:cs="Arial" w:eastAsia="Arial" w:hAnsi="Arial"/>
          <w:sz w:val="16"/>
          <w:szCs w:val="16"/>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Options and Shares held by such Trustee at such time to its successor. The Trustee will hold such 102(b)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Options may be regarded as Unapproved 102 Options, all in accordance with the provisions of Section 102.</w:t>
      </w:r>
    </w:p>
    <w:p>
      <w:pPr>
        <w:spacing w:after="0" w:line="67" w:lineRule="exact"/>
        <w:rPr>
          <w:rFonts w:ascii="Arial" w:cs="Arial" w:eastAsia="Arial" w:hAnsi="Arial"/>
          <w:sz w:val="18"/>
          <w:szCs w:val="18"/>
          <w:color w:val="auto"/>
        </w:rPr>
      </w:pPr>
    </w:p>
    <w:p>
      <w:pPr>
        <w:ind w:left="600" w:right="639" w:hanging="334"/>
        <w:spacing w:after="0" w:line="255" w:lineRule="auto"/>
        <w:rPr>
          <w:rFonts w:ascii="Arial" w:cs="Arial" w:eastAsia="Arial" w:hAnsi="Arial"/>
          <w:sz w:val="18"/>
          <w:szCs w:val="18"/>
          <w:color w:val="auto"/>
        </w:rPr>
      </w:pPr>
      <w:r>
        <w:rPr>
          <w:rFonts w:ascii="Arial" w:cs="Arial" w:eastAsia="Arial" w:hAnsi="Arial"/>
          <w:sz w:val="18"/>
          <w:szCs w:val="18"/>
          <w:color w:val="auto"/>
        </w:rPr>
        <w:t>6.2 Anything to the contrary notwithstanding, the Trustee shall not release any 102(b) Options which were not already exercised into Shares by the Participant or release any Shares issued upon exercise of such 102(b) Options prior to the full payment of the Participant’s tax liabilities arising from such 102(b) Options which were granted to him and/or any Shares issued upon exercise of such 102(b) Options.</w:t>
      </w:r>
    </w:p>
    <w:p>
      <w:pPr>
        <w:spacing w:after="0" w:line="82" w:lineRule="exact"/>
        <w:rPr>
          <w:rFonts w:ascii="Arial" w:cs="Arial" w:eastAsia="Arial" w:hAnsi="Arial"/>
          <w:sz w:val="18"/>
          <w:szCs w:val="18"/>
          <w:color w:val="auto"/>
        </w:rPr>
      </w:pPr>
    </w:p>
    <w:p>
      <w:pPr>
        <w:ind w:left="600" w:right="639" w:hanging="334"/>
        <w:spacing w:after="0" w:line="255" w:lineRule="auto"/>
        <w:rPr>
          <w:rFonts w:ascii="Arial" w:cs="Arial" w:eastAsia="Arial" w:hAnsi="Arial"/>
          <w:sz w:val="18"/>
          <w:szCs w:val="18"/>
          <w:color w:val="auto"/>
        </w:rPr>
      </w:pPr>
      <w:r>
        <w:rPr>
          <w:rFonts w:ascii="Arial" w:cs="Arial" w:eastAsia="Arial" w:hAnsi="Arial"/>
          <w:sz w:val="18"/>
          <w:szCs w:val="18"/>
          <w:color w:val="auto"/>
        </w:rPr>
        <w:t>6.3 Upon receipt of a 102(b) Option, the Participant will sign the Option Agreement or an applicable option award which shall be deemed as the Participant’s undertaking to exempt the Trustee from any liability in respect of any action or decision duly taken and bona fide executed in relation with the Plan and the Appendix, or any 102(b) Option or Share granted to him thereunder.</w:t>
      </w:r>
    </w:p>
    <w:p>
      <w:pPr>
        <w:spacing w:after="0" w:line="82" w:lineRule="exact"/>
        <w:rPr>
          <w:rFonts w:ascii="Arial" w:cs="Arial" w:eastAsia="Arial" w:hAnsi="Arial"/>
          <w:sz w:val="18"/>
          <w:szCs w:val="18"/>
          <w:color w:val="auto"/>
        </w:rPr>
      </w:pPr>
    </w:p>
    <w:p>
      <w:pPr>
        <w:ind w:left="600" w:right="619" w:hanging="334"/>
        <w:spacing w:after="0" w:line="253" w:lineRule="auto"/>
        <w:rPr>
          <w:rFonts w:ascii="Arial" w:cs="Arial" w:eastAsia="Arial" w:hAnsi="Arial"/>
          <w:sz w:val="18"/>
          <w:szCs w:val="18"/>
          <w:color w:val="auto"/>
        </w:rPr>
      </w:pPr>
      <w:r>
        <w:rPr>
          <w:rFonts w:ascii="Arial" w:cs="Arial" w:eastAsia="Arial" w:hAnsi="Arial"/>
          <w:sz w:val="18"/>
          <w:szCs w:val="18"/>
          <w:color w:val="auto"/>
        </w:rPr>
        <w:t>6.4 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Option, which are expressly provided for in this Appendix or the respective Option Agreement with such Participant, or is (ii) necessary or desirable in the light of any change or replacement of Section 102 of the Ordinance.</w:t>
      </w:r>
    </w:p>
    <w:p>
      <w:pPr>
        <w:spacing w:after="0" w:line="85" w:lineRule="exact"/>
        <w:rPr>
          <w:rFonts w:ascii="Arial" w:cs="Arial" w:eastAsia="Arial" w:hAnsi="Arial"/>
          <w:sz w:val="18"/>
          <w:szCs w:val="18"/>
          <w:color w:val="auto"/>
        </w:rPr>
      </w:pPr>
    </w:p>
    <w:p>
      <w:pPr>
        <w:ind w:left="600" w:right="619" w:hanging="334"/>
        <w:spacing w:after="0" w:line="268" w:lineRule="auto"/>
        <w:rPr>
          <w:rFonts w:ascii="Arial" w:cs="Arial" w:eastAsia="Arial" w:hAnsi="Arial"/>
          <w:sz w:val="18"/>
          <w:szCs w:val="18"/>
          <w:color w:val="auto"/>
        </w:rPr>
      </w:pPr>
      <w:r>
        <w:rPr>
          <w:rFonts w:ascii="Arial" w:cs="Arial" w:eastAsia="Arial" w:hAnsi="Arial"/>
          <w:sz w:val="17"/>
          <w:szCs w:val="17"/>
          <w:color w:val="auto"/>
        </w:rPr>
        <w:t>6.5 Any and all Rights with respect to a 102(b)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Option hereunder. Notwithstanding the aforesaid, Shares issued pursuant to the exercise of 102(b) Options hereunder or Rights may be sold or transferred, and the Trustee may release such Shares issued pursuant to the exercise of 102(b) Options hereunder (or the applicable option award) or Rights from trust, prior to the lapse of the transferred until the lapse of the minimum period permitted by applicable law.</w:t>
      </w: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2" w:name="page373"/>
    <w:bookmarkEnd w:id="3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0" w:right="619" w:hanging="333"/>
        <w:spacing w:after="0" w:line="255" w:lineRule="auto"/>
        <w:rPr>
          <w:sz w:val="20"/>
          <w:szCs w:val="20"/>
          <w:color w:val="auto"/>
        </w:rPr>
      </w:pPr>
      <w:r>
        <w:rPr>
          <w:rFonts w:ascii="Arial" w:cs="Arial" w:eastAsia="Arial" w:hAnsi="Arial"/>
          <w:sz w:val="18"/>
          <w:szCs w:val="18"/>
          <w:color w:val="auto"/>
        </w:rPr>
        <w:t>6.6 During the period in which Shares, issued to the Trustee on behalf of a Participant upon exercise of a 102(b)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83" w:lineRule="exact"/>
        <w:rPr>
          <w:sz w:val="20"/>
          <w:szCs w:val="20"/>
          <w:color w:val="auto"/>
        </w:rPr>
      </w:pPr>
    </w:p>
    <w:p>
      <w:pPr>
        <w:jc w:val="both"/>
        <w:ind w:left="600" w:right="639" w:hanging="333"/>
        <w:spacing w:after="0" w:line="334" w:lineRule="auto"/>
        <w:rPr>
          <w:sz w:val="20"/>
          <w:szCs w:val="20"/>
          <w:color w:val="auto"/>
        </w:rPr>
      </w:pPr>
      <w:r>
        <w:rPr>
          <w:rFonts w:ascii="Arial" w:cs="Arial" w:eastAsia="Arial" w:hAnsi="Arial"/>
          <w:sz w:val="16"/>
          <w:szCs w:val="16"/>
          <w:color w:val="auto"/>
        </w:rPr>
        <w:t>6.7 As long as Shares are held by the Trustee in favor of the Participant, then all rights the last possesses over the Shares are personal, cannot be transferred, assigned, pledged or mortgaged, other than by will or laws of descent and distribution.</w:t>
      </w:r>
    </w:p>
    <w:p>
      <w:pPr>
        <w:spacing w:after="0" w:line="23" w:lineRule="exact"/>
        <w:rPr>
          <w:sz w:val="20"/>
          <w:szCs w:val="20"/>
          <w:color w:val="auto"/>
        </w:rPr>
      </w:pPr>
    </w:p>
    <w:p>
      <w:pPr>
        <w:ind w:left="280" w:hanging="275"/>
        <w:spacing w:after="0"/>
        <w:tabs>
          <w:tab w:leader="none" w:pos="2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SHARES RESERVED FOR THE PLAN; RESTRICTION THEREON</w:t>
      </w:r>
    </w:p>
    <w:p>
      <w:pPr>
        <w:spacing w:after="0" w:line="113" w:lineRule="exact"/>
        <w:rPr>
          <w:rFonts w:ascii="Arial" w:cs="Arial" w:eastAsia="Arial" w:hAnsi="Arial"/>
          <w:sz w:val="18"/>
          <w:szCs w:val="18"/>
          <w:color w:val="auto"/>
        </w:rPr>
      </w:pPr>
    </w:p>
    <w:p>
      <w:pPr>
        <w:ind w:left="600" w:right="619" w:hanging="334"/>
        <w:spacing w:after="0" w:line="268" w:lineRule="auto"/>
        <w:rPr>
          <w:rFonts w:ascii="Arial" w:cs="Arial" w:eastAsia="Arial" w:hAnsi="Arial"/>
          <w:sz w:val="18"/>
          <w:szCs w:val="18"/>
          <w:color w:val="auto"/>
        </w:rPr>
      </w:pPr>
      <w:r>
        <w:rPr>
          <w:rFonts w:ascii="Arial" w:cs="Arial" w:eastAsia="Arial" w:hAnsi="Arial"/>
          <w:sz w:val="17"/>
          <w:szCs w:val="17"/>
          <w:color w:val="auto"/>
        </w:rPr>
        <w:t>7.1 Each Option granted pursuant to this Appendix, shall be evidenced by an Option Agreement between the Company and the Participant, in such form as the Board of Directors or the Administrator, as applicable, shall from time to time approve. Each Option Agreement shall state a number of the Shares to which the Option relates and the type of Option granted thereunder (whether a 102(b)(1) Option, 102(b)(2) Option, or a 3(i) Option), the purchase price per Share and the vesting schedule to which such Option shall become exercisable. Options may be granted at any time after this Appendix has been approved by the Company, subject to any further approval or consent required under Section 102 of the Ordinance or the Rules, in case of 102(b) Options, and other applicable law.</w:t>
      </w:r>
    </w:p>
    <w:p>
      <w:pPr>
        <w:spacing w:after="0" w:line="75" w:lineRule="exact"/>
        <w:rPr>
          <w:rFonts w:ascii="Arial" w:cs="Arial" w:eastAsia="Arial" w:hAnsi="Arial"/>
          <w:sz w:val="18"/>
          <w:szCs w:val="18"/>
          <w:color w:val="auto"/>
        </w:rPr>
      </w:pPr>
    </w:p>
    <w:p>
      <w:pPr>
        <w:ind w:left="600" w:right="639" w:hanging="334"/>
        <w:spacing w:after="0" w:line="270" w:lineRule="auto"/>
        <w:rPr>
          <w:rFonts w:ascii="Arial" w:cs="Arial" w:eastAsia="Arial" w:hAnsi="Arial"/>
          <w:sz w:val="18"/>
          <w:szCs w:val="18"/>
          <w:color w:val="auto"/>
        </w:rPr>
      </w:pPr>
      <w:r>
        <w:rPr>
          <w:rFonts w:ascii="Arial" w:cs="Arial" w:eastAsia="Arial" w:hAnsi="Arial"/>
          <w:sz w:val="17"/>
          <w:szCs w:val="17"/>
          <w:color w:val="auto"/>
        </w:rPr>
        <w:t>7.3 Each Option Agreement evidencing 102(b)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Options and/or the Shares issued pursuant to the exercise of Options prior to the lapse of the period in which the Options and/or such Shares are held in trust, unless the Participant pays all taxes, which may arise in connection with such sale and/or transfer (as provided in Section 6.5 above).</w:t>
      </w:r>
    </w:p>
    <w:p>
      <w:pPr>
        <w:spacing w:after="0" w:line="70" w:lineRule="exact"/>
        <w:rPr>
          <w:rFonts w:ascii="Arial" w:cs="Arial" w:eastAsia="Arial" w:hAnsi="Arial"/>
          <w:sz w:val="18"/>
          <w:szCs w:val="18"/>
          <w:color w:val="auto"/>
        </w:rPr>
      </w:pPr>
    </w:p>
    <w:p>
      <w:pPr>
        <w:ind w:left="280" w:hanging="275"/>
        <w:spacing w:after="0"/>
        <w:tabs>
          <w:tab w:leader="none" w:pos="2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113" w:lineRule="exact"/>
        <w:rPr>
          <w:rFonts w:ascii="Arial" w:cs="Arial" w:eastAsia="Arial" w:hAnsi="Arial"/>
          <w:sz w:val="18"/>
          <w:szCs w:val="18"/>
          <w:color w:val="auto"/>
        </w:rPr>
      </w:pPr>
    </w:p>
    <w:p>
      <w:pPr>
        <w:ind w:left="600" w:right="619" w:hanging="334"/>
        <w:spacing w:after="0" w:line="255" w:lineRule="auto"/>
        <w:rPr>
          <w:rFonts w:ascii="Arial" w:cs="Arial" w:eastAsia="Arial" w:hAnsi="Arial"/>
          <w:sz w:val="18"/>
          <w:szCs w:val="18"/>
          <w:color w:val="auto"/>
        </w:rPr>
      </w:pPr>
      <w:r>
        <w:rPr>
          <w:rFonts w:ascii="Arial" w:cs="Arial" w:eastAsia="Arial" w:hAnsi="Arial"/>
          <w:sz w:val="18"/>
          <w:szCs w:val="18"/>
          <w:color w:val="auto"/>
        </w:rPr>
        <w:t>8.1 The Board of Directors or the Administrator, as required by law, may, at any time and from time to time, amend, alter or discontinue this Appendix, except that no amendment or alteration shall be made which would impair the rights of the holder of any share and/or Option granted, if and to the extent such rights are specifically set forth under the applicable Option Agreement, without such Participant’s written consent.</w:t>
      </w:r>
    </w:p>
    <w:p>
      <w:pPr>
        <w:spacing w:after="0" w:line="82" w:lineRule="exact"/>
        <w:rPr>
          <w:rFonts w:ascii="Arial" w:cs="Arial" w:eastAsia="Arial" w:hAnsi="Arial"/>
          <w:sz w:val="18"/>
          <w:szCs w:val="18"/>
          <w:color w:val="auto"/>
        </w:rPr>
      </w:pPr>
    </w:p>
    <w:p>
      <w:pPr>
        <w:ind w:left="280" w:hanging="275"/>
        <w:spacing w:after="0"/>
        <w:tabs>
          <w:tab w:leader="none" w:pos="2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114" w:lineRule="exact"/>
        <w:rPr>
          <w:sz w:val="20"/>
          <w:szCs w:val="20"/>
          <w:color w:val="auto"/>
        </w:rPr>
      </w:pPr>
    </w:p>
    <w:p>
      <w:pPr>
        <w:jc w:val="both"/>
        <w:ind w:left="320" w:right="619"/>
        <w:spacing w:after="0" w:line="281" w:lineRule="auto"/>
        <w:rPr>
          <w:sz w:val="20"/>
          <w:szCs w:val="20"/>
          <w:color w:val="auto"/>
        </w:rPr>
      </w:pPr>
      <w:r>
        <w:rPr>
          <w:rFonts w:ascii="Arial" w:cs="Arial" w:eastAsia="Arial" w:hAnsi="Arial"/>
          <w:sz w:val="17"/>
          <w:szCs w:val="17"/>
          <w:color w:val="auto"/>
        </w:rPr>
        <w:t>This Appendix and the granting and exercise of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10. CONTINUANCE OF EMPLOYMENT OR HIRED SERVICES</w:t>
      </w:r>
    </w:p>
    <w:p>
      <w:pPr>
        <w:spacing w:after="0" w:line="114" w:lineRule="exact"/>
        <w:rPr>
          <w:sz w:val="20"/>
          <w:szCs w:val="20"/>
          <w:color w:val="auto"/>
        </w:rPr>
      </w:pPr>
    </w:p>
    <w:p>
      <w:pPr>
        <w:jc w:val="both"/>
        <w:ind w:left="320" w:right="619"/>
        <w:spacing w:after="0" w:line="253" w:lineRule="auto"/>
        <w:rPr>
          <w:sz w:val="20"/>
          <w:szCs w:val="20"/>
          <w:color w:val="auto"/>
        </w:rPr>
      </w:pPr>
      <w:r>
        <w:rPr>
          <w:rFonts w:ascii="Arial" w:cs="Arial" w:eastAsia="Arial" w:hAnsi="Arial"/>
          <w:sz w:val="18"/>
          <w:szCs w:val="18"/>
          <w:color w:val="auto"/>
        </w:rPr>
        <w:t>Neither the Plan nor the Option Agreement with the Participant shall impose any obligation on the Company or an Affiliate thereof, to continue any Participant in its employ, or the hiring by the Company of the Participant’s services and nothing in the Plan or in any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3" w:name="page374"/>
    <w:bookmarkEnd w:id="3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80" w:hanging="275"/>
        <w:spacing w:after="0"/>
        <w:tabs>
          <w:tab w:leader="none" w:pos="2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13" w:lineRule="exact"/>
        <w:rPr>
          <w:rFonts w:ascii="Arial" w:cs="Arial" w:eastAsia="Arial" w:hAnsi="Arial"/>
          <w:sz w:val="18"/>
          <w:szCs w:val="18"/>
          <w:color w:val="auto"/>
        </w:rPr>
      </w:pPr>
    </w:p>
    <w:p>
      <w:pPr>
        <w:ind w:left="600" w:right="619" w:hanging="334"/>
        <w:spacing w:after="0" w:line="251" w:lineRule="auto"/>
        <w:rPr>
          <w:rFonts w:ascii="Arial" w:cs="Arial" w:eastAsia="Arial" w:hAnsi="Arial"/>
          <w:sz w:val="18"/>
          <w:szCs w:val="18"/>
          <w:color w:val="auto"/>
        </w:rPr>
      </w:pPr>
      <w:r>
        <w:rPr>
          <w:rFonts w:ascii="Arial" w:cs="Arial" w:eastAsia="Arial" w:hAnsi="Arial"/>
          <w:sz w:val="18"/>
          <w:szCs w:val="18"/>
          <w:color w:val="auto"/>
        </w:rPr>
        <w:t>11.1 To the extent permitted by applicable law, any tax consequences arising from the grant or exercise of any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85" w:lineRule="exact"/>
        <w:rPr>
          <w:rFonts w:ascii="Arial" w:cs="Arial" w:eastAsia="Arial" w:hAnsi="Arial"/>
          <w:sz w:val="18"/>
          <w:szCs w:val="18"/>
          <w:color w:val="auto"/>
        </w:rPr>
      </w:pPr>
    </w:p>
    <w:p>
      <w:pPr>
        <w:ind w:left="600" w:right="639" w:hanging="334"/>
        <w:spacing w:after="0" w:line="300" w:lineRule="auto"/>
        <w:rPr>
          <w:rFonts w:ascii="Arial" w:cs="Arial" w:eastAsia="Arial" w:hAnsi="Arial"/>
          <w:sz w:val="18"/>
          <w:szCs w:val="18"/>
          <w:color w:val="auto"/>
        </w:rPr>
      </w:pPr>
      <w:r>
        <w:rPr>
          <w:rFonts w:ascii="Arial" w:cs="Arial" w:eastAsia="Arial" w:hAnsi="Arial"/>
          <w:sz w:val="17"/>
          <w:szCs w:val="17"/>
          <w:color w:val="auto"/>
        </w:rPr>
        <w:t>11.2 The Board of Directors, the Administrator and/or the Trustee shall not be required to release any Share certificate, issued upon exercise of an Option, to a Participant, until all required payments have been fully made.</w:t>
      </w:r>
    </w:p>
    <w:p>
      <w:pPr>
        <w:spacing w:after="0" w:line="45" w:lineRule="exact"/>
        <w:rPr>
          <w:rFonts w:ascii="Arial" w:cs="Arial" w:eastAsia="Arial" w:hAnsi="Arial"/>
          <w:sz w:val="18"/>
          <w:szCs w:val="18"/>
          <w:color w:val="auto"/>
        </w:rPr>
      </w:pPr>
    </w:p>
    <w:p>
      <w:pPr>
        <w:ind w:left="600" w:right="619" w:hanging="334"/>
        <w:spacing w:after="0" w:line="270" w:lineRule="auto"/>
        <w:rPr>
          <w:rFonts w:ascii="Arial" w:cs="Arial" w:eastAsia="Arial" w:hAnsi="Arial"/>
          <w:sz w:val="18"/>
          <w:szCs w:val="18"/>
          <w:color w:val="auto"/>
        </w:rPr>
      </w:pPr>
      <w:r>
        <w:rPr>
          <w:rFonts w:ascii="Arial" w:cs="Arial" w:eastAsia="Arial" w:hAnsi="Arial"/>
          <w:sz w:val="18"/>
          <w:szCs w:val="18"/>
          <w:color w:val="auto"/>
        </w:rPr>
        <w:t>11.3 Notwithstanding anything herein to the contrary, this Appendix shall be governed by the provisions of the Ordinance, the rules promulgated thereunder, and any other applicable Israeli laws.</w:t>
      </w:r>
    </w:p>
    <w:p>
      <w:pPr>
        <w:spacing w:after="0" w:line="68" w:lineRule="exact"/>
        <w:rPr>
          <w:rFonts w:ascii="Arial" w:cs="Arial" w:eastAsia="Arial" w:hAnsi="Arial"/>
          <w:sz w:val="18"/>
          <w:szCs w:val="18"/>
          <w:color w:val="auto"/>
        </w:rPr>
      </w:pPr>
    </w:p>
    <w:p>
      <w:pPr>
        <w:ind w:left="600" w:right="619" w:hanging="334"/>
        <w:spacing w:after="0" w:line="253" w:lineRule="auto"/>
        <w:rPr>
          <w:rFonts w:ascii="Arial" w:cs="Arial" w:eastAsia="Arial" w:hAnsi="Arial"/>
          <w:sz w:val="18"/>
          <w:szCs w:val="18"/>
          <w:color w:val="auto"/>
        </w:rPr>
      </w:pPr>
      <w:r>
        <w:rPr>
          <w:rFonts w:ascii="Arial" w:cs="Arial" w:eastAsia="Arial" w:hAnsi="Arial"/>
          <w:sz w:val="18"/>
          <w:szCs w:val="18"/>
          <w:color w:val="auto"/>
        </w:rPr>
        <w:t>11.4 Following the grant of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8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74" w:name="page375"/>
    <w:bookmarkEnd w:id="3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8660"/>
        <w:spacing w:after="0"/>
        <w:rPr>
          <w:sz w:val="20"/>
          <w:szCs w:val="20"/>
          <w:color w:val="auto"/>
        </w:rPr>
      </w:pPr>
      <w:r>
        <w:rPr>
          <w:rFonts w:ascii="Arial" w:cs="Arial" w:eastAsia="Arial" w:hAnsi="Arial"/>
          <w:sz w:val="17"/>
          <w:szCs w:val="17"/>
          <w:b w:val="1"/>
          <w:bCs w:val="1"/>
          <w:color w:val="auto"/>
        </w:rPr>
        <w:t>ANNEX E</w:t>
      </w:r>
    </w:p>
    <w:p>
      <w:pPr>
        <w:spacing w:after="0" w:line="232" w:lineRule="exact"/>
        <w:rPr>
          <w:sz w:val="20"/>
          <w:szCs w:val="20"/>
          <w:color w:val="auto"/>
        </w:rPr>
      </w:pPr>
    </w:p>
    <w:p>
      <w:pPr>
        <w:jc w:val="center"/>
        <w:ind w:right="619"/>
        <w:spacing w:after="0" w:line="261" w:lineRule="auto"/>
        <w:rPr>
          <w:sz w:val="20"/>
          <w:szCs w:val="20"/>
          <w:color w:val="auto"/>
        </w:rPr>
      </w:pPr>
      <w:r>
        <w:rPr>
          <w:rFonts w:ascii="Arial" w:cs="Arial" w:eastAsia="Arial" w:hAnsi="Arial"/>
          <w:sz w:val="18"/>
          <w:szCs w:val="18"/>
          <w:b w:val="1"/>
          <w:bCs w:val="1"/>
          <w:color w:val="auto"/>
        </w:rPr>
        <w:t>FORM OF CERTIFICATE OF DESIGNATIONS, PREFERENCES AND RIGHTS OF SERIES A CONVERTIBLE PREFERRED STOCK OF VRINGO, INC.</w:t>
      </w:r>
    </w:p>
    <w:p>
      <w:pPr>
        <w:spacing w:after="0" w:line="73" w:lineRule="exact"/>
        <w:rPr>
          <w:sz w:val="20"/>
          <w:szCs w:val="20"/>
          <w:color w:val="auto"/>
        </w:rPr>
      </w:pPr>
    </w:p>
    <w:p>
      <w:pPr>
        <w:jc w:val="both"/>
        <w:ind w:left="40" w:right="619" w:firstLine="267"/>
        <w:spacing w:after="0" w:line="269" w:lineRule="auto"/>
        <w:rPr>
          <w:sz w:val="20"/>
          <w:szCs w:val="20"/>
          <w:color w:val="auto"/>
        </w:rPr>
      </w:pPr>
      <w:r>
        <w:rPr>
          <w:rFonts w:ascii="Arial" w:cs="Arial" w:eastAsia="Arial" w:hAnsi="Arial"/>
          <w:sz w:val="17"/>
          <w:szCs w:val="17"/>
          <w:color w:val="auto"/>
        </w:rPr>
        <w:t>Vringo, Inc. (the “</w:t>
      </w:r>
      <w:r>
        <w:rPr>
          <w:rFonts w:ascii="Arial" w:cs="Arial" w:eastAsia="Arial" w:hAnsi="Arial"/>
          <w:sz w:val="17"/>
          <w:szCs w:val="17"/>
          <w:b w:val="1"/>
          <w:bCs w:val="1"/>
          <w:color w:val="auto"/>
        </w:rPr>
        <w:t>Corporation</w:t>
      </w:r>
      <w:r>
        <w:rPr>
          <w:rFonts w:ascii="Arial" w:cs="Arial" w:eastAsia="Arial" w:hAnsi="Arial"/>
          <w:sz w:val="17"/>
          <w:szCs w:val="17"/>
          <w:color w:val="auto"/>
        </w:rPr>
        <w:t>”), a corporation organized and existing under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does hereby certify that, pursuant to authority conferred upon the Board of Directors of the Corporation (the “</w:t>
      </w:r>
      <w:r>
        <w:rPr>
          <w:rFonts w:ascii="Arial" w:cs="Arial" w:eastAsia="Arial" w:hAnsi="Arial"/>
          <w:sz w:val="17"/>
          <w:szCs w:val="17"/>
          <w:b w:val="1"/>
          <w:bCs w:val="1"/>
          <w:color w:val="auto"/>
        </w:rPr>
        <w:t>Board</w:t>
      </w:r>
      <w:r>
        <w:rPr>
          <w:rFonts w:ascii="Arial" w:cs="Arial" w:eastAsia="Arial" w:hAnsi="Arial"/>
          <w:sz w:val="17"/>
          <w:szCs w:val="17"/>
          <w:color w:val="auto"/>
        </w:rPr>
        <w:t>”) by the Amended and Restated Certificate of Incorporation, as amended, of the Corporation, and pursuant to Sections 151 and 141 of the DGCL, the Board adopted resolutions (i) designating a series of the Corporation’s previously authorized preferred stock, par value $0.01 per share, and (ii) 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7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RESOLVED, that the Corporation is authorized to issue six thousand nine hundred and sixty eight (6,968) shares of Series A Convertible Preferred Stock (the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par value $0.01 per share, which shall have the following powers, designations, preferences and other special rights:</w:t>
      </w:r>
    </w:p>
    <w:p>
      <w:pPr>
        <w:spacing w:after="0" w:line="78" w:lineRule="exact"/>
        <w:rPr>
          <w:sz w:val="20"/>
          <w:szCs w:val="20"/>
          <w:color w:val="auto"/>
        </w:rPr>
      </w:pPr>
    </w:p>
    <w:p>
      <w:pPr>
        <w:jc w:val="both"/>
        <w:ind w:left="40" w:right="619" w:firstLine="272"/>
        <w:spacing w:after="0" w:line="275" w:lineRule="auto"/>
        <w:tabs>
          <w:tab w:leader="none" w:pos="530"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66" w:lineRule="exact"/>
        <w:rPr>
          <w:rFonts w:ascii="Arial" w:cs="Arial" w:eastAsia="Arial" w:hAnsi="Arial"/>
          <w:sz w:val="17"/>
          <w:szCs w:val="17"/>
          <w:color w:val="auto"/>
        </w:rPr>
      </w:pPr>
    </w:p>
    <w:p>
      <w:pPr>
        <w:jc w:val="both"/>
        <w:ind w:left="40" w:right="639" w:firstLine="272"/>
        <w:spacing w:after="0" w:line="292" w:lineRule="auto"/>
        <w:tabs>
          <w:tab w:leader="none" w:pos="530" w:val="left"/>
        </w:tabs>
        <w:numPr>
          <w:ilvl w:val="0"/>
          <w:numId w:val="382"/>
        </w:numPr>
        <w:rPr>
          <w:rFonts w:ascii="Arial" w:cs="Arial" w:eastAsia="Arial" w:hAnsi="Arial"/>
          <w:sz w:val="16"/>
          <w:szCs w:val="16"/>
          <w:color w:val="auto"/>
        </w:rPr>
      </w:pPr>
      <w:r>
        <w:rPr>
          <w:rFonts w:ascii="Arial" w:cs="Arial" w:eastAsia="Arial" w:hAnsi="Arial"/>
          <w:sz w:val="16"/>
          <w:szCs w:val="16"/>
          <w:u w:val="single" w:color="auto"/>
          <w:color w:val="auto"/>
        </w:rPr>
        <w:t>Ranking</w:t>
      </w:r>
      <w:r>
        <w:rPr>
          <w:rFonts w:ascii="Arial" w:cs="Arial" w:eastAsia="Arial" w:hAnsi="Arial"/>
          <w:sz w:val="16"/>
          <w:szCs w:val="16"/>
          <w:color w:val="auto"/>
        </w:rPr>
        <w:t>. The Series A Preferred Stock shall rank prior and superior to all of the common stock, par value $0.01 per share, of the Corporation (“</w:t>
      </w:r>
      <w:r>
        <w:rPr>
          <w:rFonts w:ascii="Arial" w:cs="Arial" w:eastAsia="Arial" w:hAnsi="Arial"/>
          <w:sz w:val="16"/>
          <w:szCs w:val="16"/>
          <w:b w:val="1"/>
          <w:bCs w:val="1"/>
          <w:color w:val="auto"/>
        </w:rPr>
        <w:t>Common Stock</w:t>
      </w:r>
      <w:r>
        <w:rPr>
          <w:rFonts w:ascii="Arial" w:cs="Arial" w:eastAsia="Arial" w:hAnsi="Arial"/>
          <w:sz w:val="16"/>
          <w:szCs w:val="16"/>
          <w:color w:val="auto"/>
        </w:rPr>
        <w:t>”)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52" w:lineRule="exact"/>
        <w:rPr>
          <w:rFonts w:ascii="Arial" w:cs="Arial" w:eastAsia="Arial" w:hAnsi="Arial"/>
          <w:sz w:val="16"/>
          <w:szCs w:val="16"/>
          <w:color w:val="auto"/>
        </w:rPr>
      </w:pPr>
    </w:p>
    <w:p>
      <w:pPr>
        <w:jc w:val="both"/>
        <w:ind w:left="40" w:right="619" w:firstLine="272"/>
        <w:spacing w:after="0" w:line="282" w:lineRule="auto"/>
        <w:tabs>
          <w:tab w:leader="none" w:pos="530" w:val="left"/>
        </w:tabs>
        <w:numPr>
          <w:ilvl w:val="0"/>
          <w:numId w:val="382"/>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From and after the first date of issuance of any shares of Series A Preferred Stock (the “</w:t>
      </w:r>
      <w:r>
        <w:rPr>
          <w:rFonts w:ascii="Arial" w:cs="Arial" w:eastAsia="Arial" w:hAnsi="Arial"/>
          <w:sz w:val="16"/>
          <w:szCs w:val="16"/>
          <w:b w:val="1"/>
          <w:bCs w:val="1"/>
          <w:color w:val="auto"/>
        </w:rPr>
        <w:t>Initial Issuance Date</w:t>
      </w:r>
      <w:r>
        <w:rPr>
          <w:rFonts w:ascii="Arial" w:cs="Arial" w:eastAsia="Arial" w:hAnsi="Arial"/>
          <w:sz w:val="16"/>
          <w:szCs w:val="16"/>
          <w:color w:val="auto"/>
        </w:rPr>
        <w:t>”), the holders of Series A Preferred Stock (each, a “</w:t>
      </w:r>
      <w:r>
        <w:rPr>
          <w:rFonts w:ascii="Arial" w:cs="Arial" w:eastAsia="Arial" w:hAnsi="Arial"/>
          <w:sz w:val="16"/>
          <w:szCs w:val="16"/>
          <w:b w:val="1"/>
          <w:bCs w:val="1"/>
          <w:color w:val="auto"/>
        </w:rPr>
        <w:t>Holder</w:t>
      </w:r>
      <w:r>
        <w:rPr>
          <w:rFonts w:ascii="Arial" w:cs="Arial" w:eastAsia="Arial" w:hAnsi="Arial"/>
          <w:sz w:val="16"/>
          <w:szCs w:val="16"/>
          <w:color w:val="auto"/>
        </w:rPr>
        <w:t>”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6"/>
          <w:szCs w:val="16"/>
          <w:b w:val="1"/>
          <w:bCs w:val="1"/>
          <w:color w:val="auto"/>
        </w:rPr>
        <w:t>Junior Stock</w:t>
      </w:r>
      <w:r>
        <w:rPr>
          <w:rFonts w:ascii="Arial" w:cs="Arial" w:eastAsia="Arial" w:hAnsi="Arial"/>
          <w:sz w:val="16"/>
          <w:szCs w:val="16"/>
          <w:color w:val="auto"/>
        </w:rPr>
        <w:t xml:space="preserve">”) (if any) (but after and subject to the rights of holders of Senior Preferred Stock (as defined below), if any,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rights of holders of capital stock of the Corporation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6"/>
          <w:szCs w:val="16"/>
          <w:b w:val="1"/>
          <w:bCs w:val="1"/>
          <w:color w:val="auto"/>
        </w:rPr>
        <w:t>Pari Passu Stock</w:t>
      </w:r>
      <w:r>
        <w:rPr>
          <w:rFonts w:ascii="Arial" w:cs="Arial" w:eastAsia="Arial" w:hAnsi="Arial"/>
          <w:sz w:val="16"/>
          <w:szCs w:val="16"/>
          <w:color w:val="auto"/>
        </w:rPr>
        <w:t>”) (if any)), to the same extent as if such Holders had converted the Series A Preferred Stock into Common Stock (without regard to any limitations on conversion herein or elsewhere) and had held such shares of Common Stock on the record date for such dividends and distributions (provided, however,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5" w:name="page376"/>
    <w:bookmarkEnd w:id="3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1" w:lineRule="auto"/>
        <w:rPr>
          <w:sz w:val="20"/>
          <w:szCs w:val="20"/>
          <w:color w:val="auto"/>
        </w:rPr>
      </w:pPr>
      <w:r>
        <w:rPr>
          <w:rFonts w:ascii="Arial" w:cs="Arial" w:eastAsia="Arial" w:hAnsi="Arial"/>
          <w:sz w:val="17"/>
          <w:szCs w:val="17"/>
          <w:color w:val="auto"/>
        </w:rPr>
        <w:t>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62" w:lineRule="exact"/>
        <w:rPr>
          <w:sz w:val="20"/>
          <w:szCs w:val="20"/>
          <w:color w:val="auto"/>
        </w:rPr>
      </w:pPr>
    </w:p>
    <w:p>
      <w:pPr>
        <w:jc w:val="both"/>
        <w:ind w:left="40" w:right="619" w:firstLine="272"/>
        <w:spacing w:after="0" w:line="282" w:lineRule="auto"/>
        <w:tabs>
          <w:tab w:leader="none" w:pos="583"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6"/>
          <w:szCs w:val="16"/>
          <w:b w:val="1"/>
          <w:bCs w:val="1"/>
          <w:color w:val="auto"/>
        </w:rPr>
        <w:t>Senior Preferred Stock</w:t>
      </w:r>
      <w:r>
        <w:rPr>
          <w:rFonts w:ascii="Arial" w:cs="Arial" w:eastAsia="Arial" w:hAnsi="Arial"/>
          <w:sz w:val="16"/>
          <w:szCs w:val="16"/>
          <w:color w:val="auto"/>
        </w:rPr>
        <w:t>”)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6"/>
          <w:szCs w:val="16"/>
          <w:b w:val="1"/>
          <w:bCs w:val="1"/>
          <w:color w:val="auto"/>
        </w:rPr>
        <w:t>Stated Value</w:t>
      </w:r>
      <w:r>
        <w:rPr>
          <w:rFonts w:ascii="Arial" w:cs="Arial" w:eastAsia="Arial" w:hAnsi="Arial"/>
          <w:sz w:val="16"/>
          <w:szCs w:val="16"/>
          <w:color w:val="auto"/>
        </w:rPr>
        <w:t>” shall mean one thousand dollars ($1,000) per share, subject to adjustment for stock splits, stock dividends, recapitalizations, reorganizations, reclassifications, combinations, reverse stock splits or other similar events relating to the Series A Preferred Stock after the Initial Issuance Date. For purposes of this Certificate of Designations, a “</w:t>
      </w:r>
      <w:r>
        <w:rPr>
          <w:rFonts w:ascii="Arial" w:cs="Arial" w:eastAsia="Arial" w:hAnsi="Arial"/>
          <w:sz w:val="16"/>
          <w:szCs w:val="16"/>
          <w:b w:val="1"/>
          <w:bCs w:val="1"/>
          <w:color w:val="auto"/>
        </w:rPr>
        <w:t>Liquidation Event</w:t>
      </w:r>
      <w:r>
        <w:rPr>
          <w:rFonts w:ascii="Arial" w:cs="Arial" w:eastAsia="Arial" w:hAnsi="Arial"/>
          <w:sz w:val="16"/>
          <w:szCs w:val="16"/>
          <w:color w:val="auto"/>
        </w:rPr>
        <w:t>”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67" w:lineRule="exact"/>
        <w:rPr>
          <w:rFonts w:ascii="Arial" w:cs="Arial" w:eastAsia="Arial" w:hAnsi="Arial"/>
          <w:sz w:val="16"/>
          <w:szCs w:val="16"/>
          <w:color w:val="auto"/>
        </w:rPr>
      </w:pPr>
    </w:p>
    <w:p>
      <w:pPr>
        <w:ind w:left="540" w:hanging="228"/>
        <w:spacing w:after="0"/>
        <w:tabs>
          <w:tab w:leader="none" w:pos="54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Fundamental Transactions; Put Triggering Event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860" w:hanging="280"/>
        <w:spacing w:after="0"/>
        <w:tabs>
          <w:tab w:leader="none" w:pos="860"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09" w:lineRule="exact"/>
        <w:rPr>
          <w:rFonts w:ascii="Arial" w:cs="Arial" w:eastAsia="Arial" w:hAnsi="Arial"/>
          <w:sz w:val="18"/>
          <w:szCs w:val="18"/>
          <w:color w:val="auto"/>
        </w:rPr>
      </w:pPr>
    </w:p>
    <w:p>
      <w:pPr>
        <w:ind w:left="580" w:right="619" w:firstLine="267"/>
        <w:spacing w:after="0" w:line="275" w:lineRule="auto"/>
        <w:tabs>
          <w:tab w:leader="none" w:pos="1105" w:val="left"/>
        </w:tabs>
        <w:numPr>
          <w:ilvl w:val="2"/>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60" w:lineRule="exact"/>
        <w:rPr>
          <w:rFonts w:ascii="Arial" w:cs="Arial" w:eastAsia="Arial" w:hAnsi="Arial"/>
          <w:sz w:val="18"/>
          <w:szCs w:val="18"/>
          <w:color w:val="auto"/>
        </w:rPr>
      </w:pPr>
    </w:p>
    <w:p>
      <w:pPr>
        <w:jc w:val="both"/>
        <w:ind w:left="580" w:right="619" w:firstLine="267"/>
        <w:spacing w:after="0" w:line="284" w:lineRule="auto"/>
        <w:tabs>
          <w:tab w:leader="none" w:pos="1181" w:val="left"/>
        </w:tabs>
        <w:numPr>
          <w:ilvl w:val="2"/>
          <w:numId w:val="3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Conversion Amount</w:t>
      </w:r>
      <w:r>
        <w:rPr>
          <w:rFonts w:ascii="Arial" w:cs="Arial" w:eastAsia="Arial" w:hAnsi="Arial"/>
          <w:sz w:val="17"/>
          <w:szCs w:val="17"/>
          <w:color w:val="auto"/>
        </w:rPr>
        <w:t>” means the product of (A) the percentage of the consideration in the Put Triggering Event (in relation to all consideration being paid in such Put Triggering Event) being paid in cash multiplied by (B) the Conversion Amount as to which a Put Triggering Event Redemption Notice is being delivered.</w:t>
      </w:r>
    </w:p>
    <w:p>
      <w:pPr>
        <w:spacing w:after="0" w:line="54" w:lineRule="exact"/>
        <w:rPr>
          <w:rFonts w:ascii="Arial" w:cs="Arial" w:eastAsia="Arial" w:hAnsi="Arial"/>
          <w:sz w:val="17"/>
          <w:szCs w:val="17"/>
          <w:color w:val="auto"/>
        </w:rPr>
      </w:pPr>
    </w:p>
    <w:p>
      <w:pPr>
        <w:ind w:left="1200" w:hanging="353"/>
        <w:spacing w:after="0"/>
        <w:tabs>
          <w:tab w:leader="none" w:pos="1200" w:val="left"/>
        </w:tabs>
        <w:numPr>
          <w:ilvl w:val="2"/>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3" w:lineRule="exact"/>
        <w:rPr>
          <w:rFonts w:ascii="Arial" w:cs="Arial" w:eastAsia="Arial" w:hAnsi="Arial"/>
          <w:sz w:val="18"/>
          <w:szCs w:val="18"/>
          <w:color w:val="auto"/>
        </w:rPr>
      </w:pPr>
    </w:p>
    <w:p>
      <w:pPr>
        <w:ind w:left="580" w:right="639" w:firstLine="267"/>
        <w:spacing w:after="0" w:line="275" w:lineRule="auto"/>
        <w:tabs>
          <w:tab w:leader="none" w:pos="1207" w:val="left"/>
        </w:tabs>
        <w:numPr>
          <w:ilvl w:val="2"/>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Inc., the NYSE Amex Equities, The NASDAQ Global Select Market, The NASDAQ Global Market or The NASDAQ Capital Market.</w:t>
      </w:r>
    </w:p>
    <w:p>
      <w:pPr>
        <w:spacing w:after="0" w:line="60" w:lineRule="exact"/>
        <w:rPr>
          <w:rFonts w:ascii="Arial" w:cs="Arial" w:eastAsia="Arial" w:hAnsi="Arial"/>
          <w:sz w:val="18"/>
          <w:szCs w:val="18"/>
          <w:color w:val="auto"/>
        </w:rPr>
      </w:pPr>
    </w:p>
    <w:p>
      <w:pPr>
        <w:jc w:val="both"/>
        <w:ind w:left="580" w:right="619" w:firstLine="267"/>
        <w:spacing w:after="0" w:line="252" w:lineRule="auto"/>
        <w:tabs>
          <w:tab w:leader="none" w:pos="1171" w:val="left"/>
        </w:tabs>
        <w:numPr>
          <w:ilvl w:val="2"/>
          <w:numId w:val="3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Fundamental Transaction other than (A)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200" w:lineRule="exact"/>
        <w:rPr>
          <w:sz w:val="20"/>
          <w:szCs w:val="20"/>
          <w:color w:val="auto"/>
        </w:rPr>
      </w:pPr>
    </w:p>
    <w:p>
      <w:pPr>
        <w:spacing w:after="0" w:line="32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76" w:name="page377"/>
    <w:bookmarkEnd w:id="3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580" w:right="619" w:firstLine="267"/>
        <w:spacing w:after="0" w:line="254" w:lineRule="auto"/>
        <w:tabs>
          <w:tab w:leader="none" w:pos="12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Successor Common Stock</w:t>
      </w:r>
      <w:r>
        <w:rPr>
          <w:rFonts w:ascii="Arial" w:cs="Arial" w:eastAsia="Arial" w:hAnsi="Arial"/>
          <w:sz w:val="18"/>
          <w:szCs w:val="18"/>
          <w:color w:val="auto"/>
        </w:rPr>
        <w:t>” means common stock of a Successor Entity that is a publicly traded corporation, 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80" w:lineRule="exact"/>
        <w:rPr>
          <w:rFonts w:ascii="Arial" w:cs="Arial" w:eastAsia="Arial" w:hAnsi="Arial"/>
          <w:sz w:val="18"/>
          <w:szCs w:val="18"/>
          <w:color w:val="auto"/>
        </w:rPr>
      </w:pPr>
    </w:p>
    <w:p>
      <w:pPr>
        <w:jc w:val="both"/>
        <w:ind w:left="580" w:right="619" w:firstLine="267"/>
        <w:spacing w:after="0" w:line="265" w:lineRule="auto"/>
        <w:tabs>
          <w:tab w:leader="none" w:pos="1297" w:val="left"/>
        </w:tabs>
        <w:numPr>
          <w:ilvl w:val="0"/>
          <w:numId w:val="3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Transaction</w:t>
      </w:r>
      <w:r>
        <w:rPr>
          <w:rFonts w:ascii="Arial" w:cs="Arial" w:eastAsia="Arial" w:hAnsi="Arial"/>
          <w:sz w:val="17"/>
          <w:szCs w:val="17"/>
          <w:color w:val="auto"/>
        </w:rPr>
        <w:t>” means that the Corporation shall (or in the case of clause (F) any “person” or “group”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77" w:lineRule="exact"/>
        <w:rPr>
          <w:rFonts w:ascii="Arial" w:cs="Arial" w:eastAsia="Arial" w:hAnsi="Arial"/>
          <w:sz w:val="17"/>
          <w:szCs w:val="17"/>
          <w:color w:val="auto"/>
        </w:rPr>
      </w:pPr>
    </w:p>
    <w:p>
      <w:pPr>
        <w:jc w:val="both"/>
        <w:ind w:left="580" w:right="639" w:firstLine="267"/>
        <w:spacing w:after="0" w:line="257" w:lineRule="auto"/>
        <w:tabs>
          <w:tab w:leader="none" w:pos="129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75" w:lineRule="exact"/>
        <w:rPr>
          <w:rFonts w:ascii="Arial" w:cs="Arial" w:eastAsia="Arial" w:hAnsi="Arial"/>
          <w:sz w:val="18"/>
          <w:szCs w:val="18"/>
          <w:color w:val="auto"/>
        </w:rPr>
      </w:pPr>
    </w:p>
    <w:p>
      <w:pPr>
        <w:jc w:val="both"/>
        <w:ind w:left="580" w:right="619" w:firstLine="267"/>
        <w:spacing w:after="0" w:line="254" w:lineRule="auto"/>
        <w:tabs>
          <w:tab w:leader="none" w:pos="119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Triggering Event</w:t>
      </w:r>
      <w:r>
        <w:rPr>
          <w:rFonts w:ascii="Arial" w:cs="Arial" w:eastAsia="Arial" w:hAnsi="Arial"/>
          <w:sz w:val="18"/>
          <w:szCs w:val="18"/>
          <w:color w:val="auto"/>
        </w:rPr>
        <w:t>” means any Change of Control other than one in which a Successor Entity that is a publicly 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80" w:lineRule="exact"/>
        <w:rPr>
          <w:rFonts w:ascii="Arial" w:cs="Arial" w:eastAsia="Arial" w:hAnsi="Arial"/>
          <w:sz w:val="18"/>
          <w:szCs w:val="18"/>
          <w:color w:val="auto"/>
        </w:rPr>
      </w:pPr>
    </w:p>
    <w:p>
      <w:pPr>
        <w:ind w:left="1180" w:hanging="333"/>
        <w:spacing w:after="0"/>
        <w:tabs>
          <w:tab w:leader="none" w:pos="118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Holders</w:t>
      </w:r>
      <w:r>
        <w:rPr>
          <w:rFonts w:ascii="Arial" w:cs="Arial" w:eastAsia="Arial" w:hAnsi="Arial"/>
          <w:sz w:val="17"/>
          <w:szCs w:val="17"/>
          <w:color w:val="auto"/>
        </w:rPr>
        <w:t>” means the holders of record of a majority of the outstanding shares of Series A Preferred</w:t>
      </w:r>
    </w:p>
    <w:p>
      <w:pPr>
        <w:spacing w:after="0" w:line="35"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96" w:lineRule="exact"/>
        <w:rPr>
          <w:rFonts w:ascii="Arial" w:cs="Arial" w:eastAsia="Arial" w:hAnsi="Arial"/>
          <w:sz w:val="17"/>
          <w:szCs w:val="17"/>
          <w:color w:val="auto"/>
        </w:rPr>
      </w:pPr>
    </w:p>
    <w:p>
      <w:pPr>
        <w:jc w:val="both"/>
        <w:ind w:left="580" w:right="619" w:firstLine="267"/>
        <w:spacing w:after="0" w:line="257" w:lineRule="auto"/>
        <w:tabs>
          <w:tab w:leader="none" w:pos="12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Conversion Amount</w:t>
      </w:r>
      <w:r>
        <w:rPr>
          <w:rFonts w:ascii="Arial" w:cs="Arial" w:eastAsia="Arial" w:hAnsi="Arial"/>
          <w:sz w:val="18"/>
          <w:szCs w:val="18"/>
          <w:color w:val="auto"/>
        </w:rPr>
        <w:t>” means the product of (A) the percentage of the consideration in the Put Triggering 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75" w:lineRule="exact"/>
        <w:rPr>
          <w:rFonts w:ascii="Arial" w:cs="Arial" w:eastAsia="Arial" w:hAnsi="Arial"/>
          <w:sz w:val="18"/>
          <w:szCs w:val="18"/>
          <w:color w:val="auto"/>
        </w:rPr>
      </w:pPr>
    </w:p>
    <w:p>
      <w:pPr>
        <w:jc w:val="both"/>
        <w:ind w:left="580" w:right="619" w:firstLine="267"/>
        <w:spacing w:after="0" w:line="276" w:lineRule="auto"/>
        <w:tabs>
          <w:tab w:leader="none" w:pos="1243" w:val="left"/>
        </w:tabs>
        <w:numPr>
          <w:ilvl w:val="0"/>
          <w:numId w:val="3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w:t>
      </w:r>
      <w:r>
        <w:rPr>
          <w:rFonts w:ascii="Arial" w:cs="Arial" w:eastAsia="Arial" w:hAnsi="Arial"/>
          <w:sz w:val="17"/>
          <w:szCs w:val="17"/>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63" w:lineRule="exact"/>
        <w:rPr>
          <w:rFonts w:ascii="Arial" w:cs="Arial" w:eastAsia="Arial" w:hAnsi="Arial"/>
          <w:sz w:val="17"/>
          <w:szCs w:val="17"/>
          <w:color w:val="auto"/>
        </w:rPr>
      </w:pPr>
    </w:p>
    <w:p>
      <w:pPr>
        <w:jc w:val="both"/>
        <w:ind w:left="580" w:right="619" w:firstLine="267"/>
        <w:spacing w:after="0" w:line="257" w:lineRule="auto"/>
        <w:tabs>
          <w:tab w:leader="none" w:pos="129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 Conversion Amount</w:t>
      </w:r>
      <w:r>
        <w:rPr>
          <w:rFonts w:ascii="Arial" w:cs="Arial" w:eastAsia="Arial" w:hAnsi="Arial"/>
          <w:sz w:val="18"/>
          <w:szCs w:val="18"/>
          <w:color w:val="auto"/>
        </w:rPr>
        <w:t>” means the product of (A) the percentage of the consideration in the Put 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7" w:name="page378"/>
    <w:bookmarkEnd w:id="3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580" w:right="619" w:firstLine="267"/>
        <w:spacing w:after="0" w:line="269" w:lineRule="auto"/>
        <w:tabs>
          <w:tab w:leader="none" w:pos="1283" w:val="left"/>
        </w:tabs>
        <w:numPr>
          <w:ilvl w:val="1"/>
          <w:numId w:val="3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70" w:lineRule="exact"/>
        <w:rPr>
          <w:rFonts w:ascii="Arial" w:cs="Arial" w:eastAsia="Arial" w:hAnsi="Arial"/>
          <w:sz w:val="17"/>
          <w:szCs w:val="17"/>
          <w:color w:val="auto"/>
        </w:rPr>
      </w:pPr>
    </w:p>
    <w:p>
      <w:pPr>
        <w:jc w:val="both"/>
        <w:ind w:left="580" w:right="639" w:firstLine="267"/>
        <w:spacing w:after="0" w:line="257" w:lineRule="auto"/>
        <w:tabs>
          <w:tab w:leader="none" w:pos="1247"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79" w:lineRule="exact"/>
        <w:rPr>
          <w:rFonts w:ascii="Arial" w:cs="Arial" w:eastAsia="Arial" w:hAnsi="Arial"/>
          <w:sz w:val="18"/>
          <w:szCs w:val="18"/>
          <w:color w:val="auto"/>
        </w:rPr>
      </w:pPr>
    </w:p>
    <w:p>
      <w:pPr>
        <w:jc w:val="both"/>
        <w:ind w:left="320" w:right="619" w:firstLine="260"/>
        <w:spacing w:after="0" w:line="280" w:lineRule="auto"/>
        <w:tabs>
          <w:tab w:leader="none" w:pos="911"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78" w:name="page379"/>
    <w:bookmarkEnd w:id="3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80" w:lineRule="auto"/>
        <w:tabs>
          <w:tab w:leader="none" w:pos="901"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Put Triggering Event</w:t>
      </w:r>
      <w:r>
        <w:rPr>
          <w:rFonts w:ascii="Arial" w:cs="Arial" w:eastAsia="Arial" w:hAnsi="Arial"/>
          <w:sz w:val="16"/>
          <w:szCs w:val="16"/>
          <w:color w:val="auto"/>
        </w:rPr>
        <w:t>.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6"/>
          <w:szCs w:val="16"/>
          <w:b w:val="1"/>
          <w:bCs w:val="1"/>
          <w:color w:val="auto"/>
        </w:rPr>
        <w:t>Put Triggering Event</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Notice Date</w:t>
      </w:r>
      <w:r>
        <w:rPr>
          <w:rFonts w:ascii="Arial" w:cs="Arial" w:eastAsia="Arial" w:hAnsi="Arial"/>
          <w:sz w:val="16"/>
          <w:szCs w:val="16"/>
          <w:color w:val="auto"/>
        </w:rPr>
        <w:t>”) written notice thereof (“</w:t>
      </w:r>
      <w:r>
        <w:rPr>
          <w:rFonts w:ascii="Arial" w:cs="Arial" w:eastAsia="Arial" w:hAnsi="Arial"/>
          <w:sz w:val="16"/>
          <w:szCs w:val="16"/>
          <w:b w:val="1"/>
          <w:bCs w:val="1"/>
          <w:color w:val="auto"/>
        </w:rPr>
        <w:t>Put Triggering Event Redemption Notice</w:t>
      </w:r>
      <w:r>
        <w:rPr>
          <w:rFonts w:ascii="Arial" w:cs="Arial" w:eastAsia="Arial" w:hAnsi="Arial"/>
          <w:sz w:val="16"/>
          <w:szCs w:val="16"/>
          <w:color w:val="auto"/>
        </w:rPr>
        <w:t>”) to the Corporation,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Put Triggering Event Redemption Notice shall indicate the 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(II)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6"/>
          <w:szCs w:val="16"/>
          <w:b w:val="1"/>
          <w:bCs w:val="1"/>
          <w:color w:val="auto"/>
        </w:rPr>
        <w:t>Put Triggering Event Redemption Price</w:t>
      </w:r>
      <w:r>
        <w:rPr>
          <w:rFonts w:ascii="Arial" w:cs="Arial" w:eastAsia="Arial" w:hAnsi="Arial"/>
          <w:sz w:val="16"/>
          <w:szCs w:val="16"/>
          <w:color w:val="auto"/>
        </w:rPr>
        <w:t>”), and (III)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6"/>
          <w:szCs w:val="16"/>
          <w:b w:val="1"/>
          <w:bCs w:val="1"/>
          <w:color w:val="auto"/>
        </w:rPr>
        <w:t>Put</w:t>
      </w:r>
      <w:r>
        <w:rPr>
          <w:rFonts w:ascii="Arial" w:cs="Arial" w:eastAsia="Arial" w:hAnsi="Arial"/>
          <w:sz w:val="16"/>
          <w:szCs w:val="16"/>
          <w:color w:val="auto"/>
        </w:rPr>
        <w:t xml:space="preserve"> </w:t>
      </w:r>
      <w:r>
        <w:rPr>
          <w:rFonts w:ascii="Arial" w:cs="Arial" w:eastAsia="Arial" w:hAnsi="Arial"/>
          <w:sz w:val="16"/>
          <w:szCs w:val="16"/>
          <w:b w:val="1"/>
          <w:bCs w:val="1"/>
          <w:color w:val="auto"/>
        </w:rPr>
        <w:t>Triggering Event Redemption Date</w:t>
      </w:r>
      <w:r>
        <w:rPr>
          <w:rFonts w:ascii="Arial" w:cs="Arial" w:eastAsia="Arial" w:hAnsi="Arial"/>
          <w:sz w:val="16"/>
          <w:szCs w:val="16"/>
          <w:color w:val="auto"/>
        </w:rPr>
        <w:t>”). To the extent redemptions required by this Section 5(c) are deemed or determined by a</w:t>
      </w:r>
      <w:r>
        <w:rPr>
          <w:rFonts w:ascii="Arial" w:cs="Arial" w:eastAsia="Arial" w:hAnsi="Arial"/>
          <w:sz w:val="16"/>
          <w:szCs w:val="16"/>
          <w:b w:val="1"/>
          <w:bCs w:val="1"/>
          <w:color w:val="auto"/>
        </w:rPr>
        <w:t xml:space="preserve"> </w:t>
      </w:r>
      <w:r>
        <w:rPr>
          <w:rFonts w:ascii="Arial" w:cs="Arial" w:eastAsia="Arial" w:hAnsi="Arial"/>
          <w:sz w:val="16"/>
          <w:szCs w:val="16"/>
          <w:color w:val="auto"/>
        </w:rPr>
        <w:t>court of competent 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79" w:name="page380"/>
    <w:bookmarkEnd w:id="3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80" w:lineRule="auto"/>
        <w:tabs>
          <w:tab w:leader="none" w:pos="897"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Void Redemption</w:t>
      </w:r>
      <w:r>
        <w:rPr>
          <w:rFonts w:ascii="Arial" w:cs="Arial" w:eastAsia="Arial" w:hAnsi="Arial"/>
          <w:sz w:val="16"/>
          <w:szCs w:val="16"/>
          <w:color w:val="auto"/>
        </w:rPr>
        <w:t>.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6"/>
          <w:szCs w:val="16"/>
          <w:b w:val="1"/>
          <w:bCs w:val="1"/>
          <w:color w:val="auto"/>
        </w:rPr>
        <w:t>Void Redemption Notice</w:t>
      </w:r>
      <w:r>
        <w:rPr>
          <w:rFonts w:ascii="Arial" w:cs="Arial" w:eastAsia="Arial" w:hAnsi="Arial"/>
          <w:sz w:val="16"/>
          <w:szCs w:val="16"/>
          <w:color w:val="auto"/>
        </w:rPr>
        <w:t>”).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w:t>
      </w:r>
    </w:p>
    <w:p>
      <w:pPr>
        <w:spacing w:after="0" w:line="4" w:lineRule="exact"/>
        <w:rPr>
          <w:rFonts w:ascii="Arial" w:cs="Arial" w:eastAsia="Arial" w:hAnsi="Arial"/>
          <w:sz w:val="16"/>
          <w:szCs w:val="16"/>
          <w:color w:val="auto"/>
        </w:rPr>
      </w:pPr>
    </w:p>
    <w:p>
      <w:pPr>
        <w:jc w:val="both"/>
        <w:ind w:left="320" w:right="619" w:hanging="8"/>
        <w:spacing w:after="0" w:line="298" w:lineRule="auto"/>
        <w:tabs>
          <w:tab w:leader="none" w:pos="60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50" w:lineRule="exact"/>
        <w:rPr>
          <w:rFonts w:ascii="Arial" w:cs="Arial" w:eastAsia="Arial" w:hAnsi="Arial"/>
          <w:sz w:val="16"/>
          <w:szCs w:val="16"/>
          <w:color w:val="auto"/>
        </w:rPr>
      </w:pPr>
    </w:p>
    <w:p>
      <w:pPr>
        <w:jc w:val="both"/>
        <w:ind w:left="320" w:right="619" w:firstLine="260"/>
        <w:spacing w:after="0" w:line="253" w:lineRule="auto"/>
        <w:tabs>
          <w:tab w:leader="none" w:pos="901" w:val="left"/>
        </w:tabs>
        <w:numPr>
          <w:ilvl w:val="1"/>
          <w:numId w:val="389"/>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event of a dispute as to the determination of the arithmetic calculation of the Put Triggering Event Redemption Price, such dispute shall be resolved pursuant to Section 7(e) with the term “Put Triggering Event Redemption Price”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85" w:lineRule="exact"/>
        <w:rPr>
          <w:sz w:val="20"/>
          <w:szCs w:val="20"/>
          <w:color w:val="auto"/>
        </w:rPr>
      </w:pPr>
    </w:p>
    <w:p>
      <w:pPr>
        <w:ind w:left="540" w:hanging="228"/>
        <w:spacing w:after="0"/>
        <w:tabs>
          <w:tab w:leader="none" w:pos="54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860" w:hanging="280"/>
        <w:spacing w:after="0"/>
        <w:tabs>
          <w:tab w:leader="none" w:pos="860"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09" w:lineRule="exact"/>
        <w:rPr>
          <w:rFonts w:ascii="Arial" w:cs="Arial" w:eastAsia="Arial" w:hAnsi="Arial"/>
          <w:sz w:val="18"/>
          <w:szCs w:val="18"/>
          <w:color w:val="auto"/>
        </w:rPr>
      </w:pPr>
    </w:p>
    <w:p>
      <w:pPr>
        <w:jc w:val="both"/>
        <w:ind w:left="580" w:right="619" w:firstLine="267"/>
        <w:spacing w:after="0" w:line="294" w:lineRule="auto"/>
        <w:tabs>
          <w:tab w:leader="none" w:pos="1131" w:val="left"/>
        </w:tabs>
        <w:numPr>
          <w:ilvl w:val="2"/>
          <w:numId w:val="3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49" w:lineRule="exact"/>
        <w:rPr>
          <w:rFonts w:ascii="Arial" w:cs="Arial" w:eastAsia="Arial" w:hAnsi="Arial"/>
          <w:sz w:val="16"/>
          <w:szCs w:val="16"/>
          <w:color w:val="auto"/>
        </w:rPr>
      </w:pPr>
    </w:p>
    <w:p>
      <w:pPr>
        <w:ind w:left="1160" w:hanging="313"/>
        <w:spacing w:after="0"/>
        <w:tabs>
          <w:tab w:leader="none" w:pos="1160" w:val="left"/>
        </w:tabs>
        <w:numPr>
          <w:ilvl w:val="2"/>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113" w:lineRule="exact"/>
        <w:rPr>
          <w:rFonts w:ascii="Arial" w:cs="Arial" w:eastAsia="Arial" w:hAnsi="Arial"/>
          <w:sz w:val="18"/>
          <w:szCs w:val="18"/>
          <w:color w:val="auto"/>
        </w:rPr>
      </w:pPr>
    </w:p>
    <w:p>
      <w:pPr>
        <w:jc w:val="both"/>
        <w:ind w:left="580" w:right="619" w:firstLine="267"/>
        <w:spacing w:after="0" w:line="283" w:lineRule="auto"/>
        <w:tabs>
          <w:tab w:leader="none" w:pos="1284" w:val="left"/>
        </w:tabs>
        <w:numPr>
          <w:ilvl w:val="2"/>
          <w:numId w:val="3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80" w:name="page381"/>
    <w:bookmarkEnd w:id="3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80" w:right="619"/>
        <w:spacing w:after="0" w:line="334" w:lineRule="auto"/>
        <w:rPr>
          <w:sz w:val="20"/>
          <w:szCs w:val="20"/>
          <w:color w:val="auto"/>
        </w:rPr>
      </w:pPr>
      <w:r>
        <w:rPr>
          <w:rFonts w:ascii="Arial" w:cs="Arial" w:eastAsia="Arial" w:hAnsi="Arial"/>
          <w:sz w:val="16"/>
          <w:szCs w:val="16"/>
          <w:color w:val="auto"/>
        </w:rPr>
        <w:t>or property has not assumed or become liable for the payment of such indebtedness, and (viii) all Contingent Obligations in respect of indebtedness or obligations of others of the kinds referred to in clauses (i) through (vii) above.</w:t>
      </w:r>
    </w:p>
    <w:p>
      <w:pPr>
        <w:spacing w:after="0" w:line="19" w:lineRule="exact"/>
        <w:rPr>
          <w:sz w:val="20"/>
          <w:szCs w:val="20"/>
          <w:color w:val="auto"/>
        </w:rPr>
      </w:pPr>
    </w:p>
    <w:p>
      <w:pPr>
        <w:ind w:left="580" w:right="639" w:firstLine="267"/>
        <w:spacing w:after="0" w:line="305" w:lineRule="auto"/>
        <w:tabs>
          <w:tab w:leader="none" w:pos="1207" w:val="left"/>
        </w:tabs>
        <w:numPr>
          <w:ilvl w:val="1"/>
          <w:numId w:val="3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limited liability company, a partnership, a joint venture, a corporation, a trust, an unincorporated organization, any other entity and a government or any department or agency thereof.</w:t>
      </w:r>
    </w:p>
    <w:p>
      <w:pPr>
        <w:spacing w:after="0" w:line="41" w:lineRule="exact"/>
        <w:rPr>
          <w:rFonts w:ascii="Arial" w:cs="Arial" w:eastAsia="Arial" w:hAnsi="Arial"/>
          <w:sz w:val="17"/>
          <w:szCs w:val="17"/>
          <w:color w:val="auto"/>
        </w:rPr>
      </w:pPr>
    </w:p>
    <w:p>
      <w:pPr>
        <w:jc w:val="both"/>
        <w:ind w:left="320" w:right="619" w:firstLine="260"/>
        <w:spacing w:after="0" w:line="285" w:lineRule="auto"/>
        <w:tabs>
          <w:tab w:leader="none" w:pos="884"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6"/>
          <w:szCs w:val="16"/>
          <w:b w:val="1"/>
          <w:bCs w:val="1"/>
          <w:color w:val="auto"/>
        </w:rPr>
        <w:t>Twenty Percent Issuance</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jc w:val="both"/>
        <w:ind w:left="320" w:right="639" w:firstLine="260"/>
        <w:spacing w:after="0" w:line="281" w:lineRule="auto"/>
        <w:tabs>
          <w:tab w:leader="none" w:pos="887"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Series A Preferred Stock Protective Provisions</w:t>
      </w:r>
      <w:r>
        <w:rPr>
          <w:rFonts w:ascii="Arial" w:cs="Arial" w:eastAsia="Arial" w:hAnsi="Arial"/>
          <w:sz w:val="17"/>
          <w:szCs w:val="17"/>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61" w:lineRule="exact"/>
        <w:rPr>
          <w:rFonts w:ascii="Arial" w:cs="Arial" w:eastAsia="Arial" w:hAnsi="Arial"/>
          <w:sz w:val="17"/>
          <w:szCs w:val="17"/>
          <w:color w:val="auto"/>
        </w:rPr>
      </w:pPr>
    </w:p>
    <w:p>
      <w:pPr>
        <w:ind w:left="1100" w:hanging="253"/>
        <w:spacing w:after="0"/>
        <w:tabs>
          <w:tab w:leader="none" w:pos="11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A Preferred Stock;</w:t>
      </w:r>
    </w:p>
    <w:p>
      <w:pPr>
        <w:spacing w:after="0" w:line="113" w:lineRule="exact"/>
        <w:rPr>
          <w:rFonts w:ascii="Arial" w:cs="Arial" w:eastAsia="Arial" w:hAnsi="Arial"/>
          <w:sz w:val="18"/>
          <w:szCs w:val="18"/>
          <w:color w:val="auto"/>
        </w:rPr>
      </w:pPr>
    </w:p>
    <w:p>
      <w:pPr>
        <w:ind w:left="580" w:right="639" w:firstLine="267"/>
        <w:spacing w:after="0" w:line="270" w:lineRule="auto"/>
        <w:tabs>
          <w:tab w:leader="none" w:pos="1165"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A Preferred Stock so as to affect adversely the Series A Preferred Stock;</w:t>
      </w:r>
    </w:p>
    <w:p>
      <w:pPr>
        <w:spacing w:after="0" w:line="99" w:lineRule="exact"/>
        <w:rPr>
          <w:rFonts w:ascii="Arial" w:cs="Arial" w:eastAsia="Arial" w:hAnsi="Arial"/>
          <w:sz w:val="18"/>
          <w:szCs w:val="18"/>
          <w:color w:val="auto"/>
        </w:rPr>
      </w:pPr>
    </w:p>
    <w:p>
      <w:pPr>
        <w:jc w:val="both"/>
        <w:ind w:left="580" w:right="619" w:firstLine="267"/>
        <w:spacing w:after="0" w:line="256" w:lineRule="auto"/>
        <w:tabs>
          <w:tab w:leader="none" w:pos="1215" w:val="left"/>
        </w:tabs>
        <w:numPr>
          <w:ilvl w:val="1"/>
          <w:numId w:val="392"/>
        </w:numPr>
        <w:rPr>
          <w:rFonts w:ascii="Arial" w:cs="Arial" w:eastAsia="Arial" w:hAnsi="Arial"/>
          <w:sz w:val="17"/>
          <w:szCs w:val="17"/>
          <w:color w:val="auto"/>
        </w:rPr>
      </w:pPr>
      <w:r>
        <w:rPr>
          <w:rFonts w:ascii="Arial" w:cs="Arial" w:eastAsia="Arial" w:hAnsi="Arial"/>
          <w:sz w:val="17"/>
          <w:szCs w:val="17"/>
          <w:color w:val="auto"/>
        </w:rPr>
        <w:t>on or prior to the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then outstanding principal amount of Vringo Notes (as defined in the Agreement and Plan of Merger, dated as of [___], 2012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Vringo,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xml:space="preserve">”), VIP Merger Sub, Inc., a Delaware corporation and wholly owned Subsidiary of Parent, and the Corporation; provided, that the Corporation and its Subsidiaries shall be permitted to incur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83" w:lineRule="exact"/>
        <w:rPr>
          <w:sz w:val="20"/>
          <w:szCs w:val="20"/>
          <w:color w:val="auto"/>
        </w:rPr>
      </w:pPr>
    </w:p>
    <w:p>
      <w:pPr>
        <w:jc w:val="both"/>
        <w:ind w:left="580" w:right="619" w:firstLine="267"/>
        <w:spacing w:after="0" w:line="270" w:lineRule="auto"/>
        <w:tabs>
          <w:tab w:leader="none" w:pos="1153" w:val="left"/>
        </w:tabs>
        <w:numPr>
          <w:ilvl w:val="0"/>
          <w:numId w:val="393"/>
        </w:numPr>
        <w:rPr>
          <w:rFonts w:ascii="Arial" w:cs="Arial" w:eastAsia="Arial" w:hAnsi="Arial"/>
          <w:sz w:val="17"/>
          <w:szCs w:val="17"/>
          <w:color w:val="auto"/>
        </w:rPr>
      </w:pPr>
      <w:r>
        <w:rPr>
          <w:rFonts w:ascii="Arial" w:cs="Arial" w:eastAsia="Arial" w:hAnsi="Arial"/>
          <w:sz w:val="17"/>
          <w:szCs w:val="17"/>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w:t>
      </w:r>
    </w:p>
    <w:p>
      <w:pPr>
        <w:spacing w:after="0" w:line="200" w:lineRule="exact"/>
        <w:rPr>
          <w:sz w:val="20"/>
          <w:szCs w:val="20"/>
          <w:color w:val="auto"/>
        </w:rPr>
      </w:pPr>
    </w:p>
    <w:p>
      <w:pPr>
        <w:spacing w:after="0" w:line="3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1" w:name="page382"/>
    <w:bookmarkEnd w:id="3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92" w:lineRule="auto"/>
        <w:rPr>
          <w:sz w:val="20"/>
          <w:szCs w:val="20"/>
          <w:color w:val="auto"/>
        </w:rPr>
      </w:pPr>
      <w:r>
        <w:rPr>
          <w:rFonts w:ascii="Arial" w:cs="Arial" w:eastAsia="Arial" w:hAnsi="Arial"/>
          <w:sz w:val="16"/>
          <w:szCs w:val="16"/>
          <w:color w:val="auto"/>
        </w:rPr>
        <w:t>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57" w:lineRule="exact"/>
        <w:rPr>
          <w:sz w:val="20"/>
          <w:szCs w:val="20"/>
          <w:color w:val="auto"/>
        </w:rPr>
      </w:pPr>
    </w:p>
    <w:p>
      <w:pPr>
        <w:jc w:val="both"/>
        <w:ind w:left="40" w:right="619" w:firstLine="272"/>
        <w:spacing w:after="0" w:line="297" w:lineRule="auto"/>
        <w:tabs>
          <w:tab w:leader="none" w:pos="530"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51" w:lineRule="exact"/>
        <w:rPr>
          <w:rFonts w:ascii="Arial" w:cs="Arial" w:eastAsia="Arial" w:hAnsi="Arial"/>
          <w:sz w:val="16"/>
          <w:szCs w:val="16"/>
          <w:color w:val="auto"/>
        </w:rPr>
      </w:pPr>
    </w:p>
    <w:p>
      <w:pPr>
        <w:ind w:left="860" w:hanging="280"/>
        <w:spacing w:after="0"/>
        <w:tabs>
          <w:tab w:leader="none" w:pos="860"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09" w:lineRule="exact"/>
        <w:rPr>
          <w:rFonts w:ascii="Arial" w:cs="Arial" w:eastAsia="Arial" w:hAnsi="Arial"/>
          <w:sz w:val="18"/>
          <w:szCs w:val="18"/>
          <w:color w:val="auto"/>
        </w:rPr>
      </w:pPr>
    </w:p>
    <w:p>
      <w:pPr>
        <w:ind w:left="1100" w:hanging="253"/>
        <w:spacing w:after="0"/>
        <w:tabs>
          <w:tab w:leader="none" w:pos="110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113" w:lineRule="exact"/>
        <w:rPr>
          <w:rFonts w:ascii="Arial" w:cs="Arial" w:eastAsia="Arial" w:hAnsi="Arial"/>
          <w:sz w:val="18"/>
          <w:szCs w:val="18"/>
          <w:color w:val="auto"/>
        </w:rPr>
      </w:pPr>
    </w:p>
    <w:p>
      <w:pPr>
        <w:ind w:left="1160" w:hanging="313"/>
        <w:spacing w:after="0"/>
        <w:tabs>
          <w:tab w:leader="none" w:pos="116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Stated Value.</w:t>
      </w:r>
    </w:p>
    <w:p>
      <w:pPr>
        <w:spacing w:after="0" w:line="113" w:lineRule="exact"/>
        <w:rPr>
          <w:rFonts w:ascii="Arial" w:cs="Arial" w:eastAsia="Arial" w:hAnsi="Arial"/>
          <w:sz w:val="18"/>
          <w:szCs w:val="18"/>
          <w:color w:val="auto"/>
        </w:rPr>
      </w:pPr>
    </w:p>
    <w:p>
      <w:pPr>
        <w:ind w:left="1200" w:hanging="353"/>
        <w:spacing w:after="0"/>
        <w:tabs>
          <w:tab w:leader="none" w:pos="120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$.33138918, subject to adjustment as provided herein.</w:t>
      </w:r>
    </w:p>
    <w:p>
      <w:pPr>
        <w:spacing w:after="0" w:line="113" w:lineRule="exact"/>
        <w:rPr>
          <w:rFonts w:ascii="Arial" w:cs="Arial" w:eastAsia="Arial" w:hAnsi="Arial"/>
          <w:sz w:val="18"/>
          <w:szCs w:val="18"/>
          <w:color w:val="auto"/>
        </w:rPr>
      </w:pPr>
    </w:p>
    <w:p>
      <w:pPr>
        <w:ind w:left="580" w:right="639" w:firstLine="267"/>
        <w:spacing w:after="0" w:line="275" w:lineRule="auto"/>
        <w:tabs>
          <w:tab w:leader="none" w:pos="122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Corporation, any entity in which the Corporation, directly or indirectly, owns any of the capital stock or holds an equity or similar interest.</w:t>
      </w:r>
    </w:p>
    <w:p>
      <w:pPr>
        <w:spacing w:after="0" w:line="60" w:lineRule="exact"/>
        <w:rPr>
          <w:rFonts w:ascii="Arial" w:cs="Arial" w:eastAsia="Arial" w:hAnsi="Arial"/>
          <w:sz w:val="18"/>
          <w:szCs w:val="18"/>
          <w:color w:val="auto"/>
        </w:rPr>
      </w:pPr>
    </w:p>
    <w:p>
      <w:pPr>
        <w:jc w:val="both"/>
        <w:ind w:left="580" w:right="619" w:firstLine="267"/>
        <w:spacing w:after="0" w:line="283" w:lineRule="auto"/>
        <w:tabs>
          <w:tab w:leader="none" w:pos="1171" w:val="left"/>
        </w:tabs>
        <w:numPr>
          <w:ilvl w:val="2"/>
          <w:numId w:val="3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Price</w:t>
      </w:r>
      <w:r>
        <w:rPr>
          <w:rFonts w:ascii="Arial" w:cs="Arial" w:eastAsia="Arial" w:hAnsi="Arial"/>
          <w:sz w:val="16"/>
          <w:szCs w:val="16"/>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67" w:lineRule="exact"/>
        <w:rPr>
          <w:rFonts w:ascii="Arial" w:cs="Arial" w:eastAsia="Arial" w:hAnsi="Arial"/>
          <w:sz w:val="16"/>
          <w:szCs w:val="16"/>
          <w:color w:val="auto"/>
        </w:rPr>
      </w:pPr>
    </w:p>
    <w:p>
      <w:pPr>
        <w:ind w:left="320" w:right="639" w:firstLine="260"/>
        <w:spacing w:after="0" w:line="334" w:lineRule="auto"/>
        <w:tabs>
          <w:tab w:leader="none" w:pos="911" w:val="left"/>
        </w:tabs>
        <w:numPr>
          <w:ilvl w:val="1"/>
          <w:numId w:val="394"/>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The number of shares of Common Stock issuable upon conversion of each share of Series A Preferred Stock pursuant to this Section 7 shall be determined according to the following formula (the “</w:t>
      </w:r>
      <w:r>
        <w:rPr>
          <w:rFonts w:ascii="Arial" w:cs="Arial" w:eastAsia="Arial" w:hAnsi="Arial"/>
          <w:sz w:val="16"/>
          <w:szCs w:val="16"/>
          <w:b w:val="1"/>
          <w:bCs w:val="1"/>
          <w:color w:val="auto"/>
        </w:rPr>
        <w:t>Conversion Rate</w:t>
      </w:r>
      <w:r>
        <w:rPr>
          <w:rFonts w:ascii="Arial" w:cs="Arial" w:eastAsia="Arial" w:hAnsi="Arial"/>
          <w:sz w:val="16"/>
          <w:szCs w:val="16"/>
          <w:color w:val="auto"/>
        </w:rPr>
        <w:t>”):</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8"/>
          <w:szCs w:val="18"/>
          <w:u w:val="single" w:color="auto"/>
          <w:color w:val="auto"/>
        </w:rPr>
        <w:t>Conversion Amount</w:t>
      </w:r>
    </w:p>
    <w:p>
      <w:pPr>
        <w:spacing w:after="0" w:line="20"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Conversion Price</w:t>
      </w:r>
    </w:p>
    <w:p>
      <w:pPr>
        <w:spacing w:after="0" w:line="101" w:lineRule="exact"/>
        <w:rPr>
          <w:sz w:val="20"/>
          <w:szCs w:val="20"/>
          <w:color w:val="auto"/>
        </w:rPr>
      </w:pPr>
    </w:p>
    <w:p>
      <w:pPr>
        <w:ind w:left="580" w:right="619"/>
        <w:spacing w:after="0" w:line="300" w:lineRule="auto"/>
        <w:rPr>
          <w:sz w:val="20"/>
          <w:szCs w:val="20"/>
          <w:color w:val="auto"/>
        </w:rPr>
      </w:pPr>
      <w:r>
        <w:rPr>
          <w:rFonts w:ascii="Arial" w:cs="Arial" w:eastAsia="Arial" w:hAnsi="Arial"/>
          <w:sz w:val="17"/>
          <w:szCs w:val="17"/>
          <w:color w:val="auto"/>
        </w:rPr>
        <w:t>No fractional shares of Common Stock are to be issued upon the conversion of any Series A Preferred Stock, but rather the number of shares of Common Stock to be issued shall be rounded up to the nearest whole number.</w:t>
      </w:r>
    </w:p>
    <w:p>
      <w:pPr>
        <w:spacing w:after="0" w:line="46" w:lineRule="exact"/>
        <w:rPr>
          <w:sz w:val="20"/>
          <w:szCs w:val="20"/>
          <w:color w:val="auto"/>
        </w:rPr>
      </w:pPr>
    </w:p>
    <w:p>
      <w:pPr>
        <w:ind w:left="580" w:right="619"/>
        <w:spacing w:after="0" w:line="270" w:lineRule="auto"/>
        <w:rPr>
          <w:sz w:val="20"/>
          <w:szCs w:val="20"/>
          <w:color w:val="auto"/>
        </w:rPr>
      </w:pPr>
      <w:r>
        <w:rPr>
          <w:rFonts w:ascii="Arial" w:cs="Arial" w:eastAsia="Arial" w:hAnsi="Arial"/>
          <w:sz w:val="18"/>
          <w:szCs w:val="18"/>
          <w:color w:val="auto"/>
        </w:rPr>
        <w:t>The applicable Conversion Rate and Conversion Price from time to time in effect is subject to adjustment as hereinafter provided.</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82" w:name="page383"/>
    <w:bookmarkEnd w:id="3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60" w:hanging="280"/>
        <w:spacing w:after="0"/>
        <w:tabs>
          <w:tab w:leader="none" w:pos="860"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The conversion of Series A Preferred Stock shall be conducted in the following manner:</w:t>
      </w:r>
    </w:p>
    <w:p>
      <w:pPr>
        <w:spacing w:after="0" w:line="125" w:lineRule="exact"/>
        <w:rPr>
          <w:rFonts w:ascii="Arial" w:cs="Arial" w:eastAsia="Arial" w:hAnsi="Arial"/>
          <w:sz w:val="17"/>
          <w:szCs w:val="17"/>
          <w:color w:val="auto"/>
        </w:rPr>
      </w:pPr>
    </w:p>
    <w:p>
      <w:pPr>
        <w:jc w:val="both"/>
        <w:ind w:left="580" w:right="619" w:firstLine="267"/>
        <w:spacing w:after="0" w:line="266" w:lineRule="auto"/>
        <w:tabs>
          <w:tab w:leader="none" w:pos="1104" w:val="left"/>
        </w:tabs>
        <w:numPr>
          <w:ilvl w:val="1"/>
          <w:numId w:val="395"/>
        </w:numPr>
        <w:rPr>
          <w:rFonts w:ascii="Arial" w:cs="Arial" w:eastAsia="Arial" w:hAnsi="Arial"/>
          <w:sz w:val="17"/>
          <w:szCs w:val="17"/>
          <w:color w:val="auto"/>
        </w:rPr>
      </w:pPr>
      <w:r>
        <w:rPr>
          <w:rFonts w:ascii="Arial" w:cs="Arial" w:eastAsia="Arial" w:hAnsi="Arial"/>
          <w:sz w:val="17"/>
          <w:szCs w:val="17"/>
          <w:u w:val="single" w:color="auto"/>
          <w:color w:val="auto"/>
        </w:rPr>
        <w:t>Holder’s Delivery Requirements</w:t>
      </w:r>
      <w:r>
        <w:rPr>
          <w:rFonts w:ascii="Arial" w:cs="Arial" w:eastAsia="Arial" w:hAnsi="Arial"/>
          <w:sz w:val="17"/>
          <w:szCs w:val="17"/>
          <w:color w:val="auto"/>
        </w:rPr>
        <w:t>. To convert Series A Preferred Stock into shares of Common Stock on any date (a “</w:t>
      </w:r>
      <w:r>
        <w:rPr>
          <w:rFonts w:ascii="Arial" w:cs="Arial" w:eastAsia="Arial" w:hAnsi="Arial"/>
          <w:sz w:val="17"/>
          <w:szCs w:val="17"/>
          <w:b w:val="1"/>
          <w:bCs w:val="1"/>
          <w:color w:val="auto"/>
        </w:rPr>
        <w:t>Conversion Date</w:t>
      </w:r>
      <w:r>
        <w:rPr>
          <w:rFonts w:ascii="Arial" w:cs="Arial" w:eastAsia="Arial" w:hAnsi="Arial"/>
          <w:sz w:val="17"/>
          <w:szCs w:val="17"/>
          <w:color w:val="auto"/>
        </w:rPr>
        <w:t xml:space="preserve">”), the Holder shall (A) transmit by facsimile (or otherwise deliver), for receipt on or prior to 11:59 p.m., New York City time, on such date, a copy of a properly completed notice of conversion executed by the registered Holder of the Series A Preferred Stock subject to such conversion in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b w:val="1"/>
          <w:bCs w:val="1"/>
          <w:color w:val="auto"/>
        </w:rPr>
        <w:t>Conversion Notice</w:t>
      </w:r>
      <w:r>
        <w:rPr>
          <w:rFonts w:ascii="Arial" w:cs="Arial" w:eastAsia="Arial" w:hAnsi="Arial"/>
          <w:sz w:val="17"/>
          <w:szCs w:val="17"/>
          <w:color w:val="auto"/>
        </w:rPr>
        <w:t>”) to the Corporation and if the Corporation has appointed a registered transfer agent, the Corporations registered transfer agent (the “</w:t>
      </w:r>
      <w:r>
        <w:rPr>
          <w:rFonts w:ascii="Arial" w:cs="Arial" w:eastAsia="Arial" w:hAnsi="Arial"/>
          <w:sz w:val="17"/>
          <w:szCs w:val="17"/>
          <w:b w:val="1"/>
          <w:bCs w:val="1"/>
          <w:color w:val="auto"/>
        </w:rPr>
        <w:t>Transfer Agent</w:t>
      </w:r>
      <w:r>
        <w:rPr>
          <w:rFonts w:ascii="Arial" w:cs="Arial" w:eastAsia="Arial" w:hAnsi="Arial"/>
          <w:sz w:val="17"/>
          <w:szCs w:val="17"/>
          <w:color w:val="auto"/>
        </w:rPr>
        <w:t>”)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7"/>
          <w:szCs w:val="17"/>
          <w:b w:val="1"/>
          <w:bCs w:val="1"/>
          <w:color w:val="auto"/>
        </w:rPr>
        <w:t>Preferred Stock Certificates</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1160" w:hanging="313"/>
        <w:spacing w:after="0"/>
        <w:tabs>
          <w:tab w:leader="none" w:pos="1160" w:val="left"/>
        </w:tabs>
        <w:numPr>
          <w:ilvl w:val="1"/>
          <w:numId w:val="395"/>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w:t>
      </w:r>
    </w:p>
    <w:p>
      <w:pPr>
        <w:spacing w:after="0" w:line="42" w:lineRule="exact"/>
        <w:rPr>
          <w:rFonts w:ascii="Arial" w:cs="Arial" w:eastAsia="Arial" w:hAnsi="Arial"/>
          <w:sz w:val="16"/>
          <w:szCs w:val="16"/>
          <w:color w:val="auto"/>
        </w:rPr>
      </w:pPr>
    </w:p>
    <w:p>
      <w:pPr>
        <w:jc w:val="both"/>
        <w:ind w:left="580" w:right="619"/>
        <w:spacing w:after="0" w:line="269" w:lineRule="auto"/>
        <w:rPr>
          <w:rFonts w:ascii="Arial" w:cs="Arial" w:eastAsia="Arial" w:hAnsi="Arial"/>
          <w:sz w:val="16"/>
          <w:szCs w:val="16"/>
          <w:color w:val="auto"/>
        </w:rPr>
      </w:pPr>
      <w:r>
        <w:rPr>
          <w:rFonts w:ascii="Arial" w:cs="Arial" w:eastAsia="Arial" w:hAnsi="Arial"/>
          <w:sz w:val="17"/>
          <w:szCs w:val="17"/>
          <w:color w:val="auto"/>
        </w:rPr>
        <w:t>(A) as soon as practicable, but in any event within two (2) Trading Days, send, via facsimile, a confirmation of receipt of such Conversion Notice to such Holder and the Transfer Agent, if applicable, which confirmation shall constitute an instruction to the Transfer Agent to process such Conversion Notice in accordance with the terms herein and (B) on or</w:t>
      </w:r>
    </w:p>
    <w:p>
      <w:pPr>
        <w:spacing w:after="0" w:line="2" w:lineRule="exact"/>
        <w:rPr>
          <w:sz w:val="20"/>
          <w:szCs w:val="20"/>
          <w:color w:val="auto"/>
        </w:rPr>
      </w:pPr>
    </w:p>
    <w:p>
      <w:pPr>
        <w:jc w:val="both"/>
        <w:ind w:left="580" w:right="619"/>
        <w:spacing w:after="0" w:line="272" w:lineRule="auto"/>
        <w:rPr>
          <w:sz w:val="20"/>
          <w:szCs w:val="20"/>
          <w:color w:val="auto"/>
        </w:rPr>
      </w:pPr>
      <w:r>
        <w:rPr>
          <w:rFonts w:ascii="Arial" w:cs="Arial" w:eastAsia="Arial" w:hAnsi="Arial"/>
          <w:sz w:val="16"/>
          <w:szCs w:val="16"/>
          <w:color w:val="auto"/>
        </w:rPr>
        <w:t>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of receipt by the Corporation of such Conversion Notice (the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color w:val="auto"/>
        </w:rPr>
        <w:t>Delivery Date</w:t>
      </w:r>
      <w:r>
        <w:rPr>
          <w:rFonts w:ascii="Arial" w:cs="Arial" w:eastAsia="Arial" w:hAnsi="Arial"/>
          <w:sz w:val="16"/>
          <w:szCs w:val="16"/>
          <w:color w:val="auto"/>
        </w:rPr>
        <w:t>”), (1) provided the Transfer Agent is participating in the DTC Fast Automated Securities Transfer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 (5) Business Days after receipt of the Preferred Stock Certificate(s) (the “</w:t>
      </w:r>
      <w:r>
        <w:rPr>
          <w:rFonts w:ascii="Arial" w:cs="Arial" w:eastAsia="Arial" w:hAnsi="Arial"/>
          <w:sz w:val="16"/>
          <w:szCs w:val="16"/>
          <w:b w:val="1"/>
          <w:bCs w:val="1"/>
          <w:color w:val="auto"/>
        </w:rPr>
        <w:t>Preferred Stock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and at its own expense, issue and deliver to the Holder a new Preferred Stock Certificate representing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Series A Preferred Stock not converted.</w:t>
      </w:r>
    </w:p>
    <w:p>
      <w:pPr>
        <w:spacing w:after="0" w:line="77" w:lineRule="exact"/>
        <w:rPr>
          <w:sz w:val="20"/>
          <w:szCs w:val="20"/>
          <w:color w:val="auto"/>
        </w:rPr>
      </w:pPr>
    </w:p>
    <w:p>
      <w:pPr>
        <w:ind w:left="1200" w:hanging="353"/>
        <w:spacing w:after="0"/>
        <w:tabs>
          <w:tab w:leader="none" w:pos="120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1120" w:right="619" w:firstLine="262"/>
        <w:spacing w:after="0" w:line="280" w:lineRule="auto"/>
        <w:tabs>
          <w:tab w:leader="none" w:pos="1737" w:val="left"/>
        </w:tabs>
        <w:numPr>
          <w:ilvl w:val="2"/>
          <w:numId w:val="396"/>
        </w:numPr>
        <w:rPr>
          <w:rFonts w:ascii="Arial" w:cs="Arial" w:eastAsia="Arial" w:hAnsi="Arial"/>
          <w:sz w:val="16"/>
          <w:szCs w:val="16"/>
          <w:color w:val="auto"/>
        </w:rPr>
      </w:pPr>
      <w:r>
        <w:rPr>
          <w:rFonts w:ascii="Arial" w:cs="Arial" w:eastAsia="Arial" w:hAnsi="Arial"/>
          <w:sz w:val="16"/>
          <w:szCs w:val="16"/>
          <w:u w:val="single" w:color="auto"/>
          <w:color w:val="auto"/>
        </w:rPr>
        <w:t>Cash Damages</w:t>
      </w:r>
      <w:r>
        <w:rPr>
          <w:rFonts w:ascii="Arial" w:cs="Arial" w:eastAsia="Arial" w:hAnsi="Arial"/>
          <w:sz w:val="16"/>
          <w:szCs w:val="16"/>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6"/>
          <w:szCs w:val="16"/>
          <w:b w:val="1"/>
          <w:bCs w:val="1"/>
          <w:color w:val="auto"/>
        </w:rPr>
        <w:t>Conversion Failure</w:t>
      </w:r>
      <w:r>
        <w:rPr>
          <w:rFonts w:ascii="Arial" w:cs="Arial" w:eastAsia="Arial" w:hAnsi="Arial"/>
          <w:sz w:val="16"/>
          <w:szCs w:val="16"/>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b w:val="1"/>
          <w:bCs w:val="1"/>
          <w:color w:val="auto"/>
        </w:rPr>
        <w:t>Buy-In</w:t>
      </w:r>
      <w:r>
        <w:rPr>
          <w:rFonts w:ascii="Arial" w:cs="Arial" w:eastAsia="Arial" w:hAnsi="Arial"/>
          <w:sz w:val="16"/>
          <w:szCs w:val="16"/>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w:t>
      </w:r>
    </w:p>
    <w:p>
      <w:pPr>
        <w:spacing w:after="0" w:line="2" w:lineRule="exact"/>
        <w:rPr>
          <w:rFonts w:ascii="Arial" w:cs="Arial" w:eastAsia="Arial" w:hAnsi="Arial"/>
          <w:sz w:val="16"/>
          <w:szCs w:val="16"/>
          <w:color w:val="auto"/>
        </w:rPr>
      </w:pPr>
    </w:p>
    <w:p>
      <w:pPr>
        <w:ind w:left="1400" w:hanging="286"/>
        <w:spacing w:after="0"/>
        <w:tabs>
          <w:tab w:leader="none" w:pos="14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Closing Sale Price</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3" w:name="page384"/>
    <w:bookmarkEnd w:id="3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1120" w:right="619"/>
        <w:spacing w:after="0" w:line="275" w:lineRule="auto"/>
        <w:rPr>
          <w:sz w:val="20"/>
          <w:szCs w:val="20"/>
          <w:color w:val="auto"/>
        </w:rPr>
      </w:pPr>
      <w:r>
        <w:rPr>
          <w:rFonts w:ascii="Arial" w:cs="Arial" w:eastAsia="Arial" w:hAnsi="Arial"/>
          <w:sz w:val="17"/>
          <w:szCs w:val="17"/>
          <w:color w:val="auto"/>
        </w:rPr>
        <w:t>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66" w:lineRule="exact"/>
        <w:rPr>
          <w:sz w:val="20"/>
          <w:szCs w:val="20"/>
          <w:color w:val="auto"/>
        </w:rPr>
      </w:pPr>
    </w:p>
    <w:p>
      <w:pPr>
        <w:ind w:left="1700" w:hanging="318"/>
        <w:spacing w:after="0"/>
        <w:tabs>
          <w:tab w:leader="none" w:pos="1700" w:val="left"/>
        </w:tabs>
        <w:numPr>
          <w:ilvl w:val="0"/>
          <w:numId w:val="397"/>
        </w:numPr>
        <w:rPr>
          <w:rFonts w:ascii="Arial" w:cs="Arial" w:eastAsia="Arial" w:hAnsi="Arial"/>
          <w:sz w:val="16"/>
          <w:szCs w:val="16"/>
          <w:color w:val="auto"/>
        </w:rPr>
      </w:pPr>
      <w:r>
        <w:rPr>
          <w:rFonts w:ascii="Arial" w:cs="Arial" w:eastAsia="Arial" w:hAnsi="Arial"/>
          <w:sz w:val="16"/>
          <w:szCs w:val="16"/>
          <w:u w:val="single" w:color="auto"/>
          <w:color w:val="auto"/>
        </w:rPr>
        <w:t>Void Conversion Notice; Adjustment of Conversion Price</w:t>
      </w:r>
      <w:r>
        <w:rPr>
          <w:rFonts w:ascii="Arial" w:cs="Arial" w:eastAsia="Arial" w:hAnsi="Arial"/>
          <w:sz w:val="16"/>
          <w:szCs w:val="16"/>
          <w:color w:val="auto"/>
        </w:rPr>
        <w:t>. If for any reason a Holder has not received all of</w:t>
      </w:r>
    </w:p>
    <w:p>
      <w:pPr>
        <w:spacing w:after="0" w:line="60" w:lineRule="exact"/>
        <w:rPr>
          <w:sz w:val="20"/>
          <w:szCs w:val="20"/>
          <w:color w:val="auto"/>
        </w:rPr>
      </w:pPr>
    </w:p>
    <w:p>
      <w:pPr>
        <w:jc w:val="both"/>
        <w:ind w:left="1120" w:right="619"/>
        <w:spacing w:after="0" w:line="235" w:lineRule="auto"/>
        <w:rPr>
          <w:sz w:val="20"/>
          <w:szCs w:val="20"/>
          <w:color w:val="auto"/>
        </w:rPr>
      </w:pPr>
      <w:r>
        <w:rPr>
          <w:rFonts w:ascii="Arial" w:cs="Arial" w:eastAsia="Arial" w:hAnsi="Arial"/>
          <w:sz w:val="18"/>
          <w:szCs w:val="18"/>
          <w:color w:val="auto"/>
        </w:rPr>
        <w:t>the shares of Common Stock to which such Holder is entitled prior to the tenth (10</w:t>
      </w:r>
      <w:r>
        <w:rPr>
          <w:rFonts w:ascii="Arial" w:cs="Arial" w:eastAsia="Arial" w:hAnsi="Arial"/>
          <w:sz w:val="29"/>
          <w:szCs w:val="29"/>
          <w:color w:val="auto"/>
          <w:vertAlign w:val="superscript"/>
        </w:rPr>
        <w:t>th</w:t>
      </w:r>
      <w:r>
        <w:rPr>
          <w:rFonts w:ascii="Arial" w:cs="Arial" w:eastAsia="Arial" w:hAnsi="Arial"/>
          <w:sz w:val="18"/>
          <w:szCs w:val="18"/>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98" w:lineRule="exact"/>
        <w:rPr>
          <w:sz w:val="20"/>
          <w:szCs w:val="20"/>
          <w:color w:val="auto"/>
        </w:rPr>
      </w:pPr>
    </w:p>
    <w:p>
      <w:pPr>
        <w:jc w:val="both"/>
        <w:ind w:left="580" w:right="619" w:firstLine="267"/>
        <w:spacing w:after="0" w:line="281" w:lineRule="auto"/>
        <w:tabs>
          <w:tab w:leader="none" w:pos="1234"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74" w:lineRule="exact"/>
        <w:rPr>
          <w:sz w:val="20"/>
          <w:szCs w:val="20"/>
          <w:color w:val="auto"/>
        </w:rPr>
      </w:pPr>
    </w:p>
    <w:p>
      <w:pPr>
        <w:jc w:val="both"/>
        <w:ind w:left="840" w:right="619"/>
        <w:spacing w:after="0" w:line="251" w:lineRule="auto"/>
        <w:rPr>
          <w:sz w:val="20"/>
          <w:szCs w:val="20"/>
          <w:color w:val="auto"/>
        </w:rPr>
      </w:pPr>
      <w:r>
        <w:rPr>
          <w:rFonts w:ascii="Arial" w:cs="Arial" w:eastAsia="Arial" w:hAnsi="Arial"/>
          <w:sz w:val="18"/>
          <w:szCs w:val="18"/>
          <w:color w:val="auto"/>
        </w:rPr>
        <w:t>ANY TRANSFEREE OF THIS CERTIFICATE SHOULD CAREFULLY REVIEW THE TERMS OF THE CORPORATION’S CERTIFICATE OF DESIGNATIONS RELATING TO THE SERIES A PREFERRED STOCK REPRESENTED BY THIS CERTIFICATE, INCLUDING SECTION 7(c)(iv) 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4" w:name="page385"/>
    <w:bookmarkEnd w:id="3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80" w:hanging="300"/>
        <w:spacing w:after="0"/>
        <w:tabs>
          <w:tab w:leader="none" w:pos="88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81" w:lineRule="auto"/>
        <w:tabs>
          <w:tab w:leader="none" w:pos="1148" w:val="left"/>
        </w:tabs>
        <w:numPr>
          <w:ilvl w:val="1"/>
          <w:numId w:val="399"/>
        </w:numPr>
        <w:rPr>
          <w:rFonts w:ascii="Arial" w:cs="Arial" w:eastAsia="Arial" w:hAnsi="Arial"/>
          <w:sz w:val="16"/>
          <w:szCs w:val="16"/>
          <w:color w:val="auto"/>
        </w:rPr>
      </w:pPr>
      <w:r>
        <w:rPr>
          <w:rFonts w:ascii="Arial" w:cs="Arial" w:eastAsia="Arial" w:hAnsi="Arial"/>
          <w:sz w:val="16"/>
          <w:szCs w:val="16"/>
          <w:color w:val="auto"/>
        </w:rPr>
        <w:t>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75" w:lineRule="exact"/>
        <w:rPr>
          <w:rFonts w:ascii="Arial" w:cs="Arial" w:eastAsia="Arial" w:hAnsi="Arial"/>
          <w:sz w:val="16"/>
          <w:szCs w:val="16"/>
          <w:color w:val="auto"/>
        </w:rPr>
      </w:pPr>
    </w:p>
    <w:p>
      <w:pPr>
        <w:jc w:val="both"/>
        <w:ind w:left="580" w:right="619" w:firstLine="267"/>
        <w:spacing w:after="0" w:line="284" w:lineRule="auto"/>
        <w:tabs>
          <w:tab w:leader="none" w:pos="1211" w:val="left"/>
        </w:tabs>
        <w:numPr>
          <w:ilvl w:val="1"/>
          <w:numId w:val="399"/>
        </w:numPr>
        <w:rPr>
          <w:rFonts w:ascii="Arial" w:cs="Arial" w:eastAsia="Arial" w:hAnsi="Arial"/>
          <w:sz w:val="16"/>
          <w:szCs w:val="16"/>
          <w:color w:val="auto"/>
        </w:rPr>
      </w:pPr>
      <w:r>
        <w:rPr>
          <w:rFonts w:ascii="Arial" w:cs="Arial" w:eastAsia="Arial" w:hAnsi="Arial"/>
          <w:sz w:val="16"/>
          <w:szCs w:val="16"/>
          <w:color w:val="auto"/>
        </w:rPr>
        <w:t>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60" w:lineRule="exact"/>
        <w:rPr>
          <w:rFonts w:ascii="Arial" w:cs="Arial" w:eastAsia="Arial" w:hAnsi="Arial"/>
          <w:sz w:val="16"/>
          <w:szCs w:val="16"/>
          <w:color w:val="auto"/>
        </w:rPr>
      </w:pPr>
    </w:p>
    <w:p>
      <w:pPr>
        <w:jc w:val="both"/>
        <w:ind w:left="320" w:right="619" w:firstLine="260"/>
        <w:spacing w:after="0" w:line="266" w:lineRule="auto"/>
        <w:tabs>
          <w:tab w:leader="none" w:pos="901"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200" w:lineRule="exact"/>
        <w:rPr>
          <w:sz w:val="20"/>
          <w:szCs w:val="20"/>
          <w:color w:val="auto"/>
        </w:rPr>
      </w:pPr>
    </w:p>
    <w:p>
      <w:pPr>
        <w:spacing w:after="0" w:line="3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5" w:name="page386"/>
    <w:bookmarkEnd w:id="3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19" w:firstLine="260"/>
        <w:spacing w:after="0" w:line="259" w:lineRule="auto"/>
        <w:tabs>
          <w:tab w:leader="none" w:pos="868" w:val="left"/>
        </w:tabs>
        <w:numPr>
          <w:ilvl w:val="1"/>
          <w:numId w:val="400"/>
        </w:numPr>
        <w:rPr>
          <w:rFonts w:ascii="Arial" w:cs="Arial" w:eastAsia="Arial" w:hAnsi="Arial"/>
          <w:sz w:val="18"/>
          <w:szCs w:val="18"/>
          <w:color w:val="auto"/>
        </w:rPr>
      </w:pPr>
      <w:r>
        <w:rPr>
          <w:rFonts w:ascii="Arial" w:cs="Arial" w:eastAsia="Arial" w:hAnsi="Arial"/>
          <w:sz w:val="18"/>
          <w:szCs w:val="18"/>
          <w:u w:val="single" w:color="auto"/>
          <w:color w:val="auto"/>
        </w:rPr>
        <w:t>Record Holder</w:t>
      </w:r>
      <w:r>
        <w:rPr>
          <w:rFonts w:ascii="Arial" w:cs="Arial" w:eastAsia="Arial" w:hAnsi="Arial"/>
          <w:sz w:val="18"/>
          <w:szCs w:val="18"/>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78" w:lineRule="exact"/>
        <w:rPr>
          <w:rFonts w:ascii="Arial" w:cs="Arial" w:eastAsia="Arial" w:hAnsi="Arial"/>
          <w:sz w:val="18"/>
          <w:szCs w:val="18"/>
          <w:color w:val="auto"/>
        </w:rPr>
      </w:pPr>
    </w:p>
    <w:p>
      <w:pPr>
        <w:jc w:val="both"/>
        <w:ind w:left="320" w:right="619" w:firstLine="260"/>
        <w:spacing w:after="0" w:line="268" w:lineRule="auto"/>
        <w:tabs>
          <w:tab w:leader="none" w:pos="924" w:val="left"/>
        </w:tabs>
        <w:numPr>
          <w:ilvl w:val="1"/>
          <w:numId w:val="400"/>
        </w:numPr>
        <w:rPr>
          <w:rFonts w:ascii="Arial" w:cs="Arial" w:eastAsia="Arial" w:hAnsi="Arial"/>
          <w:sz w:val="17"/>
          <w:szCs w:val="17"/>
          <w:color w:val="auto"/>
        </w:rPr>
      </w:pP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75" w:lineRule="exact"/>
        <w:rPr>
          <w:rFonts w:ascii="Arial" w:cs="Arial" w:eastAsia="Arial" w:hAnsi="Arial"/>
          <w:sz w:val="17"/>
          <w:szCs w:val="17"/>
          <w:color w:val="auto"/>
        </w:rPr>
      </w:pPr>
    </w:p>
    <w:p>
      <w:pPr>
        <w:jc w:val="both"/>
        <w:ind w:left="320" w:right="619" w:firstLine="260"/>
        <w:spacing w:after="0" w:line="288" w:lineRule="auto"/>
        <w:tabs>
          <w:tab w:leader="none" w:pos="897" w:val="left"/>
        </w:tabs>
        <w:numPr>
          <w:ilvl w:val="1"/>
          <w:numId w:val="400"/>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58" w:lineRule="exact"/>
        <w:rPr>
          <w:rFonts w:ascii="Arial" w:cs="Arial" w:eastAsia="Arial" w:hAnsi="Arial"/>
          <w:sz w:val="16"/>
          <w:szCs w:val="16"/>
          <w:color w:val="auto"/>
        </w:rPr>
      </w:pPr>
    </w:p>
    <w:p>
      <w:pPr>
        <w:jc w:val="both"/>
        <w:ind w:left="320" w:right="619" w:firstLine="260"/>
        <w:spacing w:after="0" w:line="279" w:lineRule="auto"/>
        <w:tabs>
          <w:tab w:leader="none" w:pos="871" w:val="left"/>
        </w:tabs>
        <w:numPr>
          <w:ilvl w:val="1"/>
          <w:numId w:val="400"/>
        </w:numPr>
        <w:rPr>
          <w:rFonts w:ascii="Arial" w:cs="Arial" w:eastAsia="Arial" w:hAnsi="Arial"/>
          <w:sz w:val="16"/>
          <w:szCs w:val="16"/>
          <w:color w:val="auto"/>
        </w:rPr>
      </w:pPr>
      <w:r>
        <w:rPr>
          <w:rFonts w:ascii="Arial" w:cs="Arial" w:eastAsia="Arial" w:hAnsi="Arial"/>
          <w:sz w:val="16"/>
          <w:szCs w:val="16"/>
          <w:u w:val="single" w:color="auto"/>
          <w:color w:val="auto"/>
        </w:rPr>
        <w:t>Maximum Percentage</w:t>
      </w:r>
      <w:r>
        <w:rPr>
          <w:rFonts w:ascii="Arial" w:cs="Arial" w:eastAsia="Arial" w:hAnsi="Arial"/>
          <w:sz w:val="16"/>
          <w:szCs w:val="16"/>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w:t>
      </w:r>
    </w:p>
    <w:p>
      <w:pPr>
        <w:spacing w:after="0" w:line="12" w:lineRule="exact"/>
        <w:rPr>
          <w:rFonts w:ascii="Arial" w:cs="Arial" w:eastAsia="Arial" w:hAnsi="Arial"/>
          <w:sz w:val="16"/>
          <w:szCs w:val="16"/>
          <w:color w:val="auto"/>
        </w:rPr>
      </w:pPr>
    </w:p>
    <w:p>
      <w:pPr>
        <w:jc w:val="both"/>
        <w:ind w:left="320" w:right="619" w:hanging="8"/>
        <w:spacing w:after="0" w:line="249" w:lineRule="auto"/>
        <w:tabs>
          <w:tab w:leader="none" w:pos="61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Corporation’s most recent Form 10-K, Form 10-Q, or Form 8-K, as the case may be, (2) 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w:t>
      </w:r>
    </w:p>
    <w:p>
      <w:pPr>
        <w:spacing w:after="0" w:line="200" w:lineRule="exact"/>
        <w:rPr>
          <w:sz w:val="20"/>
          <w:szCs w:val="20"/>
          <w:color w:val="auto"/>
        </w:rPr>
      </w:pPr>
    </w:p>
    <w:p>
      <w:pPr>
        <w:spacing w:after="0" w:line="3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6" w:name="page387"/>
    <w:bookmarkEnd w:id="3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92" w:lineRule="auto"/>
        <w:rPr>
          <w:sz w:val="20"/>
          <w:szCs w:val="20"/>
          <w:color w:val="auto"/>
        </w:rPr>
      </w:pPr>
      <w:r>
        <w:rPr>
          <w:rFonts w:ascii="Arial" w:cs="Arial" w:eastAsia="Arial" w:hAnsi="Arial"/>
          <w:sz w:val="16"/>
          <w:szCs w:val="16"/>
          <w:color w:val="auto"/>
        </w:rPr>
        <w:t>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w:t>
      </w:r>
    </w:p>
    <w:p>
      <w:pPr>
        <w:jc w:val="both"/>
        <w:ind w:left="320" w:right="619"/>
        <w:spacing w:after="0" w:line="272" w:lineRule="auto"/>
        <w:rPr>
          <w:sz w:val="20"/>
          <w:szCs w:val="20"/>
          <w:color w:val="auto"/>
        </w:rPr>
      </w:pPr>
      <w:r>
        <w:rPr>
          <w:rFonts w:ascii="Arial" w:cs="Arial" w:eastAsia="Arial" w:hAnsi="Arial"/>
          <w:sz w:val="16"/>
          <w:szCs w:val="16"/>
          <w:color w:val="auto"/>
        </w:rPr>
        <w:t>sixty-first (61</w:t>
      </w:r>
      <w:r>
        <w:rPr>
          <w:rFonts w:ascii="Arial" w:cs="Arial" w:eastAsia="Arial" w:hAnsi="Arial"/>
          <w:sz w:val="26"/>
          <w:szCs w:val="26"/>
          <w:color w:val="auto"/>
          <w:vertAlign w:val="superscript"/>
        </w:rPr>
        <w:t>st</w:t>
      </w:r>
      <w:r>
        <w:rPr>
          <w:rFonts w:ascii="Arial" w:cs="Arial" w:eastAsia="Arial" w:hAnsi="Arial"/>
          <w:sz w:val="16"/>
          <w:szCs w:val="16"/>
          <w:color w:val="auto"/>
        </w:rPr>
        <w: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6"/>
          <w:szCs w:val="16"/>
          <w:b w:val="1"/>
          <w:bCs w:val="1"/>
          <w:color w:val="auto"/>
        </w:rPr>
        <w:t>Limited Shares</w:t>
      </w:r>
      <w:r>
        <w:rPr>
          <w:rFonts w:ascii="Arial" w:cs="Arial" w:eastAsia="Arial" w:hAnsi="Arial"/>
          <w:sz w:val="16"/>
          <w:szCs w:val="16"/>
          <w:color w:val="auto"/>
        </w:rPr>
        <w:t>”),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72" w:lineRule="exact"/>
        <w:rPr>
          <w:sz w:val="20"/>
          <w:szCs w:val="20"/>
          <w:color w:val="auto"/>
        </w:rPr>
      </w:pPr>
    </w:p>
    <w:p>
      <w:pPr>
        <w:ind w:left="40" w:right="639" w:firstLine="272"/>
        <w:spacing w:after="0" w:line="270" w:lineRule="auto"/>
        <w:tabs>
          <w:tab w:leader="none" w:pos="557"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Anti-Dilution Provisions</w:t>
      </w:r>
      <w:r>
        <w:rPr>
          <w:rFonts w:ascii="Arial" w:cs="Arial" w:eastAsia="Arial" w:hAnsi="Arial"/>
          <w:sz w:val="18"/>
          <w:szCs w:val="18"/>
          <w:color w:val="auto"/>
        </w:rPr>
        <w:t>. The Conversion Price shall be subject to adjustment from time to time in accordance with this Section 8.</w:t>
      </w:r>
    </w:p>
    <w:p>
      <w:pPr>
        <w:spacing w:after="0" w:line="68" w:lineRule="exact"/>
        <w:rPr>
          <w:rFonts w:ascii="Arial" w:cs="Arial" w:eastAsia="Arial" w:hAnsi="Arial"/>
          <w:sz w:val="18"/>
          <w:szCs w:val="18"/>
          <w:color w:val="auto"/>
        </w:rPr>
      </w:pPr>
    </w:p>
    <w:p>
      <w:pPr>
        <w:ind w:left="860" w:hanging="280"/>
        <w:spacing w:after="0"/>
        <w:tabs>
          <w:tab w:leader="none" w:pos="860"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09" w:lineRule="exact"/>
        <w:rPr>
          <w:rFonts w:ascii="Arial" w:cs="Arial" w:eastAsia="Arial" w:hAnsi="Arial"/>
          <w:sz w:val="18"/>
          <w:szCs w:val="18"/>
          <w:color w:val="auto"/>
        </w:rPr>
      </w:pPr>
    </w:p>
    <w:p>
      <w:pPr>
        <w:jc w:val="both"/>
        <w:ind w:left="580" w:right="619" w:firstLine="267"/>
        <w:spacing w:after="0" w:line="283" w:lineRule="auto"/>
        <w:tabs>
          <w:tab w:leader="none" w:pos="1131" w:val="left"/>
        </w:tabs>
        <w:numPr>
          <w:ilvl w:val="2"/>
          <w:numId w:val="4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63" w:lineRule="exact"/>
        <w:rPr>
          <w:rFonts w:ascii="Arial" w:cs="Arial" w:eastAsia="Arial" w:hAnsi="Arial"/>
          <w:sz w:val="16"/>
          <w:szCs w:val="16"/>
          <w:color w:val="auto"/>
        </w:rPr>
      </w:pPr>
    </w:p>
    <w:p>
      <w:pPr>
        <w:ind w:left="580" w:right="639" w:firstLine="267"/>
        <w:spacing w:after="0" w:line="275" w:lineRule="auto"/>
        <w:tabs>
          <w:tab w:leader="none" w:pos="1167" w:val="left"/>
        </w:tabs>
        <w:numPr>
          <w:ilvl w:val="2"/>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exchangeable or exercisable for Common Stock.</w:t>
      </w:r>
    </w:p>
    <w:p>
      <w:pPr>
        <w:spacing w:after="0" w:line="60" w:lineRule="exact"/>
        <w:rPr>
          <w:rFonts w:ascii="Arial" w:cs="Arial" w:eastAsia="Arial" w:hAnsi="Arial"/>
          <w:sz w:val="18"/>
          <w:szCs w:val="18"/>
          <w:color w:val="auto"/>
        </w:rPr>
      </w:pPr>
    </w:p>
    <w:p>
      <w:pPr>
        <w:jc w:val="both"/>
        <w:ind w:left="580" w:right="619" w:firstLine="267"/>
        <w:spacing w:after="0" w:line="268" w:lineRule="auto"/>
        <w:tabs>
          <w:tab w:leader="none" w:pos="1230" w:val="left"/>
        </w:tabs>
        <w:numPr>
          <w:ilvl w:val="2"/>
          <w:numId w:val="4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Securities</w:t>
      </w:r>
      <w:r>
        <w:rPr>
          <w:rFonts w:ascii="Arial" w:cs="Arial" w:eastAsia="Arial" w:hAnsi="Arial"/>
          <w:sz w:val="17"/>
          <w:szCs w:val="17"/>
          <w:color w:val="auto"/>
        </w:rPr>
        <w:t>” means any capital stock issued or issuable: (i) upon conversion of the Series A Preferred Stock; (ii) 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w:t>
      </w: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7" w:name="page388"/>
    <w:bookmarkEnd w:id="3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39"/>
        <w:spacing w:after="0" w:line="253" w:lineRule="auto"/>
        <w:rPr>
          <w:sz w:val="20"/>
          <w:szCs w:val="20"/>
          <w:color w:val="auto"/>
        </w:rPr>
      </w:pPr>
      <w:r>
        <w:rPr>
          <w:rFonts w:ascii="Arial" w:cs="Arial" w:eastAsia="Arial" w:hAnsi="Arial"/>
          <w:sz w:val="18"/>
          <w:szCs w:val="18"/>
          <w:color w:val="auto"/>
        </w:rPr>
        <w:t>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81" w:lineRule="exact"/>
        <w:rPr>
          <w:sz w:val="20"/>
          <w:szCs w:val="20"/>
          <w:color w:val="auto"/>
        </w:rPr>
      </w:pPr>
    </w:p>
    <w:p>
      <w:pPr>
        <w:ind w:left="580" w:right="619" w:firstLine="267"/>
        <w:spacing w:after="0" w:line="275" w:lineRule="auto"/>
        <w:tabs>
          <w:tab w:leader="none" w:pos="1247" w:val="left"/>
        </w:tabs>
        <w:numPr>
          <w:ilvl w:val="1"/>
          <w:numId w:val="4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Common Stock or Convertible Securities.</w:t>
      </w:r>
    </w:p>
    <w:p>
      <w:pPr>
        <w:spacing w:after="0" w:line="60" w:lineRule="exact"/>
        <w:rPr>
          <w:rFonts w:ascii="Arial" w:cs="Arial" w:eastAsia="Arial" w:hAnsi="Arial"/>
          <w:sz w:val="18"/>
          <w:szCs w:val="18"/>
          <w:color w:val="auto"/>
        </w:rPr>
      </w:pPr>
    </w:p>
    <w:p>
      <w:pPr>
        <w:jc w:val="both"/>
        <w:ind w:left="580" w:right="639" w:firstLine="267"/>
        <w:spacing w:after="0" w:line="285" w:lineRule="auto"/>
        <w:tabs>
          <w:tab w:leader="none" w:pos="114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Value</w:t>
      </w:r>
      <w:r>
        <w:rPr>
          <w:rFonts w:ascii="Arial" w:cs="Arial" w:eastAsia="Arial" w:hAnsi="Arial"/>
          <w:sz w:val="16"/>
          <w:szCs w:val="16"/>
          <w:color w:val="auto"/>
        </w:rPr>
        <w:t>” means the value of an Option based on the Black and Scholes Option Pricing model obtained from the “OV” function on Bloomberg determined (1) in the event the issuance of such Option is publicly announced, the day prior to the public announcement of the applicable Option for pricing purposes or (2) 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60" w:lineRule="exact"/>
        <w:rPr>
          <w:rFonts w:ascii="Arial" w:cs="Arial" w:eastAsia="Arial" w:hAnsi="Arial"/>
          <w:sz w:val="16"/>
          <w:szCs w:val="16"/>
          <w:color w:val="auto"/>
        </w:rPr>
      </w:pPr>
    </w:p>
    <w:p>
      <w:pPr>
        <w:ind w:left="1220" w:hanging="373"/>
        <w:spacing w:after="0"/>
        <w:tabs>
          <w:tab w:leader="none" w:pos="1220" w:val="left"/>
        </w:tabs>
        <w:numPr>
          <w:ilvl w:val="1"/>
          <w:numId w:val="4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Market</w:t>
      </w:r>
      <w:r>
        <w:rPr>
          <w:rFonts w:ascii="Arial" w:cs="Arial" w:eastAsia="Arial" w:hAnsi="Arial"/>
          <w:sz w:val="16"/>
          <w:szCs w:val="16"/>
          <w:color w:val="auto"/>
        </w:rPr>
        <w:t>” means the Eligible Market that is the principal securities exchange market for the Common</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00" w:lineRule="exact"/>
        <w:rPr>
          <w:rFonts w:ascii="Arial" w:cs="Arial" w:eastAsia="Arial" w:hAnsi="Arial"/>
          <w:sz w:val="16"/>
          <w:szCs w:val="16"/>
          <w:color w:val="auto"/>
        </w:rPr>
      </w:pPr>
    </w:p>
    <w:p>
      <w:pPr>
        <w:jc w:val="both"/>
        <w:ind w:left="320" w:right="619" w:firstLine="260"/>
        <w:spacing w:after="0" w:line="284" w:lineRule="auto"/>
        <w:tabs>
          <w:tab w:leader="none" w:pos="911"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Adjustment of Series A Conversion Price Upon Issuance of Additional Shares of Common Stock</w:t>
      </w:r>
      <w:r>
        <w:rPr>
          <w:rFonts w:ascii="Arial" w:cs="Arial" w:eastAsia="Arial" w:hAnsi="Arial"/>
          <w:sz w:val="16"/>
          <w:szCs w:val="16"/>
          <w:color w:val="auto"/>
        </w:rPr>
        <w:t>.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(the “</w:t>
      </w:r>
      <w:r>
        <w:rPr>
          <w:rFonts w:ascii="Arial" w:cs="Arial" w:eastAsia="Arial" w:hAnsi="Arial"/>
          <w:sz w:val="16"/>
          <w:szCs w:val="16"/>
          <w:b w:val="1"/>
          <w:bCs w:val="1"/>
          <w:color w:val="auto"/>
        </w:rPr>
        <w:t>Applicable Price</w:t>
      </w:r>
      <w:r>
        <w:rPr>
          <w:rFonts w:ascii="Arial" w:cs="Arial" w:eastAsia="Arial" w:hAnsi="Arial"/>
          <w:sz w:val="16"/>
          <w:szCs w:val="16"/>
          <w:color w:val="auto"/>
        </w:rPr>
        <w:t>”) equal to the Conversion Price in effect immediately prior to such issue or sale or deemed issuance or sale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 8(b) shall no longer be applicable. For purposes of determining the adjusted Conversion Price under this Section 8(b), the following shall be applicable:</w:t>
      </w:r>
    </w:p>
    <w:p>
      <w:pPr>
        <w:spacing w:after="0" w:line="64" w:lineRule="exact"/>
        <w:rPr>
          <w:rFonts w:ascii="Arial" w:cs="Arial" w:eastAsia="Arial" w:hAnsi="Arial"/>
          <w:sz w:val="16"/>
          <w:szCs w:val="16"/>
          <w:color w:val="auto"/>
        </w:rPr>
      </w:pPr>
    </w:p>
    <w:p>
      <w:pPr>
        <w:jc w:val="both"/>
        <w:ind w:left="580" w:right="619" w:firstLine="267"/>
        <w:spacing w:after="0" w:line="266" w:lineRule="auto"/>
        <w:tabs>
          <w:tab w:leader="none" w:pos="1104" w:val="left"/>
        </w:tabs>
        <w:numPr>
          <w:ilvl w:val="1"/>
          <w:numId w:val="404"/>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w:t>
      </w:r>
    </w:p>
    <w:p>
      <w:pPr>
        <w:spacing w:after="0" w:line="200" w:lineRule="exact"/>
        <w:rPr>
          <w:sz w:val="20"/>
          <w:szCs w:val="20"/>
          <w:color w:val="auto"/>
        </w:rPr>
      </w:pPr>
    </w:p>
    <w:p>
      <w:pPr>
        <w:spacing w:after="0" w:line="3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8" w:name="page389"/>
    <w:bookmarkEnd w:id="3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55" w:lineRule="auto"/>
        <w:rPr>
          <w:sz w:val="20"/>
          <w:szCs w:val="20"/>
          <w:color w:val="auto"/>
        </w:rPr>
      </w:pPr>
      <w:r>
        <w:rPr>
          <w:rFonts w:ascii="Arial" w:cs="Arial" w:eastAsia="Arial" w:hAnsi="Arial"/>
          <w:sz w:val="18"/>
          <w:szCs w:val="18"/>
          <w:color w:val="auto"/>
        </w:rPr>
        <w:t>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83" w:lineRule="exact"/>
        <w:rPr>
          <w:sz w:val="20"/>
          <w:szCs w:val="20"/>
          <w:color w:val="auto"/>
        </w:rPr>
      </w:pPr>
    </w:p>
    <w:p>
      <w:pPr>
        <w:jc w:val="both"/>
        <w:ind w:left="580" w:right="619" w:firstLine="267"/>
        <w:spacing w:after="0" w:line="282" w:lineRule="auto"/>
        <w:tabs>
          <w:tab w:leader="none" w:pos="1154"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71" w:lineRule="exact"/>
        <w:rPr>
          <w:rFonts w:ascii="Arial" w:cs="Arial" w:eastAsia="Arial" w:hAnsi="Arial"/>
          <w:sz w:val="16"/>
          <w:szCs w:val="16"/>
          <w:color w:val="auto"/>
        </w:rPr>
      </w:pPr>
    </w:p>
    <w:p>
      <w:pPr>
        <w:jc w:val="both"/>
        <w:ind w:left="580" w:right="619" w:firstLine="267"/>
        <w:spacing w:after="0" w:line="266" w:lineRule="auto"/>
        <w:tabs>
          <w:tab w:leader="none" w:pos="1217"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76" w:lineRule="exact"/>
        <w:rPr>
          <w:rFonts w:ascii="Arial" w:cs="Arial" w:eastAsia="Arial" w:hAnsi="Arial"/>
          <w:sz w:val="17"/>
          <w:szCs w:val="17"/>
          <w:color w:val="auto"/>
        </w:rPr>
      </w:pPr>
    </w:p>
    <w:p>
      <w:pPr>
        <w:jc w:val="both"/>
        <w:ind w:left="580" w:right="619" w:firstLine="267"/>
        <w:spacing w:after="0" w:line="283" w:lineRule="auto"/>
        <w:tabs>
          <w:tab w:leader="none" w:pos="1207"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w:t>
      </w:r>
    </w:p>
    <w:p>
      <w:pPr>
        <w:spacing w:after="0" w:line="200" w:lineRule="exact"/>
        <w:rPr>
          <w:sz w:val="20"/>
          <w:szCs w:val="20"/>
          <w:color w:val="auto"/>
        </w:rPr>
      </w:pPr>
    </w:p>
    <w:p>
      <w:pPr>
        <w:spacing w:after="0" w:line="3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89" w:name="page390"/>
    <w:bookmarkEnd w:id="3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spacing w:after="0" w:line="292" w:lineRule="auto"/>
        <w:rPr>
          <w:sz w:val="20"/>
          <w:szCs w:val="20"/>
          <w:color w:val="auto"/>
        </w:rPr>
      </w:pPr>
      <w:r>
        <w:rPr>
          <w:rFonts w:ascii="Arial" w:cs="Arial" w:eastAsia="Arial" w:hAnsi="Arial"/>
          <w:sz w:val="16"/>
          <w:szCs w:val="16"/>
          <w:color w:val="auto"/>
        </w:rPr>
        <w:t>fair value of any consideration other than cash or marketable securities will be determined jointly by the Corporation and the Required Holders.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 determined within five (5)</w:t>
      </w:r>
    </w:p>
    <w:p>
      <w:pPr>
        <w:jc w:val="both"/>
        <w:ind w:left="580" w:right="639"/>
        <w:spacing w:after="0" w:line="232" w:lineRule="auto"/>
        <w:rPr>
          <w:sz w:val="20"/>
          <w:szCs w:val="20"/>
          <w:color w:val="auto"/>
        </w:rPr>
      </w:pPr>
      <w:r>
        <w:rPr>
          <w:rFonts w:ascii="Arial" w:cs="Arial" w:eastAsia="Arial" w:hAnsi="Arial"/>
          <w:sz w:val="17"/>
          <w:szCs w:val="17"/>
          <w:color w:val="auto"/>
        </w:rPr>
        <w:t>Business Days after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96" w:lineRule="exact"/>
        <w:rPr>
          <w:sz w:val="20"/>
          <w:szCs w:val="20"/>
          <w:color w:val="auto"/>
        </w:rPr>
      </w:pPr>
    </w:p>
    <w:p>
      <w:pPr>
        <w:jc w:val="both"/>
        <w:ind w:left="320" w:right="619" w:firstLine="260"/>
        <w:spacing w:after="0" w:line="270" w:lineRule="auto"/>
        <w:tabs>
          <w:tab w:leader="none" w:pos="887"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70" w:lineRule="exact"/>
        <w:rPr>
          <w:rFonts w:ascii="Arial" w:cs="Arial" w:eastAsia="Arial" w:hAnsi="Arial"/>
          <w:sz w:val="17"/>
          <w:szCs w:val="17"/>
          <w:color w:val="auto"/>
        </w:rPr>
      </w:pPr>
    </w:p>
    <w:p>
      <w:pPr>
        <w:jc w:val="both"/>
        <w:ind w:left="320" w:right="639" w:firstLine="260"/>
        <w:spacing w:after="0" w:line="292" w:lineRule="auto"/>
        <w:tabs>
          <w:tab w:leader="none" w:pos="938"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56" w:lineRule="exact"/>
        <w:rPr>
          <w:rFonts w:ascii="Arial" w:cs="Arial" w:eastAsia="Arial" w:hAnsi="Arial"/>
          <w:sz w:val="16"/>
          <w:szCs w:val="16"/>
          <w:color w:val="auto"/>
        </w:rPr>
      </w:pPr>
    </w:p>
    <w:p>
      <w:pPr>
        <w:jc w:val="both"/>
        <w:ind w:left="320" w:right="619" w:firstLine="260"/>
        <w:spacing w:after="0" w:line="259" w:lineRule="auto"/>
        <w:tabs>
          <w:tab w:leader="none" w:pos="887"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Corporation</w:t>
      </w:r>
      <w:r>
        <w:rPr>
          <w:rFonts w:ascii="Arial" w:cs="Arial" w:eastAsia="Arial" w:hAnsi="Arial"/>
          <w:sz w:val="18"/>
          <w:szCs w:val="18"/>
          <w:color w:val="auto"/>
        </w:rPr>
        <w:t>. The Corporation may at any time reduce the then current Conversion Price to any amount and for any period of time deemed appropriate and approved by the Board of Directors in accordance with Delaware law.</w:t>
      </w:r>
    </w:p>
    <w:p>
      <w:pPr>
        <w:spacing w:after="0" w:line="78" w:lineRule="exact"/>
        <w:rPr>
          <w:rFonts w:ascii="Arial" w:cs="Arial" w:eastAsia="Arial" w:hAnsi="Arial"/>
          <w:sz w:val="18"/>
          <w:szCs w:val="18"/>
          <w:color w:val="auto"/>
        </w:rPr>
      </w:pPr>
    </w:p>
    <w:p>
      <w:pPr>
        <w:jc w:val="both"/>
        <w:ind w:left="320" w:right="619" w:firstLine="260"/>
        <w:spacing w:after="0" w:line="283" w:lineRule="auto"/>
        <w:tabs>
          <w:tab w:leader="none" w:pos="868"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66" w:lineRule="exact"/>
        <w:rPr>
          <w:rFonts w:ascii="Arial" w:cs="Arial" w:eastAsia="Arial" w:hAnsi="Arial"/>
          <w:sz w:val="16"/>
          <w:szCs w:val="16"/>
          <w:color w:val="auto"/>
        </w:rPr>
      </w:pPr>
    </w:p>
    <w:p>
      <w:pPr>
        <w:ind w:left="880" w:hanging="300"/>
        <w:spacing w:after="0"/>
        <w:tabs>
          <w:tab w:leader="none" w:pos="88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580" w:right="619" w:firstLine="267"/>
        <w:spacing w:after="0" w:line="253" w:lineRule="auto"/>
        <w:tabs>
          <w:tab w:leader="none" w:pos="1136"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00" w:lineRule="exact"/>
        <w:rPr>
          <w:sz w:val="20"/>
          <w:szCs w:val="20"/>
          <w:color w:val="auto"/>
        </w:rPr>
      </w:pPr>
    </w:p>
    <w:p>
      <w:pPr>
        <w:spacing w:after="0" w:line="3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0" w:name="page391"/>
    <w:bookmarkEnd w:id="3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619" w:firstLine="267"/>
        <w:spacing w:after="0" w:line="284" w:lineRule="auto"/>
        <w:tabs>
          <w:tab w:leader="none" w:pos="1210" w:val="left"/>
        </w:tabs>
        <w:numPr>
          <w:ilvl w:val="3"/>
          <w:numId w:val="407"/>
        </w:numPr>
        <w:rPr>
          <w:rFonts w:ascii="Arial" w:cs="Arial" w:eastAsia="Arial" w:hAnsi="Arial"/>
          <w:sz w:val="16"/>
          <w:szCs w:val="16"/>
          <w:color w:val="auto"/>
        </w:rPr>
      </w:pPr>
      <w:r>
        <w:rPr>
          <w:rFonts w:ascii="Arial" w:cs="Arial" w:eastAsia="Arial" w:hAnsi="Arial"/>
          <w:sz w:val="16"/>
          <w:szCs w:val="16"/>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w:t>
      </w:r>
    </w:p>
    <w:p>
      <w:pPr>
        <w:spacing w:after="0" w:line="1" w:lineRule="exact"/>
        <w:rPr>
          <w:rFonts w:ascii="Arial" w:cs="Arial" w:eastAsia="Arial" w:hAnsi="Arial"/>
          <w:sz w:val="16"/>
          <w:szCs w:val="16"/>
          <w:color w:val="auto"/>
        </w:rPr>
      </w:pPr>
    </w:p>
    <w:p>
      <w:pPr>
        <w:ind w:left="580" w:right="619"/>
        <w:spacing w:after="0" w:line="255" w:lineRule="auto"/>
        <w:tabs>
          <w:tab w:leader="none" w:pos="932" w:val="left"/>
        </w:tabs>
        <w:numPr>
          <w:ilvl w:val="2"/>
          <w:numId w:val="408"/>
        </w:numPr>
        <w:rPr>
          <w:rFonts w:ascii="Arial" w:cs="Arial" w:eastAsia="Arial" w:hAnsi="Arial"/>
          <w:sz w:val="18"/>
          <w:szCs w:val="18"/>
          <w:color w:val="auto"/>
        </w:rPr>
      </w:pPr>
      <w:r>
        <w:rPr>
          <w:rFonts w:ascii="Arial" w:cs="Arial" w:eastAsia="Arial" w:hAnsi="Arial"/>
          <w:sz w:val="18"/>
          <w:szCs w:val="18"/>
          <w:color w:val="auto"/>
        </w:rPr>
        <w:t>for determining rights to vote with respect to any Change of Control, any Twenty Percent Issuance, any Fundamental Transaction or any Liquidation Event.</w:t>
      </w:r>
    </w:p>
    <w:p>
      <w:pPr>
        <w:spacing w:after="0" w:line="81" w:lineRule="exact"/>
        <w:rPr>
          <w:rFonts w:ascii="Arial" w:cs="Arial" w:eastAsia="Arial" w:hAnsi="Arial"/>
          <w:sz w:val="18"/>
          <w:szCs w:val="18"/>
          <w:color w:val="auto"/>
        </w:rPr>
      </w:pPr>
    </w:p>
    <w:p>
      <w:pPr>
        <w:jc w:val="both"/>
        <w:ind w:left="580" w:right="619" w:firstLine="267"/>
        <w:spacing w:after="0" w:line="259" w:lineRule="auto"/>
        <w:tabs>
          <w:tab w:leader="none" w:pos="1228" w:val="left"/>
        </w:tabs>
        <w:numPr>
          <w:ilvl w:val="3"/>
          <w:numId w:val="408"/>
        </w:numPr>
        <w:rPr>
          <w:rFonts w:ascii="Arial" w:cs="Arial" w:eastAsia="Arial" w:hAnsi="Arial"/>
          <w:sz w:val="18"/>
          <w:szCs w:val="18"/>
          <w:color w:val="auto"/>
        </w:rPr>
      </w:pPr>
      <w:r>
        <w:rPr>
          <w:rFonts w:ascii="Arial" w:cs="Arial" w:eastAsia="Arial" w:hAnsi="Arial"/>
          <w:sz w:val="18"/>
          <w:szCs w:val="18"/>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78" w:lineRule="exact"/>
        <w:rPr>
          <w:rFonts w:ascii="Arial" w:cs="Arial" w:eastAsia="Arial" w:hAnsi="Arial"/>
          <w:sz w:val="18"/>
          <w:szCs w:val="18"/>
          <w:color w:val="auto"/>
        </w:rPr>
      </w:pPr>
    </w:p>
    <w:p>
      <w:pPr>
        <w:jc w:val="both"/>
        <w:ind w:left="40" w:right="619" w:firstLine="272"/>
        <w:spacing w:after="0" w:line="279" w:lineRule="auto"/>
        <w:tabs>
          <w:tab w:leader="none" w:pos="557" w:val="left"/>
        </w:tabs>
        <w:numPr>
          <w:ilvl w:val="1"/>
          <w:numId w:val="409"/>
        </w:numPr>
        <w:rPr>
          <w:rFonts w:ascii="Arial" w:cs="Arial" w:eastAsia="Arial" w:hAnsi="Arial"/>
          <w:sz w:val="16"/>
          <w:szCs w:val="16"/>
          <w:color w:val="auto"/>
        </w:rPr>
      </w:pPr>
      <w:r>
        <w:rPr>
          <w:rFonts w:ascii="Arial" w:cs="Arial" w:eastAsia="Arial" w:hAnsi="Arial"/>
          <w:sz w:val="16"/>
          <w:szCs w:val="16"/>
          <w:u w:val="single" w:color="auto"/>
          <w:color w:val="auto"/>
        </w:rPr>
        <w:t>Suspension from Trading</w:t>
      </w:r>
      <w:r>
        <w:rPr>
          <w:rFonts w:ascii="Arial" w:cs="Arial" w:eastAsia="Arial" w:hAnsi="Arial"/>
          <w:sz w:val="16"/>
          <w:szCs w:val="16"/>
          <w:color w:val="auto"/>
        </w:rPr>
        <w:t>. If on any day after the Initial Issuance Date, the sale of any of the shares of Common Stock issued or issuable upon the conversion of any shares of Series A Preferred Stock (the “</w:t>
      </w:r>
      <w:r>
        <w:rPr>
          <w:rFonts w:ascii="Arial" w:cs="Arial" w:eastAsia="Arial" w:hAnsi="Arial"/>
          <w:sz w:val="16"/>
          <w:szCs w:val="16"/>
          <w:b w:val="1"/>
          <w:bCs w:val="1"/>
          <w:color w:val="auto"/>
        </w:rPr>
        <w:t>Conversion Shares</w:t>
      </w:r>
      <w:r>
        <w:rPr>
          <w:rFonts w:ascii="Arial" w:cs="Arial" w:eastAsia="Arial" w:hAnsi="Arial"/>
          <w:sz w:val="16"/>
          <w:szCs w:val="16"/>
          <w:color w:val="auto"/>
        </w:rPr>
        <w:t>”)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6"/>
          <w:szCs w:val="16"/>
          <w:b w:val="1"/>
          <w:bCs w:val="1"/>
          <w:color w:val="auto"/>
        </w:rPr>
        <w:t>Maintenance Failure</w:t>
      </w:r>
      <w:r>
        <w:rPr>
          <w:rFonts w:ascii="Arial" w:cs="Arial" w:eastAsia="Arial" w:hAnsi="Arial"/>
          <w:sz w:val="16"/>
          <w:szCs w:val="16"/>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6"/>
          <w:szCs w:val="16"/>
          <w:b w:val="1"/>
          <w:bCs w:val="1"/>
          <w:color w:val="auto"/>
        </w:rPr>
        <w:t>Delisting Maintenance Failure</w:t>
      </w:r>
      <w:r>
        <w:rPr>
          <w:rFonts w:ascii="Arial" w:cs="Arial" w:eastAsia="Arial" w:hAnsi="Arial"/>
          <w:sz w:val="16"/>
          <w:szCs w:val="16"/>
          <w:color w:val="auto"/>
        </w:rPr>
        <w:t xml:space="preserve"> ”),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6"/>
          <w:szCs w:val="16"/>
          <w:b w:val="1"/>
          <w:bCs w:val="1"/>
          <w:color w:val="auto"/>
        </w:rPr>
        <w:t>Suspension Payments</w:t>
      </w:r>
      <w:r>
        <w:rPr>
          <w:rFonts w:ascii="Arial" w:cs="Arial" w:eastAsia="Arial" w:hAnsi="Arial"/>
          <w:sz w:val="16"/>
          <w:szCs w:val="16"/>
          <w:color w:val="auto"/>
        </w:rPr>
        <w:t>”. Suspension Payments shall be paid on the third Business Day after each full fifteen</w:t>
      </w:r>
    </w:p>
    <w:p>
      <w:pPr>
        <w:spacing w:after="0" w:line="12" w:lineRule="exact"/>
        <w:rPr>
          <w:rFonts w:ascii="Arial" w:cs="Arial" w:eastAsia="Arial" w:hAnsi="Arial"/>
          <w:sz w:val="16"/>
          <w:szCs w:val="16"/>
          <w:color w:val="auto"/>
        </w:rPr>
      </w:pPr>
    </w:p>
    <w:p>
      <w:pPr>
        <w:ind w:left="380" w:hanging="335"/>
        <w:spacing w:after="0"/>
        <w:tabs>
          <w:tab w:leader="none" w:pos="3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day period during which there is a Maintenance Failure or a Delisting Maintenance Failure, as applicable.</w:t>
      </w:r>
    </w:p>
    <w:p>
      <w:pPr>
        <w:spacing w:after="0" w:line="100" w:lineRule="exact"/>
        <w:rPr>
          <w:rFonts w:ascii="Arial" w:cs="Arial" w:eastAsia="Arial" w:hAnsi="Arial"/>
          <w:sz w:val="18"/>
          <w:szCs w:val="18"/>
          <w:color w:val="auto"/>
        </w:rPr>
      </w:pPr>
    </w:p>
    <w:p>
      <w:pPr>
        <w:ind w:left="40" w:right="639" w:firstLine="272"/>
        <w:spacing w:after="0" w:line="270" w:lineRule="auto"/>
        <w:tabs>
          <w:tab w:leader="none" w:pos="632"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A Preferred Stock shall be converted pursuant to Section 7 hereof, the shares so converted shall be canceled and shall not be issuable by the Corporation.</w:t>
      </w:r>
    </w:p>
    <w:p>
      <w:pPr>
        <w:spacing w:after="0" w:line="68" w:lineRule="exact"/>
        <w:rPr>
          <w:rFonts w:ascii="Arial" w:cs="Arial" w:eastAsia="Arial" w:hAnsi="Arial"/>
          <w:sz w:val="18"/>
          <w:szCs w:val="18"/>
          <w:color w:val="auto"/>
        </w:rPr>
      </w:pPr>
    </w:p>
    <w:p>
      <w:pPr>
        <w:jc w:val="both"/>
        <w:ind w:left="40" w:right="619" w:firstLine="272"/>
        <w:spacing w:after="0" w:line="268" w:lineRule="auto"/>
        <w:tabs>
          <w:tab w:leader="none" w:pos="626" w:val="left"/>
        </w:tabs>
        <w:numPr>
          <w:ilvl w:val="1"/>
          <w:numId w:val="410"/>
        </w:numPr>
        <w:rPr>
          <w:rFonts w:ascii="Arial" w:cs="Arial" w:eastAsia="Arial" w:hAnsi="Arial"/>
          <w:sz w:val="17"/>
          <w:szCs w:val="17"/>
          <w:color w:val="auto"/>
        </w:rPr>
      </w:pPr>
      <w:r>
        <w:rPr>
          <w:rFonts w:ascii="Arial" w:cs="Arial" w:eastAsia="Arial" w:hAnsi="Arial"/>
          <w:sz w:val="17"/>
          <w:szCs w:val="17"/>
          <w:u w:val="single" w:color="auto"/>
          <w:color w:val="auto"/>
        </w:rPr>
        <w:t>Lost or Stolen Certificates</w:t>
      </w:r>
      <w:r>
        <w:rPr>
          <w:rFonts w:ascii="Arial" w:cs="Arial" w:eastAsia="Arial" w:hAnsi="Arial"/>
          <w:sz w:val="17"/>
          <w:szCs w:val="17"/>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Corporation shall not be obligated to re-issue preferred stock certificates if the holder contemporaneously requests the Corporation to convert such Series A Preferred Stock into Common Stock.</w:t>
      </w:r>
    </w:p>
    <w:p>
      <w:pPr>
        <w:spacing w:after="0" w:line="75" w:lineRule="exact"/>
        <w:rPr>
          <w:rFonts w:ascii="Arial" w:cs="Arial" w:eastAsia="Arial" w:hAnsi="Arial"/>
          <w:sz w:val="17"/>
          <w:szCs w:val="17"/>
          <w:color w:val="auto"/>
        </w:rPr>
      </w:pPr>
    </w:p>
    <w:p>
      <w:pPr>
        <w:jc w:val="both"/>
        <w:ind w:left="40" w:right="619" w:firstLine="272"/>
        <w:spacing w:after="0" w:line="268" w:lineRule="auto"/>
        <w:tabs>
          <w:tab w:leader="none" w:pos="619" w:val="left"/>
        </w:tabs>
        <w:numPr>
          <w:ilvl w:val="1"/>
          <w:numId w:val="410"/>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w:t>
      </w: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91" w:name="page392"/>
    <w:bookmarkEnd w:id="3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spacing w:after="0" w:line="288" w:lineRule="auto"/>
        <w:rPr>
          <w:sz w:val="20"/>
          <w:szCs w:val="20"/>
          <w:color w:val="auto"/>
        </w:rPr>
      </w:pPr>
      <w:r>
        <w:rPr>
          <w:rFonts w:ascii="Arial" w:cs="Arial" w:eastAsia="Arial" w:hAnsi="Arial"/>
          <w:sz w:val="16"/>
          <w:szCs w:val="16"/>
          <w:color w:val="auto"/>
        </w:rPr>
        <w:t>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58" w:lineRule="exact"/>
        <w:rPr>
          <w:sz w:val="20"/>
          <w:szCs w:val="20"/>
          <w:color w:val="auto"/>
        </w:rPr>
      </w:pPr>
    </w:p>
    <w:p>
      <w:pPr>
        <w:jc w:val="both"/>
        <w:ind w:left="40" w:right="639" w:firstLine="272"/>
        <w:spacing w:after="0" w:line="306" w:lineRule="auto"/>
        <w:tabs>
          <w:tab w:leader="none" w:pos="646"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44" w:lineRule="exact"/>
        <w:rPr>
          <w:rFonts w:ascii="Arial" w:cs="Arial" w:eastAsia="Arial" w:hAnsi="Arial"/>
          <w:sz w:val="16"/>
          <w:szCs w:val="16"/>
          <w:color w:val="auto"/>
        </w:rPr>
      </w:pPr>
    </w:p>
    <w:p>
      <w:pPr>
        <w:jc w:val="both"/>
        <w:ind w:left="40" w:right="619" w:firstLine="272"/>
        <w:spacing w:after="0" w:line="281" w:lineRule="auto"/>
        <w:tabs>
          <w:tab w:leader="none" w:pos="619"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Failure or Indulgence Not Waiver</w:t>
      </w:r>
      <w:r>
        <w:rPr>
          <w:rFonts w:ascii="Arial" w:cs="Arial" w:eastAsia="Arial" w:hAnsi="Arial"/>
          <w:sz w:val="17"/>
          <w:szCs w:val="17"/>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61" w:lineRule="exact"/>
        <w:rPr>
          <w:rFonts w:ascii="Arial" w:cs="Arial" w:eastAsia="Arial" w:hAnsi="Arial"/>
          <w:sz w:val="17"/>
          <w:szCs w:val="17"/>
          <w:color w:val="auto"/>
        </w:rPr>
      </w:pPr>
    </w:p>
    <w:p>
      <w:pPr>
        <w:jc w:val="both"/>
        <w:ind w:left="40" w:right="639" w:firstLine="272"/>
        <w:spacing w:after="0" w:line="259" w:lineRule="auto"/>
        <w:tabs>
          <w:tab w:leader="none" w:pos="699"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Transfer of Series A Preferred Stock</w:t>
      </w:r>
      <w:r>
        <w:rPr>
          <w:rFonts w:ascii="Arial" w:cs="Arial" w:eastAsia="Arial" w:hAnsi="Arial"/>
          <w:sz w:val="18"/>
          <w:szCs w:val="18"/>
          <w:color w:val="auto"/>
        </w:rPr>
        <w:t>. A Holder may assign some or all of the Series A Preferred Stock and the accompanying rights hereunder held by such Holder without the consent of the Corporation; provided that such assignment is in compliance with applicable securities laws.</w:t>
      </w:r>
    </w:p>
    <w:p>
      <w:pPr>
        <w:spacing w:after="0" w:line="78" w:lineRule="exact"/>
        <w:rPr>
          <w:rFonts w:ascii="Arial" w:cs="Arial" w:eastAsia="Arial" w:hAnsi="Arial"/>
          <w:sz w:val="18"/>
          <w:szCs w:val="18"/>
          <w:color w:val="auto"/>
        </w:rPr>
      </w:pPr>
    </w:p>
    <w:p>
      <w:pPr>
        <w:jc w:val="both"/>
        <w:ind w:left="40" w:right="619" w:firstLine="272"/>
        <w:spacing w:after="0" w:line="270" w:lineRule="auto"/>
        <w:tabs>
          <w:tab w:leader="none" w:pos="619"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Series A Preferred Stock Register</w:t>
      </w:r>
      <w:r>
        <w:rPr>
          <w:rFonts w:ascii="Arial" w:cs="Arial" w:eastAsia="Arial" w:hAnsi="Arial"/>
          <w:sz w:val="17"/>
          <w:szCs w:val="17"/>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70" w:lineRule="exact"/>
        <w:rPr>
          <w:rFonts w:ascii="Arial" w:cs="Arial" w:eastAsia="Arial" w:hAnsi="Arial"/>
          <w:sz w:val="17"/>
          <w:szCs w:val="17"/>
          <w:color w:val="auto"/>
        </w:rPr>
      </w:pPr>
    </w:p>
    <w:p>
      <w:pPr>
        <w:jc w:val="both"/>
        <w:ind w:left="40" w:right="619" w:firstLine="272"/>
        <w:spacing w:after="0" w:line="252" w:lineRule="auto"/>
        <w:tabs>
          <w:tab w:leader="none" w:pos="619"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86" w:lineRule="exact"/>
        <w:rPr>
          <w:rFonts w:ascii="Arial" w:cs="Arial" w:eastAsia="Arial" w:hAnsi="Arial"/>
          <w:sz w:val="18"/>
          <w:szCs w:val="18"/>
          <w:color w:val="auto"/>
        </w:rPr>
      </w:pPr>
    </w:p>
    <w:p>
      <w:pPr>
        <w:jc w:val="both"/>
        <w:ind w:left="40" w:right="619" w:firstLine="272"/>
        <w:spacing w:after="0" w:line="259" w:lineRule="auto"/>
        <w:tabs>
          <w:tab w:leader="none" w:pos="632"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78" w:lineRule="exact"/>
        <w:rPr>
          <w:rFonts w:ascii="Arial" w:cs="Arial" w:eastAsia="Arial" w:hAnsi="Arial"/>
          <w:sz w:val="18"/>
          <w:szCs w:val="18"/>
          <w:color w:val="auto"/>
        </w:rPr>
      </w:pPr>
    </w:p>
    <w:p>
      <w:pPr>
        <w:jc w:val="both"/>
        <w:ind w:left="40" w:right="619" w:firstLine="272"/>
        <w:spacing w:after="0" w:line="268" w:lineRule="auto"/>
        <w:tabs>
          <w:tab w:leader="none" w:pos="632"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2" w:name="page393"/>
    <w:bookmarkEnd w:id="3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WITNESS WHEREOF, the undersigned has signed this Certificate of Designation on the [__] day of [____] 2012, and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affirms the statements contained therein as true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513461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93" w:name="page394"/>
    <w:bookmarkEnd w:id="3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EXHIBIT I</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118" w:lineRule="exact"/>
        <w:rPr>
          <w:sz w:val="20"/>
          <w:szCs w:val="20"/>
          <w:color w:val="auto"/>
        </w:rPr>
      </w:pPr>
    </w:p>
    <w:p>
      <w:pPr>
        <w:jc w:val="both"/>
        <w:ind w:left="40" w:right="619" w:firstLine="267"/>
        <w:spacing w:after="0" w:line="290" w:lineRule="auto"/>
        <w:rPr>
          <w:sz w:val="20"/>
          <w:szCs w:val="20"/>
          <w:color w:val="auto"/>
        </w:rPr>
      </w:pPr>
      <w:r>
        <w:rPr>
          <w:rFonts w:ascii="Arial" w:cs="Arial" w:eastAsia="Arial" w:hAnsi="Arial"/>
          <w:sz w:val="16"/>
          <w:szCs w:val="16"/>
          <w:color w:val="auto"/>
        </w:rPr>
        <w:t>Reference is made to the Certificate of Designations, Preferences and Rights of Series A Convertible Preferred Stock of Vringo, Inc. (the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In accordance with and pursuant to the Certificate of Designations, the undersigned hereby elects to convert the number of shares of Series A Convertible Preferred Stock, par value $0.01 per share (the “</w:t>
      </w:r>
      <w:r>
        <w:rPr>
          <w:rFonts w:ascii="Arial" w:cs="Arial" w:eastAsia="Arial" w:hAnsi="Arial"/>
          <w:sz w:val="16"/>
          <w:szCs w:val="16"/>
          <w:b w:val="1"/>
          <w:b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Stock</w:t>
      </w:r>
      <w:r>
        <w:rPr>
          <w:rFonts w:ascii="Arial" w:cs="Arial" w:eastAsia="Arial" w:hAnsi="Arial"/>
          <w:sz w:val="16"/>
          <w:szCs w:val="16"/>
          <w:color w:val="auto"/>
        </w:rPr>
        <w:t>”), of Vringo, Inc., a Delaware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indicated below into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Corporation, as of the date specified below. The undersigned represents and warrants that such conversion is not prohibited by Section 7(i) of the Certificate of Designations.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-36830</wp:posOffset>
            </wp:positionV>
            <wp:extent cx="2953385"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95338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-36830</wp:posOffset>
            </wp:positionV>
            <wp:extent cx="1459865"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45986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-36830</wp:posOffset>
            </wp:positionV>
            <wp:extent cx="1298575"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9857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-36830</wp:posOffset>
            </wp:positionV>
            <wp:extent cx="256286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confirm the following information: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-36830</wp:posOffset>
            </wp:positionV>
            <wp:extent cx="3038475"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03847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-36830</wp:posOffset>
            </wp:positionV>
            <wp:extent cx="190119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901190" cy="17145"/>
                    </a:xfrm>
                    <a:prstGeom prst="rect">
                      <a:avLst/>
                    </a:prstGeom>
                    <a:noFill/>
                  </pic:spPr>
                </pic:pic>
              </a:graphicData>
            </a:graphic>
          </wp:anchor>
        </w:drawing>
      </w:r>
    </w:p>
    <w:p>
      <w:pPr>
        <w:spacing w:after="0" w:line="94"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Please issue the Common Stock into which the Series A Preferred Stock are being converted in the following name and to the following address: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-36830</wp:posOffset>
            </wp:positionV>
            <wp:extent cx="3361055"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36105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-36830</wp:posOffset>
            </wp:positionV>
            <wp:extent cx="334391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34391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-36830</wp:posOffset>
            </wp:positionV>
            <wp:extent cx="297053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97053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-36830</wp:posOffset>
            </wp:positionV>
            <wp:extent cx="2987675"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987675"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-36830</wp:posOffset>
            </wp:positionV>
            <wp:extent cx="31572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15722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-36830</wp:posOffset>
            </wp:positionV>
            <wp:extent cx="353060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53060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-36830</wp:posOffset>
            </wp:positionV>
            <wp:extent cx="347091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47091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-36830</wp:posOffset>
            </wp:positionV>
            <wp:extent cx="342900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-36830</wp:posOffset>
            </wp:positionV>
            <wp:extent cx="185039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850390" cy="17145"/>
                    </a:xfrm>
                    <a:prstGeom prst="rect">
                      <a:avLst/>
                    </a:prstGeom>
                    <a:noFill/>
                  </pic:spPr>
                </pic:pic>
              </a:graphicData>
            </a:graphic>
          </wp:anchor>
        </w:drawing>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-36830</wp:posOffset>
            </wp:positionV>
            <wp:extent cx="152781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4" w:name="page395"/>
    <w:bookmarkEnd w:id="3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ACKNOWLEDGMENT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Corporation hereby acknowledges this Conversion Notice and hereby directs [______] to issue the above indicated number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513461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-130175</wp:posOffset>
            </wp:positionV>
            <wp:extent cx="267335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67335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-130175</wp:posOffset>
            </wp:positionV>
            <wp:extent cx="267335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673350" cy="825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13335</wp:posOffset>
            </wp:positionV>
            <wp:extent cx="267335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673350" cy="171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95" w:name="page396"/>
    <w:bookmarkEnd w:id="3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F</w:t>
      </w:r>
    </w:p>
    <w:p>
      <w:pPr>
        <w:spacing w:after="0" w:line="118"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(Form of Series 1 Warrant)</w:t>
      </w:r>
    </w:p>
    <w:p>
      <w:pPr>
        <w:spacing w:after="0" w:line="114" w:lineRule="exact"/>
        <w:rPr>
          <w:sz w:val="20"/>
          <w:szCs w:val="20"/>
          <w:color w:val="auto"/>
        </w:rPr>
      </w:pPr>
    </w:p>
    <w:p>
      <w:pPr>
        <w:jc w:val="both"/>
        <w:ind w:left="40" w:right="619"/>
        <w:spacing w:after="0" w:line="250"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514350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tabs>
          <w:tab w:leader="none" w:pos="5640" w:val="left"/>
        </w:tabs>
        <w:rPr>
          <w:sz w:val="20"/>
          <w:szCs w:val="20"/>
          <w:color w:val="auto"/>
        </w:rPr>
      </w:pPr>
      <w:r>
        <w:rPr>
          <w:rFonts w:ascii="Arial" w:cs="Arial" w:eastAsia="Arial" w:hAnsi="Arial"/>
          <w:sz w:val="18"/>
          <w:szCs w:val="18"/>
          <w:color w:val="auto"/>
        </w:rPr>
        <w:t>Warrant No. W-___</w:t>
      </w:r>
      <w:r>
        <w:rPr>
          <w:sz w:val="20"/>
          <w:szCs w:val="20"/>
          <w:color w:val="auto"/>
        </w:rPr>
        <w:tab/>
      </w:r>
      <w:r>
        <w:rPr>
          <w:rFonts w:ascii="Arial" w:cs="Arial" w:eastAsia="Arial" w:hAnsi="Arial"/>
          <w:sz w:val="16"/>
          <w:szCs w:val="16"/>
          <w:color w:val="auto"/>
        </w:rPr>
        <w:t>Number of Shares: 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_________ __, 2012 (“</w:t>
      </w:r>
      <w:r>
        <w:rPr>
          <w:rFonts w:ascii="Arial" w:cs="Arial" w:eastAsia="Arial" w:hAnsi="Arial"/>
          <w:sz w:val="18"/>
          <w:szCs w:val="18"/>
          <w:u w:val="single" w:color="auto"/>
          <w:color w:val="auto"/>
        </w:rPr>
        <w:t>Issuance Date</w:t>
      </w:r>
      <w:r>
        <w:rPr>
          <w:rFonts w:ascii="Arial" w:cs="Arial" w:eastAsia="Arial" w:hAnsi="Arial"/>
          <w:sz w:val="18"/>
          <w:szCs w:val="18"/>
          <w:color w:val="auto"/>
        </w:rPr>
        <w:t>”)</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Common Stock Warrant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Vringo, Inc. </w:t>
      </w: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for value received, hereby certifies that ________, or its registered assigns (the “</w:t>
      </w:r>
      <w:r>
        <w:rPr>
          <w:rFonts w:ascii="Arial" w:cs="Arial" w:eastAsia="Arial" w:hAnsi="Arial"/>
          <w:sz w:val="16"/>
          <w:szCs w:val="16"/>
          <w:u w:val="single" w:color="auto"/>
          <w:color w:val="auto"/>
        </w:rPr>
        <w:t>Registered</w:t>
      </w:r>
    </w:p>
    <w:p>
      <w:pPr>
        <w:spacing w:after="0" w:line="47" w:lineRule="exact"/>
        <w:rPr>
          <w:sz w:val="20"/>
          <w:szCs w:val="20"/>
          <w:color w:val="auto"/>
        </w:rPr>
      </w:pPr>
    </w:p>
    <w:p>
      <w:pPr>
        <w:jc w:val="both"/>
        <w:ind w:left="40" w:right="619"/>
        <w:spacing w:after="0" w:line="262" w:lineRule="auto"/>
        <w:rPr>
          <w:sz w:val="20"/>
          <w:szCs w:val="20"/>
          <w:color w:val="auto"/>
        </w:rPr>
      </w:pPr>
      <w:r>
        <w:rPr>
          <w:rFonts w:ascii="Arial" w:cs="Arial" w:eastAsia="Arial" w:hAnsi="Arial"/>
          <w:sz w:val="17"/>
          <w:szCs w:val="17"/>
          <w:u w:val="single" w:color="auto"/>
          <w:color w:val="auto"/>
        </w:rPr>
        <w:t>Holder</w:t>
      </w:r>
      <w:r>
        <w:rPr>
          <w:rFonts w:ascii="Arial" w:cs="Arial" w:eastAsia="Arial" w:hAnsi="Arial"/>
          <w:sz w:val="17"/>
          <w:szCs w:val="17"/>
          <w:color w:val="auto"/>
        </w:rPr>
        <w:t>”), is entitled, subject to the terms of this Common Stock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set forth below, to purchase from the Company, at any time after the date hereof and on or before ___________ __ 2017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up to 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w:t>
      </w:r>
    </w:p>
    <w:p>
      <w:pPr>
        <w:spacing w:after="0" w:line="30" w:lineRule="exact"/>
        <w:rPr>
          <w:sz w:val="20"/>
          <w:szCs w:val="20"/>
          <w:color w:val="auto"/>
        </w:rPr>
      </w:pPr>
    </w:p>
    <w:p>
      <w:pPr>
        <w:jc w:val="both"/>
        <w:ind w:left="40" w:right="639"/>
        <w:spacing w:after="0" w:line="255" w:lineRule="auto"/>
        <w:rPr>
          <w:sz w:val="20"/>
          <w:szCs w:val="20"/>
          <w:color w:val="auto"/>
        </w:rPr>
      </w:pPr>
      <w:r>
        <w:rPr>
          <w:rFonts w:ascii="Arial" w:cs="Arial" w:eastAsia="Arial" w:hAnsi="Arial"/>
          <w:sz w:val="18"/>
          <w:szCs w:val="18"/>
          <w:color w:val="auto"/>
        </w:rPr>
        <w:t>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One Dollar and Seventy-Six Cents ($1.76) per share (subject to adjustment as set forth in Section 2).</w:t>
      </w:r>
    </w:p>
    <w:p>
      <w:pPr>
        <w:spacing w:after="0" w:line="78" w:lineRule="exact"/>
        <w:rPr>
          <w:sz w:val="20"/>
          <w:szCs w:val="20"/>
          <w:color w:val="auto"/>
        </w:rPr>
      </w:pPr>
    </w:p>
    <w:p>
      <w:pPr>
        <w:ind w:left="580" w:hanging="268"/>
        <w:spacing w:after="0"/>
        <w:tabs>
          <w:tab w:leader="none" w:pos="580" w:val="left"/>
        </w:tabs>
        <w:numPr>
          <w:ilvl w:val="0"/>
          <w:numId w:val="412"/>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19" w:firstLine="260"/>
        <w:spacing w:after="0" w:line="291" w:lineRule="auto"/>
        <w:tabs>
          <w:tab w:leader="none" w:pos="887" w:val="left"/>
        </w:tabs>
        <w:numPr>
          <w:ilvl w:val="1"/>
          <w:numId w:val="412"/>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exercised by the Registered Holder, in whole or in part, by delivering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appended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duly executed by such Registered Holder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51" w:lineRule="exact"/>
        <w:rPr>
          <w:rFonts w:ascii="Arial" w:cs="Arial" w:eastAsia="Arial" w:hAnsi="Arial"/>
          <w:sz w:val="16"/>
          <w:szCs w:val="16"/>
          <w:color w:val="auto"/>
        </w:rPr>
      </w:pPr>
    </w:p>
    <w:p>
      <w:pPr>
        <w:jc w:val="both"/>
        <w:ind w:left="320" w:right="619" w:firstLine="260"/>
        <w:spacing w:after="0" w:line="273" w:lineRule="auto"/>
        <w:tabs>
          <w:tab w:leader="none" w:pos="884" w:val="left"/>
        </w:tabs>
        <w:numPr>
          <w:ilvl w:val="1"/>
          <w:numId w:val="412"/>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Each exercise of this Warrant shall be deemed to have been effected immediately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 of 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4" w:lineRule="exact"/>
        <w:rPr>
          <w:rFonts w:ascii="Arial" w:cs="Arial" w:eastAsia="Arial" w:hAnsi="Arial"/>
          <w:sz w:val="17"/>
          <w:szCs w:val="17"/>
          <w:color w:val="auto"/>
        </w:rPr>
      </w:pPr>
    </w:p>
    <w:p>
      <w:pPr>
        <w:jc w:val="both"/>
        <w:ind w:left="320" w:right="619" w:firstLine="260"/>
        <w:spacing w:after="0" w:line="251" w:lineRule="auto"/>
        <w:tabs>
          <w:tab w:leader="none" w:pos="887" w:val="left"/>
        </w:tabs>
        <w:numPr>
          <w:ilvl w:val="1"/>
          <w:numId w:val="412"/>
        </w:numPr>
        <w:rPr>
          <w:rFonts w:ascii="Arial" w:cs="Arial" w:eastAsia="Arial" w:hAnsi="Arial"/>
          <w:sz w:val="18"/>
          <w:szCs w:val="18"/>
          <w:color w:val="auto"/>
        </w:rPr>
      </w:pPr>
      <w:r>
        <w:rPr>
          <w:rFonts w:ascii="Arial" w:cs="Arial" w:eastAsia="Arial" w:hAnsi="Arial"/>
          <w:sz w:val="18"/>
          <w:szCs w:val="18"/>
          <w:b w:val="1"/>
          <w:bCs w:val="1"/>
          <w:u w:val="single" w:color="auto"/>
          <w:color w:val="auto"/>
        </w:rPr>
        <w:t>Cashless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provisions herein to the contrary, if at any time between the three (3) month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X = Y * (A –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48387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483870" cy="17145"/>
                    </a:xfrm>
                    <a:prstGeom prst="rect">
                      <a:avLst/>
                    </a:prstGeom>
                    <a:noFill/>
                  </pic:spPr>
                </pic:pic>
              </a:graphicData>
            </a:graphic>
          </wp:anchor>
        </w:drawing>
      </w:r>
    </w:p>
    <w:p>
      <w:pPr>
        <w:spacing w:after="0" w:line="67"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6" w:name="page397"/>
    <w:bookmarkEnd w:id="3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where</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114" w:lineRule="exact"/>
        <w:rPr>
          <w:sz w:val="20"/>
          <w:szCs w:val="20"/>
          <w:color w:val="auto"/>
        </w:rPr>
      </w:pPr>
    </w:p>
    <w:p>
      <w:pPr>
        <w:ind w:left="320" w:right="619" w:firstLine="267"/>
        <w:spacing w:after="0" w:line="270" w:lineRule="auto"/>
        <w:rPr>
          <w:sz w:val="20"/>
          <w:szCs w:val="20"/>
          <w:color w:val="auto"/>
        </w:rPr>
      </w:pPr>
      <w:r>
        <w:rPr>
          <w:rFonts w:ascii="Arial" w:cs="Arial" w:eastAsia="Arial" w:hAnsi="Arial"/>
          <w:sz w:val="18"/>
          <w:szCs w:val="18"/>
          <w:color w:val="auto"/>
        </w:rPr>
        <w:t>Y = the Warrant Stock purchasable under this Warrant or, if only a portion of the Warrant is being exercised, the portion of the Warrant Stock being exercised.</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114" w:lineRule="exact"/>
        <w:rPr>
          <w:sz w:val="20"/>
          <w:szCs w:val="20"/>
          <w:color w:val="auto"/>
        </w:rPr>
      </w:pPr>
    </w:p>
    <w:p>
      <w:pPr>
        <w:ind w:left="40" w:right="639" w:firstLine="267"/>
        <w:spacing w:after="0" w:line="270" w:lineRule="auto"/>
        <w:rPr>
          <w:sz w:val="20"/>
          <w:szCs w:val="20"/>
          <w:color w:val="auto"/>
        </w:rPr>
      </w:pPr>
      <w:r>
        <w:rPr>
          <w:rFonts w:ascii="Arial" w:cs="Arial" w:eastAsia="Arial" w:hAnsi="Arial"/>
          <w:sz w:val="18"/>
          <w:szCs w:val="18"/>
          <w:color w:val="auto"/>
        </w:rPr>
        <w:t>For purposes of this Section 1(c), the “Fair Market Value” of one share of Common Stock on the Exercise Date shall have one of the following meanings:</w:t>
      </w:r>
    </w:p>
    <w:p>
      <w:pPr>
        <w:spacing w:after="0" w:line="69" w:lineRule="exact"/>
        <w:rPr>
          <w:sz w:val="20"/>
          <w:szCs w:val="20"/>
          <w:color w:val="auto"/>
        </w:rPr>
      </w:pPr>
    </w:p>
    <w:p>
      <w:pPr>
        <w:jc w:val="both"/>
        <w:ind w:left="320" w:right="619" w:firstLine="260"/>
        <w:spacing w:after="0" w:line="281" w:lineRule="auto"/>
        <w:tabs>
          <w:tab w:leader="none" w:pos="929"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61" w:lineRule="exact"/>
        <w:rPr>
          <w:rFonts w:ascii="Arial" w:cs="Arial" w:eastAsia="Arial" w:hAnsi="Arial"/>
          <w:sz w:val="17"/>
          <w:szCs w:val="17"/>
          <w:color w:val="auto"/>
        </w:rPr>
      </w:pPr>
    </w:p>
    <w:p>
      <w:pPr>
        <w:ind w:left="320" w:right="639" w:firstLine="260"/>
        <w:spacing w:after="0" w:line="270" w:lineRule="auto"/>
        <w:tabs>
          <w:tab w:leader="none" w:pos="889"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the Common Stock is traded over-the-counter, the Fair Market Value shall be deemed to be the average of the closing sales price over the thirty (30) day period ending three (3) days before the Exercise Date; or</w:t>
      </w:r>
    </w:p>
    <w:p>
      <w:pPr>
        <w:spacing w:after="0" w:line="68" w:lineRule="exact"/>
        <w:rPr>
          <w:rFonts w:ascii="Arial" w:cs="Arial" w:eastAsia="Arial" w:hAnsi="Arial"/>
          <w:sz w:val="18"/>
          <w:szCs w:val="18"/>
          <w:color w:val="auto"/>
        </w:rPr>
      </w:pPr>
    </w:p>
    <w:p>
      <w:pPr>
        <w:jc w:val="both"/>
        <w:ind w:left="320" w:right="619" w:firstLine="260"/>
        <w:spacing w:after="0" w:line="255" w:lineRule="auto"/>
        <w:tabs>
          <w:tab w:leader="none" w:pos="89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83" w:lineRule="exact"/>
        <w:rPr>
          <w:sz w:val="20"/>
          <w:szCs w:val="20"/>
          <w:color w:val="auto"/>
        </w:rPr>
      </w:pPr>
    </w:p>
    <w:p>
      <w:pPr>
        <w:jc w:val="both"/>
        <w:ind w:left="320" w:right="619" w:firstLine="267"/>
        <w:spacing w:after="0" w:line="255" w:lineRule="auto"/>
        <w:rPr>
          <w:sz w:val="20"/>
          <w:szCs w:val="20"/>
          <w:color w:val="auto"/>
        </w:rPr>
      </w:pPr>
      <w:r>
        <w:rPr>
          <w:rFonts w:ascii="Arial" w:cs="Arial" w:eastAsia="Arial" w:hAnsi="Arial"/>
          <w:sz w:val="18"/>
          <w:szCs w:val="18"/>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1026795"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026795" cy="17145"/>
                    </a:xfrm>
                    <a:prstGeom prst="rect">
                      <a:avLst/>
                    </a:prstGeom>
                    <a:noFill/>
                  </pic:spPr>
                </pic:pic>
              </a:graphicData>
            </a:graphic>
          </wp:anchor>
        </w:drawing>
      </w:r>
    </w:p>
    <w:p>
      <w:pPr>
        <w:spacing w:after="0" w:line="6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 = 25,000</w:t>
      </w:r>
    </w:p>
    <w:p>
      <w:pPr>
        <w:spacing w:after="0" w:line="114" w:lineRule="exact"/>
        <w:rPr>
          <w:sz w:val="20"/>
          <w:szCs w:val="20"/>
          <w:color w:val="auto"/>
        </w:rPr>
      </w:pPr>
    </w:p>
    <w:p>
      <w:pPr>
        <w:jc w:val="both"/>
        <w:ind w:left="40" w:right="619" w:firstLine="267"/>
        <w:spacing w:after="0" w:line="251" w:lineRule="auto"/>
        <w:rPr>
          <w:sz w:val="20"/>
          <w:szCs w:val="20"/>
          <w:color w:val="auto"/>
        </w:rPr>
      </w:pPr>
      <w:r>
        <w:rPr>
          <w:rFonts w:ascii="Arial" w:cs="Arial" w:eastAsia="Arial" w:hAnsi="Arial"/>
          <w:sz w:val="18"/>
          <w:szCs w:val="18"/>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85" w:lineRule="exact"/>
        <w:rPr>
          <w:sz w:val="20"/>
          <w:szCs w:val="20"/>
          <w:color w:val="auto"/>
        </w:rPr>
      </w:pPr>
    </w:p>
    <w:p>
      <w:pPr>
        <w:jc w:val="both"/>
        <w:ind w:left="320" w:right="619" w:firstLine="260"/>
        <w:spacing w:after="0" w:line="257" w:lineRule="auto"/>
        <w:tabs>
          <w:tab w:leader="none" w:pos="911" w:val="left"/>
        </w:tabs>
        <w:numPr>
          <w:ilvl w:val="0"/>
          <w:numId w:val="414"/>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to Holder</w:t>
      </w:r>
      <w:r>
        <w:rPr>
          <w:rFonts w:ascii="Arial" w:cs="Arial" w:eastAsia="Arial" w:hAnsi="Arial"/>
          <w:sz w:val="18"/>
          <w:szCs w:val="18"/>
          <w:color w:val="auto"/>
        </w:rPr>
        <w:t>. As soon as practicable after the exercise of this Warrant in whole or in part, and 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business days thereafter (the “</w:t>
      </w:r>
      <w:r>
        <w:rPr>
          <w:rFonts w:ascii="Arial" w:cs="Arial" w:eastAsia="Arial" w:hAnsi="Arial"/>
          <w:sz w:val="18"/>
          <w:szCs w:val="18"/>
          <w:u w:val="single" w:color="auto"/>
          <w:color w:val="auto"/>
        </w:rPr>
        <w:t>Warrant Stock Delivery Date</w:t>
      </w:r>
      <w:r>
        <w:rPr>
          <w:rFonts w:ascii="Arial" w:cs="Arial" w:eastAsia="Arial" w:hAnsi="Arial"/>
          <w:sz w:val="18"/>
          <w:szCs w:val="18"/>
          <w:color w:val="auto"/>
        </w:rPr>
        <w:t>”), the Company will cause to be issued in the name of, and delivered to, the Registered Holder, or as such Registered Holder (upon payment by such Registered Holder of any applicable transfer taxes) may direct:</w:t>
      </w:r>
    </w:p>
    <w:p>
      <w:pPr>
        <w:spacing w:after="0" w:line="79" w:lineRule="exact"/>
        <w:rPr>
          <w:rFonts w:ascii="Arial" w:cs="Arial" w:eastAsia="Arial" w:hAnsi="Arial"/>
          <w:sz w:val="18"/>
          <w:szCs w:val="18"/>
          <w:color w:val="auto"/>
        </w:rPr>
      </w:pPr>
    </w:p>
    <w:p>
      <w:pPr>
        <w:ind w:left="580" w:right="639" w:firstLine="267"/>
        <w:spacing w:after="0" w:line="270" w:lineRule="auto"/>
        <w:tabs>
          <w:tab w:leader="none" w:pos="1151"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68" w:lineRule="exact"/>
        <w:rPr>
          <w:rFonts w:ascii="Arial" w:cs="Arial" w:eastAsia="Arial" w:hAnsi="Arial"/>
          <w:sz w:val="18"/>
          <w:szCs w:val="18"/>
          <w:color w:val="auto"/>
        </w:rPr>
      </w:pPr>
    </w:p>
    <w:p>
      <w:pPr>
        <w:jc w:val="both"/>
        <w:ind w:left="580" w:right="619" w:firstLine="267"/>
        <w:spacing w:after="0" w:line="255" w:lineRule="auto"/>
        <w:tabs>
          <w:tab w:leader="none" w:pos="1175" w:val="left"/>
        </w:tabs>
        <w:numPr>
          <w:ilvl w:val="1"/>
          <w:numId w:val="414"/>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397" w:name="page398"/>
    <w:bookmarkEnd w:id="3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320" w:right="619" w:firstLine="260"/>
        <w:spacing w:after="0" w:line="282" w:lineRule="auto"/>
        <w:tabs>
          <w:tab w:leader="none" w:pos="874" w:val="left"/>
        </w:tabs>
        <w:numPr>
          <w:ilvl w:val="0"/>
          <w:numId w:val="415"/>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4" w:lineRule="exact"/>
        <w:rPr>
          <w:rFonts w:ascii="Arial" w:cs="Arial" w:eastAsia="Arial" w:hAnsi="Arial"/>
          <w:sz w:val="16"/>
          <w:szCs w:val="16"/>
          <w:color w:val="auto"/>
        </w:rPr>
      </w:pPr>
    </w:p>
    <w:p>
      <w:pPr>
        <w:jc w:val="both"/>
        <w:ind w:left="320" w:right="619" w:firstLine="260"/>
        <w:spacing w:after="0" w:line="280" w:lineRule="auto"/>
        <w:tabs>
          <w:tab w:leader="none" w:pos="934" w:val="left"/>
        </w:tabs>
        <w:numPr>
          <w:ilvl w:val="0"/>
          <w:numId w:val="415"/>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w:t>
      </w:r>
    </w:p>
    <w:p>
      <w:pPr>
        <w:spacing w:after="0" w:line="15" w:lineRule="exact"/>
        <w:rPr>
          <w:sz w:val="20"/>
          <w:szCs w:val="20"/>
          <w:color w:val="auto"/>
        </w:rPr>
      </w:pPr>
    </w:p>
    <w:p>
      <w:pPr>
        <w:ind w:left="320" w:right="619"/>
        <w:spacing w:after="0" w:line="211" w:lineRule="auto"/>
        <w:rPr>
          <w:sz w:val="20"/>
          <w:szCs w:val="20"/>
          <w:color w:val="auto"/>
        </w:rPr>
      </w:pPr>
      <w:r>
        <w:rPr>
          <w:rFonts w:ascii="Arial" w:cs="Arial" w:eastAsia="Arial" w:hAnsi="Arial"/>
          <w:sz w:val="18"/>
          <w:szCs w:val="18"/>
          <w:color w:val="auto"/>
        </w:rPr>
        <w:t>such increase or decrease 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w:t>
      </w:r>
    </w:p>
    <w:p>
      <w:pPr>
        <w:spacing w:after="0" w:line="200" w:lineRule="exact"/>
        <w:rPr>
          <w:sz w:val="20"/>
          <w:szCs w:val="20"/>
          <w:color w:val="auto"/>
        </w:rPr>
      </w:pP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8" w:name="page399"/>
    <w:bookmarkEnd w:id="3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55" w:lineRule="auto"/>
        <w:rPr>
          <w:sz w:val="20"/>
          <w:szCs w:val="20"/>
          <w:color w:val="auto"/>
        </w:rPr>
      </w:pPr>
      <w:r>
        <w:rPr>
          <w:rFonts w:ascii="Arial" w:cs="Arial" w:eastAsia="Arial" w:hAnsi="Arial"/>
          <w:sz w:val="18"/>
          <w:szCs w:val="18"/>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9" w:lineRule="exact"/>
        <w:rPr>
          <w:sz w:val="20"/>
          <w:szCs w:val="20"/>
          <w:color w:val="auto"/>
        </w:rPr>
      </w:pPr>
    </w:p>
    <w:p>
      <w:pPr>
        <w:ind w:left="540" w:hanging="228"/>
        <w:spacing w:after="0"/>
        <w:tabs>
          <w:tab w:leader="none" w:pos="540" w:val="left"/>
        </w:tabs>
        <w:numPr>
          <w:ilvl w:val="0"/>
          <w:numId w:val="416"/>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19" w:firstLine="260"/>
        <w:spacing w:after="0" w:line="268" w:lineRule="auto"/>
        <w:tabs>
          <w:tab w:leader="none" w:pos="901" w:val="left"/>
        </w:tabs>
        <w:numPr>
          <w:ilvl w:val="1"/>
          <w:numId w:val="416"/>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outstanding shares of the Company’s Common Stock shall be subdivided into a</w:t>
      </w:r>
      <w:r>
        <w:rPr>
          <w:rFonts w:ascii="Arial" w:cs="Arial" w:eastAsia="Arial" w:hAnsi="Arial"/>
          <w:sz w:val="17"/>
          <w:szCs w:val="17"/>
          <w:b w:val="1"/>
          <w:bCs w:val="1"/>
          <w:color w:val="auto"/>
        </w:rPr>
        <w:t xml:space="preserve"> </w:t>
      </w:r>
      <w:r>
        <w:rPr>
          <w:rFonts w:ascii="Arial" w:cs="Arial" w:eastAsia="Arial" w:hAnsi="Arial"/>
          <w:sz w:val="17"/>
          <w:szCs w:val="17"/>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71" w:lineRule="exact"/>
        <w:rPr>
          <w:rFonts w:ascii="Arial" w:cs="Arial" w:eastAsia="Arial" w:hAnsi="Arial"/>
          <w:sz w:val="17"/>
          <w:szCs w:val="17"/>
          <w:color w:val="auto"/>
        </w:rPr>
      </w:pPr>
    </w:p>
    <w:p>
      <w:pPr>
        <w:jc w:val="both"/>
        <w:ind w:left="320" w:right="619" w:firstLine="260"/>
        <w:spacing w:after="0" w:line="281" w:lineRule="auto"/>
        <w:tabs>
          <w:tab w:leader="none" w:pos="897" w:val="left"/>
        </w:tabs>
        <w:numPr>
          <w:ilvl w:val="1"/>
          <w:numId w:val="416"/>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while this Warrant is outstanding, (i) the Company effects any merger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9" w:lineRule="exact"/>
        <w:rPr>
          <w:rFonts w:ascii="Arial" w:cs="Arial" w:eastAsia="Arial" w:hAnsi="Arial"/>
          <w:sz w:val="16"/>
          <w:szCs w:val="16"/>
          <w:color w:val="auto"/>
        </w:rPr>
      </w:pPr>
    </w:p>
    <w:p>
      <w:pPr>
        <w:jc w:val="both"/>
        <w:ind w:left="320" w:right="619" w:firstLine="260"/>
        <w:spacing w:after="0" w:line="257" w:lineRule="auto"/>
        <w:tabs>
          <w:tab w:leader="none" w:pos="874" w:val="left"/>
        </w:tabs>
        <w:numPr>
          <w:ilvl w:val="1"/>
          <w:numId w:val="416"/>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Exercise Price pursuant to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3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399" w:name="page400"/>
    <w:bookmarkEnd w:id="3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540" w:hanging="228"/>
        <w:spacing w:after="0"/>
        <w:tabs>
          <w:tab w:leader="none" w:pos="540" w:val="left"/>
        </w:tabs>
        <w:numPr>
          <w:ilvl w:val="0"/>
          <w:numId w:val="41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39" w:firstLine="260"/>
        <w:spacing w:after="0" w:line="271" w:lineRule="auto"/>
        <w:tabs>
          <w:tab w:leader="none" w:pos="887" w:val="left"/>
        </w:tabs>
        <w:numPr>
          <w:ilvl w:val="1"/>
          <w:numId w:val="417"/>
        </w:numPr>
        <w:rPr>
          <w:rFonts w:ascii="Arial" w:cs="Arial" w:eastAsia="Arial" w:hAnsi="Arial"/>
          <w:sz w:val="17"/>
          <w:szCs w:val="17"/>
          <w:color w:val="auto"/>
        </w:rPr>
      </w:pPr>
      <w:r>
        <w:rPr>
          <w:rFonts w:ascii="Arial" w:cs="Arial" w:eastAsia="Arial" w:hAnsi="Arial"/>
          <w:sz w:val="17"/>
          <w:szCs w:val="17"/>
          <w:b w:val="1"/>
          <w:bCs w:val="1"/>
          <w:u w:val="single" w:color="auto"/>
          <w:color w:val="auto"/>
        </w:rPr>
        <w:t>Unregistered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this Warrant acknowledges that this Warrant has not been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65" w:lineRule="exact"/>
        <w:rPr>
          <w:rFonts w:ascii="Arial" w:cs="Arial" w:eastAsia="Arial" w:hAnsi="Arial"/>
          <w:sz w:val="17"/>
          <w:szCs w:val="17"/>
          <w:color w:val="auto"/>
        </w:rPr>
      </w:pPr>
    </w:p>
    <w:p>
      <w:pPr>
        <w:jc w:val="both"/>
        <w:ind w:left="320" w:right="619" w:firstLine="260"/>
        <w:spacing w:after="0" w:line="257" w:lineRule="auto"/>
        <w:tabs>
          <w:tab w:leader="none" w:pos="884" w:val="left"/>
        </w:tabs>
        <w:numPr>
          <w:ilvl w:val="1"/>
          <w:numId w:val="41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3(a) hereof, this Warrant and all rights hereunder are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the principal office of the Company.</w:t>
      </w:r>
    </w:p>
    <w:p>
      <w:pPr>
        <w:spacing w:after="0" w:line="75" w:lineRule="exact"/>
        <w:rPr>
          <w:rFonts w:ascii="Arial" w:cs="Arial" w:eastAsia="Arial" w:hAnsi="Arial"/>
          <w:sz w:val="18"/>
          <w:szCs w:val="18"/>
          <w:color w:val="auto"/>
        </w:rPr>
      </w:pPr>
    </w:p>
    <w:p>
      <w:pPr>
        <w:jc w:val="both"/>
        <w:ind w:left="320" w:right="619" w:firstLine="260"/>
        <w:spacing w:after="0" w:line="271" w:lineRule="auto"/>
        <w:tabs>
          <w:tab w:leader="none" w:pos="927" w:val="left"/>
        </w:tabs>
        <w:numPr>
          <w:ilvl w:val="1"/>
          <w:numId w:val="417"/>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5" w:lineRule="exact"/>
        <w:rPr>
          <w:rFonts w:ascii="Arial" w:cs="Arial" w:eastAsia="Arial" w:hAnsi="Arial"/>
          <w:sz w:val="17"/>
          <w:szCs w:val="17"/>
          <w:color w:val="auto"/>
        </w:rPr>
      </w:pPr>
    </w:p>
    <w:p>
      <w:pPr>
        <w:ind w:left="540" w:hanging="228"/>
        <w:spacing w:after="0"/>
        <w:tabs>
          <w:tab w:leader="none" w:pos="540" w:val="left"/>
        </w:tabs>
        <w:numPr>
          <w:ilvl w:val="0"/>
          <w:numId w:val="417"/>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19" w:firstLine="260"/>
        <w:spacing w:after="0" w:line="267" w:lineRule="auto"/>
        <w:tabs>
          <w:tab w:leader="none" w:pos="887" w:val="left"/>
        </w:tabs>
        <w:numPr>
          <w:ilvl w:val="1"/>
          <w:numId w:val="417"/>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 of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may be redeemed, at the option of the Company, at any time after it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70" w:lineRule="exact"/>
        <w:rPr>
          <w:rFonts w:ascii="Arial" w:cs="Arial" w:eastAsia="Arial" w:hAnsi="Arial"/>
          <w:sz w:val="17"/>
          <w:szCs w:val="17"/>
          <w:color w:val="auto"/>
        </w:rPr>
      </w:pPr>
    </w:p>
    <w:p>
      <w:pPr>
        <w:jc w:val="both"/>
        <w:ind w:left="320" w:right="619" w:firstLine="260"/>
        <w:spacing w:after="0" w:line="294" w:lineRule="auto"/>
        <w:tabs>
          <w:tab w:leader="none" w:pos="951" w:val="left"/>
        </w:tabs>
        <w:numPr>
          <w:ilvl w:val="1"/>
          <w:numId w:val="417"/>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Fixed for, and Notice of,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shall elect to redeem the Warrant,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9" w:lineRule="exact"/>
        <w:rPr>
          <w:rFonts w:ascii="Arial" w:cs="Arial" w:eastAsia="Arial" w:hAnsi="Arial"/>
          <w:sz w:val="16"/>
          <w:szCs w:val="16"/>
          <w:color w:val="auto"/>
        </w:rPr>
      </w:pPr>
    </w:p>
    <w:p>
      <w:pPr>
        <w:jc w:val="both"/>
        <w:ind w:left="320" w:right="639" w:firstLine="260"/>
        <w:spacing w:after="0" w:line="257" w:lineRule="auto"/>
        <w:tabs>
          <w:tab w:leader="none" w:pos="901" w:val="left"/>
        </w:tabs>
        <w:numPr>
          <w:ilvl w:val="1"/>
          <w:numId w:val="417"/>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After Notice of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Warrants may be exercised in accordance with this Warrant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5" w:lineRule="exact"/>
        <w:rPr>
          <w:rFonts w:ascii="Arial" w:cs="Arial" w:eastAsia="Arial" w:hAnsi="Arial"/>
          <w:sz w:val="18"/>
          <w:szCs w:val="18"/>
          <w:color w:val="auto"/>
        </w:rPr>
      </w:pPr>
    </w:p>
    <w:p>
      <w:pPr>
        <w:jc w:val="both"/>
        <w:ind w:left="40" w:right="619" w:firstLine="272"/>
        <w:spacing w:after="0" w:line="271" w:lineRule="auto"/>
        <w:tabs>
          <w:tab w:leader="none" w:pos="530" w:val="left"/>
        </w:tabs>
        <w:numPr>
          <w:ilvl w:val="0"/>
          <w:numId w:val="417"/>
        </w:numPr>
        <w:rPr>
          <w:rFonts w:ascii="Arial" w:cs="Arial" w:eastAsia="Arial" w:hAnsi="Arial"/>
          <w:sz w:val="17"/>
          <w:szCs w:val="17"/>
          <w:color w:val="auto"/>
        </w:rPr>
      </w:pPr>
      <w:r>
        <w:rPr>
          <w:rFonts w:ascii="Arial" w:cs="Arial" w:eastAsia="Arial" w:hAnsi="Arial"/>
          <w:sz w:val="17"/>
          <w:szCs w:val="17"/>
          <w:b w:val="1"/>
          <w:bCs w:val="1"/>
          <w:u w:val="single" w:color="auto"/>
          <w:color w:val="auto"/>
        </w:rPr>
        <w:t>Superior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date hereof until December 31, 2014, in the event the Company shall issue or sell a warrant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shares of Common Stock of the Company at an exercise price below $1.76 per share or which contain terms that, taken as a whole, are more favorable then the terms of the Warrant as determined in good faith by the Company’s Board of Directors (a “Superior Warrant”) in connection with a financing or a material transaction consummated by the Company, then the Company shall amend the terms of the Warrant to give you the benefit of the more favorable terms or conditions of the Superior Warrant (excluding the expiration date of the Superior Warrant). Notwithstanding the foregoing, no</w:t>
      </w:r>
    </w:p>
    <w:p>
      <w:pPr>
        <w:spacing w:after="0" w:line="200" w:lineRule="exact"/>
        <w:rPr>
          <w:sz w:val="20"/>
          <w:szCs w:val="20"/>
          <w:color w:val="auto"/>
        </w:rPr>
      </w:pPr>
    </w:p>
    <w:p>
      <w:pPr>
        <w:spacing w:after="0" w:line="3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0" w:name="page401"/>
    <w:bookmarkEnd w:id="4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19"/>
        <w:spacing w:after="0" w:line="300" w:lineRule="auto"/>
        <w:rPr>
          <w:sz w:val="20"/>
          <w:szCs w:val="20"/>
          <w:color w:val="auto"/>
        </w:rPr>
      </w:pPr>
      <w:r>
        <w:rPr>
          <w:rFonts w:ascii="Arial" w:cs="Arial" w:eastAsia="Arial" w:hAnsi="Arial"/>
          <w:sz w:val="17"/>
          <w:szCs w:val="17"/>
          <w:color w:val="auto"/>
        </w:rPr>
        <w:t>adjustments to the Warrant in accordance with this Section 5 shall be made upon the issuance of any Excluded Securities (as defined in the Company’s Certificate of Designations, Preferences and Rights of Series A Convertible Preferred Stock).</w:t>
      </w:r>
    </w:p>
    <w:p>
      <w:pPr>
        <w:spacing w:after="0" w:line="42" w:lineRule="exact"/>
        <w:rPr>
          <w:sz w:val="20"/>
          <w:szCs w:val="20"/>
          <w:color w:val="auto"/>
        </w:rPr>
      </w:pPr>
    </w:p>
    <w:p>
      <w:pPr>
        <w:ind w:left="40" w:right="639" w:firstLine="272"/>
        <w:spacing w:after="0" w:line="275" w:lineRule="auto"/>
        <w:tabs>
          <w:tab w:leader="none" w:pos="530" w:val="left"/>
        </w:tabs>
        <w:numPr>
          <w:ilvl w:val="0"/>
          <w:numId w:val="41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the right to purchase securities upon exercise hereof) shall terminate at 5:00 p.m., Eastern</w:t>
      </w:r>
      <w:r>
        <w:rPr>
          <w:rFonts w:ascii="Arial" w:cs="Arial" w:eastAsia="Arial" w:hAnsi="Arial"/>
          <w:sz w:val="18"/>
          <w:szCs w:val="18"/>
          <w:b w:val="1"/>
          <w:bCs w:val="1"/>
          <w:color w:val="auto"/>
        </w:rPr>
        <w:t xml:space="preserve"> </w:t>
      </w:r>
      <w:r>
        <w:rPr>
          <w:rFonts w:ascii="Arial" w:cs="Arial" w:eastAsia="Arial" w:hAnsi="Arial"/>
          <w:sz w:val="18"/>
          <w:szCs w:val="18"/>
          <w:color w:val="auto"/>
        </w:rPr>
        <w:t>time, on the Expiration Date.</w:t>
      </w:r>
    </w:p>
    <w:p>
      <w:pPr>
        <w:spacing w:after="0" w:line="60" w:lineRule="exact"/>
        <w:rPr>
          <w:rFonts w:ascii="Arial" w:cs="Arial" w:eastAsia="Arial" w:hAnsi="Arial"/>
          <w:sz w:val="18"/>
          <w:szCs w:val="18"/>
          <w:color w:val="auto"/>
        </w:rPr>
      </w:pPr>
    </w:p>
    <w:p>
      <w:pPr>
        <w:ind w:left="540" w:hanging="228"/>
        <w:spacing w:after="0"/>
        <w:tabs>
          <w:tab w:leader="none" w:pos="540" w:val="left"/>
        </w:tabs>
        <w:numPr>
          <w:ilvl w:val="0"/>
          <w:numId w:val="41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117" w:lineRule="exact"/>
        <w:rPr>
          <w:rFonts w:ascii="Arial" w:cs="Arial" w:eastAsia="Arial" w:hAnsi="Arial"/>
          <w:sz w:val="18"/>
          <w:szCs w:val="18"/>
          <w:color w:val="auto"/>
        </w:rPr>
      </w:pPr>
    </w:p>
    <w:p>
      <w:pPr>
        <w:jc w:val="both"/>
        <w:ind w:left="320" w:right="619" w:firstLine="260"/>
        <w:spacing w:after="0" w:line="297" w:lineRule="auto"/>
        <w:tabs>
          <w:tab w:leader="none" w:pos="880" w:val="left"/>
        </w:tabs>
        <w:numPr>
          <w:ilvl w:val="1"/>
          <w:numId w:val="418"/>
        </w:numPr>
        <w:rPr>
          <w:rFonts w:ascii="Arial" w:cs="Arial" w:eastAsia="Arial" w:hAnsi="Arial"/>
          <w:sz w:val="16"/>
          <w:szCs w:val="16"/>
          <w:color w:val="auto"/>
        </w:rPr>
      </w:pPr>
      <w:r>
        <w:rPr>
          <w:rFonts w:ascii="Arial" w:cs="Arial" w:eastAsia="Arial" w:hAnsi="Arial"/>
          <w:sz w:val="16"/>
          <w:szCs w:val="16"/>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51" w:lineRule="exact"/>
        <w:rPr>
          <w:rFonts w:ascii="Arial" w:cs="Arial" w:eastAsia="Arial" w:hAnsi="Arial"/>
          <w:sz w:val="16"/>
          <w:szCs w:val="16"/>
          <w:color w:val="auto"/>
        </w:rPr>
      </w:pPr>
    </w:p>
    <w:p>
      <w:pPr>
        <w:jc w:val="both"/>
        <w:ind w:left="320" w:right="619" w:firstLine="260"/>
        <w:spacing w:after="0" w:line="255" w:lineRule="auto"/>
        <w:tabs>
          <w:tab w:leader="none" w:pos="991" w:val="left"/>
        </w:tabs>
        <w:numPr>
          <w:ilvl w:val="1"/>
          <w:numId w:val="418"/>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82" w:lineRule="exact"/>
        <w:rPr>
          <w:rFonts w:ascii="Arial" w:cs="Arial" w:eastAsia="Arial" w:hAnsi="Arial"/>
          <w:sz w:val="18"/>
          <w:szCs w:val="18"/>
          <w:color w:val="auto"/>
        </w:rPr>
      </w:pPr>
    </w:p>
    <w:p>
      <w:pPr>
        <w:ind w:left="860" w:hanging="280"/>
        <w:spacing w:after="0"/>
        <w:tabs>
          <w:tab w:leader="none" w:pos="8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114" w:lineRule="exact"/>
        <w:rPr>
          <w:sz w:val="20"/>
          <w:szCs w:val="20"/>
          <w:color w:val="auto"/>
        </w:rPr>
      </w:pPr>
    </w:p>
    <w:p>
      <w:pPr>
        <w:jc w:val="both"/>
        <w:ind w:left="40" w:right="619"/>
        <w:spacing w:after="0" w:line="288" w:lineRule="auto"/>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4" w:lineRule="exact"/>
        <w:rPr>
          <w:sz w:val="20"/>
          <w:szCs w:val="20"/>
          <w:color w:val="auto"/>
        </w:rPr>
      </w:pPr>
    </w:p>
    <w:p>
      <w:pPr>
        <w:jc w:val="both"/>
        <w:ind w:left="40" w:right="619" w:firstLine="272"/>
        <w:spacing w:after="0" w:line="266" w:lineRule="auto"/>
        <w:tabs>
          <w:tab w:leader="none" w:pos="543" w:val="left"/>
        </w:tabs>
        <w:numPr>
          <w:ilvl w:val="0"/>
          <w:numId w:val="419"/>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76" w:lineRule="exact"/>
        <w:rPr>
          <w:rFonts w:ascii="Arial" w:cs="Arial" w:eastAsia="Arial" w:hAnsi="Arial"/>
          <w:sz w:val="17"/>
          <w:szCs w:val="17"/>
          <w:color w:val="auto"/>
        </w:rPr>
      </w:pPr>
    </w:p>
    <w:p>
      <w:pPr>
        <w:jc w:val="both"/>
        <w:ind w:left="40" w:right="619" w:firstLine="272"/>
        <w:spacing w:after="0" w:line="299" w:lineRule="auto"/>
        <w:tabs>
          <w:tab w:leader="none" w:pos="530" w:val="left"/>
        </w:tabs>
        <w:numPr>
          <w:ilvl w:val="0"/>
          <w:numId w:val="419"/>
        </w:numPr>
        <w:rPr>
          <w:rFonts w:ascii="Arial" w:cs="Arial" w:eastAsia="Arial" w:hAnsi="Arial"/>
          <w:sz w:val="16"/>
          <w:szCs w:val="16"/>
          <w:color w:val="auto"/>
        </w:rPr>
      </w:pPr>
      <w:r>
        <w:rPr>
          <w:rFonts w:ascii="Arial" w:cs="Arial" w:eastAsia="Arial" w:hAnsi="Arial"/>
          <w:sz w:val="16"/>
          <w:szCs w:val="16"/>
          <w:b w:val="1"/>
          <w:bCs w:val="1"/>
          <w:u w:val="single" w:color="auto"/>
          <w:color w:val="auto"/>
        </w:rPr>
        <w:t>Replacement of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evidence reasonably satisfactory to the Company of the loss, theft, destruction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45" w:lineRule="exact"/>
        <w:rPr>
          <w:rFonts w:ascii="Arial" w:cs="Arial" w:eastAsia="Arial" w:hAnsi="Arial"/>
          <w:sz w:val="16"/>
          <w:szCs w:val="16"/>
          <w:color w:val="auto"/>
        </w:rPr>
      </w:pPr>
    </w:p>
    <w:p>
      <w:pPr>
        <w:jc w:val="both"/>
        <w:ind w:left="40" w:right="639" w:firstLine="272"/>
        <w:spacing w:after="0" w:line="257" w:lineRule="auto"/>
        <w:tabs>
          <w:tab w:leader="none" w:pos="619" w:val="left"/>
        </w:tabs>
        <w:numPr>
          <w:ilvl w:val="0"/>
          <w:numId w:val="41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Warrant shall be in writing and shall be deemed duly given upon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w:t>
      </w:r>
    </w:p>
    <w:p>
      <w:pPr>
        <w:spacing w:after="0" w:line="200" w:lineRule="exact"/>
        <w:rPr>
          <w:sz w:val="20"/>
          <w:szCs w:val="20"/>
          <w:color w:val="auto"/>
        </w:rPr>
      </w:pPr>
    </w:p>
    <w:p>
      <w:pPr>
        <w:spacing w:after="0" w:line="3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1" w:name="page402"/>
    <w:bookmarkEnd w:id="4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639"/>
        <w:spacing w:after="0" w:line="270" w:lineRule="auto"/>
        <w:rPr>
          <w:sz w:val="20"/>
          <w:szCs w:val="20"/>
          <w:color w:val="auto"/>
        </w:rPr>
      </w:pPr>
      <w:r>
        <w:rPr>
          <w:rFonts w:ascii="Arial" w:cs="Arial" w:eastAsia="Arial" w:hAnsi="Arial"/>
          <w:sz w:val="18"/>
          <w:szCs w:val="18"/>
          <w:color w:val="auto"/>
        </w:rPr>
        <w:t>Registered Holder most recently furnished in writing to the Company and (b) if to the Company, to the address set forth on the signature page of this Warrant or as subsequently modified by written notice to the Registered Holder.</w:t>
      </w:r>
    </w:p>
    <w:p>
      <w:pPr>
        <w:spacing w:after="0" w:line="65" w:lineRule="exact"/>
        <w:rPr>
          <w:sz w:val="20"/>
          <w:szCs w:val="20"/>
          <w:color w:val="auto"/>
        </w:rPr>
      </w:pPr>
    </w:p>
    <w:p>
      <w:pPr>
        <w:ind w:left="40" w:right="639" w:firstLine="272"/>
        <w:spacing w:after="0" w:line="275" w:lineRule="auto"/>
        <w:tabs>
          <w:tab w:leader="none" w:pos="639"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rights by virtue hereof as a stockholder of the Company.</w:t>
      </w:r>
    </w:p>
    <w:p>
      <w:pPr>
        <w:spacing w:after="0" w:line="60" w:lineRule="exact"/>
        <w:rPr>
          <w:rFonts w:ascii="Arial" w:cs="Arial" w:eastAsia="Arial" w:hAnsi="Arial"/>
          <w:sz w:val="18"/>
          <w:szCs w:val="18"/>
          <w:color w:val="auto"/>
        </w:rPr>
      </w:pPr>
    </w:p>
    <w:p>
      <w:pPr>
        <w:jc w:val="both"/>
        <w:ind w:left="40" w:right="639" w:firstLine="272"/>
        <w:spacing w:after="0" w:line="261" w:lineRule="auto"/>
        <w:tabs>
          <w:tab w:leader="none" w:pos="632"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shares of Common Stock will be issued in connection with any exercise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any fractional shares which would otherwise be issuable, the Company shall round the amount of Warrant Stock issuable to the nearest whole share.</w:t>
      </w:r>
    </w:p>
    <w:p>
      <w:pPr>
        <w:spacing w:after="0" w:line="73" w:lineRule="exact"/>
        <w:rPr>
          <w:rFonts w:ascii="Arial" w:cs="Arial" w:eastAsia="Arial" w:hAnsi="Arial"/>
          <w:sz w:val="18"/>
          <w:szCs w:val="18"/>
          <w:color w:val="auto"/>
        </w:rPr>
      </w:pPr>
    </w:p>
    <w:p>
      <w:pPr>
        <w:ind w:left="40" w:right="639" w:firstLine="272"/>
        <w:spacing w:after="0" w:line="275" w:lineRule="auto"/>
        <w:tabs>
          <w:tab w:leader="none" w:pos="619"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Warrant may be amended or waived upon written consent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w:t>
      </w:r>
    </w:p>
    <w:p>
      <w:pPr>
        <w:spacing w:after="0" w:line="60" w:lineRule="exact"/>
        <w:rPr>
          <w:rFonts w:ascii="Arial" w:cs="Arial" w:eastAsia="Arial" w:hAnsi="Arial"/>
          <w:sz w:val="18"/>
          <w:szCs w:val="18"/>
          <w:color w:val="auto"/>
        </w:rPr>
      </w:pPr>
    </w:p>
    <w:p>
      <w:pPr>
        <w:ind w:left="40" w:right="639" w:firstLine="272"/>
        <w:spacing w:after="0" w:line="275" w:lineRule="auto"/>
        <w:tabs>
          <w:tab w:leader="none" w:pos="659"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any provision of this Warrant.</w:t>
      </w:r>
    </w:p>
    <w:p>
      <w:pPr>
        <w:spacing w:after="0" w:line="60" w:lineRule="exact"/>
        <w:rPr>
          <w:rFonts w:ascii="Arial" w:cs="Arial" w:eastAsia="Arial" w:hAnsi="Arial"/>
          <w:sz w:val="18"/>
          <w:szCs w:val="18"/>
          <w:color w:val="auto"/>
        </w:rPr>
      </w:pPr>
    </w:p>
    <w:p>
      <w:pPr>
        <w:jc w:val="both"/>
        <w:ind w:left="40" w:right="639" w:firstLine="272"/>
        <w:spacing w:after="0" w:line="261" w:lineRule="auto"/>
        <w:tabs>
          <w:tab w:leader="none" w:pos="632"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all acts and transactions pursuant hereto and the rights and obligations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be governed, construed and interpreted in accordance with the laws of the State of New York, without giving effect to principles of conflicts of law.</w:t>
      </w:r>
    </w:p>
    <w:p>
      <w:pPr>
        <w:spacing w:after="0" w:line="73" w:lineRule="exact"/>
        <w:rPr>
          <w:rFonts w:ascii="Arial" w:cs="Arial" w:eastAsia="Arial" w:hAnsi="Arial"/>
          <w:sz w:val="18"/>
          <w:szCs w:val="18"/>
          <w:color w:val="auto"/>
        </w:rPr>
      </w:pPr>
    </w:p>
    <w:p>
      <w:pPr>
        <w:ind w:left="40" w:right="639" w:firstLine="272"/>
        <w:spacing w:after="0" w:line="275" w:lineRule="auto"/>
        <w:tabs>
          <w:tab w:leader="none" w:pos="659"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the following representations and covenants of the Registered Holder:</w:t>
      </w:r>
    </w:p>
    <w:p>
      <w:pPr>
        <w:spacing w:after="0" w:line="60" w:lineRule="exact"/>
        <w:rPr>
          <w:rFonts w:ascii="Arial" w:cs="Arial" w:eastAsia="Arial" w:hAnsi="Arial"/>
          <w:sz w:val="18"/>
          <w:szCs w:val="18"/>
          <w:color w:val="auto"/>
        </w:rPr>
      </w:pPr>
    </w:p>
    <w:p>
      <w:pPr>
        <w:jc w:val="both"/>
        <w:ind w:left="320" w:right="639" w:firstLine="260"/>
        <w:spacing w:after="0" w:line="261" w:lineRule="auto"/>
        <w:tabs>
          <w:tab w:leader="none" w:pos="874" w:val="left"/>
        </w:tabs>
        <w:numPr>
          <w:ilvl w:val="1"/>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acquiring the Warrant and the Warrant Stock issuable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for its own account, not as a nominee or agent and with no present intention of selling or otherwise distributing any part thereof.</w:t>
      </w:r>
    </w:p>
    <w:p>
      <w:pPr>
        <w:spacing w:after="0" w:line="73" w:lineRule="exact"/>
        <w:rPr>
          <w:rFonts w:ascii="Arial" w:cs="Arial" w:eastAsia="Arial" w:hAnsi="Arial"/>
          <w:sz w:val="18"/>
          <w:szCs w:val="18"/>
          <w:color w:val="auto"/>
        </w:rPr>
      </w:pPr>
    </w:p>
    <w:p>
      <w:pPr>
        <w:jc w:val="both"/>
        <w:ind w:left="320" w:right="619" w:firstLine="260"/>
        <w:spacing w:after="0" w:line="254" w:lineRule="auto"/>
        <w:tabs>
          <w:tab w:leader="none" w:pos="911" w:val="left"/>
        </w:tabs>
        <w:numPr>
          <w:ilvl w:val="1"/>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16.</w:t>
      </w:r>
    </w:p>
    <w:p>
      <w:pPr>
        <w:spacing w:after="0" w:line="80" w:lineRule="exact"/>
        <w:rPr>
          <w:rFonts w:ascii="Arial" w:cs="Arial" w:eastAsia="Arial" w:hAnsi="Arial"/>
          <w:sz w:val="18"/>
          <w:szCs w:val="18"/>
          <w:color w:val="auto"/>
        </w:rPr>
      </w:pPr>
    </w:p>
    <w:p>
      <w:pPr>
        <w:jc w:val="both"/>
        <w:ind w:left="320" w:right="619" w:firstLine="260"/>
        <w:spacing w:after="0" w:line="287" w:lineRule="auto"/>
        <w:tabs>
          <w:tab w:leader="none" w:pos="887" w:val="left"/>
        </w:tabs>
        <w:numPr>
          <w:ilvl w:val="1"/>
          <w:numId w:val="420"/>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7" w:lineRule="exact"/>
        <w:rPr>
          <w:rFonts w:ascii="Arial" w:cs="Arial" w:eastAsia="Arial" w:hAnsi="Arial"/>
          <w:sz w:val="16"/>
          <w:szCs w:val="16"/>
          <w:color w:val="auto"/>
        </w:rPr>
      </w:pPr>
    </w:p>
    <w:p>
      <w:pPr>
        <w:ind w:left="320" w:right="639" w:firstLine="260"/>
        <w:spacing w:after="0" w:line="275" w:lineRule="auto"/>
        <w:tabs>
          <w:tab w:leader="none" w:pos="884" w:val="left"/>
        </w:tabs>
        <w:numPr>
          <w:ilvl w:val="1"/>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its own interests in connection with its investment.</w:t>
      </w:r>
    </w:p>
    <w:p>
      <w:pPr>
        <w:spacing w:after="0" w:line="60" w:lineRule="exact"/>
        <w:rPr>
          <w:rFonts w:ascii="Arial" w:cs="Arial" w:eastAsia="Arial" w:hAnsi="Arial"/>
          <w:sz w:val="18"/>
          <w:szCs w:val="18"/>
          <w:color w:val="auto"/>
        </w:rPr>
      </w:pPr>
    </w:p>
    <w:p>
      <w:pPr>
        <w:ind w:left="320" w:right="619" w:firstLine="260"/>
        <w:spacing w:after="0" w:line="275" w:lineRule="auto"/>
        <w:tabs>
          <w:tab w:leader="none" w:pos="927" w:val="left"/>
        </w:tabs>
        <w:numPr>
          <w:ilvl w:val="1"/>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by Rule 501 of Regulation D</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w:t>
      </w:r>
    </w:p>
    <w:p>
      <w:pPr>
        <w:spacing w:after="0" w:line="64" w:lineRule="exact"/>
        <w:rPr>
          <w:sz w:val="20"/>
          <w:szCs w:val="20"/>
          <w:color w:val="auto"/>
        </w:rPr>
      </w:pPr>
    </w:p>
    <w:p>
      <w:pPr>
        <w:ind w:left="382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35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2" w:name="page403"/>
    <w:bookmarkEnd w:id="4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514350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0281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3" w:name="page404"/>
    <w:bookmarkEnd w:id="4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WARRANT EXERCISE FORM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undersigned hereby irrevocably elects to exercise the within Warrant to the extent of purchasing ______ shares of Common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of Vringo, Inc., a Delaware corporation, and hereby makes payment of $___________ in payment therefore (if a cashless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exercise, insert “cashless”), all in accordance with the terms and conditions of the Warrant dated ________, 2012.</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213868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1386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-36830</wp:posOffset>
            </wp:positionV>
            <wp:extent cx="203708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0370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-36830</wp:posOffset>
            </wp:positionV>
            <wp:extent cx="1833245"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83324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-36830</wp:posOffset>
            </wp:positionV>
            <wp:extent cx="713105"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10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INSTRUCTIONS FOR ISSUANCE OF STOCK</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152781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-36830</wp:posOffset>
            </wp:positionV>
            <wp:extent cx="254635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54635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-36830</wp:posOffset>
            </wp:positionV>
            <wp:extent cx="101854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018540" cy="171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4" w:name="page405"/>
    <w:bookmarkEnd w:id="4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Exhibit B</w:t>
      </w:r>
    </w:p>
    <w:p>
      <w:pPr>
        <w:spacing w:after="0" w:line="221"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ASSIGNMENT FORM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VALUE RECEIVED, _____________________ hereby sells, assigns and transfers unto _______________________ the right</w:t>
      </w:r>
    </w:p>
    <w:p>
      <w:pPr>
        <w:spacing w:after="0" w:line="43" w:lineRule="exact"/>
        <w:rPr>
          <w:sz w:val="20"/>
          <w:szCs w:val="20"/>
          <w:color w:val="auto"/>
        </w:rPr>
      </w:pPr>
    </w:p>
    <w:p>
      <w:pPr>
        <w:jc w:val="both"/>
        <w:ind w:left="40" w:right="619"/>
        <w:spacing w:after="0" w:line="273" w:lineRule="auto"/>
        <w:rPr>
          <w:sz w:val="20"/>
          <w:szCs w:val="20"/>
          <w:color w:val="auto"/>
        </w:rPr>
      </w:pPr>
      <w:r>
        <w:rPr>
          <w:rFonts w:ascii="Arial" w:cs="Arial" w:eastAsia="Arial" w:hAnsi="Arial"/>
          <w:sz w:val="17"/>
          <w:szCs w:val="17"/>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-36830</wp:posOffset>
            </wp:positionV>
            <wp:extent cx="152781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-36830</wp:posOffset>
            </wp:positionV>
            <wp:extent cx="2240280"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2402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81280</wp:posOffset>
            </wp:positionV>
            <wp:extent cx="254635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5" w:name="page406"/>
    <w:bookmarkEnd w:id="4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G</w:t>
      </w:r>
    </w:p>
    <w:p>
      <w:pPr>
        <w:spacing w:after="0" w:line="118"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(Form of Series 2 Warrant)</w:t>
      </w:r>
    </w:p>
    <w:p>
      <w:pPr>
        <w:spacing w:after="0" w:line="114" w:lineRule="exact"/>
        <w:rPr>
          <w:sz w:val="20"/>
          <w:szCs w:val="20"/>
          <w:color w:val="auto"/>
        </w:rPr>
      </w:pPr>
    </w:p>
    <w:p>
      <w:pPr>
        <w:jc w:val="both"/>
        <w:ind w:left="40" w:right="619"/>
        <w:spacing w:after="0" w:line="250"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-74930</wp:posOffset>
            </wp:positionV>
            <wp:extent cx="514350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tabs>
          <w:tab w:leader="none" w:pos="5640" w:val="left"/>
        </w:tabs>
        <w:rPr>
          <w:sz w:val="20"/>
          <w:szCs w:val="20"/>
          <w:color w:val="auto"/>
        </w:rPr>
      </w:pPr>
      <w:r>
        <w:rPr>
          <w:rFonts w:ascii="Arial" w:cs="Arial" w:eastAsia="Arial" w:hAnsi="Arial"/>
          <w:sz w:val="18"/>
          <w:szCs w:val="18"/>
          <w:color w:val="auto"/>
        </w:rPr>
        <w:t>Warrant No. W-___</w:t>
      </w:r>
      <w:r>
        <w:rPr>
          <w:sz w:val="20"/>
          <w:szCs w:val="20"/>
          <w:color w:val="auto"/>
        </w:rPr>
        <w:tab/>
      </w:r>
      <w:r>
        <w:rPr>
          <w:rFonts w:ascii="Arial" w:cs="Arial" w:eastAsia="Arial" w:hAnsi="Arial"/>
          <w:sz w:val="16"/>
          <w:szCs w:val="16"/>
          <w:color w:val="auto"/>
        </w:rPr>
        <w:t>Number of Shares: 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____________ __, 2012 (“</w:t>
      </w:r>
      <w:r>
        <w:rPr>
          <w:rFonts w:ascii="Arial" w:cs="Arial" w:eastAsia="Arial" w:hAnsi="Arial"/>
          <w:sz w:val="18"/>
          <w:szCs w:val="18"/>
          <w:u w:val="single" w:color="auto"/>
          <w:color w:val="auto"/>
        </w:rPr>
        <w:t>Issuance Date</w:t>
      </w:r>
      <w:r>
        <w:rPr>
          <w:rFonts w:ascii="Arial" w:cs="Arial" w:eastAsia="Arial" w:hAnsi="Arial"/>
          <w:sz w:val="18"/>
          <w:szCs w:val="18"/>
          <w:color w:val="auto"/>
        </w:rPr>
        <w:t>”)</w:t>
      </w:r>
    </w:p>
    <w:p>
      <w:pPr>
        <w:spacing w:after="0" w:line="20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VRINGO, INC.</w:t>
      </w: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u w:val="single" w:color="auto"/>
          <w:color w:val="auto"/>
        </w:rPr>
        <w:t>Common Stock Warrant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Vringo, Inc. </w:t>
      </w: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for value received, hereby certifies that ________, or its registered assigns (the “</w:t>
      </w:r>
      <w:r>
        <w:rPr>
          <w:rFonts w:ascii="Arial" w:cs="Arial" w:eastAsia="Arial" w:hAnsi="Arial"/>
          <w:sz w:val="16"/>
          <w:szCs w:val="16"/>
          <w:u w:val="single" w:color="auto"/>
          <w:color w:val="auto"/>
        </w:rPr>
        <w:t>Registered</w:t>
      </w:r>
    </w:p>
    <w:p>
      <w:pPr>
        <w:spacing w:after="0" w:line="47" w:lineRule="exact"/>
        <w:rPr>
          <w:sz w:val="20"/>
          <w:szCs w:val="20"/>
          <w:color w:val="auto"/>
        </w:rPr>
      </w:pPr>
    </w:p>
    <w:p>
      <w:pPr>
        <w:jc w:val="both"/>
        <w:ind w:left="40" w:right="619"/>
        <w:spacing w:after="0" w:line="262" w:lineRule="auto"/>
        <w:rPr>
          <w:sz w:val="20"/>
          <w:szCs w:val="20"/>
          <w:color w:val="auto"/>
        </w:rPr>
      </w:pPr>
      <w:r>
        <w:rPr>
          <w:rFonts w:ascii="Arial" w:cs="Arial" w:eastAsia="Arial" w:hAnsi="Arial"/>
          <w:sz w:val="17"/>
          <w:szCs w:val="17"/>
          <w:u w:val="single" w:color="auto"/>
          <w:color w:val="auto"/>
        </w:rPr>
        <w:t>Holder</w:t>
      </w:r>
      <w:r>
        <w:rPr>
          <w:rFonts w:ascii="Arial" w:cs="Arial" w:eastAsia="Arial" w:hAnsi="Arial"/>
          <w:sz w:val="17"/>
          <w:szCs w:val="17"/>
          <w:color w:val="auto"/>
        </w:rPr>
        <w:t>”), is entitled, subject to the terms of this Common Stock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set forth below, to purchase from the Company, at any time after the date hereof and on or before __________ __, 2017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up to 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w:t>
      </w:r>
    </w:p>
    <w:p>
      <w:pPr>
        <w:spacing w:after="0" w:line="30" w:lineRule="exact"/>
        <w:rPr>
          <w:sz w:val="20"/>
          <w:szCs w:val="20"/>
          <w:color w:val="auto"/>
        </w:rPr>
      </w:pPr>
    </w:p>
    <w:p>
      <w:pPr>
        <w:jc w:val="both"/>
        <w:ind w:left="40" w:right="639"/>
        <w:spacing w:after="0" w:line="255" w:lineRule="auto"/>
        <w:rPr>
          <w:sz w:val="20"/>
          <w:szCs w:val="20"/>
          <w:color w:val="auto"/>
        </w:rPr>
      </w:pPr>
      <w:r>
        <w:rPr>
          <w:rFonts w:ascii="Arial" w:cs="Arial" w:eastAsia="Arial" w:hAnsi="Arial"/>
          <w:sz w:val="18"/>
          <w:szCs w:val="18"/>
          <w:color w:val="auto"/>
        </w:rPr>
        <w:t>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One Dollar and Seventy-Six Cents ($1.76) per share (subject to adjustment as set forth in Section 2).</w:t>
      </w:r>
    </w:p>
    <w:p>
      <w:pPr>
        <w:spacing w:after="0" w:line="78" w:lineRule="exact"/>
        <w:rPr>
          <w:sz w:val="20"/>
          <w:szCs w:val="20"/>
          <w:color w:val="auto"/>
        </w:rPr>
      </w:pPr>
    </w:p>
    <w:p>
      <w:pPr>
        <w:ind w:left="540" w:hanging="228"/>
        <w:spacing w:after="0"/>
        <w:tabs>
          <w:tab w:leader="none" w:pos="540" w:val="left"/>
        </w:tabs>
        <w:numPr>
          <w:ilvl w:val="0"/>
          <w:numId w:val="42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91" w:lineRule="auto"/>
        <w:tabs>
          <w:tab w:leader="none" w:pos="887" w:val="left"/>
        </w:tabs>
        <w:numPr>
          <w:ilvl w:val="1"/>
          <w:numId w:val="421"/>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color w:val="auto"/>
        </w:rPr>
        <w:t>. This Warrant may be exercised by the Registered Holder, in whole or in part, by delivering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appended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duly executed by such Registered Holder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51" w:lineRule="exact"/>
        <w:rPr>
          <w:rFonts w:ascii="Arial" w:cs="Arial" w:eastAsia="Arial" w:hAnsi="Arial"/>
          <w:sz w:val="16"/>
          <w:szCs w:val="16"/>
          <w:color w:val="auto"/>
        </w:rPr>
      </w:pPr>
    </w:p>
    <w:p>
      <w:pPr>
        <w:jc w:val="both"/>
        <w:ind w:left="320" w:right="619" w:firstLine="260"/>
        <w:spacing w:after="0" w:line="273" w:lineRule="auto"/>
        <w:tabs>
          <w:tab w:leader="none" w:pos="884" w:val="left"/>
        </w:tabs>
        <w:numPr>
          <w:ilvl w:val="1"/>
          <w:numId w:val="421"/>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color w:val="auto"/>
        </w:rPr>
        <w:t>. Each exercise of this Warrant shall be deemed to have been effected immediately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 of 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4" w:lineRule="exact"/>
        <w:rPr>
          <w:rFonts w:ascii="Arial" w:cs="Arial" w:eastAsia="Arial" w:hAnsi="Arial"/>
          <w:sz w:val="17"/>
          <w:szCs w:val="17"/>
          <w:color w:val="auto"/>
        </w:rPr>
      </w:pPr>
    </w:p>
    <w:p>
      <w:pPr>
        <w:jc w:val="both"/>
        <w:ind w:left="320" w:right="619" w:firstLine="260"/>
        <w:spacing w:after="0" w:line="251" w:lineRule="auto"/>
        <w:tabs>
          <w:tab w:leader="none" w:pos="887" w:val="left"/>
        </w:tabs>
        <w:numPr>
          <w:ilvl w:val="1"/>
          <w:numId w:val="421"/>
        </w:numPr>
        <w:rPr>
          <w:rFonts w:ascii="Arial" w:cs="Arial" w:eastAsia="Arial" w:hAnsi="Arial"/>
          <w:sz w:val="18"/>
          <w:szCs w:val="18"/>
          <w:color w:val="auto"/>
        </w:rPr>
      </w:pPr>
      <w:r>
        <w:rPr>
          <w:rFonts w:ascii="Arial" w:cs="Arial" w:eastAsia="Arial" w:hAnsi="Arial"/>
          <w:sz w:val="18"/>
          <w:szCs w:val="18"/>
          <w:b w:val="1"/>
          <w:bCs w:val="1"/>
          <w:u w:val="single" w:color="auto"/>
          <w:color w:val="auto"/>
        </w:rPr>
        <w:t>Cashless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provisions herein to the contrary, if at any time between the three (3) month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X = Y*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415925"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15925" cy="17145"/>
                    </a:xfrm>
                    <a:prstGeom prst="rect">
                      <a:avLst/>
                    </a:prstGeom>
                    <a:noFill/>
                  </pic:spPr>
                </pic:pic>
              </a:graphicData>
            </a:graphic>
          </wp:anchor>
        </w:drawing>
      </w:r>
    </w:p>
    <w:p>
      <w:pPr>
        <w:spacing w:after="0" w:line="67"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6" w:name="page407"/>
    <w:bookmarkEnd w:id="4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where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114" w:lineRule="exact"/>
        <w:rPr>
          <w:sz w:val="20"/>
          <w:szCs w:val="20"/>
          <w:color w:val="auto"/>
        </w:rPr>
      </w:pPr>
    </w:p>
    <w:p>
      <w:pPr>
        <w:ind w:left="580" w:right="639" w:firstLine="267"/>
        <w:spacing w:after="0" w:line="270" w:lineRule="auto"/>
        <w:rPr>
          <w:sz w:val="20"/>
          <w:szCs w:val="20"/>
          <w:color w:val="auto"/>
        </w:rPr>
      </w:pPr>
      <w:r>
        <w:rPr>
          <w:rFonts w:ascii="Arial" w:cs="Arial" w:eastAsia="Arial" w:hAnsi="Arial"/>
          <w:sz w:val="18"/>
          <w:szCs w:val="18"/>
          <w:color w:val="auto"/>
        </w:rPr>
        <w:t>Y = the Warrant Stock purchasable under this Warrant or, if only a portion of the Warrant is being exercised, the portion of the Warrant Stock being exercised.</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114" w:lineRule="exact"/>
        <w:rPr>
          <w:sz w:val="20"/>
          <w:szCs w:val="20"/>
          <w:color w:val="auto"/>
        </w:rPr>
      </w:pPr>
    </w:p>
    <w:p>
      <w:pPr>
        <w:ind w:left="320" w:right="619" w:firstLine="267"/>
        <w:spacing w:after="0" w:line="270" w:lineRule="auto"/>
        <w:rPr>
          <w:sz w:val="20"/>
          <w:szCs w:val="20"/>
          <w:color w:val="auto"/>
        </w:rPr>
      </w:pPr>
      <w:r>
        <w:rPr>
          <w:rFonts w:ascii="Arial" w:cs="Arial" w:eastAsia="Arial" w:hAnsi="Arial"/>
          <w:sz w:val="18"/>
          <w:szCs w:val="18"/>
          <w:color w:val="auto"/>
        </w:rPr>
        <w:t>For purposes of this Section 1(c), the “Fair Market Value” of one share of Common Stock on the Exercise Date shall have one of the following meanings:</w:t>
      </w:r>
    </w:p>
    <w:p>
      <w:pPr>
        <w:spacing w:after="0" w:line="69" w:lineRule="exact"/>
        <w:rPr>
          <w:sz w:val="20"/>
          <w:szCs w:val="20"/>
          <w:color w:val="auto"/>
        </w:rPr>
      </w:pPr>
    </w:p>
    <w:p>
      <w:pPr>
        <w:jc w:val="both"/>
        <w:ind w:left="580" w:right="619" w:firstLine="267"/>
        <w:spacing w:after="0" w:line="306" w:lineRule="auto"/>
        <w:tabs>
          <w:tab w:leader="none" w:pos="116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44" w:lineRule="exact"/>
        <w:rPr>
          <w:rFonts w:ascii="Arial" w:cs="Arial" w:eastAsia="Arial" w:hAnsi="Arial"/>
          <w:sz w:val="16"/>
          <w:szCs w:val="16"/>
          <w:color w:val="auto"/>
        </w:rPr>
      </w:pPr>
    </w:p>
    <w:p>
      <w:pPr>
        <w:ind w:left="580" w:right="639" w:firstLine="267"/>
        <w:spacing w:after="0" w:line="300" w:lineRule="auto"/>
        <w:tabs>
          <w:tab w:leader="none" w:pos="1177" w:val="left"/>
        </w:tabs>
        <w:numPr>
          <w:ilvl w:val="0"/>
          <w:numId w:val="422"/>
        </w:numPr>
        <w:rPr>
          <w:rFonts w:ascii="Arial" w:cs="Arial" w:eastAsia="Arial" w:hAnsi="Arial"/>
          <w:sz w:val="17"/>
          <w:szCs w:val="17"/>
          <w:color w:val="auto"/>
        </w:rPr>
      </w:pPr>
      <w:r>
        <w:rPr>
          <w:rFonts w:ascii="Arial" w:cs="Arial" w:eastAsia="Arial" w:hAnsi="Arial"/>
          <w:sz w:val="17"/>
          <w:szCs w:val="17"/>
          <w:color w:val="auto"/>
        </w:rPr>
        <w:t>if the Common Stock is traded over-the-counter, the Fair Market Value shall be deemed to be the average of the closing sales price over the thirty (30) day period ending three (3) days before the Exercise Date; or</w:t>
      </w:r>
    </w:p>
    <w:p>
      <w:pPr>
        <w:spacing w:after="0" w:line="45" w:lineRule="exact"/>
        <w:rPr>
          <w:rFonts w:ascii="Arial" w:cs="Arial" w:eastAsia="Arial" w:hAnsi="Arial"/>
          <w:sz w:val="17"/>
          <w:szCs w:val="17"/>
          <w:color w:val="auto"/>
        </w:rPr>
      </w:pPr>
    </w:p>
    <w:p>
      <w:pPr>
        <w:jc w:val="both"/>
        <w:ind w:left="580" w:right="619" w:firstLine="267"/>
        <w:spacing w:after="0" w:line="255" w:lineRule="auto"/>
        <w:tabs>
          <w:tab w:leader="none" w:pos="117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83" w:lineRule="exact"/>
        <w:rPr>
          <w:sz w:val="20"/>
          <w:szCs w:val="20"/>
          <w:color w:val="auto"/>
        </w:rPr>
      </w:pPr>
    </w:p>
    <w:p>
      <w:pPr>
        <w:jc w:val="both"/>
        <w:ind w:left="320" w:right="619" w:firstLine="267"/>
        <w:spacing w:after="0" w:line="255" w:lineRule="auto"/>
        <w:rPr>
          <w:sz w:val="20"/>
          <w:szCs w:val="20"/>
          <w:color w:val="auto"/>
        </w:rPr>
      </w:pPr>
      <w:r>
        <w:rPr>
          <w:rFonts w:ascii="Arial" w:cs="Arial" w:eastAsia="Arial" w:hAnsi="Arial"/>
          <w:sz w:val="18"/>
          <w:szCs w:val="18"/>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1026795"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026795" cy="17145"/>
                    </a:xfrm>
                    <a:prstGeom prst="rect">
                      <a:avLst/>
                    </a:prstGeom>
                    <a:noFill/>
                  </pic:spPr>
                </pic:pic>
              </a:graphicData>
            </a:graphic>
          </wp:anchor>
        </w:drawing>
      </w:r>
    </w:p>
    <w:p>
      <w:pPr>
        <w:spacing w:after="0" w:line="6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 = 25,000</w:t>
      </w:r>
    </w:p>
    <w:p>
      <w:pPr>
        <w:spacing w:after="0" w:line="114" w:lineRule="exact"/>
        <w:rPr>
          <w:sz w:val="20"/>
          <w:szCs w:val="20"/>
          <w:color w:val="auto"/>
        </w:rPr>
      </w:pPr>
    </w:p>
    <w:p>
      <w:pPr>
        <w:jc w:val="both"/>
        <w:ind w:left="320" w:right="619" w:firstLine="267"/>
        <w:spacing w:after="0" w:line="268" w:lineRule="auto"/>
        <w:rPr>
          <w:sz w:val="20"/>
          <w:szCs w:val="20"/>
          <w:color w:val="auto"/>
        </w:rPr>
      </w:pPr>
      <w:r>
        <w:rPr>
          <w:rFonts w:ascii="Arial" w:cs="Arial" w:eastAsia="Arial" w:hAnsi="Arial"/>
          <w:sz w:val="17"/>
          <w:szCs w:val="17"/>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72" w:lineRule="exact"/>
        <w:rPr>
          <w:sz w:val="20"/>
          <w:szCs w:val="20"/>
          <w:color w:val="auto"/>
        </w:rPr>
      </w:pPr>
    </w:p>
    <w:p>
      <w:pPr>
        <w:jc w:val="both"/>
        <w:ind w:left="320" w:right="619" w:firstLine="260"/>
        <w:spacing w:after="0" w:line="257" w:lineRule="auto"/>
        <w:tabs>
          <w:tab w:leader="none" w:pos="911" w:val="left"/>
        </w:tabs>
        <w:numPr>
          <w:ilvl w:val="0"/>
          <w:numId w:val="423"/>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to Holder</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practicable after the exercise of this Warrant in whole or in part, and 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business days thereafter (the “</w:t>
      </w:r>
      <w:r>
        <w:rPr>
          <w:rFonts w:ascii="Arial" w:cs="Arial" w:eastAsia="Arial" w:hAnsi="Arial"/>
          <w:sz w:val="18"/>
          <w:szCs w:val="18"/>
          <w:u w:val="single" w:color="auto"/>
          <w:color w:val="auto"/>
        </w:rPr>
        <w:t>Warrant Stock Delivery Date</w:t>
      </w:r>
      <w:r>
        <w:rPr>
          <w:rFonts w:ascii="Arial" w:cs="Arial" w:eastAsia="Arial" w:hAnsi="Arial"/>
          <w:sz w:val="18"/>
          <w:szCs w:val="18"/>
          <w:color w:val="auto"/>
        </w:rPr>
        <w:t>”), the Company will cause to be issued in the name of, and delivered to, the Registered Holder, or as such Registered Holder (upon payment by such Registered Holder of any applicable transfer taxes) may direct:</w:t>
      </w:r>
    </w:p>
    <w:p>
      <w:pPr>
        <w:spacing w:after="0" w:line="79" w:lineRule="exact"/>
        <w:rPr>
          <w:rFonts w:ascii="Arial" w:cs="Arial" w:eastAsia="Arial" w:hAnsi="Arial"/>
          <w:sz w:val="18"/>
          <w:szCs w:val="18"/>
          <w:color w:val="auto"/>
        </w:rPr>
      </w:pPr>
    </w:p>
    <w:p>
      <w:pPr>
        <w:ind w:left="580" w:right="639" w:firstLine="267"/>
        <w:spacing w:after="0" w:line="270" w:lineRule="auto"/>
        <w:tabs>
          <w:tab w:leader="none" w:pos="1151"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68" w:lineRule="exact"/>
        <w:rPr>
          <w:rFonts w:ascii="Arial" w:cs="Arial" w:eastAsia="Arial" w:hAnsi="Arial"/>
          <w:sz w:val="18"/>
          <w:szCs w:val="18"/>
          <w:color w:val="auto"/>
        </w:rPr>
      </w:pPr>
    </w:p>
    <w:p>
      <w:pPr>
        <w:jc w:val="both"/>
        <w:ind w:left="580" w:right="619" w:firstLine="267"/>
        <w:spacing w:after="0" w:line="255" w:lineRule="auto"/>
        <w:tabs>
          <w:tab w:leader="none" w:pos="1175" w:val="left"/>
        </w:tabs>
        <w:numPr>
          <w:ilvl w:val="1"/>
          <w:numId w:val="423"/>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7" w:name="page408"/>
    <w:bookmarkEnd w:id="4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both"/>
        <w:ind w:left="320" w:right="619" w:firstLine="260"/>
        <w:spacing w:after="0" w:line="282" w:lineRule="auto"/>
        <w:tabs>
          <w:tab w:leader="none" w:pos="874" w:val="left"/>
        </w:tabs>
        <w:numPr>
          <w:ilvl w:val="0"/>
          <w:numId w:val="424"/>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4" w:lineRule="exact"/>
        <w:rPr>
          <w:rFonts w:ascii="Arial" w:cs="Arial" w:eastAsia="Arial" w:hAnsi="Arial"/>
          <w:sz w:val="16"/>
          <w:szCs w:val="16"/>
          <w:color w:val="auto"/>
        </w:rPr>
      </w:pPr>
    </w:p>
    <w:p>
      <w:pPr>
        <w:jc w:val="both"/>
        <w:ind w:left="320" w:right="619" w:firstLine="260"/>
        <w:spacing w:after="0" w:line="281" w:lineRule="auto"/>
        <w:tabs>
          <w:tab w:leader="none" w:pos="934" w:val="left"/>
        </w:tabs>
        <w:numPr>
          <w:ilvl w:val="0"/>
          <w:numId w:val="424"/>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8" w:name="page409"/>
    <w:bookmarkEnd w:id="4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639"/>
        <w:spacing w:after="0" w:line="255" w:lineRule="auto"/>
        <w:rPr>
          <w:sz w:val="20"/>
          <w:szCs w:val="20"/>
          <w:color w:val="auto"/>
        </w:rPr>
      </w:pPr>
      <w:r>
        <w:rPr>
          <w:rFonts w:ascii="Arial" w:cs="Arial" w:eastAsia="Arial" w:hAnsi="Arial"/>
          <w:sz w:val="18"/>
          <w:szCs w:val="18"/>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9" w:lineRule="exact"/>
        <w:rPr>
          <w:sz w:val="20"/>
          <w:szCs w:val="20"/>
          <w:color w:val="auto"/>
        </w:rPr>
      </w:pPr>
    </w:p>
    <w:p>
      <w:pPr>
        <w:ind w:left="540" w:hanging="228"/>
        <w:spacing w:after="0"/>
        <w:tabs>
          <w:tab w:leader="none" w:pos="540" w:val="left"/>
        </w:tabs>
        <w:numPr>
          <w:ilvl w:val="0"/>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320" w:right="619" w:firstLine="260"/>
        <w:spacing w:after="0" w:line="268" w:lineRule="auto"/>
        <w:tabs>
          <w:tab w:leader="none" w:pos="901" w:val="left"/>
        </w:tabs>
        <w:numPr>
          <w:ilvl w:val="1"/>
          <w:numId w:val="425"/>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outstanding shares of the Company’s Common Stock shall be subdivided into a</w:t>
      </w:r>
      <w:r>
        <w:rPr>
          <w:rFonts w:ascii="Arial" w:cs="Arial" w:eastAsia="Arial" w:hAnsi="Arial"/>
          <w:sz w:val="17"/>
          <w:szCs w:val="17"/>
          <w:b w:val="1"/>
          <w:bCs w:val="1"/>
          <w:color w:val="auto"/>
        </w:rPr>
        <w:t xml:space="preserve"> </w:t>
      </w:r>
      <w:r>
        <w:rPr>
          <w:rFonts w:ascii="Arial" w:cs="Arial" w:eastAsia="Arial" w:hAnsi="Arial"/>
          <w:sz w:val="17"/>
          <w:szCs w:val="17"/>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71" w:lineRule="exact"/>
        <w:rPr>
          <w:rFonts w:ascii="Arial" w:cs="Arial" w:eastAsia="Arial" w:hAnsi="Arial"/>
          <w:sz w:val="17"/>
          <w:szCs w:val="17"/>
          <w:color w:val="auto"/>
        </w:rPr>
      </w:pPr>
    </w:p>
    <w:p>
      <w:pPr>
        <w:jc w:val="both"/>
        <w:ind w:left="320" w:right="619" w:firstLine="260"/>
        <w:spacing w:after="0" w:line="281" w:lineRule="auto"/>
        <w:tabs>
          <w:tab w:leader="none" w:pos="897" w:val="left"/>
        </w:tabs>
        <w:numPr>
          <w:ilvl w:val="1"/>
          <w:numId w:val="425"/>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color w:val="auto"/>
        </w:rPr>
        <w:t>. If, at any time while this Warrant is outstanding, (i) the Company effects any merger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9" w:lineRule="exact"/>
        <w:rPr>
          <w:rFonts w:ascii="Arial" w:cs="Arial" w:eastAsia="Arial" w:hAnsi="Arial"/>
          <w:sz w:val="16"/>
          <w:szCs w:val="16"/>
          <w:color w:val="auto"/>
        </w:rPr>
      </w:pPr>
    </w:p>
    <w:p>
      <w:pPr>
        <w:jc w:val="both"/>
        <w:ind w:left="320" w:right="619" w:firstLine="260"/>
        <w:spacing w:after="0" w:line="257" w:lineRule="auto"/>
        <w:tabs>
          <w:tab w:leader="none" w:pos="874" w:val="left"/>
        </w:tabs>
        <w:numPr>
          <w:ilvl w:val="1"/>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Exercise Price pursuant to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09" w:name="page410"/>
    <w:bookmarkEnd w:id="4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540" w:hanging="228"/>
        <w:spacing w:after="0"/>
        <w:tabs>
          <w:tab w:leader="none" w:pos="540"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39" w:firstLine="260"/>
        <w:spacing w:after="0" w:line="271" w:lineRule="auto"/>
        <w:tabs>
          <w:tab w:leader="none" w:pos="887" w:val="left"/>
        </w:tabs>
        <w:numPr>
          <w:ilvl w:val="1"/>
          <w:numId w:val="426"/>
        </w:numPr>
        <w:rPr>
          <w:rFonts w:ascii="Arial" w:cs="Arial" w:eastAsia="Arial" w:hAnsi="Arial"/>
          <w:sz w:val="17"/>
          <w:szCs w:val="17"/>
          <w:color w:val="auto"/>
        </w:rPr>
      </w:pPr>
      <w:r>
        <w:rPr>
          <w:rFonts w:ascii="Arial" w:cs="Arial" w:eastAsia="Arial" w:hAnsi="Arial"/>
          <w:sz w:val="17"/>
          <w:szCs w:val="17"/>
          <w:b w:val="1"/>
          <w:bCs w:val="1"/>
          <w:u w:val="single" w:color="auto"/>
          <w:color w:val="auto"/>
        </w:rPr>
        <w:t>Unregistered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this Warrant acknowledges that this Warrant has not been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65" w:lineRule="exact"/>
        <w:rPr>
          <w:rFonts w:ascii="Arial" w:cs="Arial" w:eastAsia="Arial" w:hAnsi="Arial"/>
          <w:sz w:val="17"/>
          <w:szCs w:val="17"/>
          <w:color w:val="auto"/>
        </w:rPr>
      </w:pPr>
    </w:p>
    <w:p>
      <w:pPr>
        <w:jc w:val="both"/>
        <w:ind w:left="320" w:right="619" w:firstLine="260"/>
        <w:spacing w:after="0" w:line="257" w:lineRule="auto"/>
        <w:tabs>
          <w:tab w:leader="none" w:pos="884" w:val="left"/>
        </w:tabs>
        <w:numPr>
          <w:ilvl w:val="1"/>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3(a) hereof, this Warrant and all rights hereunder are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the principal office of the Company.</w:t>
      </w:r>
    </w:p>
    <w:p>
      <w:pPr>
        <w:spacing w:after="0" w:line="75" w:lineRule="exact"/>
        <w:rPr>
          <w:rFonts w:ascii="Arial" w:cs="Arial" w:eastAsia="Arial" w:hAnsi="Arial"/>
          <w:sz w:val="18"/>
          <w:szCs w:val="18"/>
          <w:color w:val="auto"/>
        </w:rPr>
      </w:pPr>
    </w:p>
    <w:p>
      <w:pPr>
        <w:jc w:val="both"/>
        <w:ind w:left="320" w:right="619" w:firstLine="260"/>
        <w:spacing w:after="0" w:line="271" w:lineRule="auto"/>
        <w:tabs>
          <w:tab w:leader="none" w:pos="927" w:val="left"/>
        </w:tabs>
        <w:numPr>
          <w:ilvl w:val="1"/>
          <w:numId w:val="426"/>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5" w:lineRule="exact"/>
        <w:rPr>
          <w:rFonts w:ascii="Arial" w:cs="Arial" w:eastAsia="Arial" w:hAnsi="Arial"/>
          <w:sz w:val="17"/>
          <w:szCs w:val="17"/>
          <w:color w:val="auto"/>
        </w:rPr>
      </w:pPr>
    </w:p>
    <w:p>
      <w:pPr>
        <w:ind w:left="540" w:hanging="228"/>
        <w:spacing w:after="0"/>
        <w:tabs>
          <w:tab w:leader="none" w:pos="540"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113" w:lineRule="exact"/>
        <w:rPr>
          <w:rFonts w:ascii="Arial" w:cs="Arial" w:eastAsia="Arial" w:hAnsi="Arial"/>
          <w:sz w:val="18"/>
          <w:szCs w:val="18"/>
          <w:color w:val="auto"/>
        </w:rPr>
      </w:pPr>
    </w:p>
    <w:p>
      <w:pPr>
        <w:jc w:val="both"/>
        <w:ind w:left="320" w:right="619" w:firstLine="260"/>
        <w:spacing w:after="0" w:line="267" w:lineRule="auto"/>
        <w:tabs>
          <w:tab w:leader="none" w:pos="887" w:val="left"/>
        </w:tabs>
        <w:numPr>
          <w:ilvl w:val="1"/>
          <w:numId w:val="426"/>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 of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may be redeemed, at the option of the Company, at any time after it becomes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70" w:lineRule="exact"/>
        <w:rPr>
          <w:rFonts w:ascii="Arial" w:cs="Arial" w:eastAsia="Arial" w:hAnsi="Arial"/>
          <w:sz w:val="17"/>
          <w:szCs w:val="17"/>
          <w:color w:val="auto"/>
        </w:rPr>
      </w:pPr>
    </w:p>
    <w:p>
      <w:pPr>
        <w:jc w:val="both"/>
        <w:ind w:left="320" w:right="619" w:firstLine="260"/>
        <w:spacing w:after="0" w:line="294" w:lineRule="auto"/>
        <w:tabs>
          <w:tab w:leader="none" w:pos="951" w:val="left"/>
        </w:tabs>
        <w:numPr>
          <w:ilvl w:val="1"/>
          <w:numId w:val="426"/>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Fixed for, and Notice of,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shall elect to redeem the Warrant,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9" w:lineRule="exact"/>
        <w:rPr>
          <w:rFonts w:ascii="Arial" w:cs="Arial" w:eastAsia="Arial" w:hAnsi="Arial"/>
          <w:sz w:val="16"/>
          <w:szCs w:val="16"/>
          <w:color w:val="auto"/>
        </w:rPr>
      </w:pPr>
    </w:p>
    <w:p>
      <w:pPr>
        <w:jc w:val="both"/>
        <w:ind w:left="320" w:right="639" w:firstLine="260"/>
        <w:spacing w:after="0" w:line="257" w:lineRule="auto"/>
        <w:tabs>
          <w:tab w:leader="none" w:pos="901" w:val="left"/>
        </w:tabs>
        <w:numPr>
          <w:ilvl w:val="1"/>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After Notice of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Warrants may be exercised in accordance with this Warrant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5" w:lineRule="exact"/>
        <w:rPr>
          <w:rFonts w:ascii="Arial" w:cs="Arial" w:eastAsia="Arial" w:hAnsi="Arial"/>
          <w:sz w:val="18"/>
          <w:szCs w:val="18"/>
          <w:color w:val="auto"/>
        </w:rPr>
      </w:pPr>
    </w:p>
    <w:p>
      <w:pPr>
        <w:ind w:left="40" w:right="639" w:firstLine="272"/>
        <w:spacing w:after="0" w:line="275" w:lineRule="auto"/>
        <w:tabs>
          <w:tab w:leader="none" w:pos="530"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the right to purchase securities upon exercise hereof) shall terminate at 5:00 p.m., Eastern</w:t>
      </w:r>
      <w:r>
        <w:rPr>
          <w:rFonts w:ascii="Arial" w:cs="Arial" w:eastAsia="Arial" w:hAnsi="Arial"/>
          <w:sz w:val="18"/>
          <w:szCs w:val="18"/>
          <w:b w:val="1"/>
          <w:bCs w:val="1"/>
          <w:color w:val="auto"/>
        </w:rPr>
        <w:t xml:space="preserve"> </w:t>
      </w:r>
      <w:r>
        <w:rPr>
          <w:rFonts w:ascii="Arial" w:cs="Arial" w:eastAsia="Arial" w:hAnsi="Arial"/>
          <w:sz w:val="18"/>
          <w:szCs w:val="18"/>
          <w:color w:val="auto"/>
        </w:rPr>
        <w:t>time, on the Expiration Date.</w:t>
      </w:r>
    </w:p>
    <w:p>
      <w:pPr>
        <w:spacing w:after="0" w:line="60" w:lineRule="exact"/>
        <w:rPr>
          <w:rFonts w:ascii="Arial" w:cs="Arial" w:eastAsia="Arial" w:hAnsi="Arial"/>
          <w:sz w:val="18"/>
          <w:szCs w:val="18"/>
          <w:color w:val="auto"/>
        </w:rPr>
      </w:pPr>
    </w:p>
    <w:p>
      <w:pPr>
        <w:ind w:left="540" w:hanging="228"/>
        <w:spacing w:after="0"/>
        <w:tabs>
          <w:tab w:leader="none" w:pos="540"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117" w:lineRule="exact"/>
        <w:rPr>
          <w:rFonts w:ascii="Arial" w:cs="Arial" w:eastAsia="Arial" w:hAnsi="Arial"/>
          <w:sz w:val="18"/>
          <w:szCs w:val="18"/>
          <w:color w:val="auto"/>
        </w:rPr>
      </w:pPr>
    </w:p>
    <w:p>
      <w:pPr>
        <w:jc w:val="both"/>
        <w:ind w:left="320" w:right="639" w:firstLine="260"/>
        <w:spacing w:after="0" w:line="259" w:lineRule="auto"/>
        <w:tabs>
          <w:tab w:leader="none" w:pos="8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10" w:name="page411"/>
    <w:bookmarkEnd w:id="4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right="639"/>
        <w:spacing w:after="0" w:line="270" w:lineRule="auto"/>
        <w:rPr>
          <w:sz w:val="20"/>
          <w:szCs w:val="20"/>
          <w:color w:val="auto"/>
        </w:rPr>
      </w:pPr>
      <w:r>
        <w:rPr>
          <w:rFonts w:ascii="Arial" w:cs="Arial" w:eastAsia="Arial" w:hAnsi="Arial"/>
          <w:sz w:val="18"/>
          <w:szCs w:val="18"/>
          <w:color w:val="auto"/>
        </w:rPr>
        <w:t>purchase any shares of stock of any class or any other securities, or to receive any other right, to subscribe for or purchase any shares of stock of any class or any other securities, or to receive any other right, or</w:t>
      </w:r>
    </w:p>
    <w:p>
      <w:pPr>
        <w:spacing w:after="0" w:line="69" w:lineRule="exact"/>
        <w:rPr>
          <w:sz w:val="20"/>
          <w:szCs w:val="20"/>
          <w:color w:val="auto"/>
        </w:rPr>
      </w:pPr>
    </w:p>
    <w:p>
      <w:pPr>
        <w:jc w:val="both"/>
        <w:ind w:left="320" w:right="619" w:firstLine="260"/>
        <w:spacing w:after="0" w:line="255" w:lineRule="auto"/>
        <w:tabs>
          <w:tab w:leader="none" w:pos="991" w:val="left"/>
        </w:tabs>
        <w:numPr>
          <w:ilvl w:val="0"/>
          <w:numId w:val="427"/>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82" w:lineRule="exact"/>
        <w:rPr>
          <w:rFonts w:ascii="Arial" w:cs="Arial" w:eastAsia="Arial" w:hAnsi="Arial"/>
          <w:sz w:val="18"/>
          <w:szCs w:val="18"/>
          <w:color w:val="auto"/>
        </w:rPr>
      </w:pPr>
    </w:p>
    <w:p>
      <w:pPr>
        <w:ind w:left="860" w:hanging="280"/>
        <w:spacing w:after="0"/>
        <w:tabs>
          <w:tab w:leader="none" w:pos="8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113" w:lineRule="exact"/>
        <w:rPr>
          <w:rFonts w:ascii="Arial" w:cs="Arial" w:eastAsia="Arial" w:hAnsi="Arial"/>
          <w:sz w:val="18"/>
          <w:szCs w:val="18"/>
          <w:color w:val="auto"/>
        </w:rPr>
      </w:pPr>
    </w:p>
    <w:p>
      <w:pPr>
        <w:ind w:left="880" w:hanging="300"/>
        <w:spacing w:after="0"/>
        <w:tabs>
          <w:tab w:leader="none" w:pos="8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114" w:lineRule="exact"/>
        <w:rPr>
          <w:sz w:val="20"/>
          <w:szCs w:val="20"/>
          <w:color w:val="auto"/>
        </w:rPr>
      </w:pPr>
    </w:p>
    <w:p>
      <w:pPr>
        <w:jc w:val="both"/>
        <w:ind w:left="40" w:right="619"/>
        <w:spacing w:after="0" w:line="288" w:lineRule="auto"/>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4" w:lineRule="exact"/>
        <w:rPr>
          <w:sz w:val="20"/>
          <w:szCs w:val="20"/>
          <w:color w:val="auto"/>
        </w:rPr>
      </w:pPr>
    </w:p>
    <w:p>
      <w:pPr>
        <w:jc w:val="both"/>
        <w:ind w:left="40" w:right="619" w:firstLine="272"/>
        <w:spacing w:after="0" w:line="266" w:lineRule="auto"/>
        <w:tabs>
          <w:tab w:leader="none" w:pos="543" w:val="left"/>
        </w:tabs>
        <w:numPr>
          <w:ilvl w:val="0"/>
          <w:numId w:val="428"/>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76" w:lineRule="exact"/>
        <w:rPr>
          <w:rFonts w:ascii="Arial" w:cs="Arial" w:eastAsia="Arial" w:hAnsi="Arial"/>
          <w:sz w:val="17"/>
          <w:szCs w:val="17"/>
          <w:color w:val="auto"/>
        </w:rPr>
      </w:pPr>
    </w:p>
    <w:p>
      <w:pPr>
        <w:jc w:val="both"/>
        <w:ind w:left="40" w:right="619" w:firstLine="272"/>
        <w:spacing w:after="0" w:line="299" w:lineRule="auto"/>
        <w:tabs>
          <w:tab w:leader="none" w:pos="530" w:val="left"/>
        </w:tabs>
        <w:numPr>
          <w:ilvl w:val="0"/>
          <w:numId w:val="428"/>
        </w:numPr>
        <w:rPr>
          <w:rFonts w:ascii="Arial" w:cs="Arial" w:eastAsia="Arial" w:hAnsi="Arial"/>
          <w:sz w:val="16"/>
          <w:szCs w:val="16"/>
          <w:color w:val="auto"/>
        </w:rPr>
      </w:pPr>
      <w:r>
        <w:rPr>
          <w:rFonts w:ascii="Arial" w:cs="Arial" w:eastAsia="Arial" w:hAnsi="Arial"/>
          <w:sz w:val="16"/>
          <w:szCs w:val="16"/>
          <w:b w:val="1"/>
          <w:bCs w:val="1"/>
          <w:u w:val="single" w:color="auto"/>
          <w:color w:val="auto"/>
        </w:rPr>
        <w:t>Replacement of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evidence reasonably satisfactory to the Company of the loss, theft, destruction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45" w:lineRule="exact"/>
        <w:rPr>
          <w:rFonts w:ascii="Arial" w:cs="Arial" w:eastAsia="Arial" w:hAnsi="Arial"/>
          <w:sz w:val="16"/>
          <w:szCs w:val="16"/>
          <w:color w:val="auto"/>
        </w:rPr>
      </w:pPr>
    </w:p>
    <w:p>
      <w:pPr>
        <w:jc w:val="both"/>
        <w:ind w:left="40" w:right="639" w:firstLine="272"/>
        <w:spacing w:after="0" w:line="294" w:lineRule="auto"/>
        <w:tabs>
          <w:tab w:leader="none" w:pos="530" w:val="left"/>
        </w:tabs>
        <w:numPr>
          <w:ilvl w:val="0"/>
          <w:numId w:val="42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Warrant shall be in writing and shall be deemed duly given upon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49" w:lineRule="exact"/>
        <w:rPr>
          <w:rFonts w:ascii="Arial" w:cs="Arial" w:eastAsia="Arial" w:hAnsi="Arial"/>
          <w:sz w:val="16"/>
          <w:szCs w:val="16"/>
          <w:color w:val="auto"/>
        </w:rPr>
      </w:pPr>
    </w:p>
    <w:p>
      <w:pPr>
        <w:ind w:left="40" w:right="639" w:firstLine="272"/>
        <w:spacing w:after="0" w:line="275" w:lineRule="auto"/>
        <w:tabs>
          <w:tab w:leader="none" w:pos="646"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rights by virtue hereof as a stockholder of the Company.</w:t>
      </w:r>
    </w:p>
    <w:p>
      <w:pPr>
        <w:spacing w:after="0" w:line="60" w:lineRule="exact"/>
        <w:rPr>
          <w:rFonts w:ascii="Arial" w:cs="Arial" w:eastAsia="Arial" w:hAnsi="Arial"/>
          <w:sz w:val="18"/>
          <w:szCs w:val="18"/>
          <w:color w:val="auto"/>
        </w:rPr>
      </w:pPr>
    </w:p>
    <w:p>
      <w:pPr>
        <w:jc w:val="both"/>
        <w:ind w:left="40" w:right="639" w:firstLine="272"/>
        <w:spacing w:after="0" w:line="261" w:lineRule="auto"/>
        <w:tabs>
          <w:tab w:leader="none" w:pos="626"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shares of Common Stock will be issued in connection with any exercise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any fractional shares which would otherwise be issuable, the Company shall round the amount of Warrant Stock issuable to the nearest whole share.</w:t>
      </w:r>
    </w:p>
    <w:p>
      <w:pPr>
        <w:spacing w:after="0" w:line="73" w:lineRule="exact"/>
        <w:rPr>
          <w:rFonts w:ascii="Arial" w:cs="Arial" w:eastAsia="Arial" w:hAnsi="Arial"/>
          <w:sz w:val="18"/>
          <w:szCs w:val="18"/>
          <w:color w:val="auto"/>
        </w:rPr>
      </w:pPr>
    </w:p>
    <w:p>
      <w:pPr>
        <w:ind w:left="40" w:right="639" w:firstLine="272"/>
        <w:spacing w:after="0" w:line="275" w:lineRule="auto"/>
        <w:tabs>
          <w:tab w:leader="none" w:pos="619"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Warrant may be amended or waived upon written consent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w:t>
      </w: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11" w:name="page412"/>
    <w:bookmarkEnd w:id="4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ind w:left="40" w:right="639" w:firstLine="272"/>
        <w:spacing w:after="0" w:line="275" w:lineRule="auto"/>
        <w:tabs>
          <w:tab w:leader="none" w:pos="659" w:val="left"/>
        </w:tabs>
        <w:numPr>
          <w:ilvl w:val="0"/>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any provision of this Warrant.</w:t>
      </w:r>
    </w:p>
    <w:p>
      <w:pPr>
        <w:spacing w:after="0" w:line="60" w:lineRule="exact"/>
        <w:rPr>
          <w:rFonts w:ascii="Arial" w:cs="Arial" w:eastAsia="Arial" w:hAnsi="Arial"/>
          <w:sz w:val="18"/>
          <w:szCs w:val="18"/>
          <w:color w:val="auto"/>
        </w:rPr>
      </w:pPr>
    </w:p>
    <w:p>
      <w:pPr>
        <w:jc w:val="both"/>
        <w:ind w:left="40" w:right="639" w:firstLine="272"/>
        <w:spacing w:after="0" w:line="261" w:lineRule="auto"/>
        <w:tabs>
          <w:tab w:leader="none" w:pos="632" w:val="left"/>
        </w:tabs>
        <w:numPr>
          <w:ilvl w:val="0"/>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all acts and transactions pursuant hereto and the rights and obligations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be governed, construed and interpreted in accordance with the laws of the State of New York, without giving effect to principles of conflicts of law.</w:t>
      </w:r>
    </w:p>
    <w:p>
      <w:pPr>
        <w:spacing w:after="0" w:line="73" w:lineRule="exact"/>
        <w:rPr>
          <w:rFonts w:ascii="Arial" w:cs="Arial" w:eastAsia="Arial" w:hAnsi="Arial"/>
          <w:sz w:val="18"/>
          <w:szCs w:val="18"/>
          <w:color w:val="auto"/>
        </w:rPr>
      </w:pPr>
    </w:p>
    <w:p>
      <w:pPr>
        <w:ind w:left="40" w:right="639" w:firstLine="272"/>
        <w:spacing w:after="0" w:line="275" w:lineRule="auto"/>
        <w:tabs>
          <w:tab w:leader="none" w:pos="659" w:val="left"/>
        </w:tabs>
        <w:numPr>
          <w:ilvl w:val="0"/>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the following representations and covenants of the Registered Holder:</w:t>
      </w:r>
    </w:p>
    <w:p>
      <w:pPr>
        <w:spacing w:after="0" w:line="60" w:lineRule="exact"/>
        <w:rPr>
          <w:rFonts w:ascii="Arial" w:cs="Arial" w:eastAsia="Arial" w:hAnsi="Arial"/>
          <w:sz w:val="18"/>
          <w:szCs w:val="18"/>
          <w:color w:val="auto"/>
        </w:rPr>
      </w:pPr>
    </w:p>
    <w:p>
      <w:pPr>
        <w:jc w:val="both"/>
        <w:ind w:left="320" w:right="639" w:firstLine="260"/>
        <w:spacing w:after="0" w:line="261" w:lineRule="auto"/>
        <w:tabs>
          <w:tab w:leader="none" w:pos="874"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acquiring the Warrant and the Warrant Stock issuable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for its own account, not as a nominee or agent and with no present intention of selling or otherwise distributing any part thereof.</w:t>
      </w:r>
    </w:p>
    <w:p>
      <w:pPr>
        <w:spacing w:after="0" w:line="73" w:lineRule="exact"/>
        <w:rPr>
          <w:rFonts w:ascii="Arial" w:cs="Arial" w:eastAsia="Arial" w:hAnsi="Arial"/>
          <w:sz w:val="18"/>
          <w:szCs w:val="18"/>
          <w:color w:val="auto"/>
        </w:rPr>
      </w:pPr>
    </w:p>
    <w:p>
      <w:pPr>
        <w:jc w:val="both"/>
        <w:ind w:left="320" w:right="619" w:firstLine="260"/>
        <w:spacing w:after="0" w:line="254" w:lineRule="auto"/>
        <w:tabs>
          <w:tab w:leader="none" w:pos="911"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80" w:lineRule="exact"/>
        <w:rPr>
          <w:rFonts w:ascii="Arial" w:cs="Arial" w:eastAsia="Arial" w:hAnsi="Arial"/>
          <w:sz w:val="18"/>
          <w:szCs w:val="18"/>
          <w:color w:val="auto"/>
        </w:rPr>
      </w:pPr>
    </w:p>
    <w:p>
      <w:pPr>
        <w:jc w:val="both"/>
        <w:ind w:left="320" w:right="619" w:firstLine="260"/>
        <w:spacing w:after="0" w:line="287" w:lineRule="auto"/>
        <w:tabs>
          <w:tab w:leader="none" w:pos="887" w:val="left"/>
        </w:tabs>
        <w:numPr>
          <w:ilvl w:val="1"/>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7" w:lineRule="exact"/>
        <w:rPr>
          <w:rFonts w:ascii="Arial" w:cs="Arial" w:eastAsia="Arial" w:hAnsi="Arial"/>
          <w:sz w:val="16"/>
          <w:szCs w:val="16"/>
          <w:color w:val="auto"/>
        </w:rPr>
      </w:pPr>
    </w:p>
    <w:p>
      <w:pPr>
        <w:ind w:left="320" w:right="639" w:firstLine="260"/>
        <w:spacing w:after="0" w:line="275" w:lineRule="auto"/>
        <w:tabs>
          <w:tab w:leader="none" w:pos="884"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its own interests in connection with its investment.</w:t>
      </w:r>
    </w:p>
    <w:p>
      <w:pPr>
        <w:spacing w:after="0" w:line="60" w:lineRule="exact"/>
        <w:rPr>
          <w:rFonts w:ascii="Arial" w:cs="Arial" w:eastAsia="Arial" w:hAnsi="Arial"/>
          <w:sz w:val="18"/>
          <w:szCs w:val="18"/>
          <w:color w:val="auto"/>
        </w:rPr>
      </w:pPr>
    </w:p>
    <w:p>
      <w:pPr>
        <w:ind w:left="320" w:right="619" w:firstLine="260"/>
        <w:spacing w:after="0" w:line="275" w:lineRule="auto"/>
        <w:tabs>
          <w:tab w:leader="none" w:pos="927"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by Rule 501 of Regulation D</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w:t>
      </w:r>
    </w:p>
    <w:p>
      <w:pPr>
        <w:spacing w:after="0" w:line="64" w:lineRule="exact"/>
        <w:rPr>
          <w:sz w:val="20"/>
          <w:szCs w:val="20"/>
          <w:color w:val="auto"/>
        </w:rPr>
      </w:pPr>
    </w:p>
    <w:p>
      <w:pPr>
        <w:ind w:left="382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12" w:name="page413"/>
    <w:bookmarkEnd w:id="4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513461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-130175</wp:posOffset>
            </wp:positionV>
            <wp:extent cx="244411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3" w:name="page414"/>
    <w:bookmarkEnd w:id="4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Exhibit A</w:t>
      </w:r>
    </w:p>
    <w:p>
      <w:pPr>
        <w:spacing w:after="0" w:line="114"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WARRANT EXERCISE FORM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undersigned hereby irrevocably elects to exercise the within Warrant to the extent of purchasing ______ shares of Common</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of Vringo, Inc., a Delaware corporation, and hereby makes payment of $___________ in payment therefore (if a cashless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exercise, insert “cashless”), all in accordance with the terms and conditions of the Warrant dated ________, 2012.</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213868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1386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-36830</wp:posOffset>
            </wp:positionV>
            <wp:extent cx="203708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0370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-36830</wp:posOffset>
            </wp:positionV>
            <wp:extent cx="2427605"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42760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-36830</wp:posOffset>
            </wp:positionV>
            <wp:extent cx="814705"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1470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INSTRUCTIONS FOR ISSUANCE OF STOCK</w:t>
      </w:r>
    </w:p>
    <w:p>
      <w:pPr>
        <w:spacing w:after="0" w:line="11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-36830</wp:posOffset>
            </wp:positionV>
            <wp:extent cx="152781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52781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13335</wp:posOffset>
            </wp:positionV>
            <wp:extent cx="597471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-28575</wp:posOffset>
            </wp:positionV>
            <wp:extent cx="15957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4" w:name="page415"/>
    <w:bookmarkEnd w:id="4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Exhibit B</w:t>
      </w:r>
    </w:p>
    <w:p>
      <w:pPr>
        <w:spacing w:after="0" w:line="114"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ASSIGNMENT FORM</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VALUE RECEIVED, _____________________ hereby sells, assigns and transfers unto _______________________ the right</w:t>
      </w:r>
    </w:p>
    <w:p>
      <w:pPr>
        <w:spacing w:after="0" w:line="43" w:lineRule="exact"/>
        <w:rPr>
          <w:sz w:val="20"/>
          <w:szCs w:val="20"/>
          <w:color w:val="auto"/>
        </w:rPr>
      </w:pPr>
    </w:p>
    <w:p>
      <w:pPr>
        <w:jc w:val="both"/>
        <w:ind w:left="40" w:right="619"/>
        <w:spacing w:after="0" w:line="273" w:lineRule="auto"/>
        <w:rPr>
          <w:sz w:val="20"/>
          <w:szCs w:val="20"/>
          <w:color w:val="auto"/>
        </w:rPr>
      </w:pPr>
      <w:r>
        <w:rPr>
          <w:rFonts w:ascii="Arial" w:cs="Arial" w:eastAsia="Arial" w:hAnsi="Arial"/>
          <w:sz w:val="17"/>
          <w:szCs w:val="17"/>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-36830</wp:posOffset>
            </wp:positionV>
            <wp:extent cx="814705"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14705"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-36830</wp:posOffset>
            </wp:positionV>
            <wp:extent cx="2037080"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037080" cy="17145"/>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149225</wp:posOffset>
            </wp:positionV>
            <wp:extent cx="305562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5" w:name="page416"/>
    <w:bookmarkEnd w:id="4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1" w:lineRule="exact"/>
        <w:rPr>
          <w:sz w:val="20"/>
          <w:szCs w:val="20"/>
          <w:color w:val="auto"/>
        </w:rPr>
      </w:pPr>
    </w:p>
    <w:p>
      <w:pPr>
        <w:jc w:val="right"/>
        <w:ind w:right="619"/>
        <w:spacing w:after="0"/>
        <w:rPr>
          <w:sz w:val="20"/>
          <w:szCs w:val="20"/>
          <w:color w:val="auto"/>
        </w:rPr>
      </w:pPr>
      <w:r>
        <w:rPr>
          <w:rFonts w:ascii="Arial" w:cs="Arial" w:eastAsia="Arial" w:hAnsi="Arial"/>
          <w:sz w:val="18"/>
          <w:szCs w:val="18"/>
          <w:b w:val="1"/>
          <w:bCs w:val="1"/>
          <w:color w:val="auto"/>
        </w:rPr>
        <w:t>ANNEX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83820</wp:posOffset>
            </wp:positionV>
            <wp:extent cx="1111885" cy="37338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111885"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March 12,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CONFIDENTIAL</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ind w:left="40"/>
        <w:spacing w:after="0" w:line="209" w:lineRule="auto"/>
        <w:rPr>
          <w:sz w:val="20"/>
          <w:szCs w:val="20"/>
          <w:color w:val="auto"/>
        </w:rPr>
      </w:pPr>
      <w:r>
        <w:rPr>
          <w:rFonts w:ascii="Arial" w:cs="Arial" w:eastAsia="Arial" w:hAnsi="Arial"/>
          <w:sz w:val="18"/>
          <w:szCs w:val="18"/>
          <w:color w:val="auto"/>
        </w:rPr>
        <w:t>44 West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w:t>
      </w:r>
    </w:p>
    <w:p>
      <w:pPr>
        <w:ind w:left="40"/>
        <w:spacing w:after="0"/>
        <w:rPr>
          <w:sz w:val="20"/>
          <w:szCs w:val="20"/>
          <w:color w:val="auto"/>
        </w:rPr>
      </w:pPr>
      <w:r>
        <w:rPr>
          <w:rFonts w:ascii="Arial" w:cs="Arial" w:eastAsia="Arial" w:hAnsi="Arial"/>
          <w:sz w:val="18"/>
          <w:szCs w:val="18"/>
          <w:color w:val="auto"/>
        </w:rPr>
        <w:t>Suite 1414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 10001</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Members of the Board</w:t>
      </w:r>
      <w:r>
        <w:rPr>
          <w:rFonts w:ascii="Arial" w:cs="Arial" w:eastAsia="Arial" w:hAnsi="Arial"/>
          <w:sz w:val="18"/>
          <w:szCs w:val="18"/>
          <w:color w:val="auto"/>
        </w:rPr>
        <w:t>:</w:t>
      </w:r>
    </w:p>
    <w:p>
      <w:pPr>
        <w:spacing w:after="0" w:line="114"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You have requested the Etico Capital Division of Olympus Securities LLC (“Etico”) to render a written opinion (“Opinion”) to the Board of Directors of Vringo, Inc (“Vringo”) as to the fairness, from a financial point of view, to the holders of common stock, par value $.01 per share, of Vringo (“Vringo Common Stock”) (other than any of those holders who own, or whose affiliates own, securities of Innovate/Protect, Inc. (“IPI”)) of the consideration to be issued to the stockholders and warrant holders of IPI provided for in the Agreement and Plan of Merger (the “Agreement”), dated as of March 12, 2012, proposed to be entered into among Vringo, VIP Merger Sub, Inc. (“VMS”) and IPI. The Agreement provides for, among other things, the combination of IPI with Vringo through the merger of IPI into VMS (the “Merger”) pursuant to which (a) each outstanding share of common stock, par value $.0001 per share, of IPI (“IPI Common Stock”), will be converted into 3.0176 shares of Vringo Common Stock, (b) each outstanding share of Series A Convertible Preferred Stock, par value $.0001 per share, of IPI will be converted into one share of a newly created Series A Convertible Preferred Stock, par value $.01 per share, convertible into an aggregate of 21,026,637 shares of Vringo Common Stock and (c) Vringo will issue to the IPI stockholders and warrant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In addition, the existing IPI warrant shall be exchanged for an aggregate of 250,000 shares of Vringo Common Stock and an aggregate of 850,000 warrants to acquire an aggregate of 850,000 shares of Vringo Common Stock at an exercise price of $1.76. As a result of the Merger, (i) IPI will merge into VMS and the surviving company will be a wholly-owned subsidiary of Vringo and (ii) the former stockholders, warrant holders and option holders of IPI will, in the aggregate, own approximately 68% Vringo Common Stock on a fully diluted basis. Immediately following the merger, the combined entity will have outstanding common stock, on a fully-diluted basis, as listed in the ‘Total Post-Merger’ column in the attachment annexed hereto (Exhibit A), as provided by management.</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arriving at our Opinion, we have among other things:</w:t>
      </w:r>
    </w:p>
    <w:p>
      <w:pPr>
        <w:spacing w:after="0" w:line="114" w:lineRule="exact"/>
        <w:rPr>
          <w:sz w:val="20"/>
          <w:szCs w:val="20"/>
          <w:color w:val="auto"/>
        </w:rPr>
      </w:pPr>
    </w:p>
    <w:p>
      <w:pPr>
        <w:ind w:left="540" w:hanging="268"/>
        <w:spacing w:after="0"/>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reviewed a draft, dated March 10, 2012, of the Agreement and the exhibits thereto;</w:t>
      </w:r>
    </w:p>
    <w:p>
      <w:pPr>
        <w:spacing w:after="0" w:line="113" w:lineRule="exact"/>
        <w:rPr>
          <w:rFonts w:ascii="Arial" w:cs="Arial" w:eastAsia="Arial" w:hAnsi="Arial"/>
          <w:sz w:val="18"/>
          <w:szCs w:val="18"/>
          <w:color w:val="auto"/>
        </w:rPr>
      </w:pPr>
    </w:p>
    <w:p>
      <w:pPr>
        <w:ind w:left="540" w:right="639" w:hanging="268"/>
        <w:spacing w:after="0" w:line="270" w:lineRule="auto"/>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reviewed the audited financial statements of Vringo as at and for the year ended December 31, 2010 and unaudited financial statements of Vringo as at and for the nine months ended September 30, 2011;</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reviewed the audited financial statements of IPI for period from June 8, 2011 (inception) to and as at December 31, 2011 (the “IPI Financial Statements”);</w:t>
      </w:r>
    </w:p>
    <w:p>
      <w:pPr>
        <w:spacing w:after="0" w:line="68" w:lineRule="exact"/>
        <w:rPr>
          <w:rFonts w:ascii="Arial" w:cs="Arial" w:eastAsia="Arial" w:hAnsi="Arial"/>
          <w:sz w:val="18"/>
          <w:szCs w:val="18"/>
          <w:color w:val="auto"/>
        </w:rPr>
      </w:pPr>
    </w:p>
    <w:p>
      <w:pPr>
        <w:ind w:left="540" w:hanging="268"/>
        <w:spacing w:after="0"/>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volumes of Vringo Common Stock;</w:t>
      </w:r>
    </w:p>
    <w:p>
      <w:pPr>
        <w:spacing w:after="0" w:line="113"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held discussions with the senior management of Vringo with respect to the business and prospects of Vringo and IPI and the reasons for the Merger;</w:t>
      </w:r>
    </w:p>
    <w:p>
      <w:pPr>
        <w:spacing w:after="0" w:line="68" w:lineRule="exact"/>
        <w:rPr>
          <w:rFonts w:ascii="Arial" w:cs="Arial" w:eastAsia="Arial" w:hAnsi="Arial"/>
          <w:sz w:val="18"/>
          <w:szCs w:val="18"/>
          <w:color w:val="auto"/>
        </w:rPr>
      </w:pPr>
    </w:p>
    <w:p>
      <w:pPr>
        <w:ind w:left="540" w:right="619" w:hanging="268"/>
        <w:spacing w:after="0" w:line="270" w:lineRule="auto"/>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data for companies that we deemed relevant in evaluating Vringo and IPI;</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6" w:name="page417"/>
    <w:bookmarkEnd w:id="4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40" w:right="639" w:hanging="268"/>
        <w:spacing w:after="0" w:line="300" w:lineRule="auto"/>
        <w:tabs>
          <w:tab w:leader="none" w:pos="54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information for transactions that we deemed relevant in evaluating the Merger and the reported prices and historical trading activities of the securities of such companies; and</w:t>
      </w:r>
    </w:p>
    <w:p>
      <w:pPr>
        <w:spacing w:after="0" w:line="45" w:lineRule="exact"/>
        <w:rPr>
          <w:rFonts w:ascii="Arial" w:cs="Arial" w:eastAsia="Arial" w:hAnsi="Arial"/>
          <w:sz w:val="17"/>
          <w:szCs w:val="17"/>
          <w:color w:val="auto"/>
        </w:rPr>
      </w:pPr>
    </w:p>
    <w:p>
      <w:pPr>
        <w:ind w:left="540" w:right="639" w:hanging="268"/>
        <w:spacing w:after="0" w:line="270" w:lineRule="auto"/>
        <w:tabs>
          <w:tab w:leader="none" w:pos="5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we deemed appropriate.</w:t>
      </w:r>
    </w:p>
    <w:p>
      <w:pPr>
        <w:spacing w:after="0" w:line="69"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 xml:space="preserve">In rendering our Opinion, we relied upon and assumed, without independent verification or investigation, the accuracy and completeness of all of the financial and other information provided to or discussed with us by Vringo, IPI and their respective employees, legal counsel, representatives and affiliates or otherwise reviewed by us. No forecast or projections of financial performance or results of operations or of the financial condition of Vringo, IPI or of the combined entities were supplied and we understand that none exist. We have neither made nor obtained any independent evaluations or appraisals of the assets or liabilities, contingent or otherwise, of Vringo or IPI. We also, at the direction and consent of Vringo, did not, and have not sought to (a) independently value US Patent numbers 6,314,420 and 6,775,664 (collectively, the “Patent”) acquired by IPI in June 2011 or (b) determine the likelihood of success, the amount of damages, if any, that may be recovered, nor the timing and cost (and whether the combined company has or will have adequate resources, financial or otherwise, to prosecute) the lawsuit initiated by IPI in September 15, 2011 in the US District Court for the Eastern District of Virginia, Norfolk Division (Civil Action No: 2:11cv512), in which IPI alleges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infringement of the Patent by the defendants named therein. At the direction and with the consent of Vringo, we also have assumed that (a) the final terms of the Agreement will not vary materially from those set forth in the draft reviewed by us, (b) that the Merger will qualify for federal income tax purposes as reorganization under Section 368(a) of the Internal Revenue Code of 1986, as amended. We also have assumed, with the consent of Vringo, that (a) all representations and warranties of each party contained in the Agreement are true and correct, (b) each party will perform all of the covenants and agreements to be performed by it pursuant to the Agreement and (c) the Merger will be consummated in accordance with its terms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IPI.</w:t>
      </w:r>
    </w:p>
    <w:p>
      <w:pPr>
        <w:spacing w:after="0" w:line="276" w:lineRule="exact"/>
        <w:rPr>
          <w:sz w:val="20"/>
          <w:szCs w:val="20"/>
          <w:color w:val="auto"/>
        </w:rPr>
      </w:pPr>
    </w:p>
    <w:p>
      <w:pPr>
        <w:jc w:val="both"/>
        <w:ind w:left="40" w:right="619" w:firstLine="267"/>
        <w:spacing w:after="0" w:line="282" w:lineRule="auto"/>
        <w:rPr>
          <w:sz w:val="20"/>
          <w:szCs w:val="20"/>
          <w:color w:val="auto"/>
        </w:rPr>
      </w:pPr>
      <w:r>
        <w:rPr>
          <w:rFonts w:ascii="Arial" w:cs="Arial" w:eastAsia="Arial" w:hAnsi="Arial"/>
          <w:sz w:val="16"/>
          <w:szCs w:val="16"/>
          <w:color w:val="auto"/>
        </w:rPr>
        <w:t>Our Opinion, as set forth herein, relates to the relative values of Vringo and IPI. We have not served as financial advisor to Vringo in connection with the Merger. We are not expressing any opinion as to the underlying valuation, future performance or long term viability of Vringo, the actual value of Vringo Common Stock when issued in the Merger or the price at which Vringo Common Stock will trade at any time. We express no view as to, and our Opinion does not address, any terms or other aspects or implications of the Merger (other than the consideration to be paid by Vringo in the Merger to the extent expressly specified herein)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IPI, the existence or lack or conflicts of interest between officers, directors, employees and stockholders of Vringo and IPI or the class of such persons, whether relative to the consideration to be paid by Vringo in the Merger or otherwise. In addition, we express no view as to, and our Opinion does not address, the underlying business decision of Vringo to proceed with or effect the Merger nor does our Opinion address the relative merits of the Merger as compared to any alternative business strategies that might exist for Vringo or the effect of any other transaction in which Vringo might engage. We have relied, without independent verification, upon the views of management of Vringo concerning the business, operational and strategic benefits and implications of the Merger. In connection with our engagement, we were not requested to, and we did not, solicit third party indications of interest in possible alternative transactions for Vringo. Our Opinion is necessarily 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the Opinion.</w:t>
      </w: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7" w:name="page418"/>
    <w:bookmarkEnd w:id="4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We have only been retained by Vringo to render this Opinion and will (a) receive the fee for our services only upon delivery of an opinion, (b) be reimbursed for certain costs and expenses (including certain of our legal fees) and (c) be indemnified by Vringo against certain liabilities that may arise out of our engagement. As previously discussed and disclosed to Vringo, a principal of Etico is related by marriage to a general partner of a holder of Vringo Common Stock and of warrants to purchase Vringo Common Stock, which holder is also a holder of IPI Common Stock and Series A Convertible Preferred Stock of IPI. In the ordinary course of business, we and our affiliates may actively trade securities of Vringo for our and our affiliates’ own accounts and for the accounts of customers and, accordingly, may at any time hold a long or short position in such securities. The issuance of this Opinion was approved by an authorized committee of Etico.</w:t>
      </w:r>
    </w:p>
    <w:p>
      <w:pPr>
        <w:spacing w:after="0" w:line="71" w:lineRule="exact"/>
        <w:rPr>
          <w:sz w:val="20"/>
          <w:szCs w:val="20"/>
          <w:color w:val="auto"/>
        </w:rPr>
      </w:pPr>
    </w:p>
    <w:p>
      <w:pPr>
        <w:jc w:val="both"/>
        <w:ind w:left="40" w:right="619" w:firstLine="267"/>
        <w:spacing w:after="0" w:line="297" w:lineRule="auto"/>
        <w:rPr>
          <w:sz w:val="20"/>
          <w:szCs w:val="20"/>
          <w:color w:val="auto"/>
        </w:rPr>
      </w:pPr>
      <w:r>
        <w:rPr>
          <w:rFonts w:ascii="Arial" w:cs="Arial" w:eastAsia="Arial" w:hAnsi="Arial"/>
          <w:sz w:val="16"/>
          <w:szCs w:val="16"/>
          <w:color w:val="auto"/>
        </w:rPr>
        <w:t>This Opinion is solely for the use of the Board of Directors of Vringo in its evaluation of the Merger and may not be relied upon by any third party or used for any other purpose and does not constitute a recommendation to any stockholder as to how such stockholder should vote or act with respect to any matters relating to the Merger. Neither this Opinion nor the services provided by Etico in connection herewith may be publicly disclosed or referred to in any manner without the prior written consent of Etico.</w:t>
      </w:r>
    </w:p>
    <w:p>
      <w:pPr>
        <w:spacing w:after="0" w:line="52" w:lineRule="exact"/>
        <w:rPr>
          <w:sz w:val="20"/>
          <w:szCs w:val="20"/>
          <w:color w:val="auto"/>
        </w:rPr>
      </w:pPr>
    </w:p>
    <w:p>
      <w:pPr>
        <w:jc w:val="both"/>
        <w:ind w:left="40" w:right="639" w:firstLine="267"/>
        <w:spacing w:after="0" w:line="259" w:lineRule="auto"/>
        <w:rPr>
          <w:sz w:val="20"/>
          <w:szCs w:val="20"/>
          <w:color w:val="auto"/>
        </w:rPr>
      </w:pPr>
      <w:r>
        <w:rPr>
          <w:rFonts w:ascii="Arial" w:cs="Arial" w:eastAsia="Arial" w:hAnsi="Arial"/>
          <w:sz w:val="18"/>
          <w:szCs w:val="18"/>
          <w:color w:val="auto"/>
        </w:rPr>
        <w:t>Based upon and subject to the foregoing, and such other factors as we deemed relevant, it is our opinion that, as of the date hereof, the consideration to be paid by Vringo in the Merger is fair, from a financial point of view, to the holders of Vringo Common Stock (other than those who own, or whose affiliates own, securities of IPI).</w:t>
      </w:r>
    </w:p>
    <w:p>
      <w:pPr>
        <w:spacing w:after="0" w:line="7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Very truly yours,</w:t>
      </w:r>
    </w:p>
    <w:p>
      <w:pPr>
        <w:spacing w:after="0" w:line="114"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The Etico Capital Division of Olympus</w:t>
      </w:r>
    </w:p>
    <w:p>
      <w:pPr>
        <w:spacing w:after="0" w:line="20" w:lineRule="exact"/>
        <w:rPr>
          <w:sz w:val="20"/>
          <w:szCs w:val="20"/>
          <w:color w:val="auto"/>
        </w:rPr>
      </w:pPr>
    </w:p>
    <w:p>
      <w:pPr>
        <w:ind w:left="3520"/>
        <w:spacing w:after="0"/>
        <w:rPr>
          <w:sz w:val="20"/>
          <w:szCs w:val="20"/>
          <w:color w:val="auto"/>
        </w:rPr>
      </w:pPr>
      <w:r>
        <w:rPr>
          <w:rFonts w:ascii="Arial" w:cs="Arial" w:eastAsia="Arial" w:hAnsi="Arial"/>
          <w:sz w:val="18"/>
          <w:szCs w:val="18"/>
          <w:b w:val="1"/>
          <w:bCs w:val="1"/>
          <w:i w:val="1"/>
          <w:iCs w:val="1"/>
          <w:color w:val="auto"/>
        </w:rPr>
        <w:t>Securities LLC</w:t>
      </w: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8" w:name="page419"/>
    <w:bookmarkEnd w:id="4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ind w:left="40" w:right="3039" w:firstLine="2361"/>
        <w:spacing w:after="0" w:line="387" w:lineRule="auto"/>
        <w:rPr>
          <w:sz w:val="20"/>
          <w:szCs w:val="20"/>
          <w:color w:val="auto"/>
        </w:rPr>
      </w:pPr>
      <w:r>
        <w:rPr>
          <w:rFonts w:ascii="Arial" w:cs="Arial" w:eastAsia="Arial" w:hAnsi="Arial"/>
          <w:sz w:val="18"/>
          <w:szCs w:val="18"/>
          <w:b w:val="1"/>
          <w:bCs w:val="1"/>
          <w:color w:val="auto"/>
        </w:rPr>
        <w:t>INFORMATION NOT REQUIRED IN THE PROSPECTUS Item 20. Indemnification of Directors and Officers.</w:t>
      </w:r>
    </w:p>
    <w:p>
      <w:pPr>
        <w:spacing w:after="0" w:line="1" w:lineRule="exact"/>
        <w:rPr>
          <w:sz w:val="20"/>
          <w:szCs w:val="20"/>
          <w:color w:val="auto"/>
        </w:rPr>
      </w:pPr>
    </w:p>
    <w:p>
      <w:pPr>
        <w:jc w:val="both"/>
        <w:ind w:left="40" w:right="619" w:firstLine="267"/>
        <w:spacing w:after="0" w:line="261" w:lineRule="auto"/>
        <w:rPr>
          <w:sz w:val="20"/>
          <w:szCs w:val="20"/>
          <w:color w:val="auto"/>
        </w:rPr>
      </w:pPr>
      <w:r>
        <w:rPr>
          <w:rFonts w:ascii="Arial" w:cs="Arial" w:eastAsia="Arial" w:hAnsi="Arial"/>
          <w:sz w:val="18"/>
          <w:szCs w:val="18"/>
          <w:color w:val="auto"/>
        </w:rPr>
        <w:t>Vringo, Inc.’s (“</w:t>
      </w:r>
      <w:r>
        <w:rPr>
          <w:rFonts w:ascii="Arial" w:cs="Arial" w:eastAsia="Arial" w:hAnsi="Arial"/>
          <w:sz w:val="18"/>
          <w:szCs w:val="18"/>
          <w:b w:val="1"/>
          <w:bCs w:val="1"/>
          <w:color w:val="auto"/>
        </w:rPr>
        <w:t>Vringo</w:t>
      </w:r>
      <w:r>
        <w:rPr>
          <w:rFonts w:ascii="Arial" w:cs="Arial" w:eastAsia="Arial" w:hAnsi="Arial"/>
          <w:sz w:val="18"/>
          <w:szCs w:val="18"/>
          <w:color w:val="auto"/>
        </w:rPr>
        <w:t>”) amended and restated certificate of incorporation (the “</w:t>
      </w:r>
      <w:r>
        <w:rPr>
          <w:rFonts w:ascii="Arial" w:cs="Arial" w:eastAsia="Arial" w:hAnsi="Arial"/>
          <w:sz w:val="18"/>
          <w:szCs w:val="18"/>
          <w:b w:val="1"/>
          <w:bCs w:val="1"/>
          <w:color w:val="auto"/>
        </w:rPr>
        <w:t>Vringo’s Certificate</w:t>
      </w:r>
      <w:r>
        <w:rPr>
          <w:rFonts w:ascii="Arial" w:cs="Arial" w:eastAsia="Arial" w:hAnsi="Arial"/>
          <w:sz w:val="18"/>
          <w:szCs w:val="18"/>
          <w:color w:val="auto"/>
        </w:rPr>
        <w:t>”) provides that all directors, officers, employees and agents of Vringo shall be entitled to be indemnified by Vringo to the fullest extent permitted by Section 145 of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Article EIGHTH of Vringo’s amended and restated certificate of incorporation provides:</w:t>
      </w:r>
    </w:p>
    <w:p>
      <w:pPr>
        <w:spacing w:after="0" w:line="114" w:lineRule="exact"/>
        <w:rPr>
          <w:sz w:val="20"/>
          <w:szCs w:val="20"/>
          <w:color w:val="auto"/>
        </w:rPr>
      </w:pPr>
    </w:p>
    <w:p>
      <w:pPr>
        <w:jc w:val="both"/>
        <w:ind w:left="40" w:right="619" w:firstLine="267"/>
        <w:spacing w:after="0" w:line="268" w:lineRule="auto"/>
        <w:rPr>
          <w:sz w:val="20"/>
          <w:szCs w:val="20"/>
          <w:color w:val="auto"/>
        </w:rPr>
      </w:pPr>
      <w:r>
        <w:rPr>
          <w:rFonts w:ascii="Arial" w:cs="Arial" w:eastAsia="Arial" w:hAnsi="Arial"/>
          <w:sz w:val="17"/>
          <w:szCs w:val="17"/>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71" w:lineRule="exact"/>
        <w:rPr>
          <w:sz w:val="20"/>
          <w:szCs w:val="20"/>
          <w:color w:val="auto"/>
        </w:rPr>
      </w:pPr>
    </w:p>
    <w:p>
      <w:pPr>
        <w:jc w:val="both"/>
        <w:ind w:left="40" w:right="619" w:firstLine="267"/>
        <w:spacing w:after="0" w:line="284" w:lineRule="auto"/>
        <w:rPr>
          <w:sz w:val="20"/>
          <w:szCs w:val="20"/>
          <w:color w:val="auto"/>
        </w:rPr>
      </w:pPr>
      <w:r>
        <w:rPr>
          <w:rFonts w:ascii="Arial" w:cs="Arial" w:eastAsia="Arial" w:hAnsi="Arial"/>
          <w:sz w:val="16"/>
          <w:szCs w:val="16"/>
          <w:color w:val="auto"/>
        </w:rPr>
        <w:t>Pursuant to Vringo’s Bylaws, the directors and officers of Vringo shall, to the fullest extent permitted by the DGCL, also have the right to receive from Vringo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Vringo of an undertaking, by or on behalf of such director or officer, to repay all amounts so advanced if it shall ultimately be determined that such director or officer is not entitled to be indemnified for such expenses. Vringo is not required to provide indemnification or advance expenses in connection with (i) any proceeding initiated by a director or officer of Vringo unless such proceeding was authorized by the Vringo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64" w:lineRule="exact"/>
        <w:rPr>
          <w:sz w:val="20"/>
          <w:szCs w:val="20"/>
          <w:color w:val="auto"/>
        </w:rPr>
      </w:pPr>
    </w:p>
    <w:p>
      <w:pPr>
        <w:jc w:val="both"/>
        <w:ind w:left="40" w:right="639" w:firstLine="267"/>
        <w:spacing w:after="0" w:line="306" w:lineRule="auto"/>
        <w:rPr>
          <w:sz w:val="20"/>
          <w:szCs w:val="20"/>
          <w:color w:val="auto"/>
        </w:rPr>
      </w:pPr>
      <w:r>
        <w:rPr>
          <w:rFonts w:ascii="Arial" w:cs="Arial" w:eastAsia="Arial" w:hAnsi="Arial"/>
          <w:sz w:val="16"/>
          <w:szCs w:val="16"/>
          <w:color w:val="auto"/>
        </w:rPr>
        <w:t>Pursuant to Vringo’s certificate of incorporation Vringo may also maintain a directors’ and officers’ insurance policy which insures Vringo and any of its directors, officers, employees, agents or other entities, against expense, liability or loss asserted against such persons in such capacity whether or Vringo would have the power to indemnify such person under the DGCL.</w:t>
      </w:r>
    </w:p>
    <w:p>
      <w:pPr>
        <w:spacing w:after="0" w:line="45" w:lineRule="exact"/>
        <w:rPr>
          <w:sz w:val="20"/>
          <w:szCs w:val="20"/>
          <w:color w:val="auto"/>
        </w:rPr>
      </w:pPr>
    </w:p>
    <w:p>
      <w:pPr>
        <w:jc w:val="both"/>
        <w:ind w:left="40" w:right="619" w:firstLine="267"/>
        <w:spacing w:after="0" w:line="286" w:lineRule="auto"/>
        <w:rPr>
          <w:sz w:val="20"/>
          <w:szCs w:val="20"/>
          <w:color w:val="auto"/>
        </w:rPr>
      </w:pPr>
      <w:r>
        <w:rPr>
          <w:rFonts w:ascii="Arial" w:cs="Arial" w:eastAsia="Arial" w:hAnsi="Arial"/>
          <w:sz w:val="16"/>
          <w:szCs w:val="16"/>
          <w:color w:val="auto"/>
        </w:rPr>
        <w:t>Insofar as indemnification for liabilities arising under the Securities Act may be permitted to Vringo’s directors, officers, and controlling persons pursuant to the foregoing provisions, or otherwise, Vringo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Vringo will, unless in the opinion of its counsel the matter has been settled by controlling precedent, submit to the court of appropriate jurisdiction the question whether such indemnification by Vringo is against public policy as expressed in the Securities Act and will be governed by the final adjudication of such issue.</w:t>
      </w:r>
    </w:p>
    <w:p>
      <w:pPr>
        <w:spacing w:after="0" w:line="64" w:lineRule="exact"/>
        <w:rPr>
          <w:sz w:val="20"/>
          <w:szCs w:val="20"/>
          <w:color w:val="auto"/>
        </w:rPr>
      </w:pPr>
    </w:p>
    <w:p>
      <w:pPr>
        <w:jc w:val="both"/>
        <w:ind w:left="40" w:right="619" w:firstLine="267"/>
        <w:spacing w:after="0" w:line="259" w:lineRule="auto"/>
        <w:rPr>
          <w:sz w:val="20"/>
          <w:szCs w:val="20"/>
          <w:color w:val="auto"/>
        </w:rPr>
      </w:pPr>
      <w:r>
        <w:rPr>
          <w:rFonts w:ascii="Arial" w:cs="Arial" w:eastAsia="Arial" w:hAnsi="Arial"/>
          <w:sz w:val="18"/>
          <w:szCs w:val="18"/>
          <w:color w:val="auto"/>
        </w:rPr>
        <w:t>At present, there is no pending litigation or proceeding involving any of Vringo’s directors or executive officers as to which indemnification is required or permitted, and Vringo is not aware of any threatened litigation or proceeding that may result in a claim for indemnification.</w:t>
      </w: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19" w:name="page420"/>
    <w:bookmarkEnd w:id="4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39" w:firstLine="267"/>
        <w:spacing w:after="0" w:line="270" w:lineRule="auto"/>
        <w:rPr>
          <w:sz w:val="20"/>
          <w:szCs w:val="20"/>
          <w:color w:val="auto"/>
        </w:rPr>
      </w:pPr>
      <w:r>
        <w:rPr>
          <w:rFonts w:ascii="Arial" w:cs="Arial" w:eastAsia="Arial" w:hAnsi="Arial"/>
          <w:sz w:val="18"/>
          <w:szCs w:val="18"/>
          <w:color w:val="auto"/>
        </w:rPr>
        <w:t>Vringo has an insurance policy covering its officers and directors with respect to certain liabilities, including liabilities arising under the Securities Act, or otherwise.</w:t>
      </w:r>
    </w:p>
    <w:p>
      <w:pPr>
        <w:spacing w:after="0" w:line="69" w:lineRule="exact"/>
        <w:rPr>
          <w:sz w:val="20"/>
          <w:szCs w:val="20"/>
          <w:color w:val="auto"/>
        </w:rPr>
      </w:pPr>
    </w:p>
    <w:p>
      <w:pPr>
        <w:jc w:val="both"/>
        <w:ind w:left="40" w:right="619" w:firstLine="267"/>
        <w:spacing w:after="0" w:line="253" w:lineRule="auto"/>
        <w:rPr>
          <w:sz w:val="20"/>
          <w:szCs w:val="20"/>
          <w:color w:val="auto"/>
        </w:rPr>
      </w:pPr>
      <w:r>
        <w:rPr>
          <w:rFonts w:ascii="Arial" w:cs="Arial" w:eastAsia="Arial" w:hAnsi="Arial"/>
          <w:sz w:val="18"/>
          <w:szCs w:val="18"/>
          <w:color w:val="auto"/>
        </w:rPr>
        <w:t>The Merger Agreement provides that the combined company following the Merger will continue to indemnify and hold harmless each present and former director or officer of Vringo, with respect to acts or omissions occurring or alleged to have occurred before or at the completion of the Merger to the fullest extent permitted under applicable law and in Vringo Certificate or Bylaws. The Merger Agreement also provides that the combined company will honor all indemnification agreements in place with each present and former director or officer of Vringo.</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0" w:name="page421"/>
    <w:bookmarkEnd w:id="42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51263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020" w:type="dxa"/>
            <w:vAlign w:val="bottom"/>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193"/>
        </w:trPr>
        <w:tc>
          <w:tcPr>
            <w:tcW w:w="960" w:type="dxa"/>
            <w:vAlign w:val="bottom"/>
          </w:tcPr>
          <w:p>
            <w:pPr>
              <w:jc w:val="center"/>
              <w:spacing w:after="0" w:line="193" w:lineRule="exact"/>
              <w:rPr>
                <w:sz w:val="20"/>
                <w:szCs w:val="20"/>
                <w:color w:val="auto"/>
              </w:rPr>
            </w:pPr>
            <w:r>
              <w:rPr>
                <w:rFonts w:ascii="Arial" w:cs="Arial" w:eastAsia="Arial" w:hAnsi="Arial"/>
                <w:sz w:val="18"/>
                <w:szCs w:val="18"/>
                <w:color w:val="auto"/>
                <w:w w:val="93"/>
              </w:rPr>
              <w:t>2.1*</w:t>
            </w:r>
          </w:p>
        </w:tc>
        <w:tc>
          <w:tcPr>
            <w:tcW w:w="160" w:type="dxa"/>
            <w:vAlign w:val="bottom"/>
          </w:tcPr>
          <w:p>
            <w:pPr>
              <w:spacing w:after="0"/>
              <w:rPr>
                <w:sz w:val="16"/>
                <w:szCs w:val="16"/>
                <w:color w:val="auto"/>
              </w:rPr>
            </w:pPr>
          </w:p>
        </w:tc>
        <w:tc>
          <w:tcPr>
            <w:tcW w:w="7020" w:type="dxa"/>
            <w:vAlign w:val="bottom"/>
          </w:tcPr>
          <w:p>
            <w:pPr>
              <w:ind w:left="20"/>
              <w:spacing w:after="0" w:line="193" w:lineRule="exact"/>
              <w:rPr>
                <w:sz w:val="20"/>
                <w:szCs w:val="20"/>
                <w:color w:val="auto"/>
              </w:rPr>
            </w:pPr>
            <w:r>
              <w:rPr>
                <w:rFonts w:ascii="Arial" w:cs="Arial" w:eastAsia="Arial" w:hAnsi="Arial"/>
                <w:sz w:val="18"/>
                <w:szCs w:val="18"/>
                <w:color w:val="auto"/>
              </w:rPr>
              <w:t>Agreement and Plan of Merger by and among Vringo, Inc., VIP Merger Sub, Inc. and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Innovate/Protect, Inc., dated as of March 12, 2012 (attached as Annex A)</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Amended and Restated Certificate of Incorporation (incorporated by reference from Vringo’s</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Registration Statement on Form S-1 filed on May 18,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1"/>
              </w:rPr>
              <w:t>Amended and Restated Bylaws (incorporated by reference from Vringo’s Registration Statement</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on Form S-1 filing on January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3.3*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6"/>
              </w:rPr>
              <w:t>Form of Certificate of Amendment to Amended and Restated Certificate of Incorporation to</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Effect a Reverse Stock Split (attached as Annex B)</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3.4*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6"/>
              </w:rPr>
              <w:t>Form of Certificate of Amendment to Amended and Restated Certificate of Incorporation to</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Effect an Increase in Authorized Shares (attached as Annex C)</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3.5*</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Form of Certificate of Designations, Preferences and Rights of Series A Convertible Preferred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Stock (attached as Annex E)</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4"/>
              </w:rPr>
              <w:t>Specimen unit certificate (incorporated by reference from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S-1 filing on May 18,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8"/>
              </w:rPr>
              <w:t>Specimen common stock certificate (incorporated by reference from Vringo’s Registration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Statement on Form S-1 filing on May 18,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Specimen warrant certificate (incorporated by reference from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S-1 filing on May 18,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1"/>
              </w:rPr>
              <w:t>Form of Warrant Agreement (incorporated by reference from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S-1 filing on March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of Special Bridge Warrants (incorporated by reference from Vringo’s Registration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Statement on Form S-1 filing on January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5"/>
              </w:rPr>
              <w:t>4.7†</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Form of Management Option Agreement (incorporated by reference from Vringo’s Registration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Statement on Form S-1 filing on March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4.8*</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of Series 1 Warrant (attached as Annex F)</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3"/>
              </w:rPr>
              <w:t>4.9*</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of Series 2 Warrant (attached as Annex G)</w:t>
            </w:r>
          </w:p>
        </w:tc>
      </w:tr>
      <w:tr>
        <w:trPr>
          <w:trHeight w:val="214"/>
        </w:trPr>
        <w:tc>
          <w:tcPr>
            <w:tcW w:w="96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Opinion of Mintz, Levin, Cohn, Ferris, Glovsky and Popeo, P.C.</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Vringo, Inc. 2012 Employee, Director and Consultant Equity Incentive Plan (attached as Annex</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D)</w:t>
            </w:r>
          </w:p>
        </w:tc>
      </w:tr>
      <w:tr>
        <w:trPr>
          <w:trHeight w:val="214"/>
        </w:trPr>
        <w:tc>
          <w:tcPr>
            <w:tcW w:w="960" w:type="dxa"/>
            <w:vAlign w:val="bottom"/>
          </w:tcPr>
          <w:p>
            <w:pPr>
              <w:jc w:val="right"/>
              <w:ind w:right="272"/>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Master Content Provider Agreement, dated June 3, 2009, by and between Vringo and Maxis</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Mobile Services SDN BHD (incorporated by reference from Vringo’s Registration Statement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S-1 filing on January 29, 2010)</w:t>
            </w:r>
          </w:p>
        </w:tc>
      </w:tr>
      <w:tr>
        <w:trPr>
          <w:trHeight w:val="214"/>
        </w:trPr>
        <w:tc>
          <w:tcPr>
            <w:tcW w:w="960" w:type="dxa"/>
            <w:vAlign w:val="bottom"/>
          </w:tcPr>
          <w:p>
            <w:pPr>
              <w:jc w:val="right"/>
              <w:ind w:right="272"/>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Marketing Agreement, dated June 30, 2009, by and between Vringo and Emirates</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Telecommunications Corporation (incorporated by reference from Vringo’s Registration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Statement on Form S-1 filing on January 29, 2010)</w:t>
            </w:r>
          </w:p>
        </w:tc>
      </w:tr>
      <w:tr>
        <w:trPr>
          <w:trHeight w:val="214"/>
        </w:trPr>
        <w:tc>
          <w:tcPr>
            <w:tcW w:w="960" w:type="dxa"/>
            <w:vAlign w:val="bottom"/>
          </w:tcPr>
          <w:p>
            <w:pPr>
              <w:jc w:val="right"/>
              <w:ind w:right="272"/>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Marketing Agreement, dated December 29, 2009, by and between Vringo and Hungama Digital</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Media Entertainment Pvt. Ltd. (incorporated by reference from Vringo’s Registration Statement</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on Form S-1 filing on January 29, 2010)</w:t>
            </w:r>
          </w:p>
        </w:tc>
      </w:tr>
      <w:tr>
        <w:trPr>
          <w:trHeight w:val="214"/>
        </w:trPr>
        <w:tc>
          <w:tcPr>
            <w:tcW w:w="960" w:type="dxa"/>
            <w:vAlign w:val="bottom"/>
          </w:tcPr>
          <w:p>
            <w:pPr>
              <w:jc w:val="right"/>
              <w:ind w:right="272"/>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Summary of Rental Agreement, dated March 27, 2006, by and between Vringo and BIG Power</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Centers (incorporated by reference from Vringo’s Registration Statement on Form S-1 filing on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January 29,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Employment Agreement, dated March 18, 2010, by and between Vringo and Andrew Perlman</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(incorporated by reference from Vringo’s Registration Statement on Form S-1 filing on March 29,</w:t>
            </w:r>
          </w:p>
        </w:tc>
      </w:tr>
      <w:tr>
        <w:trPr>
          <w:trHeight w:val="227"/>
        </w:trPr>
        <w:tc>
          <w:tcPr>
            <w:tcW w:w="960" w:type="dxa"/>
            <w:vAlign w:val="bottom"/>
          </w:tcPr>
          <w:p>
            <w:pPr>
              <w:spacing w:after="0"/>
              <w:rPr>
                <w:sz w:val="19"/>
                <w:szCs w:val="19"/>
                <w:color w:val="auto"/>
              </w:rPr>
            </w:pPr>
          </w:p>
        </w:tc>
        <w:tc>
          <w:tcPr>
            <w:tcW w:w="7180" w:type="dxa"/>
            <w:vAlign w:val="bottom"/>
            <w:gridSpan w:val="2"/>
          </w:tcPr>
          <w:p>
            <w:pPr>
              <w:ind w:left="180"/>
              <w:spacing w:after="0"/>
              <w:rPr>
                <w:sz w:val="20"/>
                <w:szCs w:val="20"/>
                <w:color w:val="auto"/>
              </w:rPr>
            </w:pPr>
            <w:r>
              <w:rPr>
                <w:rFonts w:ascii="Arial" w:cs="Arial" w:eastAsia="Arial" w:hAnsi="Arial"/>
                <w:sz w:val="18"/>
                <w:szCs w:val="18"/>
                <w:color w:val="auto"/>
              </w:rPr>
              <w:t>2010)</w:t>
            </w:r>
          </w:p>
        </w:tc>
      </w:tr>
    </w:tbl>
    <w:p>
      <w:pPr>
        <w:spacing w:after="0" w:line="200" w:lineRule="exact"/>
        <w:rPr>
          <w:sz w:val="20"/>
          <w:szCs w:val="20"/>
          <w:color w:val="auto"/>
        </w:rPr>
      </w:pPr>
    </w:p>
    <w:p>
      <w:pPr>
        <w:spacing w:after="0" w:line="3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21" w:name="page422"/>
    <w:bookmarkEnd w:id="42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51263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960" w:type="dxa"/>
            <w:vAlign w:val="bottom"/>
          </w:tcPr>
          <w:p>
            <w:pPr>
              <w:ind w:left="260"/>
              <w:spacing w:after="0" w:line="160"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3"/>
                <w:szCs w:val="13"/>
                <w:color w:val="auto"/>
              </w:rPr>
            </w:pPr>
          </w:p>
        </w:tc>
        <w:tc>
          <w:tcPr>
            <w:tcW w:w="7020" w:type="dxa"/>
            <w:vAlign w:val="bottom"/>
          </w:tcPr>
          <w:p>
            <w:pPr>
              <w:ind w:left="3160"/>
              <w:spacing w:after="0" w:line="160" w:lineRule="exact"/>
              <w:rPr>
                <w:sz w:val="20"/>
                <w:szCs w:val="20"/>
                <w:color w:val="auto"/>
              </w:rPr>
            </w:pPr>
            <w:r>
              <w:rPr>
                <w:rFonts w:ascii="Arial" w:cs="Arial" w:eastAsia="Arial" w:hAnsi="Arial"/>
                <w:sz w:val="14"/>
                <w:szCs w:val="14"/>
                <w:b w:val="1"/>
                <w:bCs w:val="1"/>
                <w:color w:val="auto"/>
              </w:rPr>
              <w:t>Description</w:t>
            </w:r>
          </w:p>
        </w:tc>
      </w:tr>
      <w:tr>
        <w:trPr>
          <w:trHeight w:val="170"/>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193"/>
        </w:trPr>
        <w:tc>
          <w:tcPr>
            <w:tcW w:w="960" w:type="dxa"/>
            <w:vAlign w:val="bottom"/>
          </w:tcPr>
          <w:p>
            <w:pPr>
              <w:jc w:val="center"/>
              <w:spacing w:after="0" w:line="193" w:lineRule="exact"/>
              <w:rPr>
                <w:sz w:val="20"/>
                <w:szCs w:val="20"/>
                <w:color w:val="auto"/>
              </w:rPr>
            </w:pPr>
            <w:r>
              <w:rPr>
                <w:rFonts w:ascii="Arial" w:cs="Arial" w:eastAsia="Arial" w:hAnsi="Arial"/>
                <w:sz w:val="18"/>
                <w:szCs w:val="18"/>
                <w:color w:val="auto"/>
                <w:w w:val="85"/>
              </w:rPr>
              <w:t>10.7</w:t>
            </w:r>
          </w:p>
        </w:tc>
        <w:tc>
          <w:tcPr>
            <w:tcW w:w="160" w:type="dxa"/>
            <w:vAlign w:val="bottom"/>
          </w:tcPr>
          <w:p>
            <w:pPr>
              <w:spacing w:after="0"/>
              <w:rPr>
                <w:sz w:val="16"/>
                <w:szCs w:val="16"/>
                <w:color w:val="auto"/>
              </w:rPr>
            </w:pPr>
          </w:p>
        </w:tc>
        <w:tc>
          <w:tcPr>
            <w:tcW w:w="7020" w:type="dxa"/>
            <w:vAlign w:val="bottom"/>
          </w:tcPr>
          <w:p>
            <w:pPr>
              <w:ind w:left="20"/>
              <w:spacing w:after="0" w:line="193" w:lineRule="exact"/>
              <w:rPr>
                <w:sz w:val="20"/>
                <w:szCs w:val="20"/>
                <w:color w:val="auto"/>
              </w:rPr>
            </w:pPr>
            <w:r>
              <w:rPr>
                <w:rFonts w:ascii="Arial" w:cs="Arial" w:eastAsia="Arial" w:hAnsi="Arial"/>
                <w:sz w:val="18"/>
                <w:szCs w:val="18"/>
                <w:color w:val="auto"/>
                <w:w w:val="93"/>
              </w:rPr>
              <w:t>Marketing Agreement, dated February 2, 2010, by and between Vringo and RTL Belgium S.A.</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(incorporated by reference from Vringo’s Registration Statement on Form S-1 filing on March 29,</w:t>
            </w:r>
          </w:p>
        </w:tc>
      </w:tr>
      <w:tr>
        <w:trPr>
          <w:trHeight w:val="214"/>
        </w:trPr>
        <w:tc>
          <w:tcPr>
            <w:tcW w:w="960" w:type="dxa"/>
            <w:vAlign w:val="bottom"/>
          </w:tcPr>
          <w:p>
            <w:pPr>
              <w:spacing w:after="0"/>
              <w:rPr>
                <w:sz w:val="18"/>
                <w:szCs w:val="18"/>
                <w:color w:val="auto"/>
              </w:rPr>
            </w:pPr>
          </w:p>
        </w:tc>
        <w:tc>
          <w:tcPr>
            <w:tcW w:w="7180" w:type="dxa"/>
            <w:vAlign w:val="bottom"/>
            <w:gridSpan w:val="2"/>
          </w:tcPr>
          <w:p>
            <w:pPr>
              <w:ind w:left="180"/>
              <w:spacing w:after="0"/>
              <w:rPr>
                <w:sz w:val="20"/>
                <w:szCs w:val="20"/>
                <w:color w:val="auto"/>
              </w:rPr>
            </w:pPr>
            <w:r>
              <w:rPr>
                <w:rFonts w:ascii="Arial" w:cs="Arial" w:eastAsia="Arial" w:hAnsi="Arial"/>
                <w:sz w:val="18"/>
                <w:szCs w:val="18"/>
                <w:color w:val="auto"/>
              </w:rPr>
              <w:t>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0"/>
              </w:rPr>
              <w:t>Agreement on Cooperation, dated July 15, 2010, between Vringo and Retromedya (incorporated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by reference from Vringo’s Current Report on Form 8-K filed on July 19,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6"/>
              </w:rPr>
              <w:t>Marketing Agreement, dated August 19, 2010, between Vringo and Everything Everywhere</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7"/>
              </w:rPr>
              <w:t>Limited. (incorporated by reference from Vringo’s Form 10-Q filing on November 15,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Collaboration Agreement, dated September 15, 2010, between Vringo and Starhub Mobile PTE</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Ltd. (incorporated by reference from Vringo’s Form 10-Q filing on November 15, 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7"/>
              </w:rPr>
              <w:t>10.11†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Employment Agreement, dated December 15, 2010, by and between Vringo and Ellen Cohl</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(incorporated by reference from Vringo’s Current Report on Form 8-K filed on December 20,</w:t>
            </w:r>
          </w:p>
        </w:tc>
      </w:tr>
      <w:tr>
        <w:trPr>
          <w:trHeight w:val="214"/>
        </w:trPr>
        <w:tc>
          <w:tcPr>
            <w:tcW w:w="960" w:type="dxa"/>
            <w:vAlign w:val="bottom"/>
          </w:tcPr>
          <w:p>
            <w:pPr>
              <w:spacing w:after="0"/>
              <w:rPr>
                <w:sz w:val="18"/>
                <w:szCs w:val="18"/>
                <w:color w:val="auto"/>
              </w:rPr>
            </w:pPr>
          </w:p>
        </w:tc>
        <w:tc>
          <w:tcPr>
            <w:tcW w:w="7180" w:type="dxa"/>
            <w:vAlign w:val="bottom"/>
            <w:gridSpan w:val="2"/>
          </w:tcPr>
          <w:p>
            <w:pPr>
              <w:ind w:left="180"/>
              <w:spacing w:after="0"/>
              <w:rPr>
                <w:sz w:val="20"/>
                <w:szCs w:val="20"/>
                <w:color w:val="auto"/>
              </w:rPr>
            </w:pPr>
            <w:r>
              <w:rPr>
                <w:rFonts w:ascii="Arial" w:cs="Arial" w:eastAsia="Arial" w:hAnsi="Arial"/>
                <w:sz w:val="18"/>
                <w:szCs w:val="18"/>
                <w:color w:val="auto"/>
              </w:rPr>
              <w:t>2010)</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3"/>
              </w:rPr>
              <w:t>Intercompany Cost Plus Agreement (incorporated by reference from Vringo’s Form 10-K filing</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on March 31, 2011)</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9"/>
              </w:rPr>
              <w:t>10.13††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2"/>
              </w:rPr>
              <w:t>License agreement with ZTE Corporation, dated November 2, 2011 (incorporated by reference</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from Vringo’s 10-K filed on March 30, 2012)</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1"/>
              </w:rPr>
              <w:t>Separation Agreement between Jonathan Medved and Vringo (Israel) Ltd., dated as of March 8,</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2012 (incorporated by reference from Vringo’s 8-K filed on March 14, 2012)</w:t>
            </w:r>
          </w:p>
        </w:tc>
      </w:tr>
      <w:tr>
        <w:trPr>
          <w:trHeight w:val="214"/>
        </w:trPr>
        <w:tc>
          <w:tcPr>
            <w:tcW w:w="960" w:type="dxa"/>
            <w:vAlign w:val="bottom"/>
          </w:tcPr>
          <w:p>
            <w:pPr>
              <w:jc w:val="center"/>
              <w:ind w:right="12"/>
              <w:spacing w:after="0"/>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Subsidiaries of Vringo.</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w w:val="95"/>
              </w:rPr>
              <w:t>Consent of Somekh Chaikin, a member firm of KPMG International, Independent Registered</w:t>
            </w:r>
          </w:p>
        </w:tc>
      </w:tr>
      <w:tr>
        <w:trPr>
          <w:trHeight w:val="214"/>
        </w:trPr>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Public Accounting Firm</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Grant Thornton LLP</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5"/>
              </w:rPr>
              <w:t>23.3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Mintz, Levin, Cohn, Ferris, Glovsky and Popeo, P.C. (see Exhibit 5.1)</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Power of Attorney (see signature page)</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99.1*</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Form of Proxy Card for Vringo Annual Meeting</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99.2*</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Etico Capital, a division of Olympus Securities LLC</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99.3*</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Andrew Kennedy Lang</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99.4*</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Alexander R. Berger</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99.5*</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Donald E. Stout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99.6*</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Consent of H. Van Sinclair</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Instance Document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Schema Document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Calculation Linkbase Document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Definition Linkbase Document</w:t>
            </w:r>
          </w:p>
        </w:tc>
      </w:tr>
      <w:tr>
        <w:trPr>
          <w:trHeight w:val="214"/>
        </w:trPr>
        <w:tc>
          <w:tcPr>
            <w:tcW w:w="96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Label Linkbase Document</w:t>
            </w:r>
          </w:p>
        </w:tc>
      </w:tr>
      <w:tr>
        <w:trPr>
          <w:trHeight w:val="227"/>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XBLR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170815</wp:posOffset>
            </wp:positionV>
            <wp:extent cx="61087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00" w:hanging="275"/>
        <w:spacing w:after="0"/>
        <w:tabs>
          <w:tab w:leader="none" w:pos="3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To be filed by amendment.</w:t>
      </w:r>
    </w:p>
    <w:p>
      <w:pPr>
        <w:spacing w:after="0" w:line="114" w:lineRule="exact"/>
        <w:rPr>
          <w:sz w:val="20"/>
          <w:szCs w:val="20"/>
          <w:color w:val="auto"/>
        </w:rPr>
      </w:pPr>
    </w:p>
    <w:p>
      <w:pPr>
        <w:ind w:left="300" w:hanging="275"/>
        <w:spacing w:after="0"/>
        <w:tabs>
          <w:tab w:leader="none" w:pos="3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4" w:lineRule="exact"/>
        <w:rPr>
          <w:sz w:val="20"/>
          <w:szCs w:val="20"/>
          <w:color w:val="auto"/>
        </w:rPr>
      </w:pPr>
    </w:p>
    <w:p>
      <w:pPr>
        <w:ind w:left="300" w:right="639" w:hanging="275"/>
        <w:spacing w:after="0" w:line="270" w:lineRule="auto"/>
        <w:tabs>
          <w:tab w:leader="none" w:pos="3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102870</wp:posOffset>
            </wp:positionV>
            <wp:extent cx="6051550" cy="590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99"/>
          </w:cols>
          <w:pgMar w:left="360" w:top="785" w:right="1440" w:bottom="1440" w:gutter="0" w:footer="0" w:header="0"/>
        </w:sectPr>
      </w:pPr>
    </w:p>
    <w:bookmarkStart w:id="422" w:name="page423"/>
    <w:bookmarkEnd w:id="4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22. Undertakings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(a) The undersigned registrant hereby undertakes:</w:t>
      </w:r>
    </w:p>
    <w:p>
      <w:pPr>
        <w:spacing w:after="0" w:line="114" w:lineRule="exact"/>
        <w:rPr>
          <w:sz w:val="20"/>
          <w:szCs w:val="20"/>
          <w:color w:val="auto"/>
        </w:rPr>
      </w:pPr>
    </w:p>
    <w:p>
      <w:pPr>
        <w:ind w:left="600" w:hanging="288"/>
        <w:spacing w:after="0"/>
        <w:tabs>
          <w:tab w:leader="none" w:pos="60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36"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(i) to include any prospectus required by Section 10(a)(3) of the Securities Act of 1933, as amended;</w:t>
      </w:r>
    </w:p>
    <w:p>
      <w:pPr>
        <w:spacing w:after="0" w:line="114" w:lineRule="exact"/>
        <w:rPr>
          <w:sz w:val="20"/>
          <w:szCs w:val="20"/>
          <w:color w:val="auto"/>
        </w:rPr>
      </w:pPr>
    </w:p>
    <w:p>
      <w:pPr>
        <w:jc w:val="both"/>
        <w:ind w:left="40" w:right="619" w:firstLine="272"/>
        <w:spacing w:after="0" w:line="251" w:lineRule="auto"/>
        <w:tabs>
          <w:tab w:leader="none" w:pos="65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5" w:lineRule="exact"/>
        <w:rPr>
          <w:rFonts w:ascii="Arial" w:cs="Arial" w:eastAsia="Arial" w:hAnsi="Arial"/>
          <w:sz w:val="18"/>
          <w:szCs w:val="18"/>
          <w:color w:val="auto"/>
        </w:rPr>
      </w:pPr>
    </w:p>
    <w:p>
      <w:pPr>
        <w:ind w:left="40" w:right="639" w:firstLine="272"/>
        <w:spacing w:after="0" w:line="270" w:lineRule="auto"/>
        <w:tabs>
          <w:tab w:leader="none" w:pos="70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9" w:lineRule="exact"/>
        <w:rPr>
          <w:sz w:val="20"/>
          <w:szCs w:val="20"/>
          <w:color w:val="auto"/>
        </w:rPr>
      </w:pPr>
    </w:p>
    <w:p>
      <w:pPr>
        <w:jc w:val="both"/>
        <w:ind w:left="40" w:right="619" w:firstLine="272"/>
        <w:spacing w:after="0" w:line="259" w:lineRule="auto"/>
        <w:tabs>
          <w:tab w:leader="none" w:pos="62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8" w:lineRule="exact"/>
        <w:rPr>
          <w:rFonts w:ascii="Arial" w:cs="Arial" w:eastAsia="Arial" w:hAnsi="Arial"/>
          <w:sz w:val="18"/>
          <w:szCs w:val="18"/>
          <w:color w:val="auto"/>
        </w:rPr>
      </w:pPr>
    </w:p>
    <w:p>
      <w:pPr>
        <w:ind w:left="40" w:right="639" w:firstLine="272"/>
        <w:spacing w:after="0" w:line="270" w:lineRule="auto"/>
        <w:tabs>
          <w:tab w:leader="none" w:pos="623"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9" w:lineRule="exact"/>
        <w:rPr>
          <w:sz w:val="20"/>
          <w:szCs w:val="20"/>
          <w:color w:val="auto"/>
        </w:rPr>
      </w:pPr>
    </w:p>
    <w:p>
      <w:pPr>
        <w:jc w:val="both"/>
        <w:ind w:left="40" w:right="639" w:firstLine="272"/>
        <w:spacing w:after="0" w:line="272" w:lineRule="auto"/>
        <w:tabs>
          <w:tab w:leader="none" w:pos="568" w:val="left"/>
        </w:tabs>
        <w:numPr>
          <w:ilvl w:val="0"/>
          <w:numId w:val="438"/>
        </w:numPr>
        <w:rPr>
          <w:rFonts w:ascii="Arial" w:cs="Arial" w:eastAsia="Arial" w:hAnsi="Arial"/>
          <w:sz w:val="17"/>
          <w:szCs w:val="17"/>
          <w:color w:val="auto"/>
        </w:rPr>
      </w:pPr>
      <w:r>
        <w:rPr>
          <w:rFonts w:ascii="Arial" w:cs="Arial" w:eastAsia="Arial" w:hAnsi="Arial"/>
          <w:sz w:val="17"/>
          <w:szCs w:val="17"/>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8" w:lineRule="exact"/>
        <w:rPr>
          <w:sz w:val="20"/>
          <w:szCs w:val="20"/>
          <w:color w:val="auto"/>
        </w:rPr>
      </w:pPr>
    </w:p>
    <w:p>
      <w:pPr>
        <w:jc w:val="both"/>
        <w:ind w:left="40" w:right="619" w:firstLine="272"/>
        <w:spacing w:after="0" w:line="290" w:lineRule="auto"/>
        <w:tabs>
          <w:tab w:leader="none" w:pos="604"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The registrant undertakes that every prospectus: (i) that is filed pursuant to paragraph (1) immediately preceding, or (ii) that purports to meet the requirements of Section 10(a)(3) of the Securities Act of 1933, as amended,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56" w:lineRule="exact"/>
        <w:rPr>
          <w:sz w:val="20"/>
          <w:szCs w:val="20"/>
          <w:color w:val="auto"/>
        </w:rPr>
      </w:pPr>
    </w:p>
    <w:p>
      <w:pPr>
        <w:jc w:val="both"/>
        <w:ind w:left="40" w:right="619" w:firstLine="272"/>
        <w:spacing w:after="0" w:line="285" w:lineRule="auto"/>
        <w:tabs>
          <w:tab w:leader="none" w:pos="676" w:val="left"/>
        </w:tabs>
        <w:numPr>
          <w:ilvl w:val="0"/>
          <w:numId w:val="44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provisions described in Item 20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5" w:right="1440" w:bottom="1440" w:gutter="0" w:footer="0" w:header="0"/>
        </w:sectPr>
      </w:pPr>
    </w:p>
    <w:bookmarkStart w:id="423" w:name="page424"/>
    <w:bookmarkEnd w:id="4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619" w:firstLine="272"/>
        <w:spacing w:after="0" w:line="275" w:lineRule="auto"/>
        <w:tabs>
          <w:tab w:leader="none" w:pos="58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 4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6" w:lineRule="exact"/>
        <w:rPr>
          <w:rFonts w:ascii="Arial" w:cs="Arial" w:eastAsia="Arial" w:hAnsi="Arial"/>
          <w:sz w:val="17"/>
          <w:szCs w:val="17"/>
          <w:color w:val="auto"/>
        </w:rPr>
      </w:pPr>
    </w:p>
    <w:p>
      <w:pPr>
        <w:jc w:val="both"/>
        <w:ind w:left="40" w:right="619" w:firstLine="272"/>
        <w:spacing w:after="0" w:line="259" w:lineRule="auto"/>
        <w:tabs>
          <w:tab w:leader="none" w:pos="56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102870</wp:posOffset>
            </wp:positionV>
            <wp:extent cx="6051550" cy="590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051550" cy="59055"/>
                    </a:xfrm>
                    <a:prstGeom prst="rect">
                      <a:avLst/>
                    </a:prstGeom>
                    <a:noFill/>
                  </pic:spPr>
                </pic:pic>
              </a:graphicData>
            </a:graphic>
          </wp:anchor>
        </w:drawing>
      </w:r>
    </w:p>
    <w:p>
      <w:pPr>
        <w:sectPr>
          <w:pgSz w:w="11900" w:h="16838" w:orient="portrait"/>
          <w:cols w:equalWidth="0" w:num="1">
            <w:col w:w="10079"/>
          </w:cols>
          <w:pgMar w:left="380" w:top="784" w:right="1440" w:bottom="1440" w:gutter="0" w:footer="0" w:header="0"/>
        </w:sectPr>
      </w:pPr>
    </w:p>
    <w:bookmarkStart w:id="424" w:name="page425"/>
    <w:bookmarkEnd w:id="42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jc w:val="both"/>
        <w:ind w:left="60" w:right="860" w:firstLine="267"/>
        <w:spacing w:after="0" w:line="25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S-4 to be signed on its behalf by the undersigned, thereunto duly authorized, in the City of New York, State New York, on the 6th day of April,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513461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Andrew D. Perlman</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-130175</wp:posOffset>
            </wp:positionV>
            <wp:extent cx="244411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444115" cy="825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Title: Chief Executive Officer and President</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Executive Officer)</w:t>
      </w:r>
    </w:p>
    <w:p>
      <w:pPr>
        <w:spacing w:after="0" w:line="20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SIGNATURES AND POWER OF ATTORNEY</w:t>
      </w:r>
    </w:p>
    <w:p>
      <w:pPr>
        <w:spacing w:after="0" w:line="118" w:lineRule="exact"/>
        <w:rPr>
          <w:sz w:val="20"/>
          <w:szCs w:val="20"/>
          <w:color w:val="auto"/>
        </w:rPr>
      </w:pPr>
    </w:p>
    <w:p>
      <w:pPr>
        <w:jc w:val="both"/>
        <w:ind w:left="60" w:right="860" w:firstLine="267"/>
        <w:spacing w:after="0" w:line="267" w:lineRule="auto"/>
        <w:rPr>
          <w:sz w:val="20"/>
          <w:szCs w:val="20"/>
          <w:color w:val="auto"/>
        </w:rPr>
      </w:pPr>
      <w:r>
        <w:rPr>
          <w:rFonts w:ascii="Arial" w:cs="Arial" w:eastAsia="Arial" w:hAnsi="Arial"/>
          <w:sz w:val="17"/>
          <w:szCs w:val="17"/>
          <w:color w:val="auto"/>
        </w:rPr>
        <w:t>We, the undersigned officers and directors of Vringo, Inc., hereby severally constitute and appoint Andrew D. Perlman and Ellen Cohl and each or any one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he/she might or could do in person, hereby ratifying and confirming all that said attorneys-in-fact and agents, or any of them, or their or his/her substitutes or substitute, may lawfully do or cause to be done by virtue hereof.</w:t>
      </w:r>
    </w:p>
    <w:p>
      <w:pPr>
        <w:spacing w:after="0" w:line="74" w:lineRule="exact"/>
        <w:rPr>
          <w:sz w:val="20"/>
          <w:szCs w:val="20"/>
          <w:color w:val="auto"/>
        </w:rPr>
      </w:pPr>
    </w:p>
    <w:p>
      <w:pPr>
        <w:jc w:val="both"/>
        <w:ind w:left="60" w:right="880" w:firstLine="267"/>
        <w:spacing w:after="0" w:line="282"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S-4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516001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160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8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5"/>
                <w:szCs w:val="15"/>
                <w:color w:val="auto"/>
              </w:rPr>
            </w:pPr>
          </w:p>
        </w:tc>
        <w:tc>
          <w:tcPr>
            <w:tcW w:w="396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0" w:type="dxa"/>
            <w:vAlign w:val="bottom"/>
          </w:tcPr>
          <w:p>
            <w:pPr>
              <w:spacing w:after="0"/>
              <w:rPr>
                <w:sz w:val="15"/>
                <w:szCs w:val="15"/>
                <w:color w:val="auto"/>
              </w:rPr>
            </w:pPr>
          </w:p>
        </w:tc>
      </w:tr>
      <w:tr>
        <w:trPr>
          <w:trHeight w:val="207"/>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Andrew D. Perlman</w:t>
            </w:r>
          </w:p>
        </w:tc>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7"/>
              </w:rPr>
              <w:t>President and Chief Executive Officer and Director</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April 6, 2012</w:t>
            </w:r>
          </w:p>
        </w:tc>
        <w:tc>
          <w:tcPr>
            <w:tcW w:w="2200" w:type="dxa"/>
            <w:vAlign w:val="bottom"/>
          </w:tcPr>
          <w:p>
            <w:pPr>
              <w:spacing w:after="0"/>
              <w:rPr>
                <w:sz w:val="18"/>
                <w:szCs w:val="18"/>
                <w:color w:val="auto"/>
              </w:rPr>
            </w:pPr>
          </w:p>
        </w:tc>
      </w:tr>
      <w:tr>
        <w:trPr>
          <w:trHeight w:val="193"/>
        </w:trPr>
        <w:tc>
          <w:tcPr>
            <w:tcW w:w="268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3960" w:type="dxa"/>
            <w:vAlign w:val="bottom"/>
          </w:tcPr>
          <w:p>
            <w:pPr>
              <w:spacing w:after="0" w:line="193" w:lineRule="exact"/>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27"/>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Ellen Cohl</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April 6, 2012</w:t>
            </w:r>
          </w:p>
        </w:tc>
        <w:tc>
          <w:tcPr>
            <w:tcW w:w="2200" w:type="dxa"/>
            <w:vAlign w:val="bottom"/>
          </w:tcPr>
          <w:p>
            <w:pPr>
              <w:spacing w:after="0"/>
              <w:rPr>
                <w:sz w:val="19"/>
                <w:szCs w:val="19"/>
                <w:color w:val="auto"/>
              </w:rPr>
            </w:pPr>
          </w:p>
        </w:tc>
      </w:tr>
      <w:tr>
        <w:trPr>
          <w:trHeight w:val="194"/>
        </w:trPr>
        <w:tc>
          <w:tcPr>
            <w:tcW w:w="26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Ellen Cohl</w:t>
            </w:r>
          </w:p>
        </w:tc>
        <w:tc>
          <w:tcPr>
            <w:tcW w:w="16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(principal financial and accounting officer)</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27"/>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Seth M. Siegel</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April 6, 2012</w:t>
            </w:r>
          </w:p>
        </w:tc>
        <w:tc>
          <w:tcPr>
            <w:tcW w:w="2200" w:type="dxa"/>
            <w:vAlign w:val="bottom"/>
          </w:tcPr>
          <w:p>
            <w:pPr>
              <w:spacing w:after="0"/>
              <w:rPr>
                <w:sz w:val="19"/>
                <w:szCs w:val="19"/>
                <w:color w:val="auto"/>
              </w:rPr>
            </w:pPr>
          </w:p>
        </w:tc>
      </w:tr>
      <w:tr>
        <w:trPr>
          <w:trHeight w:val="194"/>
        </w:trPr>
        <w:tc>
          <w:tcPr>
            <w:tcW w:w="2680" w:type="dxa"/>
            <w:vAlign w:val="bottom"/>
            <w:gridSpan w:val="2"/>
          </w:tcPr>
          <w:p>
            <w:pPr>
              <w:ind w:left="20"/>
              <w:spacing w:after="0" w:line="194" w:lineRule="exact"/>
              <w:rPr>
                <w:sz w:val="20"/>
                <w:szCs w:val="20"/>
                <w:color w:val="auto"/>
              </w:rPr>
            </w:pPr>
            <w:r>
              <w:rPr>
                <w:rFonts w:ascii="Arial" w:cs="Arial" w:eastAsia="Arial" w:hAnsi="Arial"/>
                <w:sz w:val="18"/>
                <w:szCs w:val="18"/>
                <w:color w:val="auto"/>
              </w:rPr>
              <w:t>Seth M. Siegel</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27"/>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Edo Segal</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April 6, 2012</w:t>
            </w:r>
          </w:p>
        </w:tc>
        <w:tc>
          <w:tcPr>
            <w:tcW w:w="2200" w:type="dxa"/>
            <w:vAlign w:val="bottom"/>
          </w:tcPr>
          <w:p>
            <w:pPr>
              <w:spacing w:after="0"/>
              <w:rPr>
                <w:sz w:val="19"/>
                <w:szCs w:val="19"/>
                <w:color w:val="auto"/>
              </w:rPr>
            </w:pPr>
          </w:p>
        </w:tc>
      </w:tr>
      <w:tr>
        <w:trPr>
          <w:trHeight w:val="194"/>
        </w:trPr>
        <w:tc>
          <w:tcPr>
            <w:tcW w:w="2680" w:type="dxa"/>
            <w:vAlign w:val="bottom"/>
            <w:gridSpan w:val="2"/>
          </w:tcPr>
          <w:p>
            <w:pPr>
              <w:ind w:left="20"/>
              <w:spacing w:after="0" w:line="194" w:lineRule="exact"/>
              <w:rPr>
                <w:sz w:val="20"/>
                <w:szCs w:val="20"/>
                <w:color w:val="auto"/>
              </w:rPr>
            </w:pPr>
            <w:r>
              <w:rPr>
                <w:rFonts w:ascii="Arial" w:cs="Arial" w:eastAsia="Arial" w:hAnsi="Arial"/>
                <w:sz w:val="18"/>
                <w:szCs w:val="18"/>
                <w:color w:val="auto"/>
              </w:rPr>
              <w:t>Edo Segal</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27"/>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Philip Serlin</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April 6, 2012</w:t>
            </w:r>
          </w:p>
        </w:tc>
        <w:tc>
          <w:tcPr>
            <w:tcW w:w="2200" w:type="dxa"/>
            <w:vAlign w:val="bottom"/>
          </w:tcPr>
          <w:p>
            <w:pPr>
              <w:spacing w:after="0"/>
              <w:rPr>
                <w:sz w:val="19"/>
                <w:szCs w:val="19"/>
                <w:color w:val="auto"/>
              </w:rPr>
            </w:pPr>
          </w:p>
        </w:tc>
      </w:tr>
      <w:tr>
        <w:trPr>
          <w:trHeight w:val="194"/>
        </w:trPr>
        <w:tc>
          <w:tcPr>
            <w:tcW w:w="2680" w:type="dxa"/>
            <w:vAlign w:val="bottom"/>
            <w:gridSpan w:val="2"/>
          </w:tcPr>
          <w:p>
            <w:pPr>
              <w:ind w:left="20"/>
              <w:spacing w:after="0" w:line="194" w:lineRule="exact"/>
              <w:rPr>
                <w:sz w:val="20"/>
                <w:szCs w:val="20"/>
                <w:color w:val="auto"/>
              </w:rPr>
            </w:pPr>
            <w:r>
              <w:rPr>
                <w:rFonts w:ascii="Arial" w:cs="Arial" w:eastAsia="Arial" w:hAnsi="Arial"/>
                <w:sz w:val="18"/>
                <w:szCs w:val="18"/>
                <w:color w:val="auto"/>
              </w:rPr>
              <w:t>Philip Serlin</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28"/>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John Engelman</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April 6, 2012</w:t>
            </w:r>
          </w:p>
        </w:tc>
        <w:tc>
          <w:tcPr>
            <w:tcW w:w="2200" w:type="dxa"/>
            <w:vAlign w:val="bottom"/>
          </w:tcPr>
          <w:p>
            <w:pPr>
              <w:spacing w:after="0"/>
              <w:rPr>
                <w:sz w:val="19"/>
                <w:szCs w:val="19"/>
                <w:color w:val="auto"/>
              </w:rPr>
            </w:pPr>
          </w:p>
        </w:tc>
      </w:tr>
      <w:tr>
        <w:trPr>
          <w:trHeight w:val="193"/>
        </w:trPr>
        <w:tc>
          <w:tcPr>
            <w:tcW w:w="2680" w:type="dxa"/>
            <w:vAlign w:val="bottom"/>
            <w:gridSpan w:val="2"/>
          </w:tcPr>
          <w:p>
            <w:pPr>
              <w:ind w:left="20"/>
              <w:spacing w:after="0" w:line="194" w:lineRule="exact"/>
              <w:rPr>
                <w:sz w:val="20"/>
                <w:szCs w:val="20"/>
                <w:color w:val="auto"/>
              </w:rPr>
            </w:pPr>
            <w:r>
              <w:rPr>
                <w:rFonts w:ascii="Arial" w:cs="Arial" w:eastAsia="Arial" w:hAnsi="Arial"/>
                <w:sz w:val="18"/>
                <w:szCs w:val="18"/>
                <w:color w:val="auto"/>
              </w:rPr>
              <w:t>John Engelman</w:t>
            </w:r>
          </w:p>
        </w:tc>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28"/>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Geoffrey M. Skolnik</w:t>
            </w:r>
          </w:p>
        </w:tc>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April 6, 2012</w:t>
            </w:r>
          </w:p>
        </w:tc>
        <w:tc>
          <w:tcPr>
            <w:tcW w:w="2200" w:type="dxa"/>
            <w:vAlign w:val="bottom"/>
          </w:tcPr>
          <w:p>
            <w:pPr>
              <w:spacing w:after="0"/>
              <w:rPr>
                <w:sz w:val="19"/>
                <w:szCs w:val="19"/>
                <w:color w:val="auto"/>
              </w:rPr>
            </w:pPr>
          </w:p>
        </w:tc>
      </w:tr>
      <w:tr>
        <w:trPr>
          <w:trHeight w:val="221"/>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Geoffrey M. Skolnik</w:t>
            </w:r>
          </w:p>
        </w:tc>
        <w:tc>
          <w:tcPr>
            <w:tcW w:w="1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695"/>
        </w:trPr>
        <w:tc>
          <w:tcPr>
            <w:tcW w:w="840" w:type="dxa"/>
            <w:vAlign w:val="bottom"/>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-45720</wp:posOffset>
            </wp:positionV>
            <wp:extent cx="33655" cy="590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3655" cy="590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-45720</wp:posOffset>
            </wp:positionV>
            <wp:extent cx="33655" cy="590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3655" cy="59055"/>
                    </a:xfrm>
                    <a:prstGeom prst="rect">
                      <a:avLst/>
                    </a:prstGeom>
                    <a:noFill/>
                  </pic:spPr>
                </pic:pic>
              </a:graphicData>
            </a:graphic>
          </wp:anchor>
        </w:drawing>
      </w:r>
    </w:p>
    <w:p>
      <w:pPr>
        <w:sectPr>
          <w:pgSz w:w="11900" w:h="16838" w:orient="portrait"/>
          <w:cols w:equalWidth="0" w:num="1">
            <w:col w:w="10340"/>
          </w:cols>
          <w:pgMar w:left="360" w:top="785" w:right="119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Vringo, Inc. (a Development Stage Company)</w:t>
      </w:r>
    </w:p>
    <w:p>
      <w:pPr>
        <w:spacing w:after="0" w:line="2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consent to the use of our report dated March 30, 2012, with respect to the consolidated balance sheets of Vringo, Inc. &amp; Subsidiary as of December 31, 2011 and 2010, and the related consolidated statements of operations, stockholders' equity (deficit) and cash flows for each of the years in the two-year period ended December 31, 2011, and for the cumulative period from January 9, 2006 (inception of operations) through December 31, 2011, incorporated herein and to the reference to our firm under the heading "Experts" in the prospectus.</w:t>
      </w:r>
    </w:p>
    <w:p>
      <w:pPr>
        <w:spacing w:after="0" w:line="1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421005</wp:posOffset>
            </wp:positionV>
            <wp:extent cx="7247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color w:val="auto"/>
        </w:rPr>
        <w:t>Exhibit 23.2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issued our report dated March 2, 2012, with respect to the consolidated financial statements of Innovate/Protect, Inc. (a development stage company) contained in the Registration Statement. We consent to the use of the aforementioned report in the Registration Statement and to the use of our name as it appears under the caption "Experts."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247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7" w:name="page428"/>
    <w:bookmarkEnd w:id="427"/>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VRINGO, INC</w:t>
      </w:r>
      <w:r>
        <w:rPr>
          <w:rFonts w:ascii="Arial" w:cs="Arial" w:eastAsia="Arial" w:hAnsi="Arial"/>
          <w:sz w:val="17"/>
          <w:szCs w:val="17"/>
          <w:color w:val="auto"/>
        </w:rPr>
        <w:t>.</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44 W. 28TH STREET, SUITE 1414</w:t>
      </w:r>
    </w:p>
    <w:p>
      <w:pPr>
        <w:ind w:left="320"/>
        <w:spacing w:after="0"/>
        <w:rPr>
          <w:sz w:val="20"/>
          <w:szCs w:val="20"/>
          <w:color w:val="auto"/>
        </w:rPr>
      </w:pPr>
      <w:r>
        <w:rPr>
          <w:rFonts w:ascii="Arial" w:cs="Arial" w:eastAsia="Arial" w:hAnsi="Arial"/>
          <w:sz w:val="14"/>
          <w:szCs w:val="14"/>
          <w:b w:val="1"/>
          <w:bCs w:val="1"/>
          <w:i w:val="1"/>
          <w:iCs w:val="1"/>
          <w:color w:val="auto"/>
        </w:rPr>
        <w:t>NEW YORK, NY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 w:lineRule="exact"/>
        <w:rPr>
          <w:sz w:val="20"/>
          <w:szCs w:val="20"/>
          <w:color w:val="auto"/>
        </w:rPr>
      </w:pPr>
    </w:p>
    <w:p>
      <w:pPr>
        <w:jc w:val="both"/>
        <w:ind w:right="80"/>
        <w:spacing w:after="0" w:line="22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jc w:val="both"/>
        <w:ind w:right="80"/>
        <w:spacing w:after="0" w:line="225"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jc w:val="both"/>
        <w:ind w:right="80"/>
        <w:spacing w:after="0" w:line="230"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jc w:val="both"/>
        <w:ind w:right="80"/>
        <w:spacing w:after="0" w:line="23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318" w:lineRule="exact"/>
        <w:rPr>
          <w:sz w:val="20"/>
          <w:szCs w:val="20"/>
          <w:color w:val="auto"/>
        </w:rPr>
      </w:pPr>
    </w:p>
    <w:p>
      <w:pPr>
        <w:jc w:val="right"/>
        <w:ind w:left="1020" w:right="80"/>
        <w:spacing w:after="0" w:line="288" w:lineRule="auto"/>
        <w:rPr>
          <w:sz w:val="20"/>
          <w:szCs w:val="20"/>
          <w:color w:val="auto"/>
        </w:rPr>
      </w:pPr>
      <w:r>
        <w:rPr>
          <w:rFonts w:ascii="Arial" w:cs="Arial" w:eastAsia="Arial" w:hAnsi="Arial"/>
          <w:sz w:val="12"/>
          <w:szCs w:val="12"/>
          <w:color w:val="auto"/>
        </w:rPr>
        <w:t>M46085-P26374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-128270</wp:posOffset>
            </wp:positionV>
            <wp:extent cx="7273290" cy="336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73290" cy="3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540"/>
          </w:cols>
          <w:pgMar w:left="240" w:top="330" w:right="159" w:bottom="1440" w:gutter="0" w:footer="0" w:header="0"/>
        </w:sectPr>
      </w:pP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7308850" cy="35604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308850" cy="3560445"/>
                    </a:xfrm>
                    <a:prstGeom prst="rect">
                      <a:avLst/>
                    </a:prstGeom>
                    <a:noFill/>
                  </pic:spPr>
                </pic:pic>
              </a:graphicData>
            </a:graphic>
          </wp:anchor>
        </w:drawing>
      </w:r>
    </w:p>
    <w:p>
      <w:pPr>
        <w:sectPr>
          <w:pgSz w:w="11900" w:h="16838" w:orient="portrait"/>
          <w:cols w:equalWidth="0" w:num="1">
            <w:col w:w="11500"/>
          </w:cols>
          <w:pgMar w:left="240" w:top="330" w:right="159" w:bottom="1440" w:gutter="0" w:footer="0" w:header="0"/>
          <w:type w:val="continuous"/>
        </w:sectPr>
      </w:pP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147"/>
        </w:trPr>
        <w:tc>
          <w:tcPr>
            <w:tcW w:w="3500" w:type="dxa"/>
            <w:vAlign w:val="bottom"/>
          </w:tcPr>
          <w:p>
            <w:pPr>
              <w:spacing w:after="0"/>
              <w:rPr>
                <w:sz w:val="20"/>
                <w:szCs w:val="20"/>
                <w:color w:val="auto"/>
              </w:rPr>
            </w:pPr>
            <w:r>
              <w:rPr>
                <w:rFonts w:ascii="Arial" w:cs="Arial" w:eastAsia="Arial" w:hAnsi="Arial"/>
                <w:sz w:val="12"/>
                <w:szCs w:val="12"/>
                <w:b w:val="1"/>
                <w:bCs w:val="1"/>
                <w:color w:val="auto"/>
              </w:rPr>
              <w:t>VRINGO, INC.</w:t>
            </w:r>
          </w:p>
        </w:tc>
        <w:tc>
          <w:tcPr>
            <w:tcW w:w="520" w:type="dxa"/>
            <w:vAlign w:val="bottom"/>
          </w:tcPr>
          <w:p>
            <w:pPr>
              <w:jc w:val="center"/>
              <w:ind w:left="118"/>
              <w:spacing w:after="0"/>
              <w:rPr>
                <w:sz w:val="20"/>
                <w:szCs w:val="20"/>
                <w:color w:val="auto"/>
              </w:rPr>
            </w:pPr>
            <w:r>
              <w:rPr>
                <w:rFonts w:ascii="Arial" w:cs="Arial" w:eastAsia="Arial" w:hAnsi="Arial"/>
                <w:sz w:val="12"/>
                <w:szCs w:val="12"/>
                <w:b w:val="1"/>
                <w:bCs w:val="1"/>
                <w:color w:val="auto"/>
                <w:w w:val="92"/>
              </w:rPr>
              <w:t>For</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Withhold</w:t>
            </w:r>
          </w:p>
        </w:tc>
        <w:tc>
          <w:tcPr>
            <w:tcW w:w="4220" w:type="dxa"/>
            <w:vAlign w:val="bottom"/>
            <w:gridSpan w:val="3"/>
          </w:tcPr>
          <w:p>
            <w:pPr>
              <w:ind w:left="120"/>
              <w:spacing w:after="0"/>
              <w:rPr>
                <w:sz w:val="20"/>
                <w:szCs w:val="20"/>
                <w:color w:val="auto"/>
              </w:rPr>
            </w:pPr>
            <w:r>
              <w:rPr>
                <w:rFonts w:ascii="Arial" w:cs="Arial" w:eastAsia="Arial" w:hAnsi="Arial"/>
                <w:sz w:val="12"/>
                <w:szCs w:val="12"/>
                <w:b w:val="1"/>
                <w:bCs w:val="1"/>
                <w:color w:val="auto"/>
              </w:rPr>
              <w:t xml:space="preserve">For All   </w:t>
            </w:r>
            <w:r>
              <w:rPr>
                <w:rFonts w:ascii="Arial" w:cs="Arial" w:eastAsia="Arial" w:hAnsi="Arial"/>
                <w:sz w:val="12"/>
                <w:szCs w:val="12"/>
                <w:color w:val="auto"/>
              </w:rPr>
              <w:t>To withhold authority to vote for any individual</w:t>
            </w:r>
          </w:p>
        </w:tc>
        <w:tc>
          <w:tcPr>
            <w:tcW w:w="0" w:type="dxa"/>
            <w:vAlign w:val="bottom"/>
          </w:tcPr>
          <w:p>
            <w:pPr>
              <w:spacing w:after="0"/>
              <w:rPr>
                <w:sz w:val="1"/>
                <w:szCs w:val="1"/>
                <w:color w:val="auto"/>
              </w:rPr>
            </w:pPr>
          </w:p>
        </w:tc>
      </w:tr>
      <w:tr>
        <w:trPr>
          <w:trHeight w:val="134"/>
        </w:trPr>
        <w:tc>
          <w:tcPr>
            <w:tcW w:w="35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The Board of Directors recommends you vote FOR the</w:t>
            </w:r>
          </w:p>
        </w:tc>
        <w:tc>
          <w:tcPr>
            <w:tcW w:w="52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w w:val="90"/>
              </w:rPr>
              <w:t>All</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All</w:t>
            </w:r>
          </w:p>
        </w:tc>
        <w:tc>
          <w:tcPr>
            <w:tcW w:w="6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Except</w:t>
            </w:r>
          </w:p>
        </w:tc>
        <w:tc>
          <w:tcPr>
            <w:tcW w:w="3620" w:type="dxa"/>
            <w:vAlign w:val="bottom"/>
            <w:gridSpan w:val="2"/>
          </w:tcPr>
          <w:p>
            <w:pPr>
              <w:ind w:left="100"/>
              <w:spacing w:after="0" w:line="134" w:lineRule="exact"/>
              <w:rPr>
                <w:sz w:val="20"/>
                <w:szCs w:val="20"/>
                <w:color w:val="auto"/>
              </w:rPr>
            </w:pPr>
            <w:r>
              <w:rPr>
                <w:rFonts w:ascii="Arial" w:cs="Arial" w:eastAsia="Arial" w:hAnsi="Arial"/>
                <w:sz w:val="12"/>
                <w:szCs w:val="12"/>
                <w:color w:val="auto"/>
              </w:rPr>
              <w:t>nominee(s), mark “For All Except” and write the number(s) of the</w:t>
            </w:r>
          </w:p>
        </w:tc>
        <w:tc>
          <w:tcPr>
            <w:tcW w:w="0" w:type="dxa"/>
            <w:vAlign w:val="bottom"/>
          </w:tcPr>
          <w:p>
            <w:pPr>
              <w:spacing w:after="0"/>
              <w:rPr>
                <w:sz w:val="1"/>
                <w:szCs w:val="1"/>
                <w:color w:val="auto"/>
              </w:rPr>
            </w:pPr>
          </w:p>
        </w:tc>
      </w:tr>
      <w:tr>
        <w:trPr>
          <w:trHeight w:val="138"/>
        </w:trPr>
        <w:tc>
          <w:tcPr>
            <w:tcW w:w="3500" w:type="dxa"/>
            <w:vAlign w:val="bottom"/>
          </w:tcPr>
          <w:p>
            <w:pPr>
              <w:ind w:left="320"/>
              <w:spacing w:after="0"/>
              <w:rPr>
                <w:sz w:val="20"/>
                <w:szCs w:val="20"/>
                <w:color w:val="auto"/>
              </w:rPr>
            </w:pPr>
            <w:r>
              <w:rPr>
                <w:rFonts w:ascii="Arial" w:cs="Arial" w:eastAsia="Arial" w:hAnsi="Arial"/>
                <w:sz w:val="12"/>
                <w:szCs w:val="12"/>
                <w:b w:val="1"/>
                <w:bCs w:val="1"/>
                <w:color w:val="auto"/>
              </w:rPr>
              <w:t>following proposals:</w:t>
            </w:r>
          </w:p>
        </w:tc>
        <w:tc>
          <w:tcPr>
            <w:tcW w:w="520" w:type="dxa"/>
            <w:vAlign w:val="bottom"/>
            <w:vMerge w:val="restart"/>
          </w:tcPr>
          <w:p>
            <w:pPr>
              <w:jc w:val="center"/>
              <w:ind w:left="118"/>
              <w:spacing w:after="0" w:line="121" w:lineRule="exact"/>
              <w:rPr>
                <w:sz w:val="20"/>
                <w:szCs w:val="20"/>
                <w:color w:val="auto"/>
              </w:rPr>
            </w:pPr>
            <w:r>
              <w:rPr>
                <w:rFonts w:ascii="MS PGothic" w:cs="MS PGothic" w:eastAsia="MS PGothic" w:hAnsi="MS PGothic"/>
                <w:sz w:val="12"/>
                <w:szCs w:val="12"/>
                <w:color w:val="auto"/>
                <w:w w:val="82"/>
              </w:rPr>
              <w:t>☐</w:t>
            </w:r>
          </w:p>
        </w:tc>
        <w:tc>
          <w:tcPr>
            <w:tcW w:w="6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00" w:type="dxa"/>
            <w:vAlign w:val="bottom"/>
            <w:vMerge w:val="restart"/>
          </w:tcPr>
          <w:p>
            <w:pPr>
              <w:ind w:left="260"/>
              <w:spacing w:after="0" w:line="121" w:lineRule="exact"/>
              <w:rPr>
                <w:sz w:val="20"/>
                <w:szCs w:val="20"/>
                <w:color w:val="auto"/>
              </w:rPr>
            </w:pPr>
            <w:r>
              <w:rPr>
                <w:rFonts w:ascii="MS PGothic" w:cs="MS PGothic" w:eastAsia="MS PGothic" w:hAnsi="MS PGothic"/>
                <w:sz w:val="12"/>
                <w:szCs w:val="12"/>
                <w:color w:val="auto"/>
              </w:rPr>
              <w:t>☐</w:t>
            </w:r>
          </w:p>
        </w:tc>
        <w:tc>
          <w:tcPr>
            <w:tcW w:w="3620" w:type="dxa"/>
            <w:vAlign w:val="bottom"/>
            <w:gridSpan w:val="2"/>
          </w:tcPr>
          <w:p>
            <w:pPr>
              <w:ind w:left="100"/>
              <w:spacing w:after="0"/>
              <w:rPr>
                <w:sz w:val="20"/>
                <w:szCs w:val="20"/>
                <w:color w:val="auto"/>
              </w:rPr>
            </w:pPr>
            <w:r>
              <w:rPr>
                <w:rFonts w:ascii="Arial" w:cs="Arial" w:eastAsia="Arial" w:hAnsi="Arial"/>
                <w:sz w:val="12"/>
                <w:szCs w:val="12"/>
                <w:color w:val="auto"/>
              </w:rPr>
              <w:t>nominee(s) on the line below.</w:t>
            </w:r>
          </w:p>
        </w:tc>
        <w:tc>
          <w:tcPr>
            <w:tcW w:w="0" w:type="dxa"/>
            <w:vAlign w:val="bottom"/>
          </w:tcPr>
          <w:p>
            <w:pPr>
              <w:spacing w:after="0"/>
              <w:rPr>
                <w:sz w:val="1"/>
                <w:szCs w:val="1"/>
                <w:color w:val="auto"/>
              </w:rPr>
            </w:pPr>
          </w:p>
        </w:tc>
      </w:tr>
      <w:tr>
        <w:trPr>
          <w:trHeight w:val="155"/>
        </w:trPr>
        <w:tc>
          <w:tcPr>
            <w:tcW w:w="3500" w:type="dxa"/>
            <w:vAlign w:val="bottom"/>
          </w:tcPr>
          <w:p>
            <w:pPr>
              <w:ind w:left="320"/>
              <w:spacing w:after="0"/>
              <w:rPr>
                <w:sz w:val="20"/>
                <w:szCs w:val="20"/>
                <w:color w:val="auto"/>
              </w:rPr>
            </w:pPr>
            <w:r>
              <w:rPr>
                <w:rFonts w:ascii="Arial" w:cs="Arial" w:eastAsia="Arial" w:hAnsi="Arial"/>
                <w:sz w:val="12"/>
                <w:szCs w:val="12"/>
                <w:color w:val="auto"/>
              </w:rPr>
              <w:t>4.  Election of Directors</w:t>
            </w:r>
          </w:p>
        </w:tc>
        <w:tc>
          <w:tcPr>
            <w:tcW w:w="5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Nominees:</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960" w:hanging="325"/>
        <w:spacing w:after="0" w:line="232" w:lineRule="auto"/>
        <w:tabs>
          <w:tab w:leader="none" w:pos="960" w:val="left"/>
        </w:tabs>
        <w:numPr>
          <w:ilvl w:val="0"/>
          <w:numId w:val="442"/>
        </w:numPr>
        <w:rPr>
          <w:rFonts w:ascii="Arial" w:cs="Arial" w:eastAsia="Arial" w:hAnsi="Arial"/>
          <w:sz w:val="12"/>
          <w:szCs w:val="12"/>
          <w:color w:val="auto"/>
        </w:rPr>
      </w:pPr>
      <w:r>
        <w:rPr>
          <w:rFonts w:ascii="Arial" w:cs="Arial" w:eastAsia="Arial" w:hAnsi="Arial"/>
          <w:sz w:val="12"/>
          <w:szCs w:val="12"/>
          <w:color w:val="auto"/>
        </w:rPr>
        <w:t>Andrew D. Perlman</w:t>
      </w:r>
    </w:p>
    <w:tbl>
      <w:tblPr>
        <w:tblLayout w:type="fixed"/>
        <w:tblInd w:w="640" w:type="dxa"/>
        <w:tblCellMar>
          <w:top w:w="0" w:type="dxa"/>
          <w:left w:w="0" w:type="dxa"/>
          <w:bottom w:w="0" w:type="dxa"/>
          <w:right w:w="0" w:type="dxa"/>
        </w:tblCellMar>
      </w:tblPr>
      <w:tr>
        <w:trPr>
          <w:trHeight w:val="124"/>
        </w:trPr>
        <w:tc>
          <w:tcPr>
            <w:tcW w:w="240" w:type="dxa"/>
            <w:vAlign w:val="bottom"/>
          </w:tcPr>
          <w:p>
            <w:pPr>
              <w:jc w:val="right"/>
              <w:ind w:right="18"/>
              <w:spacing w:after="0" w:line="124" w:lineRule="exact"/>
              <w:rPr>
                <w:sz w:val="20"/>
                <w:szCs w:val="20"/>
                <w:color w:val="auto"/>
              </w:rPr>
            </w:pPr>
            <w:r>
              <w:rPr>
                <w:rFonts w:ascii="Arial" w:cs="Arial" w:eastAsia="Arial" w:hAnsi="Arial"/>
                <w:sz w:val="12"/>
                <w:szCs w:val="12"/>
                <w:color w:val="auto"/>
                <w:w w:val="80"/>
              </w:rPr>
              <w:t>02)</w:t>
            </w:r>
          </w:p>
        </w:tc>
        <w:tc>
          <w:tcPr>
            <w:tcW w:w="1340" w:type="dxa"/>
            <w:vAlign w:val="bottom"/>
          </w:tcPr>
          <w:p>
            <w:pPr>
              <w:ind w:left="80"/>
              <w:spacing w:after="0" w:line="124" w:lineRule="exact"/>
              <w:rPr>
                <w:sz w:val="20"/>
                <w:szCs w:val="20"/>
                <w:color w:val="auto"/>
              </w:rPr>
            </w:pPr>
            <w:r>
              <w:rPr>
                <w:rFonts w:ascii="Arial" w:cs="Arial" w:eastAsia="Arial" w:hAnsi="Arial"/>
                <w:sz w:val="12"/>
                <w:szCs w:val="12"/>
                <w:color w:val="auto"/>
              </w:rPr>
              <w:t>Seth M. Siegel</w:t>
            </w:r>
          </w:p>
        </w:tc>
        <w:tc>
          <w:tcPr>
            <w:tcW w:w="320" w:type="dxa"/>
            <w:vAlign w:val="bottom"/>
          </w:tcPr>
          <w:p>
            <w:pPr>
              <w:jc w:val="right"/>
              <w:spacing w:after="0" w:line="124" w:lineRule="exact"/>
              <w:rPr>
                <w:sz w:val="20"/>
                <w:szCs w:val="20"/>
                <w:color w:val="auto"/>
              </w:rPr>
            </w:pPr>
            <w:r>
              <w:rPr>
                <w:rFonts w:ascii="Arial" w:cs="Arial" w:eastAsia="Arial" w:hAnsi="Arial"/>
                <w:sz w:val="12"/>
                <w:szCs w:val="12"/>
                <w:color w:val="auto"/>
              </w:rPr>
              <w:t>05)</w:t>
            </w:r>
          </w:p>
        </w:tc>
        <w:tc>
          <w:tcPr>
            <w:tcW w:w="1080" w:type="dxa"/>
            <w:vAlign w:val="bottom"/>
          </w:tcPr>
          <w:p>
            <w:pPr>
              <w:ind w:left="40"/>
              <w:spacing w:after="0" w:line="124" w:lineRule="exact"/>
              <w:rPr>
                <w:sz w:val="20"/>
                <w:szCs w:val="20"/>
                <w:color w:val="auto"/>
              </w:rPr>
            </w:pPr>
            <w:r>
              <w:rPr>
                <w:rFonts w:ascii="Arial" w:cs="Arial" w:eastAsia="Arial" w:hAnsi="Arial"/>
                <w:sz w:val="12"/>
                <w:szCs w:val="12"/>
                <w:color w:val="auto"/>
                <w:w w:val="93"/>
              </w:rPr>
              <w:t>Alexander R. Berger</w:t>
            </w:r>
          </w:p>
        </w:tc>
      </w:tr>
      <w:tr>
        <w:trPr>
          <w:trHeight w:val="134"/>
        </w:trPr>
        <w:tc>
          <w:tcPr>
            <w:tcW w:w="240" w:type="dxa"/>
            <w:vAlign w:val="bottom"/>
          </w:tcPr>
          <w:p>
            <w:pPr>
              <w:jc w:val="right"/>
              <w:ind w:right="18"/>
              <w:spacing w:after="0" w:line="134" w:lineRule="exact"/>
              <w:rPr>
                <w:sz w:val="20"/>
                <w:szCs w:val="20"/>
                <w:color w:val="auto"/>
              </w:rPr>
            </w:pPr>
            <w:r>
              <w:rPr>
                <w:rFonts w:ascii="Arial" w:cs="Arial" w:eastAsia="Arial" w:hAnsi="Arial"/>
                <w:sz w:val="12"/>
                <w:szCs w:val="12"/>
                <w:color w:val="auto"/>
                <w:w w:val="80"/>
              </w:rPr>
              <w:t>03)</w:t>
            </w:r>
          </w:p>
        </w:tc>
        <w:tc>
          <w:tcPr>
            <w:tcW w:w="1340" w:type="dxa"/>
            <w:vAlign w:val="bottom"/>
          </w:tcPr>
          <w:p>
            <w:pPr>
              <w:ind w:left="80"/>
              <w:spacing w:after="0" w:line="134" w:lineRule="exact"/>
              <w:rPr>
                <w:sz w:val="20"/>
                <w:szCs w:val="20"/>
                <w:color w:val="auto"/>
              </w:rPr>
            </w:pPr>
            <w:r>
              <w:rPr>
                <w:rFonts w:ascii="Arial" w:cs="Arial" w:eastAsia="Arial" w:hAnsi="Arial"/>
                <w:sz w:val="12"/>
                <w:szCs w:val="12"/>
                <w:color w:val="auto"/>
              </w:rPr>
              <w:t>John Engelman</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06)</w:t>
            </w:r>
          </w:p>
        </w:tc>
        <w:tc>
          <w:tcPr>
            <w:tcW w:w="1080" w:type="dxa"/>
            <w:vAlign w:val="bottom"/>
          </w:tcPr>
          <w:p>
            <w:pPr>
              <w:ind w:left="40"/>
              <w:spacing w:after="0" w:line="134" w:lineRule="exact"/>
              <w:rPr>
                <w:sz w:val="20"/>
                <w:szCs w:val="20"/>
                <w:color w:val="auto"/>
              </w:rPr>
            </w:pPr>
            <w:r>
              <w:rPr>
                <w:rFonts w:ascii="Arial" w:cs="Arial" w:eastAsia="Arial" w:hAnsi="Arial"/>
                <w:sz w:val="12"/>
                <w:szCs w:val="12"/>
                <w:color w:val="auto"/>
              </w:rPr>
              <w:t>Donald E. Stout</w:t>
            </w:r>
          </w:p>
        </w:tc>
      </w:tr>
      <w:tr>
        <w:trPr>
          <w:trHeight w:val="157"/>
        </w:trPr>
        <w:tc>
          <w:tcPr>
            <w:tcW w:w="240" w:type="dxa"/>
            <w:vAlign w:val="bottom"/>
          </w:tcPr>
          <w:p>
            <w:pPr>
              <w:jc w:val="right"/>
              <w:ind w:right="18"/>
              <w:spacing w:after="0"/>
              <w:rPr>
                <w:sz w:val="20"/>
                <w:szCs w:val="20"/>
                <w:color w:val="auto"/>
              </w:rPr>
            </w:pPr>
            <w:r>
              <w:rPr>
                <w:rFonts w:ascii="Arial" w:cs="Arial" w:eastAsia="Arial" w:hAnsi="Arial"/>
                <w:sz w:val="12"/>
                <w:szCs w:val="12"/>
                <w:color w:val="auto"/>
                <w:w w:val="80"/>
              </w:rPr>
              <w:t>04)</w:t>
            </w:r>
          </w:p>
        </w:tc>
        <w:tc>
          <w:tcPr>
            <w:tcW w:w="1340" w:type="dxa"/>
            <w:vAlign w:val="bottom"/>
          </w:tcPr>
          <w:p>
            <w:pPr>
              <w:ind w:left="80"/>
              <w:spacing w:after="0"/>
              <w:rPr>
                <w:sz w:val="20"/>
                <w:szCs w:val="20"/>
                <w:color w:val="auto"/>
              </w:rPr>
            </w:pPr>
            <w:r>
              <w:rPr>
                <w:rFonts w:ascii="Arial" w:cs="Arial" w:eastAsia="Arial" w:hAnsi="Arial"/>
                <w:sz w:val="12"/>
                <w:szCs w:val="12"/>
                <w:color w:val="auto"/>
              </w:rPr>
              <w:t>Andrew Kennedy Lang</w:t>
            </w:r>
          </w:p>
        </w:tc>
        <w:tc>
          <w:tcPr>
            <w:tcW w:w="320" w:type="dxa"/>
            <w:vAlign w:val="bottom"/>
          </w:tcPr>
          <w:p>
            <w:pPr>
              <w:jc w:val="right"/>
              <w:spacing w:after="0"/>
              <w:rPr>
                <w:sz w:val="20"/>
                <w:szCs w:val="20"/>
                <w:color w:val="auto"/>
              </w:rPr>
            </w:pPr>
            <w:r>
              <w:rPr>
                <w:rFonts w:ascii="Arial" w:cs="Arial" w:eastAsia="Arial" w:hAnsi="Arial"/>
                <w:sz w:val="12"/>
                <w:szCs w:val="12"/>
                <w:color w:val="auto"/>
              </w:rPr>
              <w:t>07)</w:t>
            </w:r>
          </w:p>
        </w:tc>
        <w:tc>
          <w:tcPr>
            <w:tcW w:w="1080" w:type="dxa"/>
            <w:vAlign w:val="bottom"/>
          </w:tcPr>
          <w:p>
            <w:pPr>
              <w:ind w:left="40"/>
              <w:spacing w:after="0"/>
              <w:rPr>
                <w:sz w:val="20"/>
                <w:szCs w:val="20"/>
                <w:color w:val="auto"/>
              </w:rPr>
            </w:pPr>
            <w:r>
              <w:rPr>
                <w:rFonts w:ascii="Arial" w:cs="Arial" w:eastAsia="Arial" w:hAnsi="Arial"/>
                <w:sz w:val="12"/>
                <w:szCs w:val="12"/>
                <w:color w:val="auto"/>
              </w:rPr>
              <w:t>H. Van Sinclair</w:t>
            </w:r>
          </w:p>
        </w:tc>
      </w:tr>
    </w:tbl>
    <w:p>
      <w:pPr>
        <w:spacing w:after="0" w:line="200" w:lineRule="exact"/>
        <w:rPr>
          <w:sz w:val="20"/>
          <w:szCs w:val="20"/>
          <w:color w:val="auto"/>
        </w:rPr>
      </w:pPr>
    </w:p>
    <w:p>
      <w:pPr>
        <w:spacing w:after="0" w:line="338" w:lineRule="exact"/>
        <w:rPr>
          <w:sz w:val="20"/>
          <w:szCs w:val="20"/>
          <w:color w:val="auto"/>
        </w:rPr>
      </w:pPr>
    </w:p>
    <w:p>
      <w:pPr>
        <w:ind w:left="520" w:right="180" w:hanging="232"/>
        <w:spacing w:after="0" w:line="265" w:lineRule="auto"/>
        <w:tabs>
          <w:tab w:leader="none" w:pos="520" w:val="left"/>
        </w:tabs>
        <w:numPr>
          <w:ilvl w:val="0"/>
          <w:numId w:val="443"/>
        </w:numPr>
        <w:rPr>
          <w:rFonts w:ascii="Arial" w:cs="Arial" w:eastAsia="Arial" w:hAnsi="Arial"/>
          <w:sz w:val="12"/>
          <w:szCs w:val="12"/>
          <w:color w:val="auto"/>
        </w:rPr>
      </w:pPr>
      <w:r>
        <w:rPr>
          <w:rFonts w:ascii="Arial" w:cs="Arial" w:eastAsia="Arial" w:hAnsi="Arial"/>
          <w:sz w:val="12"/>
          <w:szCs w:val="12"/>
          <w:color w:val="auto"/>
        </w:rPr>
        <w:t>Approval of Merger, including the Issuance of Vringo Inc. Common Stock, Preferred Stock and Warrants in Connection with the Merger contemplated by the Agreement and Plan of Merger, dated March 12, 2012, by and between Vringo, Inc., VIP Merger Sub, Inc., a wholly-owned subsidiary of Vringo, and Innovate/Protect, Inc.</w:t>
      </w:r>
    </w:p>
    <w:p>
      <w:pPr>
        <w:spacing w:after="0" w:line="96" w:lineRule="exact"/>
        <w:rPr>
          <w:rFonts w:ascii="Arial" w:cs="Arial" w:eastAsia="Arial" w:hAnsi="Arial"/>
          <w:sz w:val="12"/>
          <w:szCs w:val="12"/>
          <w:color w:val="auto"/>
        </w:rPr>
      </w:pPr>
    </w:p>
    <w:p>
      <w:pPr>
        <w:ind w:left="520" w:hanging="232"/>
        <w:spacing w:after="0" w:line="265" w:lineRule="auto"/>
        <w:tabs>
          <w:tab w:leader="none" w:pos="520" w:val="left"/>
        </w:tabs>
        <w:numPr>
          <w:ilvl w:val="0"/>
          <w:numId w:val="443"/>
        </w:numPr>
        <w:rPr>
          <w:rFonts w:ascii="Arial" w:cs="Arial" w:eastAsia="Arial" w:hAnsi="Arial"/>
          <w:sz w:val="12"/>
          <w:szCs w:val="12"/>
          <w:color w:val="auto"/>
        </w:rPr>
      </w:pPr>
      <w:r>
        <w:rPr>
          <w:rFonts w:ascii="Arial" w:cs="Arial" w:eastAsia="Arial" w:hAnsi="Arial"/>
          <w:sz w:val="12"/>
          <w:szCs w:val="12"/>
          <w:color w:val="auto"/>
        </w:rPr>
        <w:t>Approval of an Amendment to Vringo’s Amended and Restated Certificate of Incorporation to Effect a Reverse Stock Split of Vringo Common Stock, within the range of one-for-two to one-for-four</w:t>
      </w:r>
    </w:p>
    <w:p>
      <w:pPr>
        <w:spacing w:after="0" w:line="96" w:lineRule="exact"/>
        <w:rPr>
          <w:rFonts w:ascii="Arial" w:cs="Arial" w:eastAsia="Arial" w:hAnsi="Arial"/>
          <w:sz w:val="12"/>
          <w:szCs w:val="12"/>
          <w:color w:val="auto"/>
        </w:rPr>
      </w:pPr>
    </w:p>
    <w:p>
      <w:pPr>
        <w:ind w:left="520" w:right="500" w:hanging="232"/>
        <w:spacing w:after="0" w:line="265" w:lineRule="auto"/>
        <w:tabs>
          <w:tab w:leader="none" w:pos="520" w:val="left"/>
        </w:tabs>
        <w:numPr>
          <w:ilvl w:val="0"/>
          <w:numId w:val="443"/>
        </w:numPr>
        <w:rPr>
          <w:rFonts w:ascii="Arial" w:cs="Arial" w:eastAsia="Arial" w:hAnsi="Arial"/>
          <w:sz w:val="12"/>
          <w:szCs w:val="12"/>
          <w:color w:val="auto"/>
        </w:rPr>
      </w:pPr>
      <w:r>
        <w:rPr>
          <w:rFonts w:ascii="Arial" w:cs="Arial" w:eastAsia="Arial" w:hAnsi="Arial"/>
          <w:sz w:val="12"/>
          <w:szCs w:val="12"/>
          <w:color w:val="auto"/>
        </w:rPr>
        <w:t>Approval of an Amendment to Vringo’s Amended and Restated Certificate of Incorporation to Increase the Number of Shares of Common Stock Authorized for Issuance from 28,000,000 to up to a maximum of 150,000,000</w:t>
      </w:r>
    </w:p>
    <w:p>
      <w:pPr>
        <w:spacing w:after="0" w:line="96" w:lineRule="exact"/>
        <w:rPr>
          <w:sz w:val="20"/>
          <w:szCs w:val="20"/>
          <w:color w:val="auto"/>
        </w:rPr>
      </w:pPr>
    </w:p>
    <w:p>
      <w:pPr>
        <w:ind w:left="520" w:hanging="232"/>
        <w:spacing w:after="0"/>
        <w:tabs>
          <w:tab w:leader="none" w:pos="520" w:val="left"/>
        </w:tabs>
        <w:numPr>
          <w:ilvl w:val="0"/>
          <w:numId w:val="444"/>
        </w:numPr>
        <w:rPr>
          <w:rFonts w:ascii="Arial" w:cs="Arial" w:eastAsia="Arial" w:hAnsi="Arial"/>
          <w:sz w:val="12"/>
          <w:szCs w:val="12"/>
          <w:color w:val="auto"/>
        </w:rPr>
      </w:pPr>
      <w:r>
        <w:rPr>
          <w:rFonts w:ascii="Arial" w:cs="Arial" w:eastAsia="Arial" w:hAnsi="Arial"/>
          <w:sz w:val="12"/>
          <w:szCs w:val="12"/>
          <w:color w:val="auto"/>
        </w:rPr>
        <w:t>Approval of the Vringo, Inc. 2012 Employee, Directors and Consultant Equity Incentive Plan</w:t>
      </w:r>
    </w:p>
    <w:p>
      <w:pPr>
        <w:spacing w:after="0" w:line="142" w:lineRule="exact"/>
        <w:rPr>
          <w:rFonts w:ascii="Arial" w:cs="Arial" w:eastAsia="Arial" w:hAnsi="Arial"/>
          <w:sz w:val="12"/>
          <w:szCs w:val="12"/>
          <w:color w:val="auto"/>
        </w:rPr>
      </w:pPr>
    </w:p>
    <w:p>
      <w:pPr>
        <w:ind w:left="520" w:hanging="232"/>
        <w:spacing w:after="0"/>
        <w:tabs>
          <w:tab w:leader="none" w:pos="520" w:val="left"/>
        </w:tabs>
        <w:numPr>
          <w:ilvl w:val="0"/>
          <w:numId w:val="444"/>
        </w:numPr>
        <w:rPr>
          <w:rFonts w:ascii="Arial" w:cs="Arial" w:eastAsia="Arial" w:hAnsi="Arial"/>
          <w:sz w:val="12"/>
          <w:szCs w:val="12"/>
          <w:color w:val="auto"/>
        </w:rPr>
      </w:pPr>
      <w:r>
        <w:rPr>
          <w:rFonts w:ascii="Arial" w:cs="Arial" w:eastAsia="Arial" w:hAnsi="Arial"/>
          <w:sz w:val="12"/>
          <w:szCs w:val="12"/>
          <w:color w:val="auto"/>
        </w:rPr>
        <w:t>Ratification of the Appointment of Vringo’s Independent Registered Public Accounting Firm for the fiscal year ending December 31, 2012</w:t>
      </w:r>
    </w:p>
    <w:p>
      <w:pPr>
        <w:spacing w:after="0" w:line="142" w:lineRule="exact"/>
        <w:rPr>
          <w:rFonts w:ascii="Arial" w:cs="Arial" w:eastAsia="Arial" w:hAnsi="Arial"/>
          <w:sz w:val="12"/>
          <w:szCs w:val="12"/>
          <w:color w:val="auto"/>
        </w:rPr>
      </w:pPr>
    </w:p>
    <w:p>
      <w:pPr>
        <w:ind w:left="520" w:hanging="232"/>
        <w:spacing w:after="0"/>
        <w:tabs>
          <w:tab w:leader="none" w:pos="520" w:val="left"/>
        </w:tabs>
        <w:numPr>
          <w:ilvl w:val="0"/>
          <w:numId w:val="444"/>
        </w:numPr>
        <w:rPr>
          <w:rFonts w:ascii="Arial" w:cs="Arial" w:eastAsia="Arial" w:hAnsi="Arial"/>
          <w:sz w:val="11"/>
          <w:szCs w:val="11"/>
          <w:color w:val="auto"/>
        </w:rPr>
      </w:pPr>
      <w:r>
        <w:rPr>
          <w:rFonts w:ascii="Arial" w:cs="Arial" w:eastAsia="Arial" w:hAnsi="Arial"/>
          <w:sz w:val="11"/>
          <w:szCs w:val="11"/>
          <w:color w:val="auto"/>
        </w:rPr>
        <w:t>Approval of the Adjournment of the Vringo Annual Meeting, if Necessary, to Solicit Additional Proxies if There Are Not Sufficient Votes in Favor of Proposals Nos. 1, 2, 3, 4, 5 or 7</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 meeting or any adjournment thereof.</w:t>
      </w:r>
    </w:p>
    <w:p>
      <w:pPr>
        <w:spacing w:after="0" w:line="133" w:lineRule="exact"/>
        <w:rPr>
          <w:sz w:val="20"/>
          <w:szCs w:val="20"/>
          <w:color w:val="auto"/>
        </w:rPr>
      </w:pPr>
    </w:p>
    <w:p>
      <w:pPr>
        <w:ind w:left="280" w:right="340"/>
        <w:spacing w:after="0" w:line="265"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2"/>
                <w:szCs w:val="12"/>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0"/>
              </w:rPr>
              <w:t>Against</w:t>
            </w:r>
          </w:p>
        </w:tc>
        <w:tc>
          <w:tcPr>
            <w:tcW w:w="520" w:type="dxa"/>
            <w:vAlign w:val="bottom"/>
          </w:tcPr>
          <w:p>
            <w:pPr>
              <w:jc w:val="center"/>
              <w:ind w:left="38"/>
              <w:spacing w:after="0"/>
              <w:rPr>
                <w:sz w:val="20"/>
                <w:szCs w:val="20"/>
                <w:color w:val="auto"/>
              </w:rPr>
            </w:pPr>
            <w:r>
              <w:rPr>
                <w:rFonts w:ascii="Arial" w:cs="Arial" w:eastAsia="Arial" w:hAnsi="Arial"/>
                <w:sz w:val="12"/>
                <w:szCs w:val="12"/>
                <w:b w:val="1"/>
                <w:bCs w:val="1"/>
                <w:color w:val="auto"/>
                <w:w w:val="95"/>
              </w:rPr>
              <w:t>Abstain</w:t>
            </w:r>
          </w:p>
        </w:tc>
      </w:tr>
      <w:tr>
        <w:trPr>
          <w:trHeight w:val="375"/>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40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40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40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8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81"/>
        </w:trPr>
        <w:tc>
          <w:tcPr>
            <w:tcW w:w="36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bl>
    <w:p>
      <w:pPr>
        <w:spacing w:after="0" w:line="868" w:lineRule="exact"/>
        <w:rPr>
          <w:sz w:val="20"/>
          <w:szCs w:val="20"/>
          <w:color w:val="auto"/>
        </w:rPr>
      </w:pPr>
    </w:p>
    <w:p>
      <w:pPr>
        <w:sectPr>
          <w:pgSz w:w="11900" w:h="16838" w:orient="portrait"/>
          <w:cols w:equalWidth="0" w:num="2">
            <w:col w:w="9740" w:space="180"/>
            <w:col w:w="1580"/>
          </w:cols>
          <w:pgMar w:left="240" w:top="330" w:right="159" w:bottom="1440" w:gutter="0" w:footer="0" w:header="0"/>
          <w:type w:val="continuous"/>
        </w:sectPr>
      </w:pPr>
    </w:p>
    <w:p>
      <w:pPr>
        <w:spacing w:after="0" w:line="270" w:lineRule="exact"/>
        <w:rPr>
          <w:sz w:val="20"/>
          <w:szCs w:val="20"/>
          <w:color w:val="auto"/>
        </w:rPr>
      </w:pPr>
    </w:p>
    <w:p>
      <w:pPr>
        <w:ind w:left="200"/>
        <w:spacing w:after="0"/>
        <w:tabs>
          <w:tab w:leader="none" w:pos="3120" w:val="left"/>
          <w:tab w:leader="none" w:pos="5220" w:val="left"/>
          <w:tab w:leader="none" w:pos="818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600075</wp:posOffset>
            </wp:positionV>
            <wp:extent cx="7247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500"/>
          </w:cols>
          <w:pgMar w:left="240" w:top="330" w:right="159" w:bottom="1440" w:gutter="0" w:footer="0" w:header="0"/>
          <w:type w:val="continuous"/>
        </w:sectPr>
      </w:pPr>
    </w:p>
    <w:bookmarkStart w:id="428" w:name="page429"/>
    <w:bookmarkEnd w:id="428"/>
    <w:p>
      <w:pPr>
        <w:jc w:val="center"/>
        <w:ind w:right="3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24"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Meeting:</w:t>
      </w:r>
    </w:p>
    <w:p>
      <w:pPr>
        <w:spacing w:after="0" w:line="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Notice and Proxy Statement and Form 10-K are available at</w:t>
      </w:r>
    </w:p>
    <w:p>
      <w:pPr>
        <w:spacing w:after="0" w:line="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www.proxyvote.com.</w:t>
      </w:r>
    </w:p>
    <w:p>
      <w:pPr>
        <w:spacing w:after="0" w:line="208" w:lineRule="exact"/>
        <w:rPr>
          <w:sz w:val="20"/>
          <w:szCs w:val="20"/>
          <w:color w:val="auto"/>
        </w:rPr>
      </w:pPr>
    </w:p>
    <w:p>
      <w:pPr>
        <w:ind w:left="9880"/>
        <w:spacing w:after="0"/>
        <w:rPr>
          <w:sz w:val="20"/>
          <w:szCs w:val="20"/>
          <w:color w:val="auto"/>
        </w:rPr>
      </w:pPr>
      <w:r>
        <w:rPr>
          <w:rFonts w:ascii="Arial" w:cs="Arial" w:eastAsia="Arial" w:hAnsi="Arial"/>
          <w:sz w:val="18"/>
          <w:szCs w:val="18"/>
          <w:color w:val="363435"/>
        </w:rPr>
        <w:t>M46086-P26374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160020</wp:posOffset>
            </wp:positionV>
            <wp:extent cx="7308850" cy="272859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308850" cy="272859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VRINGO, INC.</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Annual Meeting of Stockholders</w:t>
      </w:r>
    </w:p>
    <w:p>
      <w:pPr>
        <w:spacing w:after="0" w:line="7" w:lineRule="exact"/>
        <w:rPr>
          <w:sz w:val="20"/>
          <w:szCs w:val="20"/>
          <w:color w:val="auto"/>
        </w:rPr>
      </w:pPr>
    </w:p>
    <w:p>
      <w:pPr>
        <w:ind w:left="5200" w:hanging="496"/>
        <w:spacing w:after="0"/>
        <w:tabs>
          <w:tab w:leader="none" w:pos="520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 2012 10:00 AM</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THIS PROXY IS SOLICITED ON BEHALF Of THE BOARD Of DIRECTORS OF VRINGO, INC.</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stockholder of Vringo, Inc., a Delaware corporation (the "Company"), hereby appoints Andrew D. Perlman and Ellen Cohl, and each of them, each with power to act without the other and with power of substitution, as proxies and attorneys-in-fact and hereby authorizes them to represent and vote, all of the shares of common stock of the Company which the undersigned is entitled to vote, on all matters that may properly come before the Annual Meeting of Stockholders of the Company to be held on [ ], 2012, at the offices of Mintz, Levin, Cohn, Ferris, Glovsky and Popeo, P.C., the Chrysler Center, 666 Third Avenue, 32nd floor, New York, New York 10017, and at any adjournment or postponement thereof. The undersigned stockholder hereby revokes any proxy or proxies heretofore given by the undersigned for the Annual Meeting.</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HEREIN BY THE UNDERSIGNED. IF NO DIRECTION IS MADE BUT THE CARD IS SIGNED, THIS PROXY CARD WILL BE VOTED "FOR" THE PROPOSALS ON THE REVERSE SIDE Of THIS PROXY CARD.</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499745</wp:posOffset>
            </wp:positionV>
            <wp:extent cx="7247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00"/>
          </w:cols>
          <w:pgMar w:left="460" w:top="869" w:right="139" w:bottom="1440" w:gutter="0" w:footer="0" w:header="0"/>
        </w:sectPr>
      </w:pPr>
    </w:p>
    <w:bookmarkStart w:id="429" w:name="page430"/>
    <w:bookmarkEnd w:id="429"/>
    <w:p>
      <w:pPr>
        <w:jc w:val="right"/>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144145</wp:posOffset>
            </wp:positionV>
            <wp:extent cx="1459865" cy="46672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459865"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April 6,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444 West 28th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Suite 1414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hereby consent to the inclusion of our opinion letter, dated March 12, 2012, to the Board of Directors of Vringo, Inc. (“Vringo”) as an annex to the proxy statement/prospectus (the “Proxy Statement”), which forms part of the Registration Statement on Form S-4 of Vringo (the “Registration Statement”) filed with the Securities and Exchange Commission on April 6, 2012 and the reference to our firm and our opinion in such Proxy Statement, and any amendments and supplements thereto.</w:t>
      </w:r>
    </w:p>
    <w:p>
      <w:pPr>
        <w:spacing w:after="0" w:line="1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giving our consent, we do not admit that we come within the category of persons whose consent is required under Section </w:t>
      </w:r>
      <w:r>
        <w:rPr>
          <w:rFonts w:ascii="Arial" w:cs="Arial" w:eastAsia="Arial" w:hAnsi="Arial"/>
          <w:sz w:val="18"/>
          <w:szCs w:val="18"/>
          <w:i w:val="1"/>
          <w:iCs w:val="1"/>
          <w:color w:val="auto"/>
        </w:rPr>
        <w:t>7</w:t>
      </w:r>
      <w:r>
        <w:rPr>
          <w:rFonts w:ascii="Arial" w:cs="Arial" w:eastAsia="Arial" w:hAnsi="Arial"/>
          <w:sz w:val="18"/>
          <w:szCs w:val="18"/>
          <w:color w:val="auto"/>
        </w:rPr>
        <w:t xml:space="preserve"> of the Securities Act of 1933, as amended, or the rules and regulations of the Securities and Exchange Commission thereunder, nor do we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Etico Capital, a division of Olympus Securities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Jeffrey Berman</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Jeffrey 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-130175</wp:posOffset>
            </wp:positionV>
            <wp:extent cx="33356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33565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247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0" w:name="page431"/>
    <w:bookmarkEnd w:id="430"/>
    <w:p>
      <w:pPr>
        <w:jc w:val="right"/>
        <w:spacing w:after="0"/>
        <w:rPr>
          <w:sz w:val="20"/>
          <w:szCs w:val="20"/>
          <w:color w:val="auto"/>
        </w:rPr>
      </w:pPr>
      <w:r>
        <w:rPr>
          <w:rFonts w:ascii="Arial" w:cs="Arial" w:eastAsia="Arial" w:hAnsi="Arial"/>
          <w:sz w:val="18"/>
          <w:szCs w:val="18"/>
          <w:color w:val="auto"/>
        </w:rPr>
        <w:t>Exhibit 99.3</w:t>
      </w:r>
    </w:p>
    <w:p>
      <w:pPr>
        <w:spacing w:after="0" w:line="21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u w:val="single" w:color="auto"/>
          <w:color w:val="auto"/>
        </w:rPr>
        <w:t>CONSENT OF Andrew Kennedy Lang</w:t>
      </w:r>
    </w:p>
    <w:p>
      <w:pPr>
        <w:spacing w:after="0" w:line="225"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In accordance with Rule 438 promulgated under the Securities Act of 1933, as amended, the undersigned hereby consents to being named in the Registration Statement on Form S-4 filed by Vringo, Inc. (“Vringo”) with the Securities and Exchange Commission on April 6, 2012, and all supplements and amendments thereto (the “Registration Statement”), as a director nominee for election to Vringo’s board of directors effective upon the completion of the merger as described in the Registration Statement.</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Kennedy Lang</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Kennedy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94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Date: 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361950</wp:posOffset>
            </wp:positionV>
            <wp:extent cx="7247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color w:val="auto"/>
        </w:rPr>
        <w:t>Exhibit 99.4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Alexander R. Berger</w:t>
      </w:r>
    </w:p>
    <w:p>
      <w:pPr>
        <w:spacing w:after="0" w:line="225"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In accordance with Rule 438 promulgated under the Securities Act of 1933, as amended, the undersigned hereby consents to being named in the Registration Statement on Form S-4 filed by Vringo, Inc. (“Vringo”) with the Securities and Exchange Commission on April 6, 2012, and all supplements and amendments thereto (the “Registration Statement”), as a director nominee for election to Vringo’s board of directors effective upon the completion of the merger as described in the Registration Statement.</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Alexander R. Berger</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94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Date: 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247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2" w:name="page433"/>
    <w:bookmarkEnd w:id="432"/>
    <w:p>
      <w:pPr>
        <w:jc w:val="right"/>
        <w:spacing w:after="0"/>
        <w:rPr>
          <w:sz w:val="20"/>
          <w:szCs w:val="20"/>
          <w:color w:val="auto"/>
        </w:rPr>
      </w:pPr>
      <w:r>
        <w:rPr>
          <w:rFonts w:ascii="Arial" w:cs="Arial" w:eastAsia="Arial" w:hAnsi="Arial"/>
          <w:sz w:val="18"/>
          <w:szCs w:val="18"/>
          <w:color w:val="auto"/>
        </w:rPr>
        <w:t>Exhibit 99.5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Donald E. Stout</w:t>
      </w:r>
    </w:p>
    <w:p>
      <w:pPr>
        <w:spacing w:after="0" w:line="225"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In accordance with Rule 438 promulgated under the Securities Act of 1933, as amended, the undersigned hereby consents to being named in the Registration Statement on Form S-4 filed by Vringo, Inc. (“Vringo”) with the Securities and Exchange Commission on April 6, 2012, and all supplements and amendments thereto (the “Registration Statement”), as a director nominee for election to Vringo’s board of directors effective upon the completion of the merger as described in the Registration Statement.</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Donald E. Stout</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Donald E. Stout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94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Date: 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247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color w:val="auto"/>
        </w:rPr>
        <w:t>Exhibit 99.6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H. Van Sinclair</w:t>
      </w:r>
    </w:p>
    <w:p>
      <w:pPr>
        <w:spacing w:after="0" w:line="225"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In accordance with Rule 438 promulgated under the Securities Act of 1933, as amended, the undersigned hereby consents to being named in the Registration Statement on Form S-4 filed by Vringo, Inc. (“Vringo”) with the Securities and Exchange Commission on April 6, 2012, and all supplements and amendments thereto (the “Registration Statement”), as a director nominee for election to Vringo’s board of directors effective upon the completion of the merger as described in the Registration Statement.</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 Van Sinclair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13335</wp:posOffset>
            </wp:positionV>
            <wp:extent cx="362394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 Van Sinclair</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April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361950</wp:posOffset>
            </wp:positionV>
            <wp:extent cx="7247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4" w:name="page435"/>
    <w:bookmarkEnd w:id="4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8D97C0"/>
    <w:multiLevelType w:val="hybridMultilevel"/>
    <w:lvl w:ilvl="0">
      <w:lvlJc w:val="left"/>
      <w:lvlText w:val="†"/>
      <w:numFmt w:val="bullet"/>
      <w:start w:val="1"/>
    </w:lvl>
  </w:abstractNum>
  <w:abstractNum w:abstractNumId="1">
    <w:nsid w:val="1D91467C"/>
    <w:multiLevelType w:val="hybridMultilevel"/>
    <w:lvl w:ilvl="0">
      <w:lvlJc w:val="left"/>
      <w:lvlText w:val="(%1)"/>
      <w:numFmt w:val="decimal"/>
      <w:start w:val="1"/>
    </w:lvl>
  </w:abstractNum>
  <w:abstractNum w:abstractNumId="2">
    <w:nsid w:val="316032BB"/>
    <w:multiLevelType w:val="hybridMultilevel"/>
    <w:lvl w:ilvl="0">
      <w:lvlJc w:val="left"/>
      <w:lvlText w:val="%1."/>
      <w:numFmt w:val="decimal"/>
      <w:start w:val="1"/>
    </w:lvl>
  </w:abstractNum>
  <w:abstractNum w:abstractNumId="3">
    <w:nsid w:val="44344C22"/>
    <w:multiLevelType w:val="hybridMultilevel"/>
    <w:lvl w:ilvl="0">
      <w:lvlJc w:val="left"/>
      <w:lvlText w:val="%1."/>
      <w:numFmt w:val="decimal"/>
      <w:start w:val="3"/>
    </w:lvl>
  </w:abstractNum>
  <w:abstractNum w:abstractNumId="4">
    <w:nsid w:val="13CDFCFC"/>
    <w:multiLevelType w:val="hybridMultilevel"/>
    <w:lvl w:ilvl="0">
      <w:lvlJc w:val="left"/>
      <w:lvlText w:val="%1:"/>
      <w:numFmt w:val="upperLetter"/>
      <w:start w:val="1"/>
    </w:lvl>
  </w:abstractNum>
  <w:abstractNum w:abstractNumId="5">
    <w:nsid w:val="471745E4"/>
    <w:multiLevelType w:val="hybridMultilevel"/>
    <w:lvl w:ilvl="0">
      <w:lvlJc w:val="left"/>
      <w:lvlText w:val="%1:"/>
      <w:numFmt w:val="upperLetter"/>
      <w:start w:val="1"/>
    </w:lvl>
  </w:abstractNum>
  <w:abstractNum w:abstractNumId="6">
    <w:nsid w:val="1DDBC66"/>
    <w:multiLevelType w:val="hybridMultilevel"/>
    <w:lvl w:ilvl="0">
      <w:lvlJc w:val="left"/>
      <w:lvlText w:val="%1:"/>
      <w:numFmt w:val="upperLetter"/>
      <w:start w:val="1"/>
    </w:lvl>
  </w:abstractNum>
  <w:abstractNum w:abstractNumId="7">
    <w:nsid w:val="30AADFDA"/>
    <w:multiLevelType w:val="hybridMultilevel"/>
    <w:lvl w:ilvl="0">
      <w:lvlJc w:val="left"/>
      <w:lvlText w:val="%1:"/>
      <w:numFmt w:val="upperLetter"/>
      <w:start w:val="1"/>
    </w:lvl>
  </w:abstractNum>
  <w:abstractNum w:abstractNumId="8">
    <w:nsid w:val="30EADA61"/>
    <w:multiLevelType w:val="hybridMultilevel"/>
    <w:lvl w:ilvl="0">
      <w:lvlJc w:val="left"/>
      <w:lvlText w:val="%1:"/>
      <w:numFmt w:val="upperLetter"/>
      <w:start w:val="1"/>
    </w:lvl>
  </w:abstractNum>
  <w:abstractNum w:abstractNumId="9">
    <w:nsid w:val="27179C0B"/>
    <w:multiLevelType w:val="hybridMultilevel"/>
    <w:lvl w:ilvl="0">
      <w:lvlJc w:val="left"/>
      <w:lvlText w:val="%1:"/>
      <w:numFmt w:val="upperLetter"/>
      <w:start w:val="17"/>
    </w:lvl>
  </w:abstractNum>
  <w:abstractNum w:abstractNumId="10">
    <w:nsid w:val="5E636063"/>
    <w:multiLevelType w:val="hybridMultilevel"/>
    <w:lvl w:ilvl="0">
      <w:lvlJc w:val="left"/>
      <w:lvlText w:val="%1:"/>
      <w:numFmt w:val="upperLetter"/>
      <w:start w:val="1"/>
    </w:lvl>
  </w:abstractNum>
  <w:abstractNum w:abstractNumId="11">
    <w:nsid w:val="215641AF"/>
    <w:multiLevelType w:val="hybridMultilevel"/>
    <w:lvl w:ilvl="0">
      <w:lvlJc w:val="left"/>
      <w:lvlText w:val="%1:"/>
      <w:numFmt w:val="upperLetter"/>
      <w:start w:val="1"/>
    </w:lvl>
  </w:abstractNum>
  <w:abstractNum w:abstractNumId="12">
    <w:nsid w:val="53280662"/>
    <w:multiLevelType w:val="hybridMultilevel"/>
    <w:lvl w:ilvl="0">
      <w:lvlJc w:val="left"/>
      <w:lvlText w:val="%1:"/>
      <w:numFmt w:val="upperLetter"/>
      <w:start w:val="1"/>
    </w:lvl>
  </w:abstractNum>
  <w:abstractNum w:abstractNumId="13">
    <w:nsid w:val="46B24DBC"/>
    <w:multiLevelType w:val="hybridMultilevel"/>
    <w:lvl w:ilvl="0">
      <w:lvlJc w:val="left"/>
      <w:lvlText w:val="•"/>
      <w:numFmt w:val="bullet"/>
      <w:start w:val="1"/>
    </w:lvl>
  </w:abstractNum>
  <w:abstractNum w:abstractNumId="14">
    <w:nsid w:val="75B52783"/>
    <w:multiLevelType w:val="hybridMultilevel"/>
    <w:lvl w:ilvl="0">
      <w:lvlJc w:val="left"/>
      <w:lvlText w:val="•"/>
      <w:numFmt w:val="bullet"/>
      <w:start w:val="1"/>
    </w:lvl>
  </w:abstractNum>
  <w:abstractNum w:abstractNumId="15">
    <w:nsid w:val="57CE66B4"/>
    <w:multiLevelType w:val="hybridMultilevel"/>
    <w:lvl w:ilvl="0">
      <w:lvlJc w:val="left"/>
      <w:lvlText w:val="•"/>
      <w:numFmt w:val="bullet"/>
      <w:start w:val="1"/>
    </w:lvl>
  </w:abstractNum>
  <w:abstractNum w:abstractNumId="16">
    <w:nsid w:val="67A70B69"/>
    <w:multiLevelType w:val="hybridMultilevel"/>
    <w:lvl w:ilvl="0">
      <w:lvlJc w:val="left"/>
      <w:lvlText w:val="%1:"/>
      <w:numFmt w:val="upperLetter"/>
      <w:start w:val="1"/>
    </w:lvl>
  </w:abstractNum>
  <w:abstractNum w:abstractNumId="17">
    <w:nsid w:val="5953172F"/>
    <w:multiLevelType w:val="hybridMultilevel"/>
    <w:lvl w:ilvl="0">
      <w:lvlJc w:val="left"/>
      <w:lvlText w:val="%1:"/>
      <w:numFmt w:val="upperLetter"/>
      <w:start w:val="17"/>
    </w:lvl>
  </w:abstractNum>
  <w:abstractNum w:abstractNumId="18">
    <w:nsid w:val="27EDFE3A"/>
    <w:multiLevelType w:val="hybridMultilevel"/>
    <w:lvl w:ilvl="0">
      <w:lvlJc w:val="left"/>
      <w:lvlText w:val="%1:"/>
      <w:numFmt w:val="upperLetter"/>
      <w:start w:val="1"/>
    </w:lvl>
  </w:abstractNum>
  <w:abstractNum w:abstractNumId="19">
    <w:nsid w:val="52AC7DFF"/>
    <w:multiLevelType w:val="hybridMultilevel"/>
    <w:lvl w:ilvl="0">
      <w:lvlJc w:val="left"/>
      <w:lvlText w:val="%1:"/>
      <w:numFmt w:val="upperLetter"/>
      <w:start w:val="1"/>
    </w:lvl>
  </w:abstractNum>
  <w:abstractNum w:abstractNumId="20">
    <w:nsid w:val="C4C3AF"/>
    <w:multiLevelType w:val="hybridMultilevel"/>
    <w:lvl w:ilvl="0">
      <w:lvlJc w:val="left"/>
      <w:lvlText w:val="%1:"/>
      <w:numFmt w:val="upperLetter"/>
      <w:start w:val="1"/>
    </w:lvl>
  </w:abstractNum>
  <w:abstractNum w:abstractNumId="21">
    <w:nsid w:val="44380727"/>
    <w:multiLevelType w:val="hybridMultilevel"/>
    <w:lvl w:ilvl="0">
      <w:lvlJc w:val="left"/>
      <w:lvlText w:val="%1:"/>
      <w:numFmt w:val="upperLetter"/>
      <w:start w:val="17"/>
    </w:lvl>
  </w:abstractNum>
  <w:abstractNum w:abstractNumId="22">
    <w:nsid w:val="6C053B16"/>
    <w:multiLevelType w:val="hybridMultilevel"/>
    <w:lvl w:ilvl="0">
      <w:lvlJc w:val="left"/>
      <w:lvlText w:val="%1:"/>
      <w:numFmt w:val="upperLetter"/>
      <w:start w:val="1"/>
    </w:lvl>
  </w:abstractNum>
  <w:abstractNum w:abstractNumId="23">
    <w:nsid w:val="4F294393"/>
    <w:multiLevelType w:val="hybridMultilevel"/>
    <w:lvl w:ilvl="0">
      <w:lvlJc w:val="left"/>
      <w:lvlText w:val="%1:"/>
      <w:numFmt w:val="upperLetter"/>
      <w:start w:val="1"/>
    </w:lvl>
    <w:lvl w:ilvl="1">
      <w:lvlJc w:val="left"/>
      <w:lvlText w:val="(%2)"/>
      <w:numFmt w:val="upperLetter"/>
      <w:start w:val="2"/>
    </w:lvl>
  </w:abstractNum>
  <w:abstractNum w:abstractNumId="24">
    <w:nsid w:val="5243BFAC"/>
    <w:multiLevelType w:val="hybridMultilevel"/>
    <w:lvl w:ilvl="0">
      <w:lvlJc w:val="left"/>
      <w:lvlText w:val="%1:"/>
      <w:numFmt w:val="upperLetter"/>
      <w:start w:val="1"/>
    </w:lvl>
  </w:abstractNum>
  <w:abstractNum w:abstractNumId="25">
    <w:nsid w:val="425EB207"/>
    <w:multiLevelType w:val="hybridMultilevel"/>
    <w:lvl w:ilvl="0">
      <w:lvlJc w:val="left"/>
      <w:lvlText w:val="%1:"/>
      <w:numFmt w:val="upperLetter"/>
      <w:start w:val="1"/>
    </w:lvl>
  </w:abstractNum>
  <w:abstractNum w:abstractNumId="26">
    <w:nsid w:val="334A6F1F"/>
    <w:multiLevelType w:val="hybridMultilevel"/>
    <w:lvl w:ilvl="0">
      <w:lvlJc w:val="left"/>
      <w:lvlText w:val="%1:"/>
      <w:numFmt w:val="upperLetter"/>
      <w:start w:val="1"/>
    </w:lvl>
  </w:abstractNum>
  <w:abstractNum w:abstractNumId="27">
    <w:nsid w:val="2E5B12B8"/>
    <w:multiLevelType w:val="hybridMultilevel"/>
    <w:lvl w:ilvl="0">
      <w:lvlJc w:val="left"/>
      <w:lvlText w:val="%1:"/>
      <w:numFmt w:val="upperLetter"/>
      <w:start w:val="1"/>
    </w:lvl>
  </w:abstractNum>
  <w:abstractNum w:abstractNumId="28">
    <w:nsid w:val="5C03D76D"/>
    <w:multiLevelType w:val="hybridMultilevel"/>
    <w:lvl w:ilvl="0">
      <w:lvlJc w:val="left"/>
      <w:lvlText w:val="%1:"/>
      <w:numFmt w:val="upperLetter"/>
      <w:start w:val="17"/>
    </w:lvl>
  </w:abstractNum>
  <w:abstractNum w:abstractNumId="29">
    <w:nsid w:val="66A48D11"/>
    <w:multiLevelType w:val="hybridMultilevel"/>
    <w:lvl w:ilvl="0">
      <w:lvlJc w:val="left"/>
      <w:lvlText w:val="%1:"/>
      <w:numFmt w:val="upperLetter"/>
      <w:start w:val="1"/>
    </w:lvl>
    <w:lvl w:ilvl="1">
      <w:lvlJc w:val="left"/>
      <w:lvlText w:val="(%2)"/>
      <w:numFmt w:val="decimal"/>
      <w:start w:val="7"/>
    </w:lvl>
  </w:abstractNum>
  <w:abstractNum w:abstractNumId="30">
    <w:nsid w:val="56C28E34"/>
    <w:multiLevelType w:val="hybridMultilevel"/>
    <w:lvl w:ilvl="0">
      <w:lvlJc w:val="left"/>
      <w:lvlText w:val="%1:"/>
      <w:numFmt w:val="upperLetter"/>
      <w:start w:val="1"/>
    </w:lvl>
  </w:abstractNum>
  <w:abstractNum w:abstractNumId="31">
    <w:nsid w:val="13916F2D"/>
    <w:multiLevelType w:val="hybridMultilevel"/>
    <w:lvl w:ilvl="0">
      <w:lvlJc w:val="left"/>
      <w:lvlText w:val="%1:"/>
      <w:numFmt w:val="upperLetter"/>
      <w:start w:val="1"/>
    </w:lvl>
  </w:abstractNum>
  <w:abstractNum w:abstractNumId="32">
    <w:nsid w:val="435D38D"/>
    <w:multiLevelType w:val="hybridMultilevel"/>
    <w:lvl w:ilvl="0">
      <w:lvlJc w:val="left"/>
      <w:lvlText w:val="%1:"/>
      <w:numFmt w:val="upperLetter"/>
      <w:start w:val="1"/>
    </w:lvl>
  </w:abstractNum>
  <w:abstractNum w:abstractNumId="33">
    <w:nsid w:val="822C0EF"/>
    <w:multiLevelType w:val="hybridMultilevel"/>
    <w:lvl w:ilvl="0">
      <w:lvlJc w:val="left"/>
      <w:lvlText w:val="%1:"/>
      <w:numFmt w:val="upperLetter"/>
      <w:start w:val="1"/>
    </w:lvl>
  </w:abstractNum>
  <w:abstractNum w:abstractNumId="34">
    <w:nsid w:val="57C5BB4F"/>
    <w:multiLevelType w:val="hybridMultilevel"/>
    <w:lvl w:ilvl="0">
      <w:lvlJc w:val="left"/>
      <w:lvlText w:val="%1:"/>
      <w:numFmt w:val="upperLetter"/>
      <w:start w:val="1"/>
    </w:lvl>
  </w:abstractNum>
  <w:abstractNum w:abstractNumId="35">
    <w:nsid w:val="1803D089"/>
    <w:multiLevelType w:val="hybridMultilevel"/>
    <w:lvl w:ilvl="0">
      <w:lvlJc w:val="left"/>
      <w:lvlText w:val="%1:"/>
      <w:numFmt w:val="upperLetter"/>
      <w:start w:val="1"/>
    </w:lvl>
  </w:abstractNum>
  <w:abstractNum w:abstractNumId="36">
    <w:nsid w:val="4F3A06D4"/>
    <w:multiLevelType w:val="hybridMultilevel"/>
    <w:lvl w:ilvl="0">
      <w:lvlJc w:val="left"/>
      <w:lvlText w:val="%1:"/>
      <w:numFmt w:val="upperLetter"/>
      <w:start w:val="1"/>
    </w:lvl>
  </w:abstractNum>
  <w:abstractNum w:abstractNumId="37">
    <w:nsid w:val="59A377B6"/>
    <w:multiLevelType w:val="hybridMultilevel"/>
    <w:lvl w:ilvl="0">
      <w:lvlJc w:val="left"/>
      <w:lvlText w:val="%1:"/>
      <w:numFmt w:val="upperLetter"/>
      <w:start w:val="17"/>
    </w:lvl>
  </w:abstractNum>
  <w:abstractNum w:abstractNumId="38">
    <w:nsid w:val="48AEB063"/>
    <w:multiLevelType w:val="hybridMultilevel"/>
    <w:lvl w:ilvl="0">
      <w:lvlJc w:val="left"/>
      <w:lvlText w:val="%1:"/>
      <w:numFmt w:val="upperLetter"/>
      <w:start w:val="1"/>
    </w:lvl>
  </w:abstractNum>
  <w:abstractNum w:abstractNumId="39">
    <w:nsid w:val="24E135"/>
    <w:multiLevelType w:val="hybridMultilevel"/>
    <w:lvl w:ilvl="0">
      <w:lvlJc w:val="left"/>
      <w:lvlText w:val="%1:"/>
      <w:numFmt w:val="upperLetter"/>
      <w:start w:val="1"/>
    </w:lvl>
  </w:abstractNum>
  <w:abstractNum w:abstractNumId="40">
    <w:nsid w:val="BB13C1"/>
    <w:multiLevelType w:val="hybridMultilevel"/>
    <w:lvl w:ilvl="0">
      <w:lvlJc w:val="left"/>
      <w:lvlText w:val="%1:"/>
      <w:numFmt w:val="upperLetter"/>
      <w:start w:val="1"/>
    </w:lvl>
  </w:abstractNum>
  <w:abstractNum w:abstractNumId="41">
    <w:nsid w:val="271210C7"/>
    <w:multiLevelType w:val="hybridMultilevel"/>
    <w:lvl w:ilvl="0">
      <w:lvlJc w:val="left"/>
      <w:lvlText w:val="%1:"/>
      <w:numFmt w:val="upperLetter"/>
      <w:start w:val="1"/>
    </w:lvl>
  </w:abstractNum>
  <w:abstractNum w:abstractNumId="42">
    <w:nsid w:val="217B22E4"/>
    <w:multiLevelType w:val="hybridMultilevel"/>
    <w:lvl w:ilvl="0">
      <w:lvlJc w:val="left"/>
      <w:lvlText w:val="%1:"/>
      <w:numFmt w:val="upperLetter"/>
      <w:start w:val="1"/>
    </w:lvl>
  </w:abstractNum>
  <w:abstractNum w:abstractNumId="43">
    <w:nsid w:val="53E31A24"/>
    <w:multiLevelType w:val="hybridMultilevel"/>
    <w:lvl w:ilvl="0">
      <w:lvlJc w:val="left"/>
      <w:lvlText w:val="%1:"/>
      <w:numFmt w:val="upperLetter"/>
      <w:start w:val="1"/>
    </w:lvl>
  </w:abstractNum>
  <w:abstractNum w:abstractNumId="44">
    <w:nsid w:val="6DC45E83"/>
    <w:multiLevelType w:val="hybridMultilevel"/>
    <w:lvl w:ilvl="0">
      <w:lvlJc w:val="left"/>
      <w:lvlText w:val="%1:"/>
      <w:numFmt w:val="upperLetter"/>
      <w:start w:val="1"/>
    </w:lvl>
  </w:abstractNum>
  <w:abstractNum w:abstractNumId="45">
    <w:nsid w:val="17304A67"/>
    <w:multiLevelType w:val="hybridMultilevel"/>
    <w:lvl w:ilvl="0">
      <w:lvlJc w:val="left"/>
      <w:lvlText w:val="%1:"/>
      <w:numFmt w:val="upperLetter"/>
      <w:start w:val="1"/>
    </w:lvl>
  </w:abstractNum>
  <w:abstractNum w:abstractNumId="46">
    <w:nsid w:val="2BB180D8"/>
    <w:multiLevelType w:val="hybridMultilevel"/>
    <w:lvl w:ilvl="0">
      <w:lvlJc w:val="left"/>
      <w:lvlText w:val="%1:"/>
      <w:numFmt w:val="upperLetter"/>
      <w:start w:val="1"/>
    </w:lvl>
  </w:abstractNum>
  <w:abstractNum w:abstractNumId="47">
    <w:nsid w:val="556B69ED"/>
    <w:multiLevelType w:val="hybridMultilevel"/>
    <w:lvl w:ilvl="0">
      <w:lvlJc w:val="left"/>
      <w:lvlText w:val="•"/>
      <w:numFmt w:val="bullet"/>
      <w:start w:val="1"/>
    </w:lvl>
  </w:abstractNum>
  <w:abstractNum w:abstractNumId="48">
    <w:nsid w:val="70836196"/>
    <w:multiLevelType w:val="hybridMultilevel"/>
    <w:lvl w:ilvl="0">
      <w:lvlJc w:val="left"/>
      <w:lvlText w:val="(%1)"/>
      <w:numFmt w:val="decimal"/>
      <w:start w:val="1"/>
    </w:lvl>
  </w:abstractNum>
  <w:abstractNum w:abstractNumId="49">
    <w:nsid w:val="539F7F12"/>
    <w:multiLevelType w:val="hybridMultilevel"/>
    <w:lvl w:ilvl="0">
      <w:lvlJc w:val="left"/>
      <w:lvlText w:val="•"/>
      <w:numFmt w:val="bullet"/>
      <w:start w:val="1"/>
    </w:lvl>
  </w:abstractNum>
  <w:abstractNum w:abstractNumId="50">
    <w:nsid w:val="2817E7EC"/>
    <w:multiLevelType w:val="hybridMultilevel"/>
    <w:lvl w:ilvl="0">
      <w:lvlJc w:val="left"/>
      <w:lvlText w:val="•"/>
      <w:numFmt w:val="bullet"/>
      <w:start w:val="1"/>
    </w:lvl>
  </w:abstractNum>
  <w:abstractNum w:abstractNumId="51">
    <w:nsid w:val="71482545"/>
    <w:multiLevelType w:val="hybridMultilevel"/>
    <w:lvl w:ilvl="0">
      <w:lvlJc w:val="left"/>
      <w:lvlText w:val="•"/>
      <w:numFmt w:val="bullet"/>
      <w:start w:val="1"/>
    </w:lvl>
    <w:lvl w:ilvl="1">
      <w:lvlJc w:val="left"/>
      <w:lvlText w:val="•"/>
      <w:numFmt w:val="bullet"/>
      <w:start w:val="1"/>
    </w:lvl>
  </w:abstractNum>
  <w:abstractNum w:abstractNumId="52">
    <w:nsid w:val="17D78639"/>
    <w:multiLevelType w:val="hybridMultilevel"/>
    <w:lvl w:ilvl="0">
      <w:lvlJc w:val="left"/>
      <w:lvlText w:val="•"/>
      <w:numFmt w:val="bullet"/>
      <w:start w:val="1"/>
    </w:lvl>
  </w:abstractNum>
  <w:abstractNum w:abstractNumId="53">
    <w:nsid w:val="141D2302"/>
    <w:multiLevelType w:val="hybridMultilevel"/>
    <w:lvl w:ilvl="0">
      <w:lvlJc w:val="left"/>
      <w:lvlText w:val="•"/>
      <w:numFmt w:val="bullet"/>
      <w:start w:val="1"/>
    </w:lvl>
  </w:abstractNum>
  <w:abstractNum w:abstractNumId="54">
    <w:nsid w:val="407168D8"/>
    <w:multiLevelType w:val="hybridMultilevel"/>
    <w:lvl w:ilvl="0">
      <w:lvlJc w:val="left"/>
      <w:lvlText w:val="(%1)"/>
      <w:numFmt w:val="lowerRoman"/>
      <w:start w:val="2"/>
    </w:lvl>
  </w:abstractNum>
  <w:abstractNum w:abstractNumId="55">
    <w:nsid w:val="6A1B45E5"/>
    <w:multiLevelType w:val="hybridMultilevel"/>
    <w:lvl w:ilvl="0">
      <w:lvlJc w:val="left"/>
      <w:lvlText w:val="*"/>
      <w:numFmt w:val="bullet"/>
      <w:start w:val="1"/>
    </w:lvl>
  </w:abstractNum>
  <w:abstractNum w:abstractNumId="56">
    <w:nsid w:val="567BD50A"/>
    <w:multiLevelType w:val="hybridMultilevel"/>
    <w:lvl w:ilvl="0">
      <w:lvlJc w:val="left"/>
      <w:lvlText w:val="%1."/>
      <w:numFmt w:val="decimal"/>
      <w:start w:val="1"/>
    </w:lvl>
  </w:abstractNum>
  <w:abstractNum w:abstractNumId="57">
    <w:nsid w:val="73BBD7F8"/>
    <w:multiLevelType w:val="hybridMultilevel"/>
    <w:lvl w:ilvl="0">
      <w:lvlJc w:val="left"/>
      <w:lvlText w:val="%1."/>
      <w:numFmt w:val="decimal"/>
      <w:start w:val="3"/>
    </w:lvl>
  </w:abstractNum>
  <w:abstractNum w:abstractNumId="58">
    <w:nsid w:val="1876589D"/>
    <w:multiLevelType w:val="hybridMultilevel"/>
    <w:lvl w:ilvl="0">
      <w:lvlJc w:val="left"/>
      <w:lvlText w:val="%1."/>
      <w:numFmt w:val="decimal"/>
      <w:start w:val="4"/>
    </w:lvl>
  </w:abstractNum>
  <w:abstractNum w:abstractNumId="59">
    <w:nsid w:val="327FAC77"/>
    <w:multiLevelType w:val="hybridMultilevel"/>
    <w:lvl w:ilvl="0">
      <w:lvlJc w:val="left"/>
      <w:lvlText w:val="%1."/>
      <w:numFmt w:val="decimal"/>
      <w:start w:val="7"/>
    </w:lvl>
  </w:abstractNum>
  <w:abstractNum w:abstractNumId="60">
    <w:nsid w:val="5A606509"/>
    <w:multiLevelType w:val="hybridMultilevel"/>
    <w:lvl w:ilvl="0">
      <w:lvlJc w:val="left"/>
      <w:lvlText w:val="%1."/>
      <w:numFmt w:val="decimal"/>
      <w:start w:val="8"/>
    </w:lvl>
  </w:abstractNum>
  <w:abstractNum w:abstractNumId="61">
    <w:nsid w:val="6F38E6D1"/>
    <w:multiLevelType w:val="hybridMultilevel"/>
    <w:lvl w:ilvl="0">
      <w:lvlJc w:val="left"/>
      <w:lvlText w:val="(%1)"/>
      <w:numFmt w:val="decimal"/>
      <w:start w:val="1"/>
    </w:lvl>
  </w:abstractNum>
  <w:abstractNum w:abstractNumId="62">
    <w:nsid w:val="46111BA5"/>
    <w:multiLevelType w:val="hybridMultilevel"/>
    <w:lvl w:ilvl="0">
      <w:lvlJc w:val="left"/>
      <w:lvlText w:val="*"/>
      <w:numFmt w:val="bullet"/>
      <w:start w:val="1"/>
    </w:lvl>
  </w:abstractNum>
  <w:abstractNum w:abstractNumId="63">
    <w:nsid w:val="5E963896"/>
    <w:multiLevelType w:val="hybridMultilevel"/>
    <w:lvl w:ilvl="0">
      <w:lvlJc w:val="left"/>
      <w:lvlText w:val="(%1)"/>
      <w:numFmt w:val="decimal"/>
      <w:start w:val="1"/>
    </w:lvl>
  </w:abstractNum>
  <w:abstractNum w:abstractNumId="64">
    <w:nsid w:val="775BA7C1"/>
    <w:multiLevelType w:val="hybridMultilevel"/>
    <w:lvl w:ilvl="0">
      <w:lvlJc w:val="left"/>
      <w:lvlText w:val="(%1)"/>
      <w:numFmt w:val="decimal"/>
      <w:start w:val="6"/>
    </w:lvl>
  </w:abstractNum>
  <w:abstractNum w:abstractNumId="65">
    <w:nsid w:val="1DD6D6F4"/>
    <w:multiLevelType w:val="hybridMultilevel"/>
    <w:lvl w:ilvl="0">
      <w:lvlJc w:val="left"/>
      <w:lvlText w:val="•"/>
      <w:numFmt w:val="bullet"/>
      <w:start w:val="1"/>
    </w:lvl>
  </w:abstractNum>
  <w:abstractNum w:abstractNumId="66">
    <w:nsid w:val="769A091F"/>
    <w:multiLevelType w:val="hybridMultilevel"/>
    <w:lvl w:ilvl="0">
      <w:lvlJc w:val="left"/>
      <w:lvlText w:val="•"/>
      <w:numFmt w:val="bullet"/>
      <w:start w:val="1"/>
    </w:lvl>
  </w:abstractNum>
  <w:abstractNum w:abstractNumId="67">
    <w:nsid w:val="4695AE95"/>
    <w:multiLevelType w:val="hybridMultilevel"/>
    <w:lvl w:ilvl="0">
      <w:lvlJc w:val="left"/>
      <w:lvlText w:val="•"/>
      <w:numFmt w:val="bullet"/>
      <w:start w:val="1"/>
    </w:lvl>
  </w:abstractNum>
  <w:abstractNum w:abstractNumId="68">
    <w:nsid w:val="777A4EAA"/>
    <w:multiLevelType w:val="hybridMultilevel"/>
    <w:lvl w:ilvl="0">
      <w:lvlJc w:val="left"/>
      <w:lvlText w:val="•"/>
      <w:numFmt w:val="bullet"/>
      <w:start w:val="1"/>
    </w:lvl>
  </w:abstractNum>
  <w:abstractNum w:abstractNumId="69">
    <w:nsid w:val="3F48B982"/>
    <w:multiLevelType w:val="hybridMultilevel"/>
    <w:lvl w:ilvl="0">
      <w:lvlJc w:val="left"/>
      <w:lvlText w:val="•"/>
      <w:numFmt w:val="bullet"/>
      <w:start w:val="1"/>
    </w:lvl>
  </w:abstractNum>
  <w:abstractNum w:abstractNumId="70">
    <w:nsid w:val="46BA8FCA"/>
    <w:multiLevelType w:val="hybridMultilevel"/>
    <w:lvl w:ilvl="0">
      <w:lvlJc w:val="left"/>
      <w:lvlText w:val="•"/>
      <w:numFmt w:val="bullet"/>
      <w:start w:val="1"/>
    </w:lvl>
  </w:abstractNum>
  <w:abstractNum w:abstractNumId="71">
    <w:nsid w:val="7835626C"/>
    <w:multiLevelType w:val="hybridMultilevel"/>
    <w:lvl w:ilvl="0">
      <w:lvlJc w:val="left"/>
      <w:lvlText w:val="•"/>
      <w:numFmt w:val="bullet"/>
      <w:start w:val="1"/>
    </w:lvl>
  </w:abstractNum>
  <w:abstractNum w:abstractNumId="72">
    <w:nsid w:val="665ACA49"/>
    <w:multiLevelType w:val="hybridMultilevel"/>
    <w:lvl w:ilvl="0">
      <w:lvlJc w:val="left"/>
      <w:lvlText w:val="•"/>
      <w:numFmt w:val="bullet"/>
      <w:start w:val="1"/>
    </w:lvl>
  </w:abstractNum>
  <w:abstractNum w:abstractNumId="73">
    <w:nsid w:val="6835B2AE"/>
    <w:multiLevelType w:val="hybridMultilevel"/>
    <w:lvl w:ilvl="0">
      <w:lvlJc w:val="left"/>
      <w:lvlText w:val="•"/>
      <w:numFmt w:val="bullet"/>
      <w:start w:val="1"/>
    </w:lvl>
  </w:abstractNum>
  <w:abstractNum w:abstractNumId="74">
    <w:nsid w:val="4C187C90"/>
    <w:multiLevelType w:val="hybridMultilevel"/>
    <w:lvl w:ilvl="0">
      <w:lvlJc w:val="left"/>
      <w:lvlText w:val="•"/>
      <w:numFmt w:val="bullet"/>
      <w:start w:val="1"/>
    </w:lvl>
  </w:abstractNum>
  <w:abstractNum w:abstractNumId="75">
    <w:nsid w:val="541F28CD"/>
    <w:multiLevelType w:val="hybridMultilevel"/>
    <w:lvl w:ilvl="0">
      <w:lvlJc w:val="left"/>
      <w:lvlText w:val="•"/>
      <w:numFmt w:val="bullet"/>
      <w:start w:val="1"/>
    </w:lvl>
  </w:abstractNum>
  <w:abstractNum w:abstractNumId="76">
    <w:nsid w:val="7F65FD16"/>
    <w:multiLevelType w:val="hybridMultilevel"/>
    <w:lvl w:ilvl="0">
      <w:lvlJc w:val="left"/>
      <w:lvlText w:val="•"/>
      <w:numFmt w:val="bullet"/>
      <w:start w:val="1"/>
    </w:lvl>
  </w:abstractNum>
  <w:abstractNum w:abstractNumId="77">
    <w:nsid w:val="77C9FD68"/>
    <w:multiLevelType w:val="hybridMultilevel"/>
    <w:lvl w:ilvl="0">
      <w:lvlJc w:val="left"/>
      <w:lvlText w:val="•"/>
      <w:numFmt w:val="bullet"/>
      <w:start w:val="1"/>
    </w:lvl>
  </w:abstractNum>
  <w:abstractNum w:abstractNumId="78">
    <w:nsid w:val="298A92BA"/>
    <w:multiLevelType w:val="hybridMultilevel"/>
    <w:lvl w:ilvl="0">
      <w:lvlJc w:val="left"/>
      <w:lvlText w:val="•"/>
      <w:numFmt w:val="bullet"/>
      <w:start w:val="1"/>
    </w:lvl>
  </w:abstractNum>
  <w:abstractNum w:abstractNumId="79">
    <w:nsid w:val="6FE95EAC"/>
    <w:multiLevelType w:val="hybridMultilevel"/>
    <w:lvl w:ilvl="0">
      <w:lvlJc w:val="left"/>
      <w:lvlText w:val="•"/>
      <w:numFmt w:val="bullet"/>
      <w:start w:val="1"/>
    </w:lvl>
  </w:abstractNum>
  <w:abstractNum w:abstractNumId="80">
    <w:nsid w:val="4B697C7A"/>
    <w:multiLevelType w:val="hybridMultilevel"/>
    <w:lvl w:ilvl="0">
      <w:lvlJc w:val="left"/>
      <w:lvlText w:val="•"/>
      <w:numFmt w:val="bullet"/>
      <w:start w:val="1"/>
    </w:lvl>
  </w:abstractNum>
  <w:abstractNum w:abstractNumId="81">
    <w:nsid w:val="51A27AA6"/>
    <w:multiLevelType w:val="hybridMultilevel"/>
    <w:lvl w:ilvl="0">
      <w:lvlJc w:val="left"/>
      <w:lvlText w:val="•"/>
      <w:numFmt w:val="bullet"/>
      <w:start w:val="1"/>
    </w:lvl>
  </w:abstractNum>
  <w:abstractNum w:abstractNumId="82">
    <w:nsid w:val="613183F2"/>
    <w:multiLevelType w:val="hybridMultilevel"/>
    <w:lvl w:ilvl="0">
      <w:lvlJc w:val="left"/>
      <w:lvlText w:val="•"/>
      <w:numFmt w:val="bullet"/>
      <w:start w:val="1"/>
    </w:lvl>
  </w:abstractNum>
  <w:abstractNum w:abstractNumId="83">
    <w:nsid w:val="634102B4"/>
    <w:multiLevelType w:val="hybridMultilevel"/>
    <w:lvl w:ilvl="0">
      <w:lvlJc w:val="left"/>
      <w:lvlText w:val="•"/>
      <w:numFmt w:val="bullet"/>
      <w:start w:val="1"/>
    </w:lvl>
  </w:abstractNum>
  <w:abstractNum w:abstractNumId="84">
    <w:nsid w:val="65BF9DA8"/>
    <w:multiLevelType w:val="hybridMultilevel"/>
    <w:lvl w:ilvl="0">
      <w:lvlJc w:val="left"/>
      <w:lvlText w:val="•"/>
      <w:numFmt w:val="bullet"/>
      <w:start w:val="1"/>
    </w:lvl>
  </w:abstractNum>
  <w:abstractNum w:abstractNumId="85">
    <w:nsid w:val="21A2ECCA"/>
    <w:multiLevelType w:val="hybridMultilevel"/>
    <w:lvl w:ilvl="0">
      <w:lvlJc w:val="left"/>
      <w:lvlText w:val="•"/>
      <w:numFmt w:val="bullet"/>
      <w:start w:val="1"/>
    </w:lvl>
  </w:abstractNum>
  <w:abstractNum w:abstractNumId="86">
    <w:nsid w:val="4D5C4899"/>
    <w:multiLevelType w:val="hybridMultilevel"/>
    <w:lvl w:ilvl="0">
      <w:lvlJc w:val="left"/>
      <w:lvlText w:val="•"/>
      <w:numFmt w:val="bullet"/>
      <w:start w:val="1"/>
    </w:lvl>
  </w:abstractNum>
  <w:abstractNum w:abstractNumId="87">
    <w:nsid w:val="3C3B72B2"/>
    <w:multiLevelType w:val="hybridMultilevel"/>
    <w:lvl w:ilvl="0">
      <w:lvlJc w:val="left"/>
      <w:lvlText w:val="(%1)"/>
      <w:numFmt w:val="lowerRoman"/>
      <w:start w:val="2"/>
    </w:lvl>
  </w:abstractNum>
  <w:abstractNum w:abstractNumId="88">
    <w:nsid w:val="155EC4C2"/>
    <w:multiLevelType w:val="hybridMultilevel"/>
    <w:lvl w:ilvl="0">
      <w:lvlJc w:val="left"/>
      <w:lvlText w:val="•"/>
      <w:numFmt w:val="bullet"/>
      <w:start w:val="1"/>
    </w:lvl>
  </w:abstractNum>
  <w:abstractNum w:abstractNumId="89">
    <w:nsid w:val="65D2A137"/>
    <w:multiLevelType w:val="hybridMultilevel"/>
    <w:lvl w:ilvl="0">
      <w:lvlJc w:val="left"/>
      <w:lvlText w:val="•"/>
      <w:numFmt w:val="bullet"/>
      <w:start w:val="1"/>
    </w:lvl>
  </w:abstractNum>
  <w:abstractNum w:abstractNumId="90">
    <w:nsid w:val="6EBB1F2A"/>
    <w:multiLevelType w:val="hybridMultilevel"/>
    <w:lvl w:ilvl="0">
      <w:lvlJc w:val="left"/>
      <w:lvlText w:val="•"/>
      <w:numFmt w:val="bullet"/>
      <w:start w:val="1"/>
    </w:lvl>
  </w:abstractNum>
  <w:abstractNum w:abstractNumId="91">
    <w:nsid w:val="6FBF29CB"/>
    <w:multiLevelType w:val="hybridMultilevel"/>
    <w:lvl w:ilvl="0">
      <w:lvlJc w:val="left"/>
      <w:lvlText w:val="•"/>
      <w:numFmt w:val="bullet"/>
      <w:start w:val="1"/>
    </w:lvl>
  </w:abstractNum>
  <w:abstractNum w:abstractNumId="92">
    <w:nsid w:val="550B8808"/>
    <w:multiLevelType w:val="hybridMultilevel"/>
    <w:lvl w:ilvl="0">
      <w:lvlJc w:val="left"/>
      <w:lvlText w:val="•"/>
      <w:numFmt w:val="bullet"/>
      <w:start w:val="1"/>
    </w:lvl>
  </w:abstractNum>
  <w:abstractNum w:abstractNumId="93">
    <w:nsid w:val="34CC3ACF"/>
    <w:multiLevelType w:val="hybridMultilevel"/>
    <w:lvl w:ilvl="0">
      <w:lvlJc w:val="left"/>
      <w:lvlText w:val="•"/>
      <w:numFmt w:val="bullet"/>
      <w:start w:val="1"/>
    </w:lvl>
  </w:abstractNum>
  <w:abstractNum w:abstractNumId="94">
    <w:nsid w:val="4E556261"/>
    <w:multiLevelType w:val="hybridMultilevel"/>
    <w:lvl w:ilvl="0">
      <w:lvlJc w:val="left"/>
      <w:lvlText w:val="(%1)"/>
      <w:numFmt w:val="lowerLetter"/>
      <w:start w:val="25"/>
    </w:lvl>
  </w:abstractNum>
  <w:abstractNum w:abstractNumId="95">
    <w:nsid w:val="4C672FC9"/>
    <w:multiLevelType w:val="hybridMultilevel"/>
    <w:lvl w:ilvl="0">
      <w:lvlJc w:val="left"/>
      <w:lvlText w:val="•"/>
      <w:numFmt w:val="bullet"/>
      <w:start w:val="1"/>
    </w:lvl>
  </w:abstractNum>
  <w:abstractNum w:abstractNumId="96">
    <w:nsid w:val="52A311C3"/>
    <w:multiLevelType w:val="hybridMultilevel"/>
    <w:lvl w:ilvl="0">
      <w:lvlJc w:val="left"/>
      <w:lvlText w:val="•"/>
      <w:numFmt w:val="bullet"/>
      <w:start w:val="1"/>
    </w:lvl>
  </w:abstractNum>
  <w:abstractNum w:abstractNumId="97">
    <w:nsid w:val="44EF6B80"/>
    <w:multiLevelType w:val="hybridMultilevel"/>
    <w:lvl w:ilvl="0">
      <w:lvlJc w:val="left"/>
      <w:lvlText w:val="•"/>
      <w:numFmt w:val="bullet"/>
      <w:start w:val="1"/>
    </w:lvl>
  </w:abstractNum>
  <w:abstractNum w:abstractNumId="98">
    <w:nsid w:val="12FCDE5E"/>
    <w:multiLevelType w:val="hybridMultilevel"/>
    <w:lvl w:ilvl="0">
      <w:lvlJc w:val="left"/>
      <w:lvlText w:val="•"/>
      <w:numFmt w:val="bullet"/>
      <w:start w:val="1"/>
    </w:lvl>
  </w:abstractNum>
  <w:abstractNum w:abstractNumId="99">
    <w:nsid w:val="4A1D606E"/>
    <w:multiLevelType w:val="hybridMultilevel"/>
    <w:lvl w:ilvl="0">
      <w:lvlJc w:val="left"/>
      <w:lvlText w:val="%1."/>
      <w:numFmt w:val="decimal"/>
      <w:start w:val="1"/>
    </w:lvl>
  </w:abstractNum>
  <w:abstractNum w:abstractNumId="100">
    <w:nsid w:val="4382503"/>
    <w:multiLevelType w:val="hybridMultilevel"/>
    <w:lvl w:ilvl="0">
      <w:lvlJc w:val="left"/>
      <w:lvlText w:val="•"/>
      <w:numFmt w:val="bullet"/>
      <w:start w:val="1"/>
    </w:lvl>
  </w:abstractNum>
  <w:abstractNum w:abstractNumId="101">
    <w:nsid w:val="59B76E28"/>
    <w:multiLevelType w:val="hybridMultilevel"/>
    <w:lvl w:ilvl="0">
      <w:lvlJc w:val="left"/>
      <w:lvlText w:val="•"/>
      <w:numFmt w:val="bullet"/>
      <w:start w:val="1"/>
    </w:lvl>
  </w:abstractNum>
  <w:abstractNum w:abstractNumId="102">
    <w:nsid w:val="4252C2DA"/>
    <w:multiLevelType w:val="hybridMultilevel"/>
    <w:lvl w:ilvl="0">
      <w:lvlJc w:val="left"/>
      <w:lvlText w:val="•"/>
      <w:numFmt w:val="bullet"/>
      <w:start w:val="1"/>
    </w:lvl>
  </w:abstractNum>
  <w:abstractNum w:abstractNumId="103">
    <w:nsid w:val="6A92EF4C"/>
    <w:multiLevelType w:val="hybridMultilevel"/>
    <w:lvl w:ilvl="0">
      <w:lvlJc w:val="left"/>
      <w:lvlText w:val="•"/>
      <w:numFmt w:val="bullet"/>
      <w:start w:val="1"/>
    </w:lvl>
  </w:abstractNum>
  <w:abstractNum w:abstractNumId="104">
    <w:nsid w:val="41ED20D7"/>
    <w:multiLevelType w:val="hybridMultilevel"/>
    <w:lvl w:ilvl="0">
      <w:lvlJc w:val="left"/>
      <w:lvlText w:val="%1."/>
      <w:numFmt w:val="decimal"/>
      <w:start w:val="4"/>
    </w:lvl>
  </w:abstractNum>
  <w:abstractNum w:abstractNumId="105">
    <w:nsid w:val="E6B3F6A"/>
    <w:multiLevelType w:val="hybridMultilevel"/>
    <w:lvl w:ilvl="0">
      <w:lvlJc w:val="left"/>
      <w:lvlText w:val="•"/>
      <w:numFmt w:val="bullet"/>
      <w:start w:val="1"/>
    </w:lvl>
  </w:abstractNum>
  <w:abstractNum w:abstractNumId="106">
    <w:nsid w:val="3EB21819"/>
    <w:multiLevelType w:val="hybridMultilevel"/>
    <w:lvl w:ilvl="0">
      <w:lvlJc w:val="left"/>
      <w:lvlText w:val="(%1)"/>
      <w:numFmt w:val="decimal"/>
      <w:start w:val="1"/>
    </w:lvl>
  </w:abstractNum>
  <w:abstractNum w:abstractNumId="107">
    <w:nsid w:val="41531DED"/>
    <w:multiLevelType w:val="hybridMultilevel"/>
    <w:lvl w:ilvl="0">
      <w:lvlJc w:val="left"/>
      <w:lvlText w:val="•"/>
      <w:numFmt w:val="bullet"/>
      <w:start w:val="1"/>
    </w:lvl>
  </w:abstractNum>
  <w:abstractNum w:abstractNumId="108">
    <w:nsid w:val="6353CD2"/>
    <w:multiLevelType w:val="hybridMultilevel"/>
    <w:lvl w:ilvl="0">
      <w:lvlJc w:val="left"/>
      <w:lvlText w:val="•"/>
      <w:numFmt w:val="bullet"/>
      <w:start w:val="1"/>
    </w:lvl>
  </w:abstractNum>
  <w:abstractNum w:abstractNumId="109">
    <w:nsid w:val="683CAAD3"/>
    <w:multiLevelType w:val="hybridMultilevel"/>
    <w:lvl w:ilvl="0">
      <w:lvlJc w:val="left"/>
      <w:lvlText w:val="•"/>
      <w:numFmt w:val="bullet"/>
      <w:start w:val="1"/>
    </w:lvl>
  </w:abstractNum>
  <w:abstractNum w:abstractNumId="110">
    <w:nsid w:val="313C7C99"/>
    <w:multiLevelType w:val="hybridMultilevel"/>
    <w:lvl w:ilvl="0">
      <w:lvlJc w:val="left"/>
      <w:lvlText w:val="(%1)"/>
      <w:numFmt w:val="lowerRoman"/>
      <w:start w:val="1"/>
    </w:lvl>
  </w:abstractNum>
  <w:abstractNum w:abstractNumId="111">
    <w:nsid w:val="519EB94C"/>
    <w:multiLevelType w:val="hybridMultilevel"/>
    <w:lvl w:ilvl="0">
      <w:lvlJc w:val="left"/>
      <w:lvlText w:val="•"/>
      <w:numFmt w:val="bullet"/>
      <w:start w:val="1"/>
    </w:lvl>
  </w:abstractNum>
  <w:abstractNum w:abstractNumId="112">
    <w:nsid w:val="39DF2579"/>
    <w:multiLevelType w:val="hybridMultilevel"/>
    <w:lvl w:ilvl="0">
      <w:lvlJc w:val="left"/>
      <w:lvlText w:val="(%1)"/>
      <w:numFmt w:val="decimal"/>
      <w:start w:val="1"/>
    </w:lvl>
  </w:abstractNum>
  <w:abstractNum w:abstractNumId="113">
    <w:nsid w:val="126E008B"/>
    <w:multiLevelType w:val="hybridMultilevel"/>
    <w:lvl w:ilvl="0">
      <w:lvlJc w:val="left"/>
      <w:lvlText w:val="•"/>
      <w:numFmt w:val="bullet"/>
      <w:start w:val="1"/>
    </w:lvl>
  </w:abstractNum>
  <w:abstractNum w:abstractNumId="114">
    <w:nsid w:val="34DFBC00"/>
    <w:multiLevelType w:val="hybridMultilevel"/>
    <w:lvl w:ilvl="0">
      <w:lvlJc w:val="left"/>
      <w:lvlText w:val="•"/>
      <w:numFmt w:val="bullet"/>
      <w:start w:val="1"/>
    </w:lvl>
  </w:abstractNum>
  <w:abstractNum w:abstractNumId="115">
    <w:nsid w:val="1F9EC322"/>
    <w:multiLevelType w:val="hybridMultilevel"/>
    <w:lvl w:ilvl="0">
      <w:lvlJc w:val="left"/>
      <w:lvlText w:val="•"/>
      <w:numFmt w:val="bullet"/>
      <w:start w:val="1"/>
    </w:lvl>
  </w:abstractNum>
  <w:abstractNum w:abstractNumId="116">
    <w:nsid w:val="3410ED56"/>
    <w:multiLevelType w:val="hybridMultilevel"/>
    <w:lvl w:ilvl="0">
      <w:lvlJc w:val="left"/>
      <w:lvlText w:val="(%1)"/>
      <w:numFmt w:val="lowerRoman"/>
      <w:start w:val="3"/>
    </w:lvl>
  </w:abstractNum>
  <w:abstractNum w:abstractNumId="117">
    <w:nsid w:val="23C049A"/>
    <w:multiLevelType w:val="hybridMultilevel"/>
    <w:lvl w:ilvl="0">
      <w:lvlJc w:val="left"/>
      <w:lvlText w:val="•"/>
      <w:numFmt w:val="bullet"/>
      <w:start w:val="1"/>
    </w:lvl>
  </w:abstractNum>
  <w:abstractNum w:abstractNumId="118">
    <w:nsid w:val="5BDA35D4"/>
    <w:multiLevelType w:val="hybridMultilevel"/>
    <w:lvl w:ilvl="0">
      <w:lvlJc w:val="left"/>
      <w:lvlText w:val="•"/>
      <w:numFmt w:val="bullet"/>
      <w:start w:val="1"/>
    </w:lvl>
  </w:abstractNum>
  <w:abstractNum w:abstractNumId="119">
    <w:nsid w:val="496FB218"/>
    <w:multiLevelType w:val="hybridMultilevel"/>
    <w:lvl w:ilvl="0">
      <w:lvlJc w:val="left"/>
      <w:lvlText w:val="•"/>
      <w:numFmt w:val="bullet"/>
      <w:start w:val="1"/>
    </w:lvl>
  </w:abstractNum>
  <w:abstractNum w:abstractNumId="120">
    <w:nsid w:val="680EA5D1"/>
    <w:multiLevelType w:val="hybridMultilevel"/>
    <w:lvl w:ilvl="0">
      <w:lvlJc w:val="left"/>
      <w:lvlText w:val="•"/>
      <w:numFmt w:val="bullet"/>
      <w:start w:val="1"/>
    </w:lvl>
  </w:abstractNum>
  <w:abstractNum w:abstractNumId="121">
    <w:nsid w:val="4A9554FE"/>
    <w:multiLevelType w:val="hybridMultilevel"/>
    <w:lvl w:ilvl="0">
      <w:lvlJc w:val="left"/>
      <w:lvlText w:val="•"/>
      <w:numFmt w:val="bullet"/>
      <w:start w:val="1"/>
    </w:lvl>
  </w:abstractNum>
  <w:abstractNum w:abstractNumId="122">
    <w:nsid w:val="392EDBE4"/>
    <w:multiLevelType w:val="hybridMultilevel"/>
    <w:lvl w:ilvl="0">
      <w:lvlJc w:val="left"/>
      <w:lvlText w:val="•"/>
      <w:numFmt w:val="bullet"/>
      <w:start w:val="1"/>
    </w:lvl>
  </w:abstractNum>
  <w:abstractNum w:abstractNumId="123">
    <w:nsid w:val="3D1A2DD9"/>
    <w:multiLevelType w:val="hybridMultilevel"/>
    <w:lvl w:ilvl="0">
      <w:lvlJc w:val="left"/>
      <w:lvlText w:val="•"/>
      <w:numFmt w:val="bullet"/>
      <w:start w:val="1"/>
    </w:lvl>
  </w:abstractNum>
  <w:abstractNum w:abstractNumId="124">
    <w:nsid w:val="7F618FCD"/>
    <w:multiLevelType w:val="hybridMultilevel"/>
    <w:lvl w:ilvl="0">
      <w:lvlJc w:val="left"/>
      <w:lvlText w:val="•"/>
      <w:numFmt w:val="bullet"/>
      <w:start w:val="1"/>
    </w:lvl>
  </w:abstractNum>
  <w:abstractNum w:abstractNumId="125">
    <w:nsid w:val="7843E45"/>
    <w:multiLevelType w:val="hybridMultilevel"/>
    <w:lvl w:ilvl="0">
      <w:lvlJc w:val="left"/>
      <w:lvlText w:val="•"/>
      <w:numFmt w:val="bullet"/>
      <w:start w:val="1"/>
    </w:lvl>
  </w:abstractNum>
  <w:abstractNum w:abstractNumId="126">
    <w:nsid w:val="9815DA3"/>
    <w:multiLevelType w:val="hybridMultilevel"/>
    <w:lvl w:ilvl="0">
      <w:lvlJc w:val="left"/>
      <w:lvlText w:val="(%1)"/>
      <w:numFmt w:val="decimal"/>
      <w:start w:val="1"/>
    </w:lvl>
  </w:abstractNum>
  <w:abstractNum w:abstractNumId="127">
    <w:nsid w:val="5204A191"/>
    <w:multiLevelType w:val="hybridMultilevel"/>
    <w:lvl w:ilvl="0">
      <w:lvlJc w:val="left"/>
      <w:lvlText w:val="(%1)"/>
      <w:numFmt w:val="decimal"/>
      <w:start w:val="1"/>
    </w:lvl>
  </w:abstractNum>
  <w:abstractNum w:abstractNumId="128">
    <w:nsid w:val="4C73A9C6"/>
    <w:multiLevelType w:val="hybridMultilevel"/>
    <w:lvl w:ilvl="0">
      <w:lvlJc w:val="left"/>
      <w:lvlText w:val="(%1)"/>
      <w:numFmt w:val="decimal"/>
      <w:start w:val="1"/>
    </w:lvl>
  </w:abstractNum>
  <w:abstractNum w:abstractNumId="129">
    <w:nsid w:val="1C7E3C01"/>
    <w:multiLevelType w:val="hybridMultilevel"/>
    <w:lvl w:ilvl="0">
      <w:lvlJc w:val="left"/>
      <w:lvlText w:val="(%1)"/>
      <w:numFmt w:val="decimal"/>
      <w:start w:val="1"/>
    </w:lvl>
  </w:abstractNum>
  <w:abstractNum w:abstractNumId="130">
    <w:nsid w:val="1C2201FF"/>
    <w:multiLevelType w:val="hybridMultilevel"/>
    <w:lvl w:ilvl="0">
      <w:lvlJc w:val="left"/>
      <w:lvlText w:val="(%1)"/>
      <w:numFmt w:val="decimal"/>
      <w:start w:val="1"/>
    </w:lvl>
  </w:abstractNum>
  <w:abstractNum w:abstractNumId="131">
    <w:nsid w:val="50ABCEC9"/>
    <w:multiLevelType w:val="hybridMultilevel"/>
    <w:lvl w:ilvl="0">
      <w:lvlJc w:val="left"/>
      <w:lvlText w:val="(%1)"/>
      <w:numFmt w:val="decimal"/>
      <w:start w:val="3"/>
    </w:lvl>
  </w:abstractNum>
  <w:abstractNum w:abstractNumId="132">
    <w:nsid w:val="7635AA2A"/>
    <w:multiLevelType w:val="hybridMultilevel"/>
    <w:lvl w:ilvl="0">
      <w:lvlJc w:val="left"/>
      <w:lvlText w:val="(%1)"/>
      <w:numFmt w:val="decimal"/>
      <w:start w:val="1"/>
    </w:lvl>
  </w:abstractNum>
  <w:abstractNum w:abstractNumId="133">
    <w:nsid w:val="5E74C4D9"/>
    <w:multiLevelType w:val="hybridMultilevel"/>
    <w:lvl w:ilvl="0">
      <w:lvlJc w:val="left"/>
      <w:lvlText w:val="*"/>
      <w:numFmt w:val="bullet"/>
      <w:start w:val="1"/>
    </w:lvl>
  </w:abstractNum>
  <w:abstractNum w:abstractNumId="134">
    <w:nsid w:val="3B3EBE15"/>
    <w:multiLevelType w:val="hybridMultilevel"/>
    <w:lvl w:ilvl="0">
      <w:lvlJc w:val="left"/>
      <w:lvlText w:val="(%1)"/>
      <w:numFmt w:val="decimal"/>
      <w:start w:val="1"/>
    </w:lvl>
  </w:abstractNum>
  <w:abstractNum w:abstractNumId="135">
    <w:nsid w:val="3822CB01"/>
    <w:multiLevelType w:val="hybridMultilevel"/>
    <w:lvl w:ilvl="0">
      <w:lvlJc w:val="left"/>
      <w:lvlText w:val="(%1)"/>
      <w:numFmt w:val="lowerRoman"/>
      <w:start w:val="2"/>
    </w:lvl>
  </w:abstractNum>
  <w:abstractNum w:abstractNumId="136">
    <w:nsid w:val="6CE00443"/>
    <w:multiLevelType w:val="hybridMultilevel"/>
    <w:lvl w:ilvl="0">
      <w:lvlJc w:val="left"/>
      <w:lvlText w:val="(%1)"/>
      <w:numFmt w:val="decimal"/>
      <w:start w:val="1"/>
    </w:lvl>
  </w:abstractNum>
  <w:abstractNum w:abstractNumId="137">
    <w:nsid w:val="79F0D62F"/>
    <w:multiLevelType w:val="hybridMultilevel"/>
    <w:lvl w:ilvl="0">
      <w:lvlJc w:val="left"/>
      <w:lvlText w:val="*"/>
      <w:numFmt w:val="bullet"/>
      <w:start w:val="1"/>
    </w:lvl>
  </w:abstractNum>
  <w:abstractNum w:abstractNumId="138">
    <w:nsid w:val="7975E8EE"/>
    <w:multiLevelType w:val="hybridMultilevel"/>
    <w:lvl w:ilvl="0">
      <w:lvlJc w:val="left"/>
      <w:lvlText w:val="(%1)"/>
      <w:numFmt w:val="decimal"/>
      <w:start w:val="1"/>
    </w:lvl>
  </w:abstractNum>
  <w:abstractNum w:abstractNumId="139">
    <w:nsid w:val="73154115"/>
    <w:multiLevelType w:val="hybridMultilevel"/>
    <w:lvl w:ilvl="0">
      <w:lvlJc w:val="left"/>
      <w:lvlText w:val="(%1)"/>
      <w:numFmt w:val="decimal"/>
      <w:start w:val="6"/>
    </w:lvl>
  </w:abstractNum>
  <w:abstractNum w:abstractNumId="140">
    <w:nsid w:val="622D8102"/>
    <w:multiLevelType w:val="hybridMultilevel"/>
    <w:lvl w:ilvl="0">
      <w:lvlJc w:val="left"/>
      <w:lvlText w:val="*"/>
      <w:numFmt w:val="bullet"/>
      <w:start w:val="1"/>
    </w:lvl>
  </w:abstractNum>
  <w:abstractNum w:abstractNumId="141">
    <w:nsid w:val="2AB26587"/>
    <w:multiLevelType w:val="hybridMultilevel"/>
    <w:lvl w:ilvl="0">
      <w:lvlJc w:val="left"/>
      <w:lvlText w:val="%1."/>
      <w:numFmt w:val="decimal"/>
      <w:start w:val="1"/>
    </w:lvl>
  </w:abstractNum>
  <w:abstractNum w:abstractNumId="142">
    <w:nsid w:val="44B3FA61"/>
    <w:multiLevelType w:val="hybridMultilevel"/>
    <w:lvl w:ilvl="0">
      <w:lvlJc w:val="left"/>
      <w:lvlText w:val="%1."/>
      <w:numFmt w:val="decimal"/>
      <w:start w:val="3"/>
    </w:lvl>
  </w:abstractNum>
  <w:abstractNum w:abstractNumId="143">
    <w:nsid w:val="1C0CA67C"/>
    <w:multiLevelType w:val="hybridMultilevel"/>
    <w:lvl w:ilvl="0">
      <w:lvlJc w:val="left"/>
      <w:lvlText w:val="%1."/>
      <w:numFmt w:val="decimal"/>
      <w:start w:val="4"/>
    </w:lvl>
  </w:abstractNum>
  <w:abstractNum w:abstractNumId="144">
    <w:nsid w:val="3D206613"/>
    <w:multiLevelType w:val="hybridMultilevel"/>
    <w:lvl w:ilvl="0">
      <w:lvlJc w:val="left"/>
      <w:lvlText w:val="%1."/>
      <w:numFmt w:val="decimal"/>
      <w:start w:val="7"/>
    </w:lvl>
  </w:abstractNum>
  <w:abstractNum w:abstractNumId="145">
    <w:nsid w:val="7993B662"/>
    <w:multiLevelType w:val="hybridMultilevel"/>
    <w:lvl w:ilvl="0">
      <w:lvlJc w:val="left"/>
      <w:lvlText w:val="%1."/>
      <w:numFmt w:val="decimal"/>
      <w:start w:val="8"/>
    </w:lvl>
  </w:abstractNum>
  <w:abstractNum w:abstractNumId="146">
    <w:nsid w:val="3BAB699E"/>
    <w:multiLevelType w:val="hybridMultilevel"/>
    <w:lvl w:ilvl="0">
      <w:lvlJc w:val="left"/>
      <w:lvlText w:val="•"/>
      <w:numFmt w:val="bullet"/>
      <w:start w:val="1"/>
    </w:lvl>
  </w:abstractNum>
  <w:abstractNum w:abstractNumId="147">
    <w:nsid w:val="71315369"/>
    <w:multiLevelType w:val="hybridMultilevel"/>
    <w:lvl w:ilvl="0">
      <w:lvlJc w:val="left"/>
      <w:lvlText w:val="•"/>
      <w:numFmt w:val="bullet"/>
      <w:start w:val="1"/>
    </w:lvl>
  </w:abstractNum>
  <w:abstractNum w:abstractNumId="148">
    <w:nsid w:val="7BCFBAFC"/>
    <w:multiLevelType w:val="hybridMultilevel"/>
    <w:lvl w:ilvl="0">
      <w:lvlJc w:val="left"/>
      <w:lvlText w:val="*"/>
      <w:numFmt w:val="bullet"/>
      <w:start w:val="1"/>
    </w:lvl>
  </w:abstractNum>
  <w:abstractNum w:abstractNumId="149">
    <w:nsid w:val="17859F72"/>
    <w:multiLevelType w:val="hybridMultilevel"/>
    <w:lvl w:ilvl="0">
      <w:lvlJc w:val="left"/>
      <w:lvlText w:val="*"/>
      <w:numFmt w:val="bullet"/>
      <w:start w:val="1"/>
    </w:lvl>
  </w:abstractNum>
  <w:abstractNum w:abstractNumId="150">
    <w:nsid w:val="3AA10581"/>
    <w:multiLevelType w:val="hybridMultilevel"/>
    <w:lvl w:ilvl="0">
      <w:lvlJc w:val="left"/>
      <w:lvlText w:val="*"/>
      <w:numFmt w:val="bullet"/>
      <w:start w:val="1"/>
    </w:lvl>
  </w:abstractNum>
  <w:abstractNum w:abstractNumId="151">
    <w:nsid w:val="63DE60CD"/>
    <w:multiLevelType w:val="hybridMultilevel"/>
    <w:lvl w:ilvl="0">
      <w:lvlJc w:val="left"/>
      <w:lvlText w:val="(%1)"/>
      <w:numFmt w:val="lowerLetter"/>
      <w:start w:val="21"/>
    </w:lvl>
  </w:abstractNum>
  <w:abstractNum w:abstractNumId="152">
    <w:nsid w:val="621AF471"/>
    <w:multiLevelType w:val="hybridMultilevel"/>
    <w:lvl w:ilvl="0">
      <w:lvlJc w:val="left"/>
      <w:lvlText w:val="(%1)"/>
      <w:numFmt w:val="lowerLetter"/>
      <w:start w:val="1"/>
    </w:lvl>
  </w:abstractNum>
  <w:abstractNum w:abstractNumId="153">
    <w:nsid w:val="73CFE165"/>
    <w:multiLevelType w:val="hybridMultilevel"/>
    <w:lvl w:ilvl="0">
      <w:lvlJc w:val="left"/>
      <w:lvlText w:val="(%1)"/>
      <w:numFmt w:val="lowerLetter"/>
      <w:start w:val="1"/>
    </w:lvl>
  </w:abstractNum>
  <w:abstractNum w:abstractNumId="154">
    <w:nsid w:val="20F88EA6"/>
    <w:multiLevelType w:val="hybridMultilevel"/>
    <w:lvl w:ilvl="0">
      <w:lvlJc w:val="left"/>
      <w:lvlText w:val="(%1)"/>
      <w:numFmt w:val="lowerLetter"/>
      <w:start w:val="4"/>
    </w:lvl>
  </w:abstractNum>
  <w:abstractNum w:abstractNumId="155">
    <w:nsid w:val="617C843E"/>
    <w:multiLevelType w:val="hybridMultilevel"/>
    <w:lvl w:ilvl="0">
      <w:lvlJc w:val="left"/>
      <w:lvlText w:val="(%1)"/>
      <w:numFmt w:val="lowerLetter"/>
      <w:start w:val="1"/>
    </w:lvl>
  </w:abstractNum>
  <w:abstractNum w:abstractNumId="156">
    <w:nsid w:val="7B541FAB"/>
    <w:multiLevelType w:val="hybridMultilevel"/>
    <w:lvl w:ilvl="0">
      <w:lvlJc w:val="left"/>
      <w:lvlText w:val="(%1)"/>
      <w:numFmt w:val="lowerLetter"/>
      <w:start w:val="5"/>
    </w:lvl>
  </w:abstractNum>
  <w:abstractNum w:abstractNumId="157">
    <w:nsid w:val="2A79EC49"/>
    <w:multiLevelType w:val="hybridMultilevel"/>
    <w:lvl w:ilvl="0">
      <w:lvlJc w:val="left"/>
      <w:lvlText w:val="•"/>
      <w:numFmt w:val="bullet"/>
      <w:start w:val="1"/>
    </w:lvl>
  </w:abstractNum>
  <w:abstractNum w:abstractNumId="158">
    <w:nsid w:val="338125CF"/>
    <w:multiLevelType w:val="hybridMultilevel"/>
    <w:lvl w:ilvl="0">
      <w:lvlJc w:val="left"/>
      <w:lvlText w:val="(%1)"/>
      <w:numFmt w:val="decimal"/>
      <w:start w:val="1"/>
    </w:lvl>
  </w:abstractNum>
  <w:abstractNum w:abstractNumId="159">
    <w:nsid w:val="47C7C971"/>
    <w:multiLevelType w:val="hybridMultilevel"/>
    <w:lvl w:ilvl="0">
      <w:lvlJc w:val="left"/>
      <w:lvlText w:val="*"/>
      <w:numFmt w:val="bullet"/>
      <w:start w:val="1"/>
    </w:lvl>
  </w:abstractNum>
  <w:abstractNum w:abstractNumId="160">
    <w:nsid w:val="46F8284B"/>
    <w:multiLevelType w:val="hybridMultilevel"/>
    <w:lvl w:ilvl="0">
      <w:lvlJc w:val="left"/>
      <w:lvlText w:val="(%1)"/>
      <w:numFmt w:val="lowerLetter"/>
      <w:start w:val="1"/>
    </w:lvl>
  </w:abstractNum>
  <w:abstractNum w:abstractNumId="161">
    <w:nsid w:val="4FA327CE"/>
    <w:multiLevelType w:val="hybridMultilevel"/>
    <w:lvl w:ilvl="0">
      <w:lvlJc w:val="left"/>
      <w:lvlText w:val="(%1)"/>
      <w:numFmt w:val="lowerLetter"/>
      <w:start w:val="1"/>
    </w:lvl>
  </w:abstractNum>
  <w:abstractNum w:abstractNumId="162">
    <w:nsid w:val="1873983A"/>
    <w:multiLevelType w:val="hybridMultilevel"/>
    <w:lvl w:ilvl="0">
      <w:lvlJc w:val="left"/>
      <w:lvlText w:val="(%1)"/>
      <w:numFmt w:val="lowerLetter"/>
      <w:start w:val="1"/>
    </w:lvl>
  </w:abstractNum>
  <w:abstractNum w:abstractNumId="163">
    <w:nsid w:val="3D2DD275"/>
    <w:multiLevelType w:val="hybridMultilevel"/>
    <w:lvl w:ilvl="0">
      <w:lvlJc w:val="left"/>
      <w:lvlText w:val="(%1)"/>
      <w:numFmt w:val="lowerLetter"/>
      <w:start w:val="1"/>
    </w:lvl>
  </w:abstractNum>
  <w:abstractNum w:abstractNumId="164">
    <w:nsid w:val="2E17ECA7"/>
    <w:multiLevelType w:val="hybridMultilevel"/>
    <w:lvl w:ilvl="0">
      <w:lvlJc w:val="left"/>
      <w:lvlText w:val="(%1)"/>
      <w:numFmt w:val="lowerLetter"/>
      <w:start w:val="1"/>
    </w:lvl>
  </w:abstractNum>
  <w:abstractNum w:abstractNumId="165">
    <w:nsid w:val="53B2564F"/>
    <w:multiLevelType w:val="hybridMultilevel"/>
    <w:lvl w:ilvl="0">
      <w:lvlJc w:val="left"/>
      <w:lvlText w:val="(%1)"/>
      <w:numFmt w:val="lowerLetter"/>
      <w:start w:val="5"/>
    </w:lvl>
  </w:abstractNum>
  <w:abstractNum w:abstractNumId="166">
    <w:nsid w:val="75509D76"/>
    <w:multiLevelType w:val="hybridMultilevel"/>
    <w:lvl w:ilvl="0">
      <w:lvlJc w:val="left"/>
      <w:lvlText w:val="(%1)"/>
      <w:numFmt w:val="lowerLetter"/>
      <w:start w:val="1"/>
    </w:lvl>
  </w:abstractNum>
  <w:abstractNum w:abstractNumId="167">
    <w:nsid w:val="1AF7F0EA"/>
    <w:multiLevelType w:val="hybridMultilevel"/>
    <w:lvl w:ilvl="0">
      <w:lvlJc w:val="left"/>
      <w:lvlText w:val="(%1)"/>
      <w:numFmt w:val="lowerLetter"/>
      <w:start w:val="6"/>
    </w:lvl>
  </w:abstractNum>
  <w:abstractNum w:abstractNumId="168">
    <w:nsid w:val="4DA32C7E"/>
    <w:multiLevelType w:val="hybridMultilevel"/>
    <w:lvl w:ilvl="0">
      <w:lvlJc w:val="left"/>
      <w:lvlText w:val="%1"/>
      <w:numFmt w:val="lowerLetter"/>
      <w:start w:val="1"/>
    </w:lvl>
    <w:lvl w:ilvl="1">
      <w:lvlJc w:val="left"/>
      <w:lvlText w:val="(%2)"/>
      <w:numFmt w:val="lowerLetter"/>
      <w:start w:val="2"/>
    </w:lvl>
  </w:abstractNum>
  <w:abstractNum w:abstractNumId="169">
    <w:nsid w:val="6EC68664"/>
    <w:multiLevelType w:val="hybridMultilevel"/>
    <w:lvl w:ilvl="0">
      <w:lvlJc w:val="left"/>
      <w:lvlText w:val="(%1)"/>
      <w:numFmt w:val="lowerLetter"/>
      <w:start w:val="9"/>
    </w:lvl>
    <w:lvl w:ilvl="1">
      <w:lvlJc w:val="left"/>
      <w:lvlText w:val="%2"/>
      <w:numFmt w:val="lowerLetter"/>
      <w:start w:val="1"/>
    </w:lvl>
  </w:abstractNum>
  <w:abstractNum w:abstractNumId="170">
    <w:nsid w:val="E0D31FF"/>
    <w:multiLevelType w:val="hybridMultilevel"/>
    <w:lvl w:ilvl="0">
      <w:lvlJc w:val="left"/>
      <w:lvlText w:val="(%1)"/>
      <w:numFmt w:val="lowerLetter"/>
      <w:start w:val="4"/>
    </w:lvl>
  </w:abstractNum>
  <w:abstractNum w:abstractNumId="171">
    <w:nsid w:val="2FD0AD81"/>
    <w:multiLevelType w:val="hybridMultilevel"/>
    <w:lvl w:ilvl="0">
      <w:lvlJc w:val="left"/>
      <w:lvlText w:val="(%1)"/>
      <w:numFmt w:val="lowerLetter"/>
      <w:start w:val="1"/>
    </w:lvl>
  </w:abstractNum>
  <w:abstractNum w:abstractNumId="172">
    <w:nsid w:val="1978EBEB"/>
    <w:multiLevelType w:val="hybridMultilevel"/>
    <w:lvl w:ilvl="0">
      <w:lvlJc w:val="left"/>
      <w:lvlText w:val="(%1)"/>
      <w:numFmt w:val="lowerRoman"/>
      <w:start w:val="1"/>
    </w:lvl>
  </w:abstractNum>
  <w:abstractNum w:abstractNumId="173">
    <w:nsid w:val="52C12C61"/>
    <w:multiLevelType w:val="hybridMultilevel"/>
    <w:lvl w:ilvl="0">
      <w:lvlJc w:val="left"/>
      <w:lvlText w:val="(%1)"/>
      <w:numFmt w:val="lowerLetter"/>
      <w:start w:val="1"/>
    </w:lvl>
  </w:abstractNum>
  <w:abstractNum w:abstractNumId="174">
    <w:nsid w:val="4BDD53FD"/>
    <w:multiLevelType w:val="hybridMultilevel"/>
    <w:lvl w:ilvl="0">
      <w:lvlJc w:val="left"/>
      <w:lvlText w:val="(%1)"/>
      <w:numFmt w:val="lowerLetter"/>
      <w:start w:val="1"/>
    </w:lvl>
  </w:abstractNum>
  <w:abstractNum w:abstractNumId="175">
    <w:nsid w:val="569951FE"/>
    <w:multiLevelType w:val="hybridMultilevel"/>
    <w:lvl w:ilvl="0">
      <w:lvlJc w:val="left"/>
      <w:lvlText w:val="(%1)"/>
      <w:numFmt w:val="lowerLetter"/>
      <w:start w:val="3"/>
    </w:lvl>
  </w:abstractNum>
  <w:abstractNum w:abstractNumId="176">
    <w:nsid w:val="4C54E2C3"/>
    <w:multiLevelType w:val="hybridMultilevel"/>
    <w:lvl w:ilvl="0">
      <w:lvlJc w:val="left"/>
      <w:lvlText w:val="%1"/>
      <w:numFmt w:val="lowerLetter"/>
      <w:start w:val="1"/>
    </w:lvl>
    <w:lvl w:ilvl="1">
      <w:lvlJc w:val="left"/>
      <w:lvlText w:val="(%2)"/>
      <w:numFmt w:val="lowerLetter"/>
      <w:start w:val="1"/>
    </w:lvl>
  </w:abstractNum>
  <w:abstractNum w:abstractNumId="177">
    <w:nsid w:val="788BD9B"/>
    <w:multiLevelType w:val="hybridMultilevel"/>
    <w:lvl w:ilvl="0">
      <w:lvlJc w:val="left"/>
      <w:lvlText w:val="(%1)"/>
      <w:numFmt w:val="lowerLetter"/>
      <w:start w:val="35"/>
    </w:lvl>
    <w:lvl w:ilvl="1">
      <w:lvlJc w:val="left"/>
      <w:lvlText w:val="%2"/>
      <w:numFmt w:val="lowerLetter"/>
      <w:start w:val="1"/>
    </w:lvl>
  </w:abstractNum>
  <w:abstractNum w:abstractNumId="178">
    <w:nsid w:val="47CAA567"/>
    <w:multiLevelType w:val="hybridMultilevel"/>
    <w:lvl w:ilvl="0">
      <w:lvlJc w:val="left"/>
      <w:lvlText w:val="(%1)"/>
      <w:numFmt w:val="lowerLetter"/>
      <w:start w:val="1"/>
    </w:lvl>
  </w:abstractNum>
  <w:abstractNum w:abstractNumId="179">
    <w:nsid w:val="48249DBF"/>
    <w:multiLevelType w:val="hybridMultilevel"/>
    <w:lvl w:ilvl="0">
      <w:lvlJc w:val="left"/>
      <w:lvlText w:val="(%1)"/>
      <w:numFmt w:val="lowerLetter"/>
      <w:start w:val="3"/>
    </w:lvl>
  </w:abstractNum>
  <w:abstractNum w:abstractNumId="180">
    <w:nsid w:val="1F0E5D0D"/>
    <w:multiLevelType w:val="hybridMultilevel"/>
    <w:lvl w:ilvl="0">
      <w:lvlJc w:val="left"/>
      <w:lvlText w:val="(%1)"/>
      <w:numFmt w:val="lowerLetter"/>
      <w:start w:val="1"/>
    </w:lvl>
  </w:abstractNum>
  <w:abstractNum w:abstractNumId="181">
    <w:nsid w:val="26BAAE9"/>
    <w:multiLevelType w:val="hybridMultilevel"/>
    <w:lvl w:ilvl="0">
      <w:lvlJc w:val="left"/>
      <w:lvlText w:val="(%1)"/>
      <w:numFmt w:val="lowerLetter"/>
      <w:start w:val="1"/>
    </w:lvl>
  </w:abstractNum>
  <w:abstractNum w:abstractNumId="182">
    <w:nsid w:val="2C02FE8C"/>
    <w:multiLevelType w:val="hybridMultilevel"/>
    <w:lvl w:ilvl="0">
      <w:lvlJc w:val="left"/>
      <w:lvlText w:val="(%1)"/>
      <w:numFmt w:val="lowerLetter"/>
      <w:start w:val="4"/>
    </w:lvl>
  </w:abstractNum>
  <w:abstractNum w:abstractNumId="183">
    <w:nsid w:val="129517E"/>
    <w:multiLevelType w:val="hybridMultilevel"/>
    <w:lvl w:ilvl="0">
      <w:lvlJc w:val="left"/>
      <w:lvlText w:val="(%1)"/>
      <w:numFmt w:val="lowerRoman"/>
      <w:start w:val="1"/>
    </w:lvl>
  </w:abstractNum>
  <w:abstractNum w:abstractNumId="184">
    <w:nsid w:val="763B8C4E"/>
    <w:multiLevelType w:val="hybridMultilevel"/>
    <w:lvl w:ilvl="0">
      <w:lvlJc w:val="left"/>
      <w:lvlText w:val="(%1)"/>
      <w:numFmt w:val="lowerLetter"/>
      <w:start w:val="1"/>
    </w:lvl>
  </w:abstractNum>
  <w:abstractNum w:abstractNumId="185">
    <w:nsid w:val="4CFB8D32"/>
    <w:multiLevelType w:val="hybridMultilevel"/>
    <w:lvl w:ilvl="0">
      <w:lvlJc w:val="left"/>
      <w:lvlText w:val="(%1)"/>
      <w:numFmt w:val="lowerLetter"/>
      <w:start w:val="1"/>
    </w:lvl>
  </w:abstractNum>
  <w:abstractNum w:abstractNumId="186">
    <w:nsid w:val="62A5D5BD"/>
    <w:multiLevelType w:val="hybridMultilevel"/>
    <w:lvl w:ilvl="0">
      <w:lvlJc w:val="left"/>
      <w:lvlText w:val="(%1)"/>
      <w:numFmt w:val="lowerLetter"/>
      <w:start w:val="1"/>
    </w:lvl>
  </w:abstractNum>
  <w:abstractNum w:abstractNumId="187">
    <w:nsid w:val="718FABF9"/>
    <w:multiLevelType w:val="hybridMultilevel"/>
    <w:lvl w:ilvl="0">
      <w:lvlJc w:val="left"/>
      <w:lvlText w:val="(%1)"/>
      <w:numFmt w:val="lowerLetter"/>
      <w:start w:val="1"/>
    </w:lvl>
  </w:abstractNum>
  <w:abstractNum w:abstractNumId="188">
    <w:nsid w:val="7775797C"/>
    <w:multiLevelType w:val="hybridMultilevel"/>
    <w:lvl w:ilvl="0">
      <w:lvlJc w:val="left"/>
      <w:lvlText w:val="(%1)"/>
      <w:numFmt w:val="lowerLetter"/>
      <w:start w:val="1"/>
    </w:lvl>
  </w:abstractNum>
  <w:abstractNum w:abstractNumId="189">
    <w:nsid w:val="1626FB8C"/>
    <w:multiLevelType w:val="hybridMultilevel"/>
    <w:lvl w:ilvl="0">
      <w:lvlJc w:val="left"/>
      <w:lvlText w:val="%1"/>
      <w:numFmt w:val="lowerLetter"/>
      <w:start w:val="1"/>
    </w:lvl>
    <w:lvl w:ilvl="1">
      <w:lvlJc w:val="left"/>
      <w:lvlText w:val="(%2)"/>
      <w:numFmt w:val="lowerLetter"/>
      <w:start w:val="2"/>
    </w:lvl>
  </w:abstractNum>
  <w:abstractNum w:abstractNumId="190">
    <w:nsid w:val="3957756A"/>
    <w:multiLevelType w:val="hybridMultilevel"/>
    <w:lvl w:ilvl="0">
      <w:lvlJc w:val="left"/>
      <w:lvlText w:val="(%1)"/>
      <w:numFmt w:val="lowerLetter"/>
      <w:start w:val="61"/>
    </w:lvl>
    <w:lvl w:ilvl="1">
      <w:lvlJc w:val="left"/>
      <w:lvlText w:val="(%2)"/>
      <w:numFmt w:val="lowerLetter"/>
      <w:start w:val="3"/>
    </w:lvl>
  </w:abstractNum>
  <w:abstractNum w:abstractNumId="191">
    <w:nsid w:val="3E6DA1C7"/>
    <w:multiLevelType w:val="hybridMultilevel"/>
    <w:lvl w:ilvl="0">
      <w:lvlJc w:val="left"/>
      <w:lvlText w:val="(%1)"/>
      <w:numFmt w:val="lowerLetter"/>
      <w:start w:val="35"/>
    </w:lvl>
    <w:lvl w:ilvl="1">
      <w:lvlJc w:val="left"/>
      <w:lvlText w:val="(%2)"/>
      <w:numFmt w:val="lowerLetter"/>
      <w:start w:val="4"/>
    </w:lvl>
  </w:abstractNum>
  <w:abstractNum w:abstractNumId="192">
    <w:nsid w:val="65CA235B"/>
    <w:multiLevelType w:val="hybridMultilevel"/>
    <w:lvl w:ilvl="0">
      <w:lvlJc w:val="left"/>
      <w:lvlText w:val="(%1)"/>
      <w:numFmt w:val="lowerLetter"/>
      <w:start w:val="1"/>
    </w:lvl>
  </w:abstractNum>
  <w:abstractNum w:abstractNumId="193">
    <w:nsid w:val="51CB0DA4"/>
    <w:multiLevelType w:val="hybridMultilevel"/>
    <w:lvl w:ilvl="0">
      <w:lvlJc w:val="left"/>
      <w:lvlText w:val="(%1)"/>
      <w:numFmt w:val="lowerLetter"/>
      <w:start w:val="1"/>
    </w:lvl>
  </w:abstractNum>
  <w:abstractNum w:abstractNumId="194">
    <w:nsid w:val="7B9B743C"/>
    <w:multiLevelType w:val="hybridMultilevel"/>
    <w:lvl w:ilvl="0">
      <w:lvlJc w:val="left"/>
      <w:lvlText w:val="(%1)"/>
      <w:numFmt w:val="lowerLetter"/>
      <w:start w:val="1"/>
    </w:lvl>
  </w:abstractNum>
  <w:abstractNum w:abstractNumId="195">
    <w:nsid w:val="13E21002"/>
    <w:multiLevelType w:val="hybridMultilevel"/>
    <w:lvl w:ilvl="0">
      <w:lvlJc w:val="left"/>
      <w:lvlText w:val="(%1)"/>
      <w:numFmt w:val="lowerLetter"/>
      <w:start w:val="1"/>
    </w:lvl>
  </w:abstractNum>
  <w:abstractNum w:abstractNumId="196">
    <w:nsid w:val="257D63F4"/>
    <w:multiLevelType w:val="hybridMultilevel"/>
    <w:lvl w:ilvl="0">
      <w:lvlJc w:val="left"/>
      <w:lvlText w:val="(%1)"/>
      <w:numFmt w:val="lowerLetter"/>
      <w:start w:val="2"/>
    </w:lvl>
  </w:abstractNum>
  <w:abstractNum w:abstractNumId="197">
    <w:nsid w:val="70EC11B2"/>
    <w:multiLevelType w:val="hybridMultilevel"/>
    <w:lvl w:ilvl="0">
      <w:lvlJc w:val="left"/>
      <w:lvlText w:val="(%1)"/>
      <w:numFmt w:val="lowerLetter"/>
      <w:start w:val="1"/>
    </w:lvl>
  </w:abstractNum>
  <w:abstractNum w:abstractNumId="198">
    <w:nsid w:val="2EDA00ED"/>
    <w:multiLevelType w:val="hybridMultilevel"/>
    <w:lvl w:ilvl="0">
      <w:lvlJc w:val="left"/>
      <w:lvlText w:val="(%1)"/>
      <w:numFmt w:val="lowerLetter"/>
      <w:start w:val="1"/>
    </w:lvl>
  </w:abstractNum>
  <w:abstractNum w:abstractNumId="199">
    <w:nsid w:val="73209072"/>
    <w:multiLevelType w:val="hybridMultilevel"/>
    <w:lvl w:ilvl="0">
      <w:lvlJc w:val="left"/>
      <w:lvlText w:val="(%1)"/>
      <w:numFmt w:val="lowerLetter"/>
      <w:start w:val="1"/>
    </w:lvl>
  </w:abstractNum>
  <w:abstractNum w:abstractNumId="200">
    <w:nsid w:val="5FB29816"/>
    <w:multiLevelType w:val="hybridMultilevel"/>
    <w:lvl w:ilvl="0">
      <w:lvlJc w:val="left"/>
      <w:lvlText w:val="(%1)"/>
      <w:numFmt w:val="lowerLetter"/>
      <w:start w:val="1"/>
    </w:lvl>
  </w:abstractNum>
  <w:abstractNum w:abstractNumId="201">
    <w:nsid w:val="3CE732EC"/>
    <w:multiLevelType w:val="hybridMultilevel"/>
    <w:lvl w:ilvl="0">
      <w:lvlJc w:val="left"/>
      <w:lvlText w:val="(%1)"/>
      <w:numFmt w:val="lowerLetter"/>
      <w:start w:val="1"/>
    </w:lvl>
  </w:abstractNum>
  <w:abstractNum w:abstractNumId="202">
    <w:nsid w:val="22F13DF3"/>
    <w:multiLevelType w:val="hybridMultilevel"/>
    <w:lvl w:ilvl="0">
      <w:lvlJc w:val="left"/>
      <w:lvlText w:val="(%1)"/>
      <w:numFmt w:val="lowerLetter"/>
      <w:start w:val="2"/>
    </w:lvl>
  </w:abstractNum>
  <w:abstractNum w:abstractNumId="203">
    <w:nsid w:val="792B8401"/>
    <w:multiLevelType w:val="hybridMultilevel"/>
    <w:lvl w:ilvl="0">
      <w:lvlJc w:val="left"/>
      <w:lvlText w:val="(%1)"/>
      <w:numFmt w:val="lowerLetter"/>
      <w:start w:val="1"/>
    </w:lvl>
    <w:lvl w:ilvl="1">
      <w:lvlJc w:val="left"/>
      <w:lvlText w:val="(%2)"/>
      <w:numFmt w:val="lowerRoman"/>
      <w:start w:val="1"/>
    </w:lvl>
  </w:abstractNum>
  <w:abstractNum w:abstractNumId="204">
    <w:nsid w:val="FA85F4D"/>
    <w:multiLevelType w:val="hybridMultilevel"/>
    <w:lvl w:ilvl="0">
      <w:lvlJc w:val="left"/>
      <w:lvlText w:val="%1"/>
      <w:numFmt w:val="lowerLetter"/>
      <w:start w:val="1"/>
    </w:lvl>
    <w:lvl w:ilvl="1">
      <w:lvlJc w:val="left"/>
      <w:lvlText w:val="(%2)"/>
      <w:numFmt w:val="lowerRoman"/>
      <w:start w:val="9"/>
    </w:lvl>
  </w:abstractNum>
  <w:abstractNum w:abstractNumId="205">
    <w:nsid w:val="6ECE91F0"/>
    <w:multiLevelType w:val="hybridMultilevel"/>
    <w:lvl w:ilvl="0">
      <w:lvlJc w:val="left"/>
      <w:lvlText w:val="(%1)"/>
      <w:numFmt w:val="lowerLetter"/>
      <w:start w:val="2"/>
    </w:lvl>
    <w:lvl w:ilvl="1">
      <w:lvlJc w:val="left"/>
      <w:lvlText w:val="%2"/>
      <w:numFmt w:val="lowerRoman"/>
      <w:start w:val="1"/>
    </w:lvl>
  </w:abstractNum>
  <w:abstractNum w:abstractNumId="206">
    <w:nsid w:val="4FC4D600"/>
    <w:multiLevelType w:val="hybridMultilevel"/>
    <w:lvl w:ilvl="0">
      <w:lvlJc w:val="left"/>
      <w:lvlText w:val="(%1)"/>
      <w:numFmt w:val="lowerLetter"/>
      <w:start w:val="1"/>
    </w:lvl>
  </w:abstractNum>
  <w:abstractNum w:abstractNumId="207">
    <w:nsid w:val="5BFD4210"/>
    <w:multiLevelType w:val="hybridMultilevel"/>
    <w:lvl w:ilvl="0">
      <w:lvlJc w:val="left"/>
      <w:lvlText w:val="%1"/>
      <w:numFmt w:val="lowerLetter"/>
      <w:start w:val="1"/>
    </w:lvl>
    <w:lvl w:ilvl="1">
      <w:lvlJc w:val="left"/>
      <w:lvlText w:val="(%2)"/>
      <w:numFmt w:val="lowerLetter"/>
      <w:start w:val="2"/>
    </w:lvl>
  </w:abstractNum>
  <w:abstractNum w:abstractNumId="208">
    <w:nsid w:val="76574F8B"/>
    <w:multiLevelType w:val="hybridMultilevel"/>
    <w:lvl w:ilvl="0">
      <w:lvlJc w:val="left"/>
      <w:lvlText w:val="(%1)"/>
      <w:numFmt w:val="lowerLetter"/>
      <w:start w:val="9"/>
    </w:lvl>
    <w:lvl w:ilvl="1">
      <w:lvlJc w:val="left"/>
      <w:lvlText w:val="(%2)"/>
      <w:numFmt w:val="lowerLetter"/>
      <w:start w:val="4"/>
    </w:lvl>
  </w:abstractNum>
  <w:abstractNum w:abstractNumId="209">
    <w:nsid w:val="178F7B67"/>
    <w:multiLevelType w:val="hybridMultilevel"/>
    <w:lvl w:ilvl="0">
      <w:lvlJc w:val="left"/>
      <w:lvlText w:val="(%1)"/>
      <w:numFmt w:val="lowerLetter"/>
      <w:start w:val="5"/>
    </w:lvl>
    <w:lvl w:ilvl="1">
      <w:lvlJc w:val="left"/>
      <w:lvlText w:val="(%2)"/>
      <w:numFmt w:val="lowerRoman"/>
      <w:start w:val="1"/>
    </w:lvl>
  </w:abstractNum>
  <w:abstractNum w:abstractNumId="210">
    <w:nsid w:val="2421DFCF"/>
    <w:multiLevelType w:val="hybridMultilevel"/>
    <w:lvl w:ilvl="0">
      <w:lvlJc w:val="left"/>
      <w:lvlText w:val="(%1)"/>
      <w:numFmt w:val="lowerLetter"/>
      <w:start w:val="1"/>
    </w:lvl>
  </w:abstractNum>
  <w:abstractNum w:abstractNumId="211">
    <w:nsid w:val="1565AC99"/>
    <w:multiLevelType w:val="hybridMultilevel"/>
    <w:lvl w:ilvl="0">
      <w:lvlJc w:val="left"/>
      <w:lvlText w:val="%1"/>
      <w:numFmt w:val="upperLetter"/>
      <w:start w:val="1"/>
    </w:lvl>
    <w:lvl w:ilvl="1">
      <w:lvlJc w:val="left"/>
      <w:lvlText w:val="(%2)"/>
      <w:numFmt w:val="lowerLetter"/>
      <w:start w:val="2"/>
    </w:lvl>
  </w:abstractNum>
  <w:abstractNum w:abstractNumId="212">
    <w:nsid w:val="19FB2650"/>
    <w:multiLevelType w:val="hybridMultilevel"/>
    <w:lvl w:ilvl="0">
      <w:lvlJc w:val="left"/>
      <w:lvlText w:val="(%1)"/>
      <w:numFmt w:val="upperLetter"/>
      <w:start w:val="1"/>
    </w:lvl>
    <w:lvl w:ilvl="1">
      <w:lvlJc w:val="left"/>
      <w:lvlText w:val="(%2)"/>
      <w:numFmt w:val="lowerLetter"/>
      <w:start w:val="4"/>
    </w:lvl>
  </w:abstractNum>
  <w:abstractNum w:abstractNumId="213">
    <w:nsid w:val="5024DE5B"/>
    <w:multiLevelType w:val="hybridMultilevel"/>
    <w:lvl w:ilvl="0">
      <w:lvlJc w:val="left"/>
      <w:lvlText w:val="(%1)"/>
      <w:numFmt w:val="lowerLetter"/>
      <w:start w:val="5"/>
    </w:lvl>
    <w:lvl w:ilvl="1">
      <w:lvlJc w:val="left"/>
      <w:lvlText w:val="(%2)"/>
      <w:numFmt w:val="lowerRoman"/>
      <w:start w:val="1"/>
    </w:lvl>
  </w:abstractNum>
  <w:abstractNum w:abstractNumId="214">
    <w:nsid w:val="168EFE17"/>
    <w:multiLevelType w:val="hybridMultilevel"/>
    <w:lvl w:ilvl="0">
      <w:lvlJc w:val="left"/>
      <w:lvlText w:val="(%1)"/>
      <w:numFmt w:val="lowerLetter"/>
      <w:start w:val="1"/>
    </w:lvl>
  </w:abstractNum>
  <w:abstractNum w:abstractNumId="215">
    <w:nsid w:val="1036B29F"/>
    <w:multiLevelType w:val="hybridMultilevel"/>
    <w:lvl w:ilvl="0">
      <w:lvlJc w:val="left"/>
      <w:lvlText w:val="(%1)"/>
      <w:numFmt w:val="lowerLetter"/>
      <w:start w:val="2"/>
    </w:lvl>
  </w:abstractNum>
  <w:abstractNum w:abstractNumId="216">
    <w:nsid w:val="1D206B8E"/>
    <w:multiLevelType w:val="hybridMultilevel"/>
    <w:lvl w:ilvl="0">
      <w:lvlJc w:val="left"/>
      <w:lvlText w:val="(%1)"/>
      <w:numFmt w:val="lowerLetter"/>
      <w:start w:val="5"/>
    </w:lvl>
  </w:abstractNum>
  <w:abstractNum w:abstractNumId="217">
    <w:nsid w:val="7934D3D4"/>
    <w:multiLevelType w:val="hybridMultilevel"/>
    <w:lvl w:ilvl="0">
      <w:lvlJc w:val="left"/>
      <w:lvlText w:val="%1"/>
      <w:numFmt w:val="lowerLetter"/>
      <w:start w:val="1"/>
    </w:lvl>
    <w:lvl w:ilvl="1">
      <w:lvlJc w:val="left"/>
      <w:lvlText w:val="(%2)"/>
      <w:numFmt w:val="lowerLetter"/>
      <w:start w:val="1"/>
    </w:lvl>
  </w:abstractNum>
  <w:abstractNum w:abstractNumId="218">
    <w:nsid w:val="1C65E98"/>
    <w:multiLevelType w:val="hybridMultilevel"/>
    <w:lvl w:ilvl="0">
      <w:lvlJc w:val="left"/>
      <w:lvlText w:val="(%1)"/>
      <w:numFmt w:val="lowerLetter"/>
      <w:start w:val="61"/>
    </w:lvl>
    <w:lvl w:ilvl="1">
      <w:lvlJc w:val="left"/>
      <w:lvlText w:val="%2"/>
      <w:numFmt w:val="lowerLetter"/>
      <w:start w:val="1"/>
    </w:lvl>
  </w:abstractNum>
  <w:abstractNum w:abstractNumId="219">
    <w:nsid w:val="1495E50A"/>
    <w:multiLevelType w:val="hybridMultilevel"/>
    <w:lvl w:ilvl="0">
      <w:lvlJc w:val="left"/>
      <w:lvlText w:val="(%1)"/>
      <w:numFmt w:val="lowerRoman"/>
      <w:start w:val="10"/>
    </w:lvl>
  </w:abstractNum>
  <w:abstractNum w:abstractNumId="220">
    <w:nsid w:val="F5BCF61"/>
    <w:multiLevelType w:val="hybridMultilevel"/>
    <w:lvl w:ilvl="0">
      <w:lvlJc w:val="left"/>
      <w:lvlText w:val="(%1)"/>
      <w:numFmt w:val="lowerLetter"/>
      <w:start w:val="1"/>
    </w:lvl>
  </w:abstractNum>
  <w:abstractNum w:abstractNumId="221">
    <w:nsid w:val="3B1DD403"/>
    <w:multiLevelType w:val="hybridMultilevel"/>
    <w:lvl w:ilvl="0">
      <w:lvlJc w:val="left"/>
      <w:lvlText w:val="(%1)"/>
      <w:numFmt w:val="lowerLetter"/>
      <w:start w:val="1"/>
    </w:lvl>
  </w:abstractNum>
  <w:abstractNum w:abstractNumId="222">
    <w:nsid w:val="530386D1"/>
    <w:multiLevelType w:val="hybridMultilevel"/>
    <w:lvl w:ilvl="0">
      <w:lvlJc w:val="left"/>
      <w:lvlText w:val="(%1)"/>
      <w:numFmt w:val="lowerLetter"/>
      <w:start w:val="1"/>
    </w:lvl>
  </w:abstractNum>
  <w:abstractNum w:abstractNumId="223">
    <w:nsid w:val="7525F2BC"/>
    <w:multiLevelType w:val="hybridMultilevel"/>
    <w:lvl w:ilvl="0">
      <w:lvlJc w:val="left"/>
      <w:lvlText w:val="(%1)"/>
      <w:numFmt w:val="lowerLetter"/>
      <w:start w:val="1"/>
    </w:lvl>
  </w:abstractNum>
  <w:abstractNum w:abstractNumId="224">
    <w:nsid w:val="CE8E1A7"/>
    <w:multiLevelType w:val="hybridMultilevel"/>
    <w:lvl w:ilvl="0">
      <w:lvlJc w:val="left"/>
      <w:lvlText w:val="(%1)"/>
      <w:numFmt w:val="lowerLetter"/>
      <w:start w:val="1"/>
    </w:lvl>
  </w:abstractNum>
  <w:abstractNum w:abstractNumId="225">
    <w:nsid w:val="4E9EFB0D"/>
    <w:multiLevelType w:val="hybridMultilevel"/>
    <w:lvl w:ilvl="0">
      <w:lvlJc w:val="left"/>
      <w:lvlText w:val="(%1)"/>
      <w:numFmt w:val="lowerLetter"/>
      <w:start w:val="1"/>
    </w:lvl>
  </w:abstractNum>
  <w:abstractNum w:abstractNumId="226">
    <w:nsid w:val="90802BE"/>
    <w:multiLevelType w:val="hybridMultilevel"/>
    <w:lvl w:ilvl="0">
      <w:lvlJc w:val="left"/>
      <w:lvlText w:val="(%1)"/>
      <w:numFmt w:val="lowerLetter"/>
      <w:start w:val="4"/>
    </w:lvl>
  </w:abstractNum>
  <w:abstractNum w:abstractNumId="227">
    <w:nsid w:val="3266459B"/>
    <w:multiLevelType w:val="hybridMultilevel"/>
    <w:lvl w:ilvl="0">
      <w:lvlJc w:val="left"/>
      <w:lvlText w:val="(%1)"/>
      <w:numFmt w:val="lowerLetter"/>
      <w:start w:val="1"/>
    </w:lvl>
  </w:abstractNum>
  <w:abstractNum w:abstractNumId="228">
    <w:nsid w:val="3F8B0CBF"/>
    <w:multiLevelType w:val="hybridMultilevel"/>
    <w:lvl w:ilvl="0">
      <w:lvlJc w:val="left"/>
      <w:lvlText w:val="(%1)"/>
      <w:numFmt w:val="lowerLetter"/>
      <w:start w:val="4"/>
    </w:lvl>
  </w:abstractNum>
  <w:abstractNum w:abstractNumId="229">
    <w:nsid w:val="37E203AB"/>
    <w:multiLevelType w:val="hybridMultilevel"/>
    <w:lvl w:ilvl="0">
      <w:lvlJc w:val="left"/>
      <w:lvlText w:val="(%1)"/>
      <w:numFmt w:val="lowerLetter"/>
      <w:start w:val="1"/>
    </w:lvl>
  </w:abstractNum>
  <w:abstractNum w:abstractNumId="230">
    <w:nsid w:val="2586D60E"/>
    <w:multiLevelType w:val="hybridMultilevel"/>
    <w:lvl w:ilvl="0">
      <w:lvlJc w:val="left"/>
      <w:lvlText w:val="%1"/>
      <w:numFmt w:val="lowerLetter"/>
      <w:start w:val="1"/>
    </w:lvl>
    <w:lvl w:ilvl="1">
      <w:lvlJc w:val="left"/>
      <w:lvlText w:val="(%2)"/>
      <w:numFmt w:val="lowerLetter"/>
      <w:start w:val="7"/>
    </w:lvl>
  </w:abstractNum>
  <w:abstractNum w:abstractNumId="231">
    <w:nsid w:val="1F3DA4D5"/>
    <w:multiLevelType w:val="hybridMultilevel"/>
    <w:lvl w:ilvl="0">
      <w:lvlJc w:val="left"/>
      <w:lvlText w:val="(%1)"/>
      <w:numFmt w:val="lowerLetter"/>
      <w:start w:val="1"/>
    </w:lvl>
    <w:lvl w:ilvl="1">
      <w:lvlJc w:val="left"/>
      <w:lvlText w:val="(%2)"/>
      <w:numFmt w:val="lowerLetter"/>
      <w:start w:val="10"/>
    </w:lvl>
  </w:abstractNum>
  <w:abstractNum w:abstractNumId="232">
    <w:nsid w:val="74C93698"/>
    <w:multiLevelType w:val="hybridMultilevel"/>
    <w:lvl w:ilvl="0">
      <w:lvlJc w:val="left"/>
      <w:lvlText w:val="(%1)"/>
      <w:numFmt w:val="lowerLetter"/>
      <w:start w:val="1"/>
    </w:lvl>
  </w:abstractNum>
  <w:abstractNum w:abstractNumId="233">
    <w:nsid w:val="48781401"/>
    <w:multiLevelType w:val="hybridMultilevel"/>
    <w:lvl w:ilvl="0">
      <w:lvlJc w:val="left"/>
      <w:lvlText w:val="(%1)"/>
      <w:numFmt w:val="lowerLetter"/>
      <w:start w:val="3"/>
    </w:lvl>
  </w:abstractNum>
  <w:abstractNum w:abstractNumId="234">
    <w:nsid w:val="186928D6"/>
    <w:multiLevelType w:val="hybridMultilevel"/>
    <w:lvl w:ilvl="0">
      <w:lvlJc w:val="left"/>
      <w:lvlText w:val="(%1)"/>
      <w:numFmt w:val="lowerLetter"/>
      <w:start w:val="1"/>
    </w:lvl>
  </w:abstractNum>
  <w:abstractNum w:abstractNumId="235">
    <w:nsid w:val="47195E5"/>
    <w:multiLevelType w:val="hybridMultilevel"/>
    <w:lvl w:ilvl="0">
      <w:lvlJc w:val="left"/>
      <w:lvlText w:val="%1"/>
      <w:numFmt w:val="lowerLetter"/>
      <w:start w:val="1"/>
    </w:lvl>
    <w:lvl w:ilvl="1">
      <w:lvlJc w:val="left"/>
      <w:lvlText w:val="(%2)"/>
      <w:numFmt w:val="lowerLetter"/>
      <w:start w:val="5"/>
    </w:lvl>
  </w:abstractNum>
  <w:abstractNum w:abstractNumId="236">
    <w:nsid w:val="3746A5F2"/>
    <w:multiLevelType w:val="hybridMultilevel"/>
    <w:lvl w:ilvl="0">
      <w:lvlJc w:val="left"/>
      <w:lvlText w:val="(%1)"/>
      <w:numFmt w:val="lowerLetter"/>
      <w:start w:val="61"/>
    </w:lvl>
    <w:lvl w:ilvl="1">
      <w:lvlJc w:val="left"/>
      <w:lvlText w:val="(%2)"/>
      <w:numFmt w:val="lowerLetter"/>
      <w:start w:val="8"/>
    </w:lvl>
  </w:abstractNum>
  <w:abstractNum w:abstractNumId="237">
    <w:nsid w:val="682DFED6"/>
    <w:multiLevelType w:val="hybridMultilevel"/>
    <w:lvl w:ilvl="0">
      <w:lvlJc w:val="left"/>
      <w:lvlText w:val="(%1)"/>
      <w:numFmt w:val="lowerLetter"/>
      <w:start w:val="1"/>
    </w:lvl>
  </w:abstractNum>
  <w:abstractNum w:abstractNumId="238">
    <w:nsid w:val="606ED7F6"/>
    <w:multiLevelType w:val="hybridMultilevel"/>
    <w:lvl w:ilvl="0">
      <w:lvlJc w:val="left"/>
      <w:lvlText w:val="(%1)"/>
      <w:numFmt w:val="lowerLetter"/>
      <w:start w:val="5"/>
    </w:lvl>
  </w:abstractNum>
  <w:abstractNum w:abstractNumId="239">
    <w:nsid w:val="2D9DF57D"/>
    <w:multiLevelType w:val="hybridMultilevel"/>
    <w:lvl w:ilvl="0">
      <w:lvlJc w:val="left"/>
      <w:lvlText w:val="(%1)"/>
      <w:numFmt w:val="lowerLetter"/>
      <w:start w:val="1"/>
    </w:lvl>
  </w:abstractNum>
  <w:abstractNum w:abstractNumId="240">
    <w:nsid w:val="7FBD7A3E"/>
    <w:multiLevelType w:val="hybridMultilevel"/>
    <w:lvl w:ilvl="0">
      <w:lvlJc w:val="left"/>
      <w:lvlText w:val="(%1)"/>
      <w:numFmt w:val="lowerLetter"/>
      <w:start w:val="1"/>
    </w:lvl>
  </w:abstractNum>
  <w:abstractNum w:abstractNumId="241">
    <w:nsid w:val="490B7C5"/>
    <w:multiLevelType w:val="hybridMultilevel"/>
    <w:lvl w:ilvl="0">
      <w:lvlJc w:val="left"/>
      <w:lvlText w:val="%1."/>
      <w:numFmt w:val="decimal"/>
      <w:start w:val="1"/>
    </w:lvl>
  </w:abstractNum>
  <w:abstractNum w:abstractNumId="242">
    <w:nsid w:val="4303A216"/>
    <w:multiLevelType w:val="hybridMultilevel"/>
    <w:lvl w:ilvl="0">
      <w:lvlJc w:val="left"/>
      <w:lvlText w:val="%1."/>
      <w:numFmt w:val="decimal"/>
      <w:start w:val="6"/>
    </w:lvl>
  </w:abstractNum>
  <w:abstractNum w:abstractNumId="243">
    <w:nsid w:val="19B8A08E"/>
    <w:multiLevelType w:val="hybridMultilevel"/>
    <w:lvl w:ilvl="0">
      <w:lvlJc w:val="left"/>
      <w:lvlText w:val="(%1)"/>
      <w:numFmt w:val="decimal"/>
      <w:start w:val="1"/>
    </w:lvl>
  </w:abstractNum>
  <w:abstractNum w:abstractNumId="244">
    <w:nsid w:val="54B596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5">
    <w:nsid w:val="5992A02E"/>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46">
    <w:nsid w:val="29EF532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7">
    <w:nsid w:val="71D601A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abstractNum>
  <w:abstractNum w:abstractNumId="248">
    <w:nsid w:val="52C77402"/>
    <w:multiLevelType w:val="hybridMultilevel"/>
    <w:lvl w:ilvl="0">
      <w:lvlJc w:val="left"/>
      <w:lvlText w:val="(%1)"/>
      <w:numFmt w:val="decimal"/>
      <w:start w:val="5"/>
    </w:lvl>
    <w:lvl w:ilvl="1">
      <w:lvlJc w:val="left"/>
      <w:lvlText w:val="(%2)"/>
      <w:numFmt w:val="lowerLetter"/>
      <w:start w:val="1"/>
    </w:lvl>
  </w:abstractNum>
  <w:abstractNum w:abstractNumId="249">
    <w:nsid w:val="2BB5B1C6"/>
    <w:multiLevelType w:val="hybridMultilevel"/>
    <w:lvl w:ilvl="0">
      <w:lvlJc w:val="left"/>
      <w:lvlText w:val="%1"/>
      <w:numFmt w:val="decimal"/>
      <w:start w:val="1"/>
    </w:lvl>
    <w:lvl w:ilvl="1">
      <w:lvlJc w:val="left"/>
      <w:lvlText w:val="(%2)"/>
      <w:numFmt w:val="decimal"/>
      <w:start w:val="7"/>
    </w:lvl>
  </w:abstractNum>
  <w:abstractNum w:abstractNumId="250">
    <w:nsid w:val="66BE6B9"/>
    <w:multiLevelType w:val="hybridMultilevel"/>
    <w:lvl w:ilvl="0">
      <w:lvlJc w:val="left"/>
      <w:lvlText w:val="(%1)"/>
      <w:numFmt w:val="decimal"/>
      <w:start w:val="5"/>
    </w:lvl>
    <w:lvl w:ilvl="1">
      <w:lvlJc w:val="left"/>
      <w:lvlText w:val="%2"/>
      <w:numFmt w:val="decimal"/>
      <w:start w:val="1"/>
    </w:lvl>
  </w:abstractNum>
  <w:abstractNum w:abstractNumId="251">
    <w:nsid w:val="62234363"/>
    <w:multiLevelType w:val="hybridMultilevel"/>
    <w:lvl w:ilvl="0">
      <w:lvlJc w:val="left"/>
      <w:lvlText w:val="(%1)"/>
      <w:numFmt w:val="decimal"/>
      <w:start w:val="9"/>
    </w:lvl>
    <w:lvl w:ilvl="1">
      <w:lvlJc w:val="left"/>
      <w:lvlText w:val="(%2)"/>
      <w:numFmt w:val="lowerLetter"/>
      <w:start w:val="1"/>
    </w:lvl>
  </w:abstractNum>
  <w:abstractNum w:abstractNumId="252">
    <w:nsid w:val="66D385C9"/>
    <w:multiLevelType w:val="hybridMultilevel"/>
    <w:lvl w:ilvl="0">
      <w:lvlJc w:val="left"/>
      <w:lvlText w:val="%1"/>
      <w:numFmt w:val="decimal"/>
      <w:start w:val="1"/>
    </w:lvl>
    <w:lvl w:ilvl="1">
      <w:lvlJc w:val="left"/>
      <w:lvlText w:val="(%2)"/>
      <w:numFmt w:val="lowerLetter"/>
      <w:start w:val="9"/>
    </w:lvl>
  </w:abstractNum>
  <w:abstractNum w:abstractNumId="253">
    <w:nsid w:val="596F6D8A"/>
    <w:multiLevelType w:val="hybridMultilevel"/>
    <w:lvl w:ilvl="0">
      <w:lvlJc w:val="left"/>
      <w:lvlText w:val="(%1)"/>
      <w:numFmt w:val="decimal"/>
      <w:start w:val="11"/>
    </w:lvl>
    <w:lvl w:ilvl="1">
      <w:lvlJc w:val="left"/>
      <w:lvlText w:val="(%2)"/>
      <w:numFmt w:val="lowerLetter"/>
      <w:start w:val="1"/>
    </w:lvl>
  </w:abstractNum>
  <w:abstractNum w:abstractNumId="254">
    <w:nsid w:val="5749361F"/>
    <w:multiLevelType w:val="hybridMultilevel"/>
    <w:lvl w:ilvl="0">
      <w:lvlJc w:val="left"/>
      <w:lvlText w:val="(%1)"/>
      <w:numFmt w:val="decimal"/>
      <w:start w:val="14"/>
    </w:lvl>
    <w:lvl w:ilvl="1">
      <w:lvlJc w:val="left"/>
      <w:lvlText w:val="(%2)"/>
      <w:numFmt w:val="lowerRoman"/>
      <w:start w:val="1"/>
    </w:lvl>
  </w:abstractNum>
  <w:abstractNum w:abstractNumId="255">
    <w:nsid w:val="73BC6770"/>
    <w:multiLevelType w:val="hybridMultilevel"/>
    <w:lvl w:ilvl="0">
      <w:lvlJc w:val="left"/>
      <w:lvlText w:val="(%1)"/>
      <w:numFmt w:val="decimal"/>
      <w:start w:val="19"/>
    </w:lvl>
    <w:lvl w:ilvl="1">
      <w:lvlJc w:val="left"/>
      <w:lvlText w:val="(%2)"/>
      <w:numFmt w:val="lowerLetter"/>
      <w:start w:val="1"/>
    </w:lvl>
  </w:abstractNum>
  <w:abstractNum w:abstractNumId="256">
    <w:nsid w:val="280E6897"/>
    <w:multiLevelType w:val="hybridMultilevel"/>
    <w:lvl w:ilvl="0">
      <w:lvlJc w:val="left"/>
      <w:lvlText w:val="%1"/>
      <w:numFmt w:val="decimal"/>
      <w:start w:val="1"/>
    </w:lvl>
    <w:lvl w:ilvl="1">
      <w:lvlJc w:val="left"/>
      <w:lvlText w:val="(%2)"/>
      <w:numFmt w:val="lowerLetter"/>
      <w:start w:val="2"/>
    </w:lvl>
  </w:abstractNum>
  <w:abstractNum w:abstractNumId="257">
    <w:nsid w:val="605138DE"/>
    <w:multiLevelType w:val="hybridMultilevel"/>
    <w:lvl w:ilvl="0">
      <w:lvlJc w:val="left"/>
      <w:lvlText w:val="(%1)"/>
      <w:numFmt w:val="decimal"/>
      <w:start w:val="21"/>
    </w:lvl>
    <w:lvl w:ilvl="1">
      <w:lvlJc w:val="left"/>
      <w:lvlText w:val="%2"/>
      <w:numFmt w:val="lowerLetter"/>
      <w:start w:val="1"/>
    </w:lvl>
  </w:abstractNum>
  <w:abstractNum w:abstractNumId="258">
    <w:nsid w:val="2622AD0C"/>
    <w:multiLevelType w:val="hybridMultilevel"/>
    <w:lvl w:ilvl="0">
      <w:lvlJc w:val="left"/>
      <w:lvlText w:val="(%1)"/>
      <w:numFmt w:val="decimal"/>
      <w:start w:val="24"/>
    </w:lvl>
    <w:lvl w:ilvl="1">
      <w:lvlJc w:val="left"/>
      <w:lvlText w:val="(%2)"/>
      <w:numFmt w:val="lowerLetter"/>
      <w:start w:val="1"/>
    </w:lvl>
  </w:abstractNum>
  <w:abstractNum w:abstractNumId="259">
    <w:nsid w:val="67997556"/>
    <w:multiLevelType w:val="hybridMultilevel"/>
    <w:lvl w:ilvl="0">
      <w:lvlJc w:val="left"/>
      <w:lvlText w:val="&amp;"/>
      <w:numFmt w:val="bullet"/>
      <w:start w:val="1"/>
    </w:lvl>
    <w:lvl w:ilvl="1">
      <w:lvlJc w:val="left"/>
      <w:lvlText w:val="(%2)"/>
      <w:numFmt w:val="lowerLetter"/>
      <w:start w:val="6"/>
    </w:lvl>
  </w:abstractNum>
  <w:abstractNum w:abstractNumId="260">
    <w:nsid w:val="18333C89"/>
    <w:multiLevelType w:val="hybridMultilevel"/>
    <w:lvl w:ilvl="0">
      <w:lvlJc w:val="left"/>
      <w:lvlText w:val="%1"/>
      <w:numFmt w:val="lowerRoman"/>
      <w:start w:val="1"/>
    </w:lvl>
    <w:lvl w:ilvl="1">
      <w:lvlJc w:val="left"/>
      <w:lvlText w:val="(%2)"/>
      <w:numFmt w:val="lowerLetter"/>
      <w:start w:val="13"/>
    </w:lvl>
  </w:abstractNum>
  <w:abstractNum w:abstractNumId="261">
    <w:nsid w:val="4BA9831A"/>
    <w:multiLevelType w:val="hybridMultilevel"/>
    <w:lvl w:ilvl="0">
      <w:lvlJc w:val="left"/>
      <w:lvlText w:val="(%1)"/>
      <w:numFmt w:val="lowerRoman"/>
      <w:start w:val="9"/>
    </w:lvl>
    <w:lvl w:ilvl="1">
      <w:lvlJc w:val="left"/>
      <w:lvlText w:val="(%2)"/>
      <w:numFmt w:val="lowerLetter"/>
      <w:start w:val="20"/>
    </w:lvl>
  </w:abstractNum>
  <w:abstractNum w:abstractNumId="262">
    <w:nsid w:val="6D71A2B"/>
    <w:multiLevelType w:val="hybridMultilevel"/>
    <w:lvl w:ilvl="0">
      <w:lvlJc w:val="left"/>
      <w:lvlText w:val="(%1)"/>
      <w:numFmt w:val="lowerLetter"/>
      <w:start w:val="21"/>
    </w:lvl>
  </w:abstractNum>
  <w:abstractNum w:abstractNumId="263">
    <w:nsid w:val="CFC7321"/>
    <w:multiLevelType w:val="hybridMultilevel"/>
    <w:lvl w:ilvl="0">
      <w:lvlJc w:val="left"/>
      <w:lvlText w:val="(%1)"/>
      <w:numFmt w:val="lowerLetter"/>
      <w:start w:val="27"/>
    </w:lvl>
  </w:abstractNum>
  <w:abstractNum w:abstractNumId="264">
    <w:nsid w:val="1421971B"/>
    <w:multiLevelType w:val="hybridMultilevel"/>
    <w:lvl w:ilvl="0">
      <w:lvlJc w:val="left"/>
      <w:lvlText w:val="%1"/>
      <w:numFmt w:val="decimal"/>
      <w:start w:val="1"/>
    </w:lvl>
    <w:lvl w:ilvl="1">
      <w:lvlJc w:val="left"/>
      <w:lvlText w:val="(%2)"/>
      <w:numFmt w:val="lowerLetter"/>
      <w:start w:val="31"/>
    </w:lvl>
  </w:abstractNum>
  <w:abstractNum w:abstractNumId="265">
    <w:nsid w:val="1F404301"/>
    <w:multiLevelType w:val="hybridMultilevel"/>
    <w:lvl w:ilvl="0">
      <w:lvlJc w:val="left"/>
      <w:lvlText w:val="(%1)"/>
      <w:numFmt w:val="decimal"/>
      <w:start w:val="26"/>
    </w:lvl>
    <w:lvl w:ilvl="1">
      <w:lvlJc w:val="left"/>
      <w:lvlText w:val="%2"/>
      <w:numFmt w:val="lowerLetter"/>
      <w:start w:val="1"/>
    </w:lvl>
  </w:abstractNum>
  <w:abstractNum w:abstractNumId="266">
    <w:nsid w:val="116E0907"/>
    <w:multiLevelType w:val="hybridMultilevel"/>
    <w:lvl w:ilvl="0">
      <w:lvlJc w:val="left"/>
      <w:lvlText w:val="(%1)"/>
      <w:numFmt w:val="lowerLetter"/>
      <w:start w:val="1"/>
    </w:lvl>
  </w:abstractNum>
  <w:abstractNum w:abstractNumId="267">
    <w:nsid w:val="4B683D0D"/>
    <w:multiLevelType w:val="hybridMultilevel"/>
    <w:lvl w:ilvl="0">
      <w:lvlJc w:val="left"/>
      <w:lvlText w:val="(%1)"/>
      <w:numFmt w:val="lowerLetter"/>
      <w:start w:val="1"/>
    </w:lvl>
  </w:abstractNum>
  <w:abstractNum w:abstractNumId="268">
    <w:nsid w:val="76E41D8"/>
    <w:multiLevelType w:val="hybridMultilevel"/>
    <w:lvl w:ilvl="0">
      <w:lvlJc w:val="left"/>
      <w:lvlText w:val="(%1)"/>
      <w:numFmt w:val="lowerLetter"/>
      <w:start w:val="16"/>
    </w:lvl>
  </w:abstractNum>
  <w:abstractNum w:abstractNumId="269">
    <w:nsid w:val="71DCE0FD"/>
    <w:multiLevelType w:val="hybridMultilevel"/>
    <w:lvl w:ilvl="0">
      <w:lvlJc w:val="left"/>
      <w:lvlText w:val="%1"/>
      <w:numFmt w:val="upperLetter"/>
      <w:start w:val="1"/>
    </w:lvl>
    <w:lvl w:ilvl="1">
      <w:lvlJc w:val="left"/>
      <w:lvlText w:val="(%2)"/>
      <w:numFmt w:val="lowerLetter"/>
      <w:start w:val="1"/>
    </w:lvl>
  </w:abstractNum>
  <w:abstractNum w:abstractNumId="270">
    <w:nsid w:val="7906328B"/>
    <w:multiLevelType w:val="hybridMultilevel"/>
    <w:lvl w:ilvl="0">
      <w:lvlJc w:val="left"/>
      <w:lvlText w:val="(%1)"/>
      <w:numFmt w:val="upperLetter"/>
      <w:start w:val="2"/>
    </w:lvl>
    <w:lvl w:ilvl="1">
      <w:lvlJc w:val="left"/>
      <w:lvlText w:val="(%2)"/>
      <w:numFmt w:val="lowerLetter"/>
      <w:start w:val="2"/>
    </w:lvl>
  </w:abstractNum>
  <w:abstractNum w:abstractNumId="271">
    <w:nsid w:val="72BBC16"/>
    <w:multiLevelType w:val="hybridMultilevel"/>
    <w:lvl w:ilvl="0">
      <w:lvlJc w:val="left"/>
      <w:lvlText w:val="(%1)"/>
      <w:numFmt w:val="lowerLetter"/>
      <w:start w:val="1"/>
    </w:lvl>
  </w:abstractNum>
  <w:abstractNum w:abstractNumId="272">
    <w:nsid w:val="766D98C2"/>
    <w:multiLevelType w:val="hybridMultilevel"/>
    <w:lvl w:ilvl="0">
      <w:lvlJc w:val="left"/>
      <w:lvlText w:val="%1"/>
      <w:numFmt w:val="lowerLetter"/>
      <w:start w:val="1"/>
    </w:lvl>
    <w:lvl w:ilvl="1">
      <w:lvlJc w:val="left"/>
      <w:lvlText w:val="(%2)"/>
      <w:numFmt w:val="lowerLetter"/>
      <w:start w:val="4"/>
    </w:lvl>
  </w:abstractNum>
  <w:abstractNum w:abstractNumId="273">
    <w:nsid w:val="3C09D4A1"/>
    <w:multiLevelType w:val="hybridMultilevel"/>
    <w:lvl w:ilvl="0">
      <w:lvlJc w:val="left"/>
      <w:lvlText w:val="(%1)"/>
      <w:numFmt w:val="lowerLetter"/>
      <w:start w:val="9"/>
    </w:lvl>
    <w:lvl w:ilvl="1">
      <w:lvlJc w:val="left"/>
      <w:lvlText w:val="(%2)"/>
      <w:numFmt w:val="lowerLetter"/>
      <w:start w:val="5"/>
    </w:lvl>
  </w:abstractNum>
  <w:abstractNum w:abstractNumId="274">
    <w:nsid w:val="20E45CA4"/>
    <w:multiLevelType w:val="hybridMultilevel"/>
    <w:lvl w:ilvl="0">
      <w:lvlJc w:val="left"/>
      <w:lvlText w:val="(%1)"/>
      <w:numFmt w:val="lowerLetter"/>
      <w:start w:val="7"/>
    </w:lvl>
  </w:abstractNum>
  <w:abstractNum w:abstractNumId="275">
    <w:nsid w:val="4B232EE3"/>
    <w:multiLevelType w:val="hybridMultilevel"/>
    <w:lvl w:ilvl="0">
      <w:lvlJc w:val="left"/>
      <w:lvlText w:val="(%1)"/>
      <w:numFmt w:val="lowerLetter"/>
      <w:start w:val="1"/>
    </w:lvl>
  </w:abstractNum>
  <w:abstractNum w:abstractNumId="276">
    <w:nsid w:val="159C74CF"/>
    <w:multiLevelType w:val="hybridMultilevel"/>
    <w:lvl w:ilvl="0">
      <w:lvlJc w:val="left"/>
      <w:lvlText w:val="(%1)"/>
      <w:numFmt w:val="lowerLetter"/>
      <w:start w:val="2"/>
    </w:lvl>
    <w:lvl w:ilvl="1">
      <w:lvlJc w:val="left"/>
      <w:lvlText w:val="(%2)"/>
      <w:numFmt w:val="lowerRoman"/>
      <w:start w:val="1"/>
    </w:lvl>
  </w:abstractNum>
  <w:abstractNum w:abstractNumId="277">
    <w:nsid w:val="4AD3AFD2"/>
    <w:multiLevelType w:val="hybridMultilevel"/>
    <w:lvl w:ilvl="0">
      <w:lvlJc w:val="left"/>
      <w:lvlText w:val="%1"/>
      <w:numFmt w:val="lowerLetter"/>
      <w:start w:val="1"/>
    </w:lvl>
    <w:lvl w:ilvl="1">
      <w:lvlJc w:val="left"/>
      <w:lvlText w:val="(%2)"/>
      <w:numFmt w:val="lowerLetter"/>
      <w:start w:val="61"/>
    </w:lvl>
  </w:abstractNum>
  <w:abstractNum w:abstractNumId="278">
    <w:nsid w:val="3CF93092"/>
    <w:multiLevelType w:val="hybridMultilevel"/>
    <w:lvl w:ilvl="0">
      <w:lvlJc w:val="left"/>
      <w:lvlText w:val="(%1)"/>
      <w:numFmt w:val="lowerLetter"/>
      <w:start w:val="6"/>
    </w:lvl>
    <w:lvl w:ilvl="1">
      <w:lvlJc w:val="left"/>
      <w:lvlText w:val="(%2)"/>
      <w:numFmt w:val="lowerLetter"/>
      <w:start w:val="9"/>
    </w:lvl>
  </w:abstractNum>
  <w:abstractNum w:abstractNumId="279">
    <w:nsid w:val="6863E8D2"/>
    <w:multiLevelType w:val="hybridMultilevel"/>
    <w:lvl w:ilvl="0">
      <w:lvlJc w:val="left"/>
      <w:lvlText w:val="(%1)"/>
      <w:numFmt w:val="lowerRoman"/>
      <w:start w:val="2"/>
    </w:lvl>
  </w:abstractNum>
  <w:abstractNum w:abstractNumId="280">
    <w:nsid w:val="76896198"/>
    <w:multiLevelType w:val="hybridMultilevel"/>
    <w:lvl w:ilvl="0">
      <w:lvlJc w:val="left"/>
      <w:lvlText w:val="%1"/>
      <w:numFmt w:val="lowerLetter"/>
      <w:start w:val="1"/>
    </w:lvl>
    <w:lvl w:ilvl="1">
      <w:lvlJc w:val="left"/>
      <w:lvlText w:val="(%2)"/>
      <w:numFmt w:val="lowerLetter"/>
      <w:start w:val="22"/>
    </w:lvl>
  </w:abstractNum>
  <w:abstractNum w:abstractNumId="281">
    <w:nsid w:val="4365174B"/>
    <w:multiLevelType w:val="hybridMultilevel"/>
    <w:lvl w:ilvl="0">
      <w:lvlJc w:val="left"/>
      <w:lvlText w:val="(%1)"/>
      <w:numFmt w:val="lowerLetter"/>
      <w:start w:val="7"/>
    </w:lvl>
    <w:lvl w:ilvl="1">
      <w:lvlJc w:val="left"/>
      <w:lvlText w:val="(%2)"/>
      <w:numFmt w:val="lowerLetter"/>
      <w:start w:val="9"/>
    </w:lvl>
  </w:abstractNum>
  <w:abstractNum w:abstractNumId="282">
    <w:nsid w:val="4A872C35"/>
    <w:multiLevelType w:val="hybridMultilevel"/>
    <w:lvl w:ilvl="0">
      <w:lvlJc w:val="left"/>
      <w:lvlText w:val="%1"/>
      <w:numFmt w:val="lowerLetter"/>
      <w:start w:val="1"/>
    </w:lvl>
    <w:lvl w:ilvl="1">
      <w:lvlJc w:val="left"/>
      <w:lvlText w:val="(%2)"/>
      <w:numFmt w:val="lowerLetter"/>
      <w:start w:val="35"/>
    </w:lvl>
  </w:abstractNum>
  <w:abstractNum w:abstractNumId="283">
    <w:nsid w:val="5D5CE761"/>
    <w:multiLevelType w:val="hybridMultilevel"/>
    <w:lvl w:ilvl="0">
      <w:lvlJc w:val="left"/>
      <w:lvlText w:val="(%1)"/>
      <w:numFmt w:val="lowerLetter"/>
      <w:start w:val="8"/>
    </w:lvl>
    <w:lvl w:ilvl="1">
      <w:lvlJc w:val="left"/>
      <w:lvlText w:val="(%2)"/>
      <w:numFmt w:val="lowerLetter"/>
      <w:start w:val="9"/>
    </w:lvl>
  </w:abstractNum>
  <w:abstractNum w:abstractNumId="284">
    <w:nsid w:val="1CD484D5"/>
    <w:multiLevelType w:val="hybridMultilevel"/>
    <w:lvl w:ilvl="0">
      <w:lvlJc w:val="left"/>
      <w:lvlText w:val="%1"/>
      <w:numFmt w:val="lowerRoman"/>
      <w:start w:val="1"/>
    </w:lvl>
    <w:lvl w:ilvl="1">
      <w:lvlJc w:val="left"/>
      <w:lvlText w:val="(%2)"/>
      <w:numFmt w:val="lowerRoman"/>
      <w:start w:val="2"/>
    </w:lvl>
  </w:abstractNum>
  <w:abstractNum w:abstractNumId="285">
    <w:nsid w:val="21D06255"/>
    <w:multiLevelType w:val="hybridMultilevel"/>
    <w:lvl w:ilvl="0">
      <w:lvlJc w:val="left"/>
      <w:lvlText w:val="(%1)"/>
      <w:numFmt w:val="lowerRoman"/>
      <w:start w:val="1"/>
    </w:lvl>
    <w:lvl w:ilvl="1">
      <w:lvlJc w:val="left"/>
      <w:lvlText w:val="%2"/>
      <w:numFmt w:val="lowerRoman"/>
      <w:start w:val="1"/>
    </w:lvl>
  </w:abstractNum>
  <w:abstractNum w:abstractNumId="286">
    <w:nsid w:val="51194ED1"/>
    <w:multiLevelType w:val="hybridMultilevel"/>
    <w:lvl w:ilvl="0">
      <w:lvlJc w:val="left"/>
      <w:lvlText w:val="(%1)"/>
      <w:numFmt w:val="lowerLetter"/>
      <w:start w:val="35"/>
    </w:lvl>
    <w:lvl w:ilvl="1">
      <w:lvlJc w:val="left"/>
      <w:lvlText w:val="(%2)"/>
      <w:numFmt w:val="lowerLetter"/>
      <w:start w:val="10"/>
    </w:lvl>
    <w:lvl w:ilvl="2">
      <w:lvlJc w:val="left"/>
      <w:lvlText w:val="(%3)"/>
      <w:numFmt w:val="lowerRoman"/>
      <w:start w:val="1"/>
    </w:lvl>
  </w:abstractNum>
  <w:abstractNum w:abstractNumId="287">
    <w:nsid w:val="44E2ED6C"/>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88">
    <w:nsid w:val="2219B33"/>
    <w:multiLevelType w:val="hybridMultilevel"/>
    <w:lvl w:ilvl="0">
      <w:lvlJc w:val="left"/>
      <w:lvlText w:val="(%1)"/>
      <w:numFmt w:val="lowerLetter"/>
      <w:start w:val="13"/>
    </w:lvl>
  </w:abstractNum>
  <w:abstractNum w:abstractNumId="289">
    <w:nsid w:val="773BFBDD"/>
    <w:multiLevelType w:val="hybridMultilevel"/>
    <w:lvl w:ilvl="0">
      <w:lvlJc w:val="left"/>
      <w:lvlText w:val="(%1)"/>
      <w:numFmt w:val="lowerLetter"/>
      <w:start w:val="1"/>
    </w:lvl>
  </w:abstractNum>
  <w:abstractNum w:abstractNumId="290">
    <w:nsid w:val="2C7C62C2"/>
    <w:multiLevelType w:val="hybridMultilevel"/>
    <w:lvl w:ilvl="0">
      <w:lvlJc w:val="left"/>
      <w:lvlText w:val="(%1)"/>
      <w:numFmt w:val="lowerLetter"/>
      <w:start w:val="4"/>
    </w:lvl>
  </w:abstractNum>
  <w:abstractNum w:abstractNumId="291">
    <w:nsid w:val="1A54D7BC"/>
    <w:multiLevelType w:val="hybridMultilevel"/>
    <w:lvl w:ilvl="0">
      <w:lvlJc w:val="left"/>
      <w:lvlText w:val="(%1)"/>
      <w:numFmt w:val="lowerLetter"/>
      <w:start w:val="1"/>
    </w:lvl>
  </w:abstractNum>
  <w:abstractNum w:abstractNumId="292">
    <w:nsid w:val="42E57EF7"/>
    <w:multiLevelType w:val="hybridMultilevel"/>
    <w:lvl w:ilvl="0">
      <w:lvlJc w:val="left"/>
      <w:lvlText w:val="(%1)"/>
      <w:numFmt w:val="lowerLetter"/>
      <w:start w:val="2"/>
    </w:lvl>
  </w:abstractNum>
  <w:abstractNum w:abstractNumId="293">
    <w:nsid w:val="33537CED"/>
    <w:multiLevelType w:val="hybridMultilevel"/>
    <w:lvl w:ilvl="0">
      <w:lvlJc w:val="left"/>
      <w:lvlText w:val="(%1)"/>
      <w:numFmt w:val="lowerLetter"/>
      <w:start w:val="5"/>
    </w:lvl>
  </w:abstractNum>
  <w:abstractNum w:abstractNumId="294">
    <w:nsid w:val="27514ADE"/>
    <w:multiLevelType w:val="hybridMultilevel"/>
    <w:lvl w:ilvl="0">
      <w:lvlJc w:val="left"/>
      <w:lvlText w:val="(%1)"/>
      <w:numFmt w:val="lowerLetter"/>
      <w:start w:val="1"/>
    </w:lvl>
  </w:abstractNum>
  <w:abstractNum w:abstractNumId="295">
    <w:nsid w:val="57071613"/>
    <w:multiLevelType w:val="hybridMultilevel"/>
    <w:lvl w:ilvl="0">
      <w:lvlJc w:val="left"/>
      <w:lvlText w:val="(%1)"/>
      <w:numFmt w:val="lowerLetter"/>
      <w:start w:val="1"/>
    </w:lvl>
  </w:abstractNum>
  <w:abstractNum w:abstractNumId="296">
    <w:nsid w:val="5293BFEF"/>
    <w:multiLevelType w:val="hybridMultilevel"/>
    <w:lvl w:ilvl="0">
      <w:lvlJc w:val="left"/>
      <w:lvlText w:val="(%1)"/>
      <w:numFmt w:val="lowerLetter"/>
      <w:start w:val="3"/>
    </w:lvl>
  </w:abstractNum>
  <w:abstractNum w:abstractNumId="297">
    <w:nsid w:val="38BF53E5"/>
    <w:multiLevelType w:val="hybridMultilevel"/>
    <w:lvl w:ilvl="0">
      <w:lvlJc w:val="left"/>
      <w:lvlText w:val="(%1)"/>
      <w:numFmt w:val="lowerLetter"/>
      <w:start w:val="8"/>
    </w:lvl>
  </w:abstractNum>
  <w:abstractNum w:abstractNumId="298">
    <w:nsid w:val="226F5320"/>
    <w:multiLevelType w:val="hybridMultilevel"/>
    <w:lvl w:ilvl="0">
      <w:lvlJc w:val="left"/>
      <w:lvlText w:val="(%1)"/>
      <w:numFmt w:val="lowerLetter"/>
      <w:start w:val="1"/>
    </w:lvl>
    <w:lvl w:ilvl="1">
      <w:lvlJc w:val="left"/>
      <w:lvlText w:val="(%2)"/>
      <w:numFmt w:val="lowerRoman"/>
      <w:start w:val="1"/>
    </w:lvl>
  </w:abstractNum>
  <w:abstractNum w:abstractNumId="299">
    <w:nsid w:val="5A0201C7"/>
    <w:multiLevelType w:val="hybridMultilevel"/>
    <w:lvl w:ilvl="0">
      <w:lvlJc w:val="left"/>
      <w:lvlText w:val="(%1)"/>
      <w:numFmt w:val="lowerLetter"/>
      <w:start w:val="2"/>
    </w:lvl>
  </w:abstractNum>
  <w:abstractNum w:abstractNumId="300">
    <w:nsid w:val="2A9C34E2"/>
    <w:multiLevelType w:val="hybridMultilevel"/>
    <w:lvl w:ilvl="0">
      <w:lvlJc w:val="left"/>
      <w:lvlText w:val="(%1)"/>
      <w:numFmt w:val="lowerLetter"/>
      <w:start w:val="1"/>
    </w:lvl>
    <w:lvl w:ilvl="1">
      <w:lvlJc w:val="left"/>
      <w:lvlText w:val="(%2)"/>
      <w:numFmt w:val="lowerLetter"/>
      <w:start w:val="9"/>
    </w:lvl>
  </w:abstractNum>
  <w:abstractNum w:abstractNumId="301">
    <w:nsid w:val="1B7585AB"/>
    <w:multiLevelType w:val="hybridMultilevel"/>
    <w:lvl w:ilvl="0">
      <w:lvlJc w:val="left"/>
      <w:lvlText w:val="(%1)"/>
      <w:numFmt w:val="lowerRoman"/>
      <w:start w:val="2"/>
    </w:lvl>
  </w:abstractNum>
  <w:abstractNum w:abstractNumId="302">
    <w:nsid w:val="612DBDDD"/>
    <w:multiLevelType w:val="hybridMultilevel"/>
    <w:lvl w:ilvl="0">
      <w:lvlJc w:val="left"/>
      <w:lvlText w:val="(%1)"/>
      <w:numFmt w:val="lowerRoman"/>
      <w:start w:val="1"/>
    </w:lvl>
  </w:abstractNum>
  <w:abstractNum w:abstractNumId="303">
    <w:nsid w:val="2109CDA4"/>
    <w:multiLevelType w:val="hybridMultilevel"/>
    <w:lvl w:ilvl="0">
      <w:lvlJc w:val="left"/>
      <w:lvlText w:val="(%1)"/>
      <w:numFmt w:val="lowerLetter"/>
      <w:start w:val="1"/>
    </w:lvl>
  </w:abstractNum>
  <w:abstractNum w:abstractNumId="304">
    <w:nsid w:val="577F5A4D"/>
    <w:multiLevelType w:val="hybridMultilevel"/>
    <w:lvl w:ilvl="0">
      <w:lvlJc w:val="left"/>
      <w:lvlText w:val="%1"/>
      <w:numFmt w:val="lowerLetter"/>
      <w:start w:val="1"/>
    </w:lvl>
    <w:lvl w:ilvl="1">
      <w:lvlJc w:val="left"/>
      <w:lvlText w:val="(%2)"/>
      <w:numFmt w:val="lowerRoman"/>
      <w:start w:val="1"/>
    </w:lvl>
  </w:abstractNum>
  <w:abstractNum w:abstractNumId="305">
    <w:nsid w:val="2121A81"/>
    <w:multiLevelType w:val="hybridMultilevel"/>
    <w:lvl w:ilvl="0">
      <w:lvlJc w:val="left"/>
      <w:lvlText w:val="(%1)"/>
      <w:numFmt w:val="lowerLetter"/>
      <w:start w:val="2"/>
    </w:lvl>
    <w:lvl w:ilvl="1">
      <w:lvlJc w:val="left"/>
      <w:lvlText w:val="%2"/>
      <w:numFmt w:val="lowerRoman"/>
      <w:start w:val="1"/>
    </w:lvl>
  </w:abstractNum>
  <w:abstractNum w:abstractNumId="306">
    <w:nsid w:val="6C2CFC88"/>
    <w:multiLevelType w:val="hybridMultilevel"/>
    <w:lvl w:ilvl="0">
      <w:lvlJc w:val="left"/>
      <w:lvlText w:val="(%1)"/>
      <w:numFmt w:val="lowerLetter"/>
      <w:start w:val="1"/>
    </w:lvl>
  </w:abstractNum>
  <w:abstractNum w:abstractNumId="307">
    <w:nsid w:val="6D1BCF1C"/>
    <w:multiLevelType w:val="hybridMultilevel"/>
    <w:lvl w:ilvl="0">
      <w:lvlJc w:val="left"/>
      <w:lvlText w:val="(%1)"/>
      <w:numFmt w:val="lowerLetter"/>
      <w:start w:val="4"/>
    </w:lvl>
  </w:abstractNum>
  <w:abstractNum w:abstractNumId="308">
    <w:nsid w:val="4CE5CA53"/>
    <w:multiLevelType w:val="hybridMultilevel"/>
    <w:lvl w:ilvl="0">
      <w:lvlJc w:val="left"/>
      <w:lvlText w:val="%1."/>
      <w:numFmt w:val="upperLetter"/>
      <w:start w:val="1"/>
    </w:lvl>
  </w:abstractNum>
  <w:abstractNum w:abstractNumId="309">
    <w:nsid w:val="29262D1A"/>
    <w:multiLevelType w:val="hybridMultilevel"/>
    <w:lvl w:ilvl="0">
      <w:lvlJc w:val="left"/>
      <w:lvlText w:val="(%1)"/>
      <w:numFmt w:val="decimal"/>
      <w:start w:val="1"/>
    </w:lvl>
  </w:abstractNum>
  <w:abstractNum w:abstractNumId="310">
    <w:nsid w:val="557FB7EE"/>
    <w:multiLevelType w:val="hybridMultilevel"/>
    <w:lvl w:ilvl="0">
      <w:lvlJc w:val="left"/>
      <w:lvlText w:val="(%1)"/>
      <w:numFmt w:val="lowerLetter"/>
      <w:start w:val="1"/>
    </w:lvl>
  </w:abstractNum>
  <w:abstractNum w:abstractNumId="311">
    <w:nsid w:val="436F2BEB"/>
    <w:multiLevelType w:val="hybridMultilevel"/>
    <w:lvl w:ilvl="0">
      <w:lvlJc w:val="left"/>
      <w:lvlText w:val="%1."/>
      <w:numFmt w:val="upperLetter"/>
      <w:start w:val="9"/>
    </w:lvl>
  </w:abstractNum>
  <w:abstractNum w:abstractNumId="312">
    <w:nsid w:val="6C8B4466"/>
    <w:multiLevelType w:val="hybridMultilevel"/>
    <w:lvl w:ilvl="0">
      <w:lvlJc w:val="left"/>
      <w:lvlText w:val="(%1)"/>
      <w:numFmt w:val="decimal"/>
      <w:start w:val="1"/>
    </w:lvl>
  </w:abstractNum>
  <w:abstractNum w:abstractNumId="313">
    <w:nsid w:val="2006E424"/>
    <w:multiLevelType w:val="hybridMultilevel"/>
    <w:lvl w:ilvl="0">
      <w:lvlJc w:val="left"/>
      <w:lvlText w:val="(%1)"/>
      <w:numFmt w:val="decimal"/>
      <w:start w:val="4"/>
    </w:lvl>
  </w:abstractNum>
  <w:abstractNum w:abstractNumId="314">
    <w:nsid w:val="20CC134C"/>
    <w:multiLevelType w:val="hybridMultilevel"/>
    <w:lvl w:ilvl="0">
      <w:lvlJc w:val="left"/>
      <w:lvlText w:val="(%1)"/>
      <w:numFmt w:val="decimal"/>
      <w:start w:val="9"/>
    </w:lvl>
  </w:abstractNum>
  <w:abstractNum w:abstractNumId="315">
    <w:nsid w:val="95FC93B"/>
    <w:multiLevelType w:val="hybridMultilevel"/>
    <w:lvl w:ilvl="0">
      <w:lvlJc w:val="left"/>
      <w:lvlText w:val="%1."/>
      <w:numFmt w:val="decimal"/>
      <w:start w:val="1"/>
    </w:lvl>
  </w:abstractNum>
  <w:abstractNum w:abstractNumId="316">
    <w:nsid w:val="41D74679"/>
    <w:multiLevelType w:val="hybridMultilevel"/>
    <w:lvl w:ilvl="0">
      <w:lvlJc w:val="left"/>
      <w:lvlText w:val="(%1)"/>
      <w:numFmt w:val="decimal"/>
      <w:start w:val="4"/>
    </w:lvl>
  </w:abstractNum>
  <w:abstractNum w:abstractNumId="317">
    <w:nsid w:val="71E5621E"/>
    <w:multiLevelType w:val="hybridMultilevel"/>
    <w:lvl w:ilvl="0">
      <w:lvlJc w:val="left"/>
      <w:lvlText w:val="%1."/>
      <w:numFmt w:val="decimal"/>
      <w:start w:val="1"/>
    </w:lvl>
  </w:abstractNum>
  <w:abstractNum w:abstractNumId="318">
    <w:nsid w:val="4E42B6A8"/>
    <w:multiLevelType w:val="hybridMultilevel"/>
    <w:lvl w:ilvl="0">
      <w:lvlJc w:val="left"/>
      <w:lvlText w:val="%1."/>
      <w:numFmt w:val="decimal"/>
      <w:start w:val="1"/>
    </w:lvl>
  </w:abstractNum>
  <w:abstractNum w:abstractNumId="319">
    <w:nsid w:val="43F8E1AC"/>
    <w:multiLevelType w:val="hybridMultilevel"/>
    <w:lvl w:ilvl="0">
      <w:lvlJc w:val="left"/>
      <w:lvlText w:val="(%1)"/>
      <w:numFmt w:val="decimal"/>
      <w:start w:val="1"/>
    </w:lvl>
  </w:abstractNum>
  <w:abstractNum w:abstractNumId="320">
    <w:nsid w:val="69215DFB"/>
    <w:multiLevelType w:val="hybridMultilevel"/>
    <w:lvl w:ilvl="0">
      <w:lvlJc w:val="left"/>
      <w:lvlText w:val="(%1)"/>
      <w:numFmt w:val="decimal"/>
      <w:start w:val="2"/>
    </w:lvl>
  </w:abstractNum>
  <w:abstractNum w:abstractNumId="321">
    <w:nsid w:val="7ABF196A"/>
    <w:multiLevelType w:val="hybridMultilevel"/>
    <w:lvl w:ilvl="0">
      <w:lvlJc w:val="left"/>
      <w:lvlText w:val="%1."/>
      <w:numFmt w:val="decimal"/>
      <w:start w:val="2"/>
    </w:lvl>
  </w:abstractNum>
  <w:abstractNum w:abstractNumId="322">
    <w:nsid w:val="5E4DB968"/>
    <w:multiLevelType w:val="hybridMultilevel"/>
    <w:lvl w:ilvl="0">
      <w:lvlJc w:val="left"/>
      <w:lvlText w:val="%1."/>
      <w:numFmt w:val="decimal"/>
      <w:start w:val="3"/>
    </w:lvl>
    <w:lvl w:ilvl="1">
      <w:lvlJc w:val="left"/>
      <w:lvlText w:val="(%2)"/>
      <w:numFmt w:val="lowerLetter"/>
      <w:start w:val="1"/>
    </w:lvl>
  </w:abstractNum>
  <w:abstractNum w:abstractNumId="323">
    <w:nsid w:val="2C06DCF3"/>
    <w:multiLevelType w:val="hybridMultilevel"/>
    <w:lvl w:ilvl="0">
      <w:lvlJc w:val="left"/>
      <w:lvlText w:val="%1."/>
      <w:numFmt w:val="decimal"/>
      <w:start w:val="4"/>
    </w:lvl>
  </w:abstractNum>
  <w:abstractNum w:abstractNumId="324">
    <w:nsid w:val="2E129658"/>
    <w:multiLevelType w:val="hybridMultilevel"/>
    <w:lvl w:ilvl="0">
      <w:lvlJc w:val="left"/>
      <w:lvlText w:val="(%1)"/>
      <w:numFmt w:val="lowerLetter"/>
      <w:start w:val="1"/>
    </w:lvl>
  </w:abstractNum>
  <w:abstractNum w:abstractNumId="325">
    <w:nsid w:val="59F0446"/>
    <w:multiLevelType w:val="hybridMultilevel"/>
    <w:lvl w:ilvl="0">
      <w:lvlJc w:val="left"/>
      <w:lvlText w:val="%1."/>
      <w:numFmt w:val="decimal"/>
      <w:start w:val="5"/>
    </w:lvl>
  </w:abstractNum>
  <w:abstractNum w:abstractNumId="326">
    <w:nsid w:val="30DF306"/>
    <w:multiLevelType w:val="hybridMultilevel"/>
    <w:lvl w:ilvl="0">
      <w:lvlJc w:val="left"/>
      <w:lvlText w:val="%1."/>
      <w:numFmt w:val="decimal"/>
      <w:start w:val="6"/>
    </w:lvl>
  </w:abstractNum>
  <w:abstractNum w:abstractNumId="327">
    <w:nsid w:val="A65647"/>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328">
    <w:nsid w:val="3E5E582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329">
    <w:nsid w:val="257D4626"/>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330">
    <w:nsid w:val="5AA8580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331">
    <w:nsid w:val="68FA8D0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332">
    <w:nsid w:val="40F2CBD2"/>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333">
    <w:nsid w:val="3BD615EB"/>
    <w:multiLevelType w:val="hybridMultilevel"/>
    <w:lvl w:ilvl="0">
      <w:lvlJc w:val="left"/>
      <w:lvlText w:val="(%1)"/>
      <w:numFmt w:val="lowerLetter"/>
      <w:start w:val="1"/>
    </w:lvl>
  </w:abstractNum>
  <w:abstractNum w:abstractNumId="334">
    <w:nsid w:val="A045AB2"/>
    <w:multiLevelType w:val="hybridMultilevel"/>
    <w:lvl w:ilvl="0">
      <w:lvlJc w:val="left"/>
      <w:lvlText w:val="%1."/>
      <w:numFmt w:val="decimal"/>
      <w:start w:val="8"/>
    </w:lvl>
  </w:abstractNum>
  <w:abstractNum w:abstractNumId="335">
    <w:nsid w:val="1872261F"/>
    <w:multiLevelType w:val="hybridMultilevel"/>
    <w:lvl w:ilvl="0">
      <w:lvlJc w:val="left"/>
      <w:lvlText w:val="%1."/>
      <w:numFmt w:val="decimal"/>
      <w:start w:val="9"/>
    </w:lvl>
  </w:abstractNum>
  <w:abstractNum w:abstractNumId="336">
    <w:nsid w:val="3DE8306C"/>
    <w:multiLevelType w:val="hybridMultilevel"/>
    <w:lvl w:ilvl="0">
      <w:lvlJc w:val="left"/>
      <w:lvlText w:val="%1."/>
      <w:numFmt w:val="decimal"/>
      <w:start w:val="10"/>
    </w:lvl>
  </w:abstractNum>
  <w:abstractNum w:abstractNumId="337">
    <w:nsid w:val="7631573A"/>
    <w:multiLevelType w:val="hybridMultilevel"/>
    <w:lvl w:ilvl="0">
      <w:lvlJc w:val="left"/>
      <w:lvlText w:val="(%1)"/>
      <w:numFmt w:val="decimal"/>
      <w:start w:val="1"/>
    </w:lvl>
  </w:abstractNum>
  <w:abstractNum w:abstractNumId="338">
    <w:nsid w:val="58DF53B"/>
    <w:multiLevelType w:val="hybridMultilevel"/>
    <w:lvl w:ilvl="0">
      <w:lvlJc w:val="left"/>
      <w:lvlText w:val="%1."/>
      <w:numFmt w:val="decimal"/>
      <w:start w:val="11"/>
    </w:lvl>
  </w:abstractNum>
  <w:abstractNum w:abstractNumId="339">
    <w:nsid w:val="ACDFAC0"/>
    <w:multiLevelType w:val="hybridMultilevel"/>
    <w:lvl w:ilvl="0">
      <w:lvlJc w:val="left"/>
      <w:lvlText w:val="%1."/>
      <w:numFmt w:val="decimal"/>
      <w:start w:val="12"/>
    </w:lvl>
  </w:abstractNum>
  <w:abstractNum w:abstractNumId="340">
    <w:nsid w:val="1F578454"/>
    <w:multiLevelType w:val="hybridMultilevel"/>
    <w:lvl w:ilvl="0">
      <w:lvlJc w:val="left"/>
      <w:lvlText w:val="%1."/>
      <w:numFmt w:val="decimal"/>
      <w:start w:val="13"/>
    </w:lvl>
  </w:abstractNum>
  <w:abstractNum w:abstractNumId="341">
    <w:nsid w:val="5B0DAD2A"/>
    <w:multiLevelType w:val="hybridMultilevel"/>
    <w:lvl w:ilvl="0">
      <w:lvlJc w:val="left"/>
      <w:lvlText w:val="(%1)"/>
      <w:numFmt w:val="lowerLetter"/>
      <w:start w:val="1"/>
    </w:lvl>
  </w:abstractNum>
  <w:abstractNum w:abstractNumId="342">
    <w:nsid w:val="4E3D26AB"/>
    <w:multiLevelType w:val="hybridMultilevel"/>
    <w:lvl w:ilvl="0">
      <w:lvlJc w:val="left"/>
      <w:lvlText w:val="(%1)"/>
      <w:numFmt w:val="lowerLetter"/>
      <w:start w:val="4"/>
    </w:lvl>
  </w:abstractNum>
  <w:abstractNum w:abstractNumId="343">
    <w:nsid w:val="BE2C8BA"/>
    <w:multiLevelType w:val="hybridMultilevel"/>
    <w:lvl w:ilvl="0">
      <w:lvlJc w:val="left"/>
      <w:lvlText w:val="%1"/>
      <w:numFmt w:val="decimal"/>
      <w:start w:val="1"/>
    </w:lvl>
    <w:lvl w:ilvl="1">
      <w:lvlJc w:val="left"/>
      <w:lvlText w:val="(%2)"/>
      <w:numFmt w:val="lowerLetter"/>
      <w:start w:val="6"/>
    </w:lvl>
  </w:abstractNum>
  <w:abstractNum w:abstractNumId="344">
    <w:nsid w:val="7B14914E"/>
    <w:multiLevelType w:val="hybridMultilevel"/>
    <w:lvl w:ilvl="0">
      <w:lvlJc w:val="left"/>
      <w:lvlText w:val="%1."/>
      <w:numFmt w:val="decimal"/>
      <w:start w:val="14"/>
    </w:lvl>
    <w:lvl w:ilvl="1">
      <w:lvlJc w:val="left"/>
      <w:lvlText w:val="%2"/>
      <w:numFmt w:val="lowerLetter"/>
      <w:start w:val="1"/>
    </w:lvl>
  </w:abstractNum>
  <w:abstractNum w:abstractNumId="345">
    <w:nsid w:val="6F0939F8"/>
    <w:multiLevelType w:val="hybridMultilevel"/>
    <w:lvl w:ilvl="0">
      <w:lvlJc w:val="left"/>
      <w:lvlText w:val="%1"/>
      <w:numFmt w:val="decimal"/>
      <w:start w:val="1"/>
    </w:lvl>
    <w:lvl w:ilvl="1">
      <w:lvlJc w:val="left"/>
      <w:lvlText w:val="(%2)"/>
      <w:numFmt w:val="lowerLetter"/>
      <w:start w:val="1"/>
    </w:lvl>
  </w:abstractNum>
  <w:abstractNum w:abstractNumId="346">
    <w:nsid w:val="154291F6"/>
    <w:multiLevelType w:val="hybridMultilevel"/>
    <w:lvl w:ilvl="0">
      <w:lvlJc w:val="left"/>
      <w:lvlText w:val="%1."/>
      <w:numFmt w:val="decimal"/>
      <w:start w:val="15"/>
    </w:lvl>
    <w:lvl w:ilvl="1">
      <w:lvlJc w:val="left"/>
      <w:lvlText w:val="%2"/>
      <w:numFmt w:val="lowerLetter"/>
      <w:start w:val="1"/>
    </w:lvl>
  </w:abstractNum>
  <w:abstractNum w:abstractNumId="347">
    <w:nsid w:val="3CEBD7C7"/>
    <w:multiLevelType w:val="hybridMultilevel"/>
    <w:lvl w:ilvl="0">
      <w:lvlJc w:val="left"/>
      <w:lvlText w:val="(%1)"/>
      <w:numFmt w:val="lowerLetter"/>
      <w:start w:val="1"/>
    </w:lvl>
    <w:lvl w:ilvl="1">
      <w:lvlJc w:val="left"/>
      <w:lvlText w:val="(%2)"/>
      <w:numFmt w:val="lowerRoman"/>
      <w:start w:val="1"/>
    </w:lvl>
  </w:abstractNum>
  <w:abstractNum w:abstractNumId="348">
    <w:nsid w:val="60EE9C16"/>
    <w:multiLevelType w:val="hybridMultilevel"/>
    <w:lvl w:ilvl="0">
      <w:lvlJc w:val="left"/>
      <w:lvlText w:val="%1"/>
      <w:numFmt w:val="decimal"/>
      <w:start w:val="1"/>
    </w:lvl>
    <w:lvl w:ilvl="1">
      <w:lvlJc w:val="left"/>
      <w:lvlText w:val="(%2)"/>
      <w:numFmt w:val="lowerLetter"/>
      <w:start w:val="3"/>
    </w:lvl>
  </w:abstractNum>
  <w:abstractNum w:abstractNumId="349">
    <w:nsid w:val="6385489E"/>
    <w:multiLevelType w:val="hybridMultilevel"/>
    <w:lvl w:ilvl="0">
      <w:lvlJc w:val="left"/>
      <w:lvlText w:val="%1."/>
      <w:numFmt w:val="decimal"/>
      <w:start w:val="16"/>
    </w:lvl>
    <w:lvl w:ilvl="1">
      <w:lvlJc w:val="left"/>
      <w:lvlText w:val="%2"/>
      <w:numFmt w:val="lowerLetter"/>
      <w:start w:val="1"/>
    </w:lvl>
  </w:abstractNum>
  <w:abstractNum w:abstractNumId="350">
    <w:nsid w:val="E4B9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1">
    <w:nsid w:val="4A0FFA11"/>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352">
    <w:nsid w:val="5E446208"/>
    <w:multiLevelType w:val="hybridMultilevel"/>
    <w:lvl w:ilvl="0">
      <w:lvlJc w:val="left"/>
      <w:lvlText w:val="%1."/>
      <w:numFmt w:val="decimal"/>
      <w:start w:val="18"/>
    </w:lvl>
  </w:abstractNum>
  <w:abstractNum w:abstractNumId="353">
    <w:nsid w:val="5F3272DB"/>
    <w:multiLevelType w:val="hybridMultilevel"/>
    <w:lvl w:ilvl="0">
      <w:lvlJc w:val="left"/>
      <w:lvlText w:val="%1."/>
      <w:numFmt w:val="decimal"/>
      <w:start w:val="19"/>
    </w:lvl>
  </w:abstractNum>
  <w:abstractNum w:abstractNumId="354">
    <w:nsid w:val="7616D704"/>
    <w:multiLevelType w:val="hybridMultilevel"/>
    <w:lvl w:ilvl="0">
      <w:lvlJc w:val="left"/>
      <w:lvlText w:val="%1"/>
      <w:numFmt w:val="decimal"/>
      <w:start w:val="1"/>
    </w:lvl>
    <w:lvl w:ilvl="1">
      <w:lvlJc w:val="left"/>
      <w:lvlText w:val="(%2)"/>
      <w:numFmt w:val="lowerLetter"/>
      <w:start w:val="1"/>
    </w:lvl>
  </w:abstractNum>
  <w:abstractNum w:abstractNumId="355">
    <w:nsid w:val="C56F860"/>
    <w:multiLevelType w:val="hybridMultilevel"/>
    <w:lvl w:ilvl="0">
      <w:lvlJc w:val="left"/>
      <w:lvlText w:val="%1."/>
      <w:numFmt w:val="decimal"/>
      <w:start w:val="20"/>
    </w:lvl>
    <w:lvl w:ilvl="1">
      <w:lvlJc w:val="left"/>
      <w:lvlText w:val="%2"/>
      <w:numFmt w:val="lowerLetter"/>
      <w:start w:val="1"/>
    </w:lvl>
  </w:abstractNum>
  <w:abstractNum w:abstractNumId="356">
    <w:nsid w:val="64D17722"/>
    <w:multiLevelType w:val="hybridMultilevel"/>
    <w:lvl w:ilvl="0">
      <w:lvlJc w:val="left"/>
      <w:lvlText w:val="%1."/>
      <w:numFmt w:val="decimal"/>
      <w:start w:val="21"/>
    </w:lvl>
  </w:abstractNum>
  <w:abstractNum w:abstractNumId="357">
    <w:nsid w:val="7924CA0A"/>
    <w:multiLevelType w:val="hybridMultilevel"/>
    <w:lvl w:ilvl="0">
      <w:lvlJc w:val="left"/>
      <w:lvlText w:val="%1."/>
      <w:numFmt w:val="decimal"/>
      <w:start w:val="22"/>
    </w:lvl>
  </w:abstractNum>
  <w:abstractNum w:abstractNumId="358">
    <w:nsid w:val="CFD4EA7"/>
    <w:multiLevelType w:val="hybridMultilevel"/>
    <w:lvl w:ilvl="0">
      <w:lvlJc w:val="left"/>
      <w:lvlText w:val="(%1)"/>
      <w:numFmt w:val="lowerLetter"/>
      <w:start w:val="1"/>
    </w:lvl>
  </w:abstractNum>
  <w:abstractNum w:abstractNumId="359">
    <w:nsid w:val="232FCF4D"/>
    <w:multiLevelType w:val="hybridMultilevel"/>
    <w:lvl w:ilvl="0">
      <w:lvlJc w:val="left"/>
      <w:lvlText w:val="%1"/>
      <w:numFmt w:val="decimal"/>
      <w:start w:val="1"/>
    </w:lvl>
    <w:lvl w:ilvl="1">
      <w:lvlJc w:val="left"/>
      <w:lvlText w:val="(%2)"/>
      <w:numFmt w:val="lowerLetter"/>
      <w:start w:val="2"/>
    </w:lvl>
  </w:abstractNum>
  <w:abstractNum w:abstractNumId="360">
    <w:nsid w:val="1EA21031"/>
    <w:multiLevelType w:val="hybridMultilevel"/>
    <w:lvl w:ilvl="0">
      <w:lvlJc w:val="left"/>
      <w:lvlText w:val="%1."/>
      <w:numFmt w:val="decimal"/>
      <w:start w:val="23"/>
    </w:lvl>
    <w:lvl w:ilvl="1">
      <w:lvlJc w:val="left"/>
      <w:lvlText w:val="%2"/>
      <w:numFmt w:val="lowerLetter"/>
      <w:start w:val="1"/>
    </w:lvl>
  </w:abstractNum>
  <w:abstractNum w:abstractNumId="361">
    <w:nsid w:val="67A5A6B5"/>
    <w:multiLevelType w:val="hybridMultilevel"/>
    <w:lvl w:ilvl="0">
      <w:lvlJc w:val="left"/>
      <w:lvlText w:val="%1."/>
      <w:numFmt w:val="decimal"/>
      <w:start w:val="24"/>
    </w:lvl>
  </w:abstractNum>
  <w:abstractNum w:abstractNumId="362">
    <w:nsid w:val="C2A5C5B"/>
    <w:multiLevelType w:val="hybridMultilevel"/>
    <w:lvl w:ilvl="0">
      <w:lvlJc w:val="left"/>
      <w:lvlText w:val="%1"/>
      <w:numFmt w:val="upperLetter"/>
      <w:start w:val="1"/>
    </w:lvl>
    <w:lvl w:ilvl="1">
      <w:lvlJc w:val="left"/>
      <w:lvlText w:val="(%2)"/>
      <w:numFmt w:val="lowerLetter"/>
      <w:start w:val="1"/>
    </w:lvl>
  </w:abstractNum>
  <w:abstractNum w:abstractNumId="363">
    <w:nsid w:val="5F94DC03"/>
    <w:multiLevelType w:val="hybridMultilevel"/>
    <w:lvl w:ilvl="0">
      <w:lvlJc w:val="left"/>
      <w:lvlText w:val="(%1)"/>
      <w:numFmt w:val="upperLetter"/>
      <w:start w:val="1"/>
    </w:lvl>
    <w:lvl w:ilvl="1">
      <w:lvlJc w:val="left"/>
      <w:lvlText w:val="%2"/>
      <w:numFmt w:val="lowerLetter"/>
      <w:start w:val="1"/>
    </w:lvl>
  </w:abstractNum>
  <w:abstractNum w:abstractNumId="364">
    <w:nsid w:val="237BBCA0"/>
    <w:multiLevelType w:val="hybridMultilevel"/>
    <w:lvl w:ilvl="0">
      <w:lvlJc w:val="left"/>
      <w:lvlText w:val="%1"/>
      <w:numFmt w:val="lowerLetter"/>
      <w:start w:val="1"/>
    </w:lvl>
    <w:lvl w:ilvl="1">
      <w:lvlJc w:val="left"/>
      <w:lvlText w:val="(%2)"/>
      <w:numFmt w:val="lowerLetter"/>
      <w:start w:val="3"/>
    </w:lvl>
  </w:abstractNum>
  <w:abstractNum w:abstractNumId="365">
    <w:nsid w:val="162EB70D"/>
    <w:multiLevelType w:val="hybridMultilevel"/>
    <w:lvl w:ilvl="0">
      <w:lvlJc w:val="left"/>
      <w:lvlText w:val="(%1)"/>
      <w:numFmt w:val="lowerLetter"/>
      <w:start w:val="3"/>
    </w:lvl>
    <w:lvl w:ilvl="1">
      <w:lvlJc w:val="left"/>
      <w:lvlText w:val="(%2)"/>
      <w:numFmt w:val="lowerLetter"/>
      <w:start w:val="5"/>
    </w:lvl>
  </w:abstractNum>
  <w:abstractNum w:abstractNumId="366">
    <w:nsid w:val="78070222"/>
    <w:multiLevelType w:val="hybridMultilevel"/>
    <w:lvl w:ilvl="0">
      <w:lvlJc w:val="left"/>
      <w:lvlText w:val="%1."/>
      <w:numFmt w:val="decimal"/>
      <w:start w:val="25"/>
    </w:lvl>
  </w:abstractNum>
  <w:abstractNum w:abstractNumId="367">
    <w:nsid w:val="6163ED0D"/>
    <w:multiLevelType w:val="hybridMultilevel"/>
    <w:lvl w:ilvl="0">
      <w:lvlJc w:val="left"/>
      <w:lvlText w:val="%1."/>
      <w:numFmt w:val="decimal"/>
      <w:start w:val="26"/>
    </w:lvl>
  </w:abstractNum>
  <w:abstractNum w:abstractNumId="368">
    <w:nsid w:val="C600E47"/>
    <w:multiLevelType w:val="hybridMultilevel"/>
    <w:lvl w:ilvl="0">
      <w:lvlJc w:val="left"/>
      <w:lvlText w:val="%1."/>
      <w:numFmt w:val="decimal"/>
      <w:start w:val="27"/>
    </w:lvl>
  </w:abstractNum>
  <w:abstractNum w:abstractNumId="369">
    <w:nsid w:val="7D94F75D"/>
    <w:multiLevelType w:val="hybridMultilevel"/>
    <w:lvl w:ilvl="0">
      <w:lvlJc w:val="left"/>
      <w:lvlText w:val="%1."/>
      <w:numFmt w:val="decimal"/>
      <w:start w:val="28"/>
    </w:lvl>
  </w:abstractNum>
  <w:abstractNum w:abstractNumId="370">
    <w:nsid w:val="6C31E7CD"/>
    <w:multiLevelType w:val="hybridMultilevel"/>
    <w:lvl w:ilvl="0">
      <w:lvlJc w:val="left"/>
      <w:lvlText w:val="%1."/>
      <w:numFmt w:val="decimal"/>
      <w:start w:val="29"/>
    </w:lvl>
  </w:abstractNum>
  <w:abstractNum w:abstractNumId="371">
    <w:nsid w:val="2BB7929B"/>
    <w:multiLevelType w:val="hybridMultilevel"/>
    <w:lvl w:ilvl="0">
      <w:lvlJc w:val="left"/>
      <w:lvlText w:val="%1."/>
      <w:numFmt w:val="decimal"/>
      <w:start w:val="30"/>
    </w:lvl>
  </w:abstractNum>
  <w:abstractNum w:abstractNumId="372">
    <w:nsid w:val="58A2A487"/>
    <w:multiLevelType w:val="hybridMultilevel"/>
    <w:lvl w:ilvl="0">
      <w:lvlJc w:val="left"/>
      <w:lvlText w:val="%1."/>
      <w:numFmt w:val="decimal"/>
      <w:start w:val="31"/>
    </w:lvl>
  </w:abstractNum>
  <w:abstractNum w:abstractNumId="373">
    <w:nsid w:val="3A6F0E78"/>
    <w:multiLevelType w:val="hybridMultilevel"/>
    <w:lvl w:ilvl="0">
      <w:lvlJc w:val="left"/>
      <w:lvlText w:val="%1."/>
      <w:numFmt w:val="decimal"/>
      <w:start w:val="32"/>
    </w:lvl>
  </w:abstractNum>
  <w:abstractNum w:abstractNumId="374">
    <w:nsid w:val="379A5B56"/>
    <w:multiLevelType w:val="hybridMultilevel"/>
    <w:lvl w:ilvl="0">
      <w:lvlJc w:val="left"/>
      <w:lvlText w:val="%1."/>
      <w:numFmt w:val="decimal"/>
      <w:start w:val="33"/>
    </w:lvl>
  </w:abstractNum>
  <w:abstractNum w:abstractNumId="375">
    <w:nsid w:val="53B735D5"/>
    <w:multiLevelType w:val="hybridMultilevel"/>
    <w:lvl w:ilvl="0">
      <w:lvlJc w:val="left"/>
      <w:lvlText w:val="%1."/>
      <w:numFmt w:val="decimal"/>
      <w:start w:val="1"/>
    </w:lvl>
  </w:abstractNum>
  <w:abstractNum w:abstractNumId="376">
    <w:nsid w:val="29784870"/>
    <w:multiLevelType w:val="hybridMultilevel"/>
    <w:lvl w:ilvl="0">
      <w:lvlJc w:val="left"/>
      <w:lvlText w:val="(%1)"/>
      <w:numFmt w:val="lowerRoman"/>
      <w:start w:val="1"/>
    </w:lvl>
  </w:abstractNum>
  <w:abstractNum w:abstractNumId="377">
    <w:nsid w:val="4CDCED4C"/>
    <w:multiLevelType w:val="hybridMultilevel"/>
    <w:lvl w:ilvl="0">
      <w:lvlJc w:val="left"/>
      <w:lvlText w:val="%1."/>
      <w:numFmt w:val="decimal"/>
      <w:start w:val="5"/>
    </w:lvl>
  </w:abstractNum>
  <w:abstractNum w:abstractNumId="378">
    <w:nsid w:val="10A30D9C"/>
    <w:multiLevelType w:val="hybridMultilevel"/>
    <w:lvl w:ilvl="0">
      <w:lvlJc w:val="left"/>
      <w:lvlText w:val="%1."/>
      <w:numFmt w:val="decimal"/>
      <w:start w:val="6"/>
    </w:lvl>
  </w:abstractNum>
  <w:abstractNum w:abstractNumId="379">
    <w:nsid w:val="A66E486"/>
    <w:multiLevelType w:val="hybridMultilevel"/>
    <w:lvl w:ilvl="0">
      <w:lvlJc w:val="left"/>
      <w:lvlText w:val="%1."/>
      <w:numFmt w:val="decimal"/>
      <w:start w:val="7"/>
    </w:lvl>
  </w:abstractNum>
  <w:abstractNum w:abstractNumId="380">
    <w:nsid w:val="306235EA"/>
    <w:multiLevelType w:val="hybridMultilevel"/>
    <w:lvl w:ilvl="0">
      <w:lvlJc w:val="left"/>
      <w:lvlText w:val="%1."/>
      <w:numFmt w:val="decimal"/>
      <w:start w:val="11"/>
    </w:lvl>
    <w:lvl w:ilvl="1">
      <w:lvlJc w:val="left"/>
      <w:lvlText w:val="*"/>
      <w:numFmt w:val="bullet"/>
      <w:start w:val="1"/>
    </w:lvl>
  </w:abstractNum>
  <w:abstractNum w:abstractNumId="381">
    <w:nsid w:val="1187C70F"/>
    <w:multiLevelType w:val="hybridMultilevel"/>
    <w:lvl w:ilvl="0">
      <w:lvlJc w:val="left"/>
      <w:lvlText w:val="%1."/>
      <w:numFmt w:val="decimal"/>
      <w:start w:val="1"/>
    </w:lvl>
  </w:abstractNum>
  <w:abstractNum w:abstractNumId="382">
    <w:nsid w:val="5476DE9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3">
    <w:nsid w:val="EA697F2"/>
    <w:multiLevelType w:val="hybridMultilevel"/>
    <w:lvl w:ilvl="0">
      <w:lvlJc w:val="left"/>
      <w:lvlText w:val="(%1)"/>
      <w:numFmt w:val="lowerRoman"/>
      <w:start w:val="6"/>
    </w:lvl>
  </w:abstractNum>
  <w:abstractNum w:abstractNumId="384">
    <w:nsid w:val="70BA39EB"/>
    <w:multiLevelType w:val="hybridMultilevel"/>
    <w:lvl w:ilvl="0">
      <w:lvlJc w:val="left"/>
      <w:lvlText w:val="%1"/>
      <w:numFmt w:val="lowerLetter"/>
      <w:start w:val="1"/>
    </w:lvl>
    <w:lvl w:ilvl="1">
      <w:lvlJc w:val="left"/>
      <w:lvlText w:val="(%2)"/>
      <w:numFmt w:val="lowerRoman"/>
      <w:start w:val="14"/>
    </w:lvl>
  </w:abstractNum>
  <w:abstractNum w:abstractNumId="385">
    <w:nsid w:val="4A8DB59C"/>
    <w:multiLevelType w:val="hybridMultilevel"/>
    <w:lvl w:ilvl="0">
      <w:lvlJc w:val="left"/>
      <w:lvlText w:val="(%1)"/>
      <w:numFmt w:val="lowerLetter"/>
      <w:start w:val="2"/>
    </w:lvl>
    <w:lvl w:ilvl="1">
      <w:lvlJc w:val="left"/>
      <w:lvlText w:val="%2"/>
      <w:numFmt w:val="lowerRoman"/>
      <w:start w:val="1"/>
    </w:lvl>
  </w:abstractNum>
  <w:abstractNum w:abstractNumId="386">
    <w:nsid w:val="1AFD9053"/>
    <w:multiLevelType w:val="hybridMultilevel"/>
    <w:lvl w:ilvl="0">
      <w:lvlJc w:val="left"/>
      <w:lvlText w:val="(%1)"/>
      <w:numFmt w:val="lowerLetter"/>
      <w:start w:val="3"/>
    </w:lvl>
  </w:abstractNum>
  <w:abstractNum w:abstractNumId="387">
    <w:nsid w:val="558BB10D"/>
    <w:multiLevelType w:val="hybridMultilevel"/>
    <w:lvl w:ilvl="0">
      <w:lvlJc w:val="left"/>
      <w:lvlText w:val="%1"/>
      <w:numFmt w:val="upperLetter"/>
      <w:start w:val="1"/>
    </w:lvl>
    <w:lvl w:ilvl="1">
      <w:lvlJc w:val="left"/>
      <w:lvlText w:val="(%2)"/>
      <w:numFmt w:val="lowerLetter"/>
      <w:start w:val="4"/>
    </w:lvl>
  </w:abstractNum>
  <w:abstractNum w:abstractNumId="388">
    <w:nsid w:val="43B27FA7"/>
    <w:multiLevelType w:val="hybridMultilevel"/>
    <w:lvl w:ilvl="0">
      <w:lvlJc w:val="left"/>
      <w:lvlText w:val="(%1)"/>
      <w:numFmt w:val="upperLetter"/>
      <w:start w:val="2"/>
    </w:lvl>
    <w:lvl w:ilvl="1">
      <w:lvlJc w:val="left"/>
      <w:lvlText w:val="(%2)"/>
      <w:numFmt w:val="lowerLetter"/>
      <w:start w:val="5"/>
    </w:lvl>
  </w:abstractNum>
  <w:abstractNum w:abstractNumId="389">
    <w:nsid w:val="27FADE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0">
    <w:nsid w:val="78BB805A"/>
    <w:multiLevelType w:val="hybridMultilevel"/>
    <w:lvl w:ilvl="0">
      <w:lvlJc w:val="left"/>
      <w:lvlText w:val="%1"/>
      <w:numFmt w:val="lowerLetter"/>
      <w:start w:val="1"/>
    </w:lvl>
    <w:lvl w:ilvl="1">
      <w:lvlJc w:val="left"/>
      <w:lvlText w:val="(%2)"/>
      <w:numFmt w:val="lowerRoman"/>
      <w:start w:val="4"/>
    </w:lvl>
  </w:abstractNum>
  <w:abstractNum w:abstractNumId="391">
    <w:nsid w:val="62548FD8"/>
    <w:multiLevelType w:val="hybridMultilevel"/>
    <w:lvl w:ilvl="0">
      <w:lvlJc w:val="left"/>
      <w:lvlText w:val="(%1)"/>
      <w:numFmt w:val="lowerLetter"/>
      <w:start w:val="2"/>
    </w:lvl>
    <w:lvl w:ilvl="1">
      <w:lvlJc w:val="left"/>
      <w:lvlText w:val="(%2)"/>
      <w:numFmt w:val="lowerRoman"/>
      <w:start w:val="1"/>
    </w:lvl>
  </w:abstractNum>
  <w:abstractNum w:abstractNumId="392">
    <w:nsid w:val="FA085B0"/>
    <w:multiLevelType w:val="hybridMultilevel"/>
    <w:lvl w:ilvl="0">
      <w:lvlJc w:val="left"/>
      <w:lvlText w:val="(%1)"/>
      <w:numFmt w:val="lowerRoman"/>
      <w:start w:val="5"/>
    </w:lvl>
  </w:abstractNum>
  <w:abstractNum w:abstractNumId="393">
    <w:nsid w:val="4E5DCB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4">
    <w:nsid w:val="41E96BDB"/>
    <w:multiLevelType w:val="hybridMultilevel"/>
    <w:lvl w:ilvl="0">
      <w:lvlJc w:val="left"/>
      <w:lvlText w:val="(%1)"/>
      <w:numFmt w:val="lowerLetter"/>
      <w:start w:val="3"/>
    </w:lvl>
    <w:lvl w:ilvl="1">
      <w:lvlJc w:val="left"/>
      <w:lvlText w:val="(%2)"/>
      <w:numFmt w:val="lowerRoman"/>
      <w:start w:val="1"/>
    </w:lvl>
  </w:abstractNum>
  <w:abstractNum w:abstractNumId="395">
    <w:nsid w:val="331C4250"/>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396">
    <w:nsid w:val="1B1493C2"/>
    <w:multiLevelType w:val="hybridMultilevel"/>
    <w:lvl w:ilvl="0">
      <w:lvlJc w:val="left"/>
      <w:lvlText w:val="(%1)"/>
      <w:numFmt w:val="upperLetter"/>
      <w:start w:val="2"/>
    </w:lvl>
  </w:abstractNum>
  <w:abstractNum w:abstractNumId="397">
    <w:nsid w:val="39F06DFD"/>
    <w:multiLevelType w:val="hybridMultilevel"/>
    <w:lvl w:ilvl="0">
      <w:lvlJc w:val="left"/>
      <w:lvlText w:val="(%1)"/>
      <w:numFmt w:val="lowerRoman"/>
      <w:start w:val="4"/>
    </w:lvl>
  </w:abstractNum>
  <w:abstractNum w:abstractNumId="398">
    <w:nsid w:val="14802F5D"/>
    <w:multiLevelType w:val="hybridMultilevel"/>
    <w:lvl w:ilvl="0">
      <w:lvlJc w:val="left"/>
      <w:lvlText w:val="(%1)"/>
      <w:numFmt w:val="lowerLetter"/>
      <w:start w:val="4"/>
    </w:lvl>
    <w:lvl w:ilvl="1">
      <w:lvlJc w:val="left"/>
      <w:lvlText w:val="(%2)"/>
      <w:numFmt w:val="lowerRoman"/>
      <w:start w:val="1"/>
    </w:lvl>
  </w:abstractNum>
  <w:abstractNum w:abstractNumId="399">
    <w:nsid w:val="2774A209"/>
    <w:multiLevelType w:val="hybridMultilevel"/>
    <w:lvl w:ilvl="0">
      <w:lvlJc w:val="left"/>
      <w:lvlText w:val="%1"/>
      <w:numFmt w:val="decimal"/>
      <w:start w:val="1"/>
    </w:lvl>
    <w:lvl w:ilvl="1">
      <w:lvlJc w:val="left"/>
      <w:lvlText w:val="(%2)"/>
      <w:numFmt w:val="lowerLetter"/>
      <w:start w:val="6"/>
    </w:lvl>
  </w:abstractNum>
  <w:abstractNum w:abstractNumId="400">
    <w:nsid w:val="3785655A"/>
    <w:multiLevelType w:val="hybridMultilevel"/>
    <w:lvl w:ilvl="0">
      <w:lvlJc w:val="left"/>
      <w:lvlText w:val="(%1)"/>
      <w:numFmt w:val="decimal"/>
      <w:start w:val="1"/>
    </w:lvl>
    <w:lvl w:ilvl="1">
      <w:lvlJc w:val="left"/>
      <w:lvlText w:val="%2"/>
      <w:numFmt w:val="lowerLetter"/>
      <w:start w:val="1"/>
    </w:lvl>
  </w:abstractNum>
  <w:abstractNum w:abstractNumId="401">
    <w:nsid w:val="B2172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02">
    <w:nsid w:val="532C34A5"/>
    <w:multiLevelType w:val="hybridMultilevel"/>
    <w:lvl w:ilvl="0">
      <w:lvlJc w:val="left"/>
      <w:lvlText w:val="%1"/>
      <w:numFmt w:val="lowerLetter"/>
      <w:start w:val="1"/>
    </w:lvl>
    <w:lvl w:ilvl="1">
      <w:lvlJc w:val="left"/>
      <w:lvlText w:val="(%2)"/>
      <w:numFmt w:val="lowerRoman"/>
      <w:start w:val="4"/>
    </w:lvl>
  </w:abstractNum>
  <w:abstractNum w:abstractNumId="403">
    <w:nsid w:val="102809E2"/>
    <w:multiLevelType w:val="hybridMultilevel"/>
    <w:lvl w:ilvl="0">
      <w:lvlJc w:val="left"/>
      <w:lvlText w:val="(%1)"/>
      <w:numFmt w:val="lowerLetter"/>
      <w:start w:val="2"/>
    </w:lvl>
    <w:lvl w:ilvl="1">
      <w:lvlJc w:val="left"/>
      <w:lvlText w:val="(%2)"/>
      <w:numFmt w:val="lowerRoman"/>
      <w:start w:val="1"/>
    </w:lvl>
  </w:abstractNum>
  <w:abstractNum w:abstractNumId="404">
    <w:nsid w:val="3B2125A3"/>
    <w:multiLevelType w:val="hybridMultilevel"/>
    <w:lvl w:ilvl="0">
      <w:lvlJc w:val="left"/>
      <w:lvlText w:val="(%1)"/>
      <w:numFmt w:val="lowerRoman"/>
      <w:start w:val="2"/>
    </w:lvl>
  </w:abstractNum>
  <w:abstractNum w:abstractNumId="405">
    <w:nsid w:val="AC68FFB"/>
    <w:multiLevelType w:val="hybridMultilevel"/>
    <w:lvl w:ilvl="0">
      <w:lvlJc w:val="left"/>
      <w:lvlText w:val="(%1)"/>
      <w:numFmt w:val="lowerLetter"/>
      <w:start w:val="3"/>
    </w:lvl>
    <w:lvl w:ilvl="1">
      <w:lvlJc w:val="left"/>
      <w:lvlText w:val="(%2)"/>
      <w:numFmt w:val="lowerLetter"/>
      <w:start w:val="9"/>
    </w:lvl>
  </w:abstractNum>
  <w:abstractNum w:abstractNumId="406">
    <w:nsid w:val="63DF3FB7"/>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2"/>
    </w:lvl>
  </w:abstractNum>
  <w:abstractNum w:abstractNumId="407">
    <w:nsid w:val="64996E13"/>
    <w:multiLevelType w:val="hybridMultilevel"/>
    <w:lvl w:ilvl="0">
      <w:lvlJc w:val="left"/>
      <w:lvlText w:val="%1"/>
      <w:numFmt w:val="decimal"/>
      <w:start w:val="1"/>
    </w:lvl>
    <w:lvl w:ilvl="1">
      <w:lvlJc w:val="left"/>
      <w:lvlText w:val="%2"/>
      <w:numFmt w:val="decimal"/>
      <w:start w:val="1"/>
    </w:lvl>
    <w:lvl w:ilvl="2">
      <w:lvlJc w:val="left"/>
      <w:lvlText w:val="(%3)"/>
      <w:numFmt w:val="upperLetter"/>
      <w:start w:val="61"/>
    </w:lvl>
    <w:lvl w:ilvl="3">
      <w:lvlJc w:val="left"/>
      <w:lvlText w:val="(%4)"/>
      <w:numFmt w:val="lowerRoman"/>
      <w:start w:val="3"/>
    </w:lvl>
  </w:abstractNum>
  <w:abstractNum w:abstractNumId="408">
    <w:nsid w:val="57A37D47"/>
    <w:multiLevelType w:val="hybridMultilevel"/>
    <w:lvl w:ilvl="0">
      <w:lvlJc w:val="left"/>
      <w:lvlText w:val="%1"/>
      <w:numFmt w:val="decimal"/>
      <w:start w:val="1"/>
    </w:lvl>
    <w:lvl w:ilvl="1">
      <w:lvlJc w:val="left"/>
      <w:lvlText w:val="%2."/>
      <w:numFmt w:val="decimal"/>
      <w:start w:val="9"/>
    </w:lvl>
    <w:lvl w:ilvl="2">
      <w:lvlJc w:val="left"/>
      <w:lvlText w:val="%3"/>
      <w:numFmt w:val="upperLetter"/>
      <w:start w:val="1"/>
    </w:lvl>
    <w:lvl w:ilvl="3">
      <w:lvlJc w:val="left"/>
      <w:lvlText w:val="%4"/>
      <w:numFmt w:val="lowerRoman"/>
      <w:start w:val="1"/>
    </w:lvl>
  </w:abstractNum>
  <w:abstractNum w:abstractNumId="409">
    <w:nsid w:val="74824D54"/>
    <w:multiLevelType w:val="hybridMultilevel"/>
    <w:lvl w:ilvl="0">
      <w:lvlJc w:val="left"/>
      <w:lvlText w:val="(%1)"/>
      <w:numFmt w:val="decimal"/>
      <w:start w:val="15"/>
    </w:lvl>
    <w:lvl w:ilvl="1">
      <w:lvlJc w:val="left"/>
      <w:lvlText w:val="%2."/>
      <w:numFmt w:val="decimal"/>
      <w:start w:val="10"/>
    </w:lvl>
    <w:lvl w:ilvl="2">
      <w:lvlJc w:val="left"/>
      <w:lvlText w:val="%3"/>
      <w:numFmt w:val="upperLetter"/>
      <w:start w:val="1"/>
    </w:lvl>
    <w:lvl w:ilvl="3">
      <w:lvlJc w:val="left"/>
      <w:lvlText w:val="%4"/>
      <w:numFmt w:val="lowerRoman"/>
      <w:start w:val="1"/>
    </w:lvl>
  </w:abstractNum>
  <w:abstractNum w:abstractNumId="410">
    <w:nsid w:val="6F00529A"/>
    <w:multiLevelType w:val="hybridMultilevel"/>
    <w:lvl w:ilvl="0">
      <w:lvlJc w:val="left"/>
      <w:lvlText w:val="%1."/>
      <w:numFmt w:val="decimal"/>
      <w:start w:val="13"/>
    </w:lvl>
  </w:abstractNum>
  <w:abstractNum w:abstractNumId="411">
    <w:nsid w:val="805B331"/>
    <w:multiLevelType w:val="hybridMultilevel"/>
    <w:lvl w:ilvl="0">
      <w:lvlJc w:val="left"/>
      <w:lvlText w:val="%1."/>
      <w:numFmt w:val="decimal"/>
      <w:start w:val="1"/>
    </w:lvl>
    <w:lvl w:ilvl="1">
      <w:lvlJc w:val="left"/>
      <w:lvlText w:val="(%2)"/>
      <w:numFmt w:val="lowerLetter"/>
      <w:start w:val="1"/>
    </w:lvl>
  </w:abstractNum>
  <w:abstractNum w:abstractNumId="412">
    <w:nsid w:val="60A1463"/>
    <w:multiLevelType w:val="hybridMultilevel"/>
    <w:lvl w:ilvl="0">
      <w:lvlJc w:val="left"/>
      <w:lvlText w:val="(%1)"/>
      <w:numFmt w:val="decimal"/>
      <w:start w:val="1"/>
    </w:lvl>
  </w:abstractNum>
  <w:abstractNum w:abstractNumId="413">
    <w:nsid w:val="43773132"/>
    <w:multiLevelType w:val="hybridMultilevel"/>
    <w:lvl w:ilvl="0">
      <w:lvlJc w:val="left"/>
      <w:lvlText w:val="(%1)"/>
      <w:numFmt w:val="lowerLetter"/>
      <w:start w:val="4"/>
    </w:lvl>
    <w:lvl w:ilvl="1">
      <w:lvlJc w:val="left"/>
      <w:lvlText w:val="(%2)"/>
      <w:numFmt w:val="lowerRoman"/>
      <w:start w:val="1"/>
    </w:lvl>
  </w:abstractNum>
  <w:abstractNum w:abstractNumId="414">
    <w:nsid w:val="16AC4B23"/>
    <w:multiLevelType w:val="hybridMultilevel"/>
    <w:lvl w:ilvl="0">
      <w:lvlJc w:val="left"/>
      <w:lvlText w:val="(%1)"/>
      <w:numFmt w:val="lowerLetter"/>
      <w:start w:val="5"/>
    </w:lvl>
  </w:abstractNum>
  <w:abstractNum w:abstractNumId="415">
    <w:nsid w:val="76C44E4E"/>
    <w:multiLevelType w:val="hybridMultilevel"/>
    <w:lvl w:ilvl="0">
      <w:lvlJc w:val="left"/>
      <w:lvlText w:val="%1."/>
      <w:numFmt w:val="decimal"/>
      <w:start w:val="2"/>
    </w:lvl>
    <w:lvl w:ilvl="1">
      <w:lvlJc w:val="left"/>
      <w:lvlText w:val="(%2)"/>
      <w:numFmt w:val="lowerLetter"/>
      <w:start w:val="1"/>
    </w:lvl>
  </w:abstractNum>
  <w:abstractNum w:abstractNumId="416">
    <w:nsid w:val="E04E6CE"/>
    <w:multiLevelType w:val="hybridMultilevel"/>
    <w:lvl w:ilvl="0">
      <w:lvlJc w:val="left"/>
      <w:lvlText w:val="%1."/>
      <w:numFmt w:val="decimal"/>
      <w:start w:val="3"/>
    </w:lvl>
    <w:lvl w:ilvl="1">
      <w:lvlJc w:val="left"/>
      <w:lvlText w:val="(%2)"/>
      <w:numFmt w:val="lowerLetter"/>
      <w:start w:val="1"/>
    </w:lvl>
  </w:abstractNum>
  <w:abstractNum w:abstractNumId="417">
    <w:nsid w:val="31A9DB76"/>
    <w:multiLevelType w:val="hybridMultilevel"/>
    <w:lvl w:ilvl="0">
      <w:lvlJc w:val="left"/>
      <w:lvlText w:val="%1."/>
      <w:numFmt w:val="decimal"/>
      <w:start w:val="6"/>
    </w:lvl>
    <w:lvl w:ilvl="1">
      <w:lvlJc w:val="left"/>
      <w:lvlText w:val="(%2)"/>
      <w:numFmt w:val="lowerLetter"/>
      <w:start w:val="1"/>
    </w:lvl>
  </w:abstractNum>
  <w:abstractNum w:abstractNumId="418">
    <w:nsid w:val="4C4FFF5B"/>
    <w:multiLevelType w:val="hybridMultilevel"/>
    <w:lvl w:ilvl="0">
      <w:lvlJc w:val="left"/>
      <w:lvlText w:val="%1."/>
      <w:numFmt w:val="decimal"/>
      <w:start w:val="8"/>
    </w:lvl>
  </w:abstractNum>
  <w:abstractNum w:abstractNumId="419">
    <w:nsid w:val="51B76675"/>
    <w:multiLevelType w:val="hybridMultilevel"/>
    <w:lvl w:ilvl="0">
      <w:lvlJc w:val="left"/>
      <w:lvlText w:val="%1."/>
      <w:numFmt w:val="decimal"/>
      <w:start w:val="11"/>
    </w:lvl>
    <w:lvl w:ilvl="1">
      <w:lvlJc w:val="left"/>
      <w:lvlText w:val="(%2)"/>
      <w:numFmt w:val="lowerLetter"/>
      <w:start w:val="1"/>
    </w:lvl>
  </w:abstractNum>
  <w:abstractNum w:abstractNumId="420">
    <w:nsid w:val="59A4BA71"/>
    <w:multiLevelType w:val="hybridMultilevel"/>
    <w:lvl w:ilvl="0">
      <w:lvlJc w:val="left"/>
      <w:lvlText w:val="%1."/>
      <w:numFmt w:val="decimal"/>
      <w:start w:val="1"/>
    </w:lvl>
    <w:lvl w:ilvl="1">
      <w:lvlJc w:val="left"/>
      <w:lvlText w:val="(%2)"/>
      <w:numFmt w:val="lowerLetter"/>
      <w:start w:val="1"/>
    </w:lvl>
  </w:abstractNum>
  <w:abstractNum w:abstractNumId="421">
    <w:nsid w:val="450B7FB6"/>
    <w:multiLevelType w:val="hybridMultilevel"/>
    <w:lvl w:ilvl="0">
      <w:lvlJc w:val="left"/>
      <w:lvlText w:val="(%1)"/>
      <w:numFmt w:val="decimal"/>
      <w:start w:val="1"/>
    </w:lvl>
  </w:abstractNum>
  <w:abstractNum w:abstractNumId="422">
    <w:nsid w:val="340BF64D"/>
    <w:multiLevelType w:val="hybridMultilevel"/>
    <w:lvl w:ilvl="0">
      <w:lvlJc w:val="left"/>
      <w:lvlText w:val="(%1)"/>
      <w:numFmt w:val="lowerLetter"/>
      <w:start w:val="4"/>
    </w:lvl>
    <w:lvl w:ilvl="1">
      <w:lvlJc w:val="left"/>
      <w:lvlText w:val="(%2)"/>
      <w:numFmt w:val="lowerRoman"/>
      <w:start w:val="1"/>
    </w:lvl>
  </w:abstractNum>
  <w:abstractNum w:abstractNumId="423">
    <w:nsid w:val="69454021"/>
    <w:multiLevelType w:val="hybridMultilevel"/>
    <w:lvl w:ilvl="0">
      <w:lvlJc w:val="left"/>
      <w:lvlText w:val="(%1)"/>
      <w:numFmt w:val="lowerLetter"/>
      <w:start w:val="5"/>
    </w:lvl>
  </w:abstractNum>
  <w:abstractNum w:abstractNumId="424">
    <w:nsid w:val="49F15C6B"/>
    <w:multiLevelType w:val="hybridMultilevel"/>
    <w:lvl w:ilvl="0">
      <w:lvlJc w:val="left"/>
      <w:lvlText w:val="%1."/>
      <w:numFmt w:val="decimal"/>
      <w:start w:val="2"/>
    </w:lvl>
    <w:lvl w:ilvl="1">
      <w:lvlJc w:val="left"/>
      <w:lvlText w:val="(%2)"/>
      <w:numFmt w:val="lowerLetter"/>
      <w:start w:val="1"/>
    </w:lvl>
  </w:abstractNum>
  <w:abstractNum w:abstractNumId="425">
    <w:nsid w:val="75F56228"/>
    <w:multiLevelType w:val="hybridMultilevel"/>
    <w:lvl w:ilvl="0">
      <w:lvlJc w:val="left"/>
      <w:lvlText w:val="%1."/>
      <w:numFmt w:val="decimal"/>
      <w:start w:val="3"/>
    </w:lvl>
    <w:lvl w:ilvl="1">
      <w:lvlJc w:val="left"/>
      <w:lvlText w:val="(%2)"/>
      <w:numFmt w:val="lowerLetter"/>
      <w:start w:val="1"/>
    </w:lvl>
  </w:abstractNum>
  <w:abstractNum w:abstractNumId="426">
    <w:nsid w:val="1C618271"/>
    <w:multiLevelType w:val="hybridMultilevel"/>
    <w:lvl w:ilvl="0">
      <w:lvlJc w:val="left"/>
      <w:lvlText w:val="(%1)"/>
      <w:numFmt w:val="lowerLetter"/>
      <w:start w:val="2"/>
    </w:lvl>
  </w:abstractNum>
  <w:abstractNum w:abstractNumId="427">
    <w:nsid w:val="6505F02E"/>
    <w:multiLevelType w:val="hybridMultilevel"/>
    <w:lvl w:ilvl="0">
      <w:lvlJc w:val="left"/>
      <w:lvlText w:val="%1."/>
      <w:numFmt w:val="decimal"/>
      <w:start w:val="7"/>
    </w:lvl>
  </w:abstractNum>
  <w:abstractNum w:abstractNumId="428">
    <w:nsid w:val="2FE5D025"/>
    <w:multiLevelType w:val="hybridMultilevel"/>
    <w:lvl w:ilvl="0">
      <w:lvlJc w:val="left"/>
      <w:lvlText w:val="%1."/>
      <w:numFmt w:val="decimal"/>
      <w:start w:val="13"/>
    </w:lvl>
    <w:lvl w:ilvl="1">
      <w:lvlJc w:val="left"/>
      <w:lvlText w:val="(%2)"/>
      <w:numFmt w:val="lowerLetter"/>
      <w:start w:val="1"/>
    </w:lvl>
  </w:abstractNum>
  <w:abstractNum w:abstractNumId="429">
    <w:nsid w:val="30E1B1CF"/>
    <w:multiLevelType w:val="hybridMultilevel"/>
    <w:lvl w:ilvl="0">
      <w:lvlJc w:val="left"/>
      <w:lvlText w:val="(%1)"/>
      <w:numFmt w:val="lowerLetter"/>
      <w:start w:val="1"/>
    </w:lvl>
  </w:abstractNum>
  <w:abstractNum w:abstractNumId="430">
    <w:nsid w:val="C7A9237"/>
    <w:multiLevelType w:val="hybridMultilevel"/>
    <w:lvl w:ilvl="0">
      <w:lvlJc w:val="left"/>
      <w:lvlText w:val="(%1)"/>
      <w:numFmt w:val="lowerLetter"/>
      <w:start w:val="7"/>
    </w:lvl>
  </w:abstractNum>
  <w:abstractNum w:abstractNumId="431">
    <w:nsid w:val="676B3580"/>
    <w:multiLevelType w:val="hybridMultilevel"/>
    <w:lvl w:ilvl="0">
      <w:lvlJc w:val="left"/>
      <w:lvlText w:val="*"/>
      <w:numFmt w:val="bullet"/>
      <w:start w:val="1"/>
    </w:lvl>
  </w:abstractNum>
  <w:abstractNum w:abstractNumId="432">
    <w:nsid w:val="3193C8F9"/>
    <w:multiLevelType w:val="hybridMultilevel"/>
    <w:lvl w:ilvl="0">
      <w:lvlJc w:val="left"/>
      <w:lvlText w:val="†"/>
      <w:numFmt w:val="bullet"/>
      <w:start w:val="1"/>
    </w:lvl>
  </w:abstractNum>
  <w:abstractNum w:abstractNumId="433">
    <w:nsid w:val="5FA6C6DC"/>
    <w:multiLevelType w:val="hybridMultilevel"/>
    <w:lvl w:ilvl="0">
      <w:lvlJc w:val="left"/>
      <w:lvlText w:val="††"/>
      <w:numFmt w:val="bullet"/>
      <w:start w:val="1"/>
    </w:lvl>
  </w:abstractNum>
  <w:abstractNum w:abstractNumId="434">
    <w:nsid w:val="77933F62"/>
    <w:multiLevelType w:val="hybridMultilevel"/>
    <w:lvl w:ilvl="0">
      <w:lvlJc w:val="left"/>
      <w:lvlText w:val="(%1)"/>
      <w:numFmt w:val="decimal"/>
      <w:start w:val="1"/>
    </w:lvl>
  </w:abstractNum>
  <w:abstractNum w:abstractNumId="435">
    <w:nsid w:val="6CB4EE9C"/>
    <w:multiLevelType w:val="hybridMultilevel"/>
    <w:lvl w:ilvl="0">
      <w:lvlJc w:val="left"/>
      <w:lvlText w:val="(%1)"/>
      <w:numFmt w:val="lowerRoman"/>
      <w:start w:val="2"/>
    </w:lvl>
  </w:abstractNum>
  <w:abstractNum w:abstractNumId="436">
    <w:nsid w:val="6A6D56D7"/>
    <w:multiLevelType w:val="hybridMultilevel"/>
    <w:lvl w:ilvl="0">
      <w:lvlJc w:val="left"/>
      <w:lvlText w:val="(%1)"/>
      <w:numFmt w:val="decimal"/>
      <w:start w:val="2"/>
    </w:lvl>
  </w:abstractNum>
  <w:abstractNum w:abstractNumId="437">
    <w:nsid w:val="5B727F19"/>
    <w:multiLevelType w:val="hybridMultilevel"/>
    <w:lvl w:ilvl="0">
      <w:lvlJc w:val="left"/>
      <w:lvlText w:val="(%1)"/>
      <w:numFmt w:val="lowerLetter"/>
      <w:start w:val="7"/>
    </w:lvl>
  </w:abstractNum>
  <w:abstractNum w:abstractNumId="438">
    <w:nsid w:val="514E5CB0"/>
    <w:multiLevelType w:val="hybridMultilevel"/>
    <w:lvl w:ilvl="0">
      <w:lvlJc w:val="left"/>
      <w:lvlText w:val="(%1)"/>
      <w:numFmt w:val="decimal"/>
      <w:start w:val="2"/>
    </w:lvl>
  </w:abstractNum>
  <w:abstractNum w:abstractNumId="439">
    <w:nsid w:val="4210D41E"/>
    <w:multiLevelType w:val="hybridMultilevel"/>
    <w:lvl w:ilvl="0">
      <w:lvlJc w:val="left"/>
      <w:lvlText w:val="(%1)"/>
      <w:numFmt w:val="lowerLetter"/>
      <w:start w:val="8"/>
    </w:lvl>
  </w:abstractNum>
  <w:abstractNum w:abstractNumId="440">
    <w:nsid w:val="4FF4CC6D"/>
    <w:multiLevelType w:val="hybridMultilevel"/>
    <w:lvl w:ilvl="0">
      <w:lvlJc w:val="left"/>
      <w:lvlText w:val="%1."/>
      <w:numFmt w:val="upperLetter"/>
      <w:start w:val="2"/>
    </w:lvl>
  </w:abstractNum>
  <w:abstractNum w:abstractNumId="441">
    <w:nsid w:val="404EAF4A"/>
    <w:multiLevelType w:val="hybridMultilevel"/>
    <w:lvl w:ilvl="0">
      <w:lvlJc w:val="left"/>
      <w:lvlText w:val="%1)"/>
      <w:numFmt w:val="decimal"/>
      <w:start w:val="1"/>
    </w:lvl>
  </w:abstractNum>
  <w:abstractNum w:abstractNumId="442">
    <w:nsid w:val="4A16874F"/>
    <w:multiLevelType w:val="hybridMultilevel"/>
    <w:lvl w:ilvl="0">
      <w:lvlJc w:val="left"/>
      <w:lvlText w:val="%1."/>
      <w:numFmt w:val="decimal"/>
      <w:start w:val="1"/>
    </w:lvl>
  </w:abstractNum>
  <w:abstractNum w:abstractNumId="443">
    <w:nsid w:val="55FEE0D1"/>
    <w:multiLevelType w:val="hybridMultilevel"/>
    <w:lvl w:ilvl="0">
      <w:lvlJc w:val="left"/>
      <w:lvlText w:val="%1."/>
      <w:numFmt w:val="decimal"/>
      <w:start w:val="5"/>
    </w:lvl>
  </w:abstractNum>
  <w:abstractNum w:abstractNumId="444">
    <w:nsid w:val="3C5E07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jpe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jpe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2019-12-20T15:16:40Z</dcterms:created>
  <dcterms:modified xsi:type="dcterms:W3CDTF">2019-12-20T15:16:40Z</dcterms:modified>
</cp:coreProperties>
</file>