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333-273726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Prospectus Dated September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2207895</wp:posOffset>
            </wp:positionH>
            <wp:positionV relativeFrom="paragraph">
              <wp:posOffset>142875</wp:posOffset>
            </wp:positionV>
            <wp:extent cx="270002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0002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652,705 Shares of Common Stock</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offering 652,705 shares of our common stock, $0.01 par value per share (the “common stock”), to certain institutional investors pursuant to this prospectus supplement and the accompanying prospectus. There is no required minimum number of securities that must be sold as a condition to completion of this offering, and there are no arrangements to place the funds in an escrow, trust or similar account.</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Capital Market (“Nasdaq”) under the symbol “XWEL.” On August 5, 2024, the last reported sale price of our common stock on Nasdaq was $1.85 per share.</w:t>
      </w:r>
    </w:p>
    <w:p>
      <w:pPr>
        <w:spacing w:after="0" w:line="162"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supplement, the aggregate market value of our outstanding shares of common stock held by non-affiliates was approximately $10,392,608, based on 4,187,319 outstanding shares of common stock, of which 4,124,051 shares were held by non-affiliates, and a price of $2.52 per share, which was the last reported sale price of our common stock on Nasdaq on June 6, 2024. Pursuant to General Instruction I.B.6. of Form S-3, in no event will we sell the securities covered hereby in a public primary offering with a value exceeding more than one-third of the aggregate market value of our common stock in any 12-month period so long as the aggregate market value of our outstanding common stock held by non-affiliates remains below $75 million. During the 12 calendar months prior to and including the date of this prospectus supplement, we have not sold any shares of common stock pursuant to General Instruction I.B.6. of Form S-3 (excluding the value of the shares of common stock sold in this offering).</w:t>
      </w:r>
    </w:p>
    <w:p>
      <w:pPr>
        <w:spacing w:after="0" w:line="18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under the federal securities laws and, as such, we have elected to comply with certain reduced public company reporting requirements and scaled disclosures for this prospectus and future filings. See “Prospectus Supplement Summary — Implication of Being a Smaller Reporting Company.”</w:t>
      </w:r>
    </w:p>
    <w:p>
      <w:pPr>
        <w:spacing w:after="0" w:line="172"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Investing in our common stock involves a high degree of risk.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beginning on page S-</w:t>
      </w: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b w:val="1"/>
          <w:bCs w:val="1"/>
          <w:color w:val="auto"/>
        </w:rPr>
        <w:t xml:space="preserve"> of this prospectus supplement and beginning on page 3 of the accompanying prospectus, and in our Annual Report on Form 10-K, as amended, and our other reports filed with the Securities and Exchange Commission, which are incorporated into this prospectus supplement and the accompanying prospectus by reference, for a discussion of information that should be considered in connection with an investment in our securities.</w:t>
      </w:r>
    </w:p>
    <w:p>
      <w:pPr>
        <w:spacing w:after="0" w:line="176"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17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Delivery of the shares of common stock offered hereby is expected to occur on or about August 8, 2024, subject to satisfaction of certain customary closing conditions.</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320" w:type="dxa"/>
            <w:vAlign w:val="bottom"/>
            <w:gridSpan w:val="5"/>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20" w:type="dxa"/>
            <w:vAlign w:val="bottom"/>
            <w:gridSpan w:val="5"/>
            <w:vMerge w:val="restart"/>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74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320" w:type="dxa"/>
            <w:vAlign w:val="bottom"/>
            <w:gridSpan w:val="5"/>
            <w:vMerge w:val="continue"/>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05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w w:val="92"/>
              </w:rPr>
              <w:t>S-ii</w:t>
            </w:r>
          </w:p>
        </w:tc>
        <w:tc>
          <w:tcPr>
            <w:tcW w:w="0" w:type="dxa"/>
            <w:vAlign w:val="bottom"/>
          </w:tcPr>
          <w:p>
            <w:pPr>
              <w:spacing w:after="0"/>
              <w:rPr>
                <w:sz w:val="1"/>
                <w:szCs w:val="1"/>
                <w:color w:val="auto"/>
              </w:rPr>
            </w:pPr>
          </w:p>
        </w:tc>
      </w:tr>
      <w:tr>
        <w:trPr>
          <w:trHeight w:val="277"/>
        </w:trPr>
        <w:tc>
          <w:tcPr>
            <w:tcW w:w="330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PROSPECTUS SUPPLEMENT SUMMARY</w:t>
            </w:r>
          </w:p>
        </w:tc>
        <w:tc>
          <w:tcPr>
            <w:tcW w:w="140" w:type="dxa"/>
            <w:vAlign w:val="bottom"/>
            <w:tcBorders>
              <w:top w:val="single" w:sz="8" w:color="0000EE"/>
            </w:tcBorders>
          </w:tcPr>
          <w:p>
            <w:pPr>
              <w:spacing w:after="0"/>
              <w:rPr>
                <w:sz w:val="24"/>
                <w:szCs w:val="24"/>
                <w:color w:val="auto"/>
              </w:rPr>
            </w:pPr>
          </w:p>
        </w:tc>
        <w:tc>
          <w:tcPr>
            <w:tcW w:w="7060" w:type="dxa"/>
            <w:vAlign w:val="bottom"/>
            <w:gridSpan w:val="7"/>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0000EE"/>
            </w:tcBorders>
            <w:gridSpan w:val="4"/>
          </w:tcPr>
          <w:p>
            <w:pPr>
              <w:jc w:val="right"/>
              <w:spacing w:after="0"/>
              <w:rPr>
                <w:sz w:val="20"/>
                <w:szCs w:val="20"/>
                <w:color w:val="auto"/>
              </w:rPr>
            </w:pPr>
            <w:r>
              <w:rPr>
                <w:rFonts w:ascii="Times New Roman" w:cs="Times New Roman" w:eastAsia="Times New Roman" w:hAnsi="Times New Roman"/>
                <w:sz w:val="18"/>
                <w:szCs w:val="18"/>
                <w:color w:val="0000EE"/>
                <w:w w:val="95"/>
              </w:rPr>
              <w:t>S-1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3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7200" w:type="dxa"/>
            <w:vAlign w:val="bottom"/>
            <w:gridSpan w:val="8"/>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w w:val="95"/>
              </w:rPr>
              <w:t>S-2</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6"/>
              </w:rPr>
              <w:t>RISK FACTORS</w:t>
            </w:r>
          </w:p>
        </w:tc>
        <w:tc>
          <w:tcPr>
            <w:tcW w:w="9240" w:type="dxa"/>
            <w:vAlign w:val="bottom"/>
            <w:gridSpan w:val="19"/>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w w:val="95"/>
              </w:rPr>
              <w:t>S-3</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5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w w:val="95"/>
              </w:rPr>
              <w:t>S-5</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DIVIDEND POLICY</w:t>
            </w:r>
          </w:p>
        </w:tc>
        <w:tc>
          <w:tcPr>
            <w:tcW w:w="516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w w:val="95"/>
              </w:rPr>
              <w:t>S-6</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5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w w:val="95"/>
              </w:rPr>
              <w:t>S-7</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1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9"/>
              </w:rPr>
              <w:t>DESCRIPTION OF SECURITIES WE ARE OFFERING</w:t>
            </w:r>
          </w:p>
        </w:tc>
        <w:tc>
          <w:tcPr>
            <w:tcW w:w="632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w w:val="95"/>
              </w:rPr>
              <w:t>S-8</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6"/>
              </w:rPr>
              <w:t>PLAN OF DISTRIBUTION</w:t>
            </w:r>
          </w:p>
        </w:tc>
        <w:tc>
          <w:tcPr>
            <w:tcW w:w="2160" w:type="dxa"/>
            <w:vAlign w:val="bottom"/>
            <w:gridSpan w:val="11"/>
          </w:tcPr>
          <w:p>
            <w:pPr>
              <w:spacing w:after="0"/>
              <w:rPr>
                <w:sz w:val="24"/>
                <w:szCs w:val="24"/>
                <w:color w:val="auto"/>
              </w:rPr>
            </w:pPr>
          </w:p>
        </w:tc>
        <w:tc>
          <w:tcPr>
            <w:tcW w:w="632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w w:val="95"/>
              </w:rPr>
              <w:t>S-9</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8480" w:type="dxa"/>
            <w:vAlign w:val="bottom"/>
            <w:gridSpan w:val="16"/>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w w:val="93"/>
              </w:rPr>
              <w:t>S-10</w:t>
            </w:r>
          </w:p>
        </w:tc>
        <w:tc>
          <w:tcPr>
            <w:tcW w:w="0" w:type="dxa"/>
            <w:vAlign w:val="bottom"/>
          </w:tcPr>
          <w:p>
            <w:pPr>
              <w:spacing w:after="0"/>
              <w:rPr>
                <w:sz w:val="1"/>
                <w:szCs w:val="1"/>
                <w:color w:val="auto"/>
              </w:rPr>
            </w:pPr>
          </w:p>
        </w:tc>
      </w:tr>
      <w:tr>
        <w:trPr>
          <w:trHeight w:val="277"/>
        </w:trPr>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2"/>
          </w:tcPr>
          <w:p>
            <w:pPr>
              <w:spacing w:after="0"/>
              <w:rPr>
                <w:sz w:val="24"/>
                <w:szCs w:val="24"/>
                <w:color w:val="auto"/>
              </w:rPr>
            </w:pPr>
          </w:p>
        </w:tc>
        <w:tc>
          <w:tcPr>
            <w:tcW w:w="9040" w:type="dxa"/>
            <w:vAlign w:val="bottom"/>
            <w:gridSpan w:val="18"/>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Borders>
              <w:top w:val="single" w:sz="8" w:color="0000EE"/>
              <w:bottom w:val="single" w:sz="8" w:color="0000EE"/>
            </w:tcBorders>
            <w:gridSpan w:val="5"/>
          </w:tcPr>
          <w:p>
            <w:pPr>
              <w:jc w:val="right"/>
              <w:spacing w:after="0"/>
              <w:rPr>
                <w:sz w:val="20"/>
                <w:szCs w:val="20"/>
                <w:color w:val="auto"/>
              </w:rPr>
            </w:pPr>
            <w:r>
              <w:rPr>
                <w:rFonts w:ascii="Times New Roman" w:cs="Times New Roman" w:eastAsia="Times New Roman" w:hAnsi="Times New Roman"/>
                <w:sz w:val="18"/>
                <w:szCs w:val="18"/>
                <w:color w:val="0000EE"/>
                <w:w w:val="93"/>
              </w:rPr>
              <w:t>S-10</w:t>
            </w:r>
          </w:p>
        </w:tc>
        <w:tc>
          <w:tcPr>
            <w:tcW w:w="0" w:type="dxa"/>
            <w:vAlign w:val="bottom"/>
          </w:tcPr>
          <w:p>
            <w:pPr>
              <w:spacing w:after="0"/>
              <w:rPr>
                <w:sz w:val="1"/>
                <w:szCs w:val="1"/>
                <w:color w:val="auto"/>
              </w:rPr>
            </w:pPr>
          </w:p>
        </w:tc>
      </w:tr>
      <w:tr>
        <w:trPr>
          <w:trHeight w:val="277"/>
        </w:trPr>
        <w:tc>
          <w:tcPr>
            <w:tcW w:w="105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400" w:type="dxa"/>
            <w:vAlign w:val="bottom"/>
          </w:tcPr>
          <w:p>
            <w:pPr>
              <w:spacing w:after="0"/>
              <w:rPr>
                <w:sz w:val="24"/>
                <w:szCs w:val="24"/>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w w:val="93"/>
              </w:rPr>
              <w:t>S-10</w:t>
            </w:r>
          </w:p>
        </w:tc>
        <w:tc>
          <w:tcPr>
            <w:tcW w:w="0" w:type="dxa"/>
            <w:vAlign w:val="bottom"/>
          </w:tcPr>
          <w:p>
            <w:pPr>
              <w:spacing w:after="0"/>
              <w:rPr>
                <w:sz w:val="1"/>
                <w:szCs w:val="1"/>
                <w:color w:val="auto"/>
              </w:rPr>
            </w:pPr>
          </w:p>
        </w:tc>
      </w:tr>
      <w:tr>
        <w:trPr>
          <w:trHeight w:val="277"/>
        </w:trPr>
        <w:tc>
          <w:tcPr>
            <w:tcW w:w="518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532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Borders>
              <w:top w:val="single" w:sz="8" w:color="0000EE"/>
            </w:tcBorders>
            <w:gridSpan w:val="5"/>
          </w:tcPr>
          <w:p>
            <w:pPr>
              <w:jc w:val="right"/>
              <w:spacing w:after="0"/>
              <w:rPr>
                <w:sz w:val="20"/>
                <w:szCs w:val="20"/>
                <w:color w:val="auto"/>
              </w:rPr>
            </w:pPr>
            <w:r>
              <w:rPr>
                <w:rFonts w:ascii="Times New Roman" w:cs="Times New Roman" w:eastAsia="Times New Roman" w:hAnsi="Times New Roman"/>
                <w:sz w:val="18"/>
                <w:szCs w:val="18"/>
                <w:color w:val="0000EE"/>
                <w:w w:val="93"/>
              </w:rPr>
              <w:t>S-11</w:t>
            </w:r>
          </w:p>
        </w:tc>
        <w:tc>
          <w:tcPr>
            <w:tcW w:w="0" w:type="dxa"/>
            <w:vAlign w:val="bottom"/>
          </w:tcPr>
          <w:p>
            <w:pPr>
              <w:spacing w:after="0"/>
              <w:rPr>
                <w:sz w:val="1"/>
                <w:szCs w:val="1"/>
                <w:color w:val="auto"/>
              </w:rPr>
            </w:pPr>
          </w:p>
        </w:tc>
      </w:tr>
      <w:tr>
        <w:trPr>
          <w:trHeight w:val="533"/>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320" w:type="dxa"/>
            <w:vAlign w:val="bottom"/>
            <w:gridSpan w:val="5"/>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ABOUT THIS PROSPECTUS</w:t>
            </w:r>
          </w:p>
        </w:tc>
        <w:tc>
          <w:tcPr>
            <w:tcW w:w="8260" w:type="dxa"/>
            <w:vAlign w:val="bottom"/>
            <w:gridSpan w:val="13"/>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9"/>
              </w:rPr>
              <w:t>ii</w:t>
            </w:r>
          </w:p>
        </w:tc>
        <w:tc>
          <w:tcPr>
            <w:tcW w:w="0" w:type="dxa"/>
            <w:vAlign w:val="bottom"/>
          </w:tcPr>
          <w:p>
            <w:pPr>
              <w:spacing w:after="0"/>
              <w:rPr>
                <w:sz w:val="1"/>
                <w:szCs w:val="1"/>
                <w:color w:val="auto"/>
              </w:rPr>
            </w:pPr>
          </w:p>
        </w:tc>
      </w:tr>
      <w:tr>
        <w:trPr>
          <w:trHeight w:val="277"/>
        </w:trPr>
        <w:tc>
          <w:tcPr>
            <w:tcW w:w="21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PROSPECTUS SUMMARY</w:t>
            </w:r>
          </w:p>
        </w:tc>
        <w:tc>
          <w:tcPr>
            <w:tcW w:w="8400" w:type="dxa"/>
            <w:vAlign w:val="bottom"/>
            <w:gridSpan w:val="15"/>
          </w:tcPr>
          <w:p>
            <w:pPr>
              <w:spacing w:after="0"/>
              <w:rPr>
                <w:sz w:val="24"/>
                <w:szCs w:val="24"/>
                <w:color w:val="auto"/>
              </w:rPr>
            </w:pPr>
          </w:p>
        </w:tc>
        <w:tc>
          <w:tcPr>
            <w:tcW w:w="7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202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6"/>
              </w:rPr>
              <w:t>RISK FACTORS</w:t>
            </w:r>
          </w:p>
        </w:tc>
        <w:tc>
          <w:tcPr>
            <w:tcW w:w="840" w:type="dxa"/>
            <w:vAlign w:val="bottom"/>
            <w:gridSpan w:val="4"/>
          </w:tcPr>
          <w:p>
            <w:pPr>
              <w:spacing w:after="0"/>
              <w:rPr>
                <w:sz w:val="24"/>
                <w:szCs w:val="24"/>
                <w:color w:val="auto"/>
              </w:rPr>
            </w:pPr>
          </w:p>
        </w:tc>
        <w:tc>
          <w:tcPr>
            <w:tcW w:w="8400" w:type="dxa"/>
            <w:vAlign w:val="bottom"/>
            <w:gridSpan w:val="15"/>
          </w:tcPr>
          <w:p>
            <w:pPr>
              <w:spacing w:after="0"/>
              <w:rPr>
                <w:sz w:val="24"/>
                <w:szCs w:val="24"/>
                <w:color w:val="auto"/>
              </w:rPr>
            </w:pPr>
          </w:p>
        </w:tc>
        <w:tc>
          <w:tcPr>
            <w:tcW w:w="7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5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7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2020" w:type="dxa"/>
            <w:vAlign w:val="bottom"/>
            <w:gridSpan w:val="5"/>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5160" w:type="dxa"/>
            <w:vAlign w:val="bottom"/>
            <w:gridSpan w:val="2"/>
          </w:tcPr>
          <w:p>
            <w:pPr>
              <w:spacing w:after="0"/>
              <w:rPr>
                <w:sz w:val="24"/>
                <w:szCs w:val="24"/>
                <w:color w:val="auto"/>
              </w:rPr>
            </w:pPr>
          </w:p>
        </w:tc>
        <w:tc>
          <w:tcPr>
            <w:tcW w:w="7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158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6"/>
              </w:rPr>
              <w:t>PLAN OF DISTRIBUTION</w:t>
            </w:r>
          </w:p>
        </w:tc>
        <w:tc>
          <w:tcPr>
            <w:tcW w:w="8480" w:type="dxa"/>
            <w:vAlign w:val="bottom"/>
            <w:gridSpan w:val="16"/>
          </w:tcPr>
          <w:p>
            <w:pPr>
              <w:spacing w:after="0"/>
              <w:rPr>
                <w:sz w:val="24"/>
                <w:szCs w:val="24"/>
                <w:color w:val="auto"/>
              </w:rPr>
            </w:pPr>
          </w:p>
        </w:tc>
        <w:tc>
          <w:tcPr>
            <w:tcW w:w="7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2020" w:type="dxa"/>
            <w:vAlign w:val="bottom"/>
            <w:gridSpan w:val="5"/>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9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DESCRIPTION OF COMMON STOCK</w:t>
            </w:r>
          </w:p>
        </w:tc>
        <w:tc>
          <w:tcPr>
            <w:tcW w:w="7540" w:type="dxa"/>
            <w:vAlign w:val="bottom"/>
            <w:gridSpan w:val="11"/>
          </w:tcPr>
          <w:p>
            <w:pPr>
              <w:spacing w:after="0"/>
              <w:rPr>
                <w:sz w:val="24"/>
                <w:szCs w:val="24"/>
                <w:color w:val="auto"/>
              </w:rPr>
            </w:pPr>
          </w:p>
        </w:tc>
        <w:tc>
          <w:tcPr>
            <w:tcW w:w="560" w:type="dxa"/>
            <w:vAlign w:val="bottom"/>
            <w:gridSpan w:val="3"/>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10</w:t>
            </w:r>
          </w:p>
        </w:tc>
        <w:tc>
          <w:tcPr>
            <w:tcW w:w="0" w:type="dxa"/>
            <w:vAlign w:val="bottom"/>
          </w:tcPr>
          <w:p>
            <w:pPr>
              <w:spacing w:after="0"/>
              <w:rPr>
                <w:sz w:val="1"/>
                <w:szCs w:val="1"/>
                <w:color w:val="auto"/>
              </w:rPr>
            </w:pPr>
          </w:p>
        </w:tc>
      </w:tr>
      <w:tr>
        <w:trPr>
          <w:trHeight w:val="277"/>
        </w:trPr>
        <w:tc>
          <w:tcPr>
            <w:tcW w:w="105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DESCRIPTION OF PREFERRED STOCK</w:t>
            </w:r>
          </w:p>
        </w:tc>
        <w:tc>
          <w:tcPr>
            <w:tcW w:w="7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12</w:t>
            </w:r>
          </w:p>
        </w:tc>
        <w:tc>
          <w:tcPr>
            <w:tcW w:w="0" w:type="dxa"/>
            <w:vAlign w:val="bottom"/>
          </w:tcPr>
          <w:p>
            <w:pPr>
              <w:spacing w:after="0"/>
              <w:rPr>
                <w:sz w:val="1"/>
                <w:szCs w:val="1"/>
                <w:color w:val="auto"/>
              </w:rPr>
            </w:pPr>
          </w:p>
        </w:tc>
      </w:tr>
      <w:tr>
        <w:trPr>
          <w:trHeight w:val="277"/>
        </w:trPr>
        <w:tc>
          <w:tcPr>
            <w:tcW w:w="30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100" w:type="dxa"/>
            <w:vAlign w:val="bottom"/>
            <w:tcBorders>
              <w:top w:val="single" w:sz="8" w:color="0000EE"/>
            </w:tcBorders>
          </w:tcPr>
          <w:p>
            <w:pPr>
              <w:spacing w:after="0"/>
              <w:rPr>
                <w:sz w:val="24"/>
                <w:szCs w:val="24"/>
                <w:color w:val="auto"/>
              </w:rPr>
            </w:pPr>
          </w:p>
        </w:tc>
        <w:tc>
          <w:tcPr>
            <w:tcW w:w="7360" w:type="dxa"/>
            <w:vAlign w:val="bottom"/>
            <w:gridSpan w:val="9"/>
          </w:tcPr>
          <w:p>
            <w:pPr>
              <w:spacing w:after="0"/>
              <w:rPr>
                <w:sz w:val="24"/>
                <w:szCs w:val="24"/>
                <w:color w:val="auto"/>
              </w:rPr>
            </w:pPr>
          </w:p>
        </w:tc>
        <w:tc>
          <w:tcPr>
            <w:tcW w:w="560" w:type="dxa"/>
            <w:vAlign w:val="bottom"/>
            <w:gridSpan w:val="3"/>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13</w:t>
            </w:r>
          </w:p>
        </w:tc>
        <w:tc>
          <w:tcPr>
            <w:tcW w:w="0" w:type="dxa"/>
            <w:vAlign w:val="bottom"/>
          </w:tcPr>
          <w:p>
            <w:pPr>
              <w:spacing w:after="0"/>
              <w:rPr>
                <w:sz w:val="1"/>
                <w:szCs w:val="1"/>
                <w:color w:val="auto"/>
              </w:rPr>
            </w:pPr>
          </w:p>
        </w:tc>
      </w:tr>
      <w:tr>
        <w:trPr>
          <w:trHeight w:val="277"/>
        </w:trPr>
        <w:tc>
          <w:tcPr>
            <w:tcW w:w="105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DESCRIPTION OF WARRANTS</w:t>
            </w:r>
          </w:p>
        </w:tc>
        <w:tc>
          <w:tcPr>
            <w:tcW w:w="7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19</w:t>
            </w:r>
          </w:p>
        </w:tc>
        <w:tc>
          <w:tcPr>
            <w:tcW w:w="0" w:type="dxa"/>
            <w:vAlign w:val="bottom"/>
          </w:tcPr>
          <w:p>
            <w:pPr>
              <w:spacing w:after="0"/>
              <w:rPr>
                <w:sz w:val="1"/>
                <w:szCs w:val="1"/>
                <w:color w:val="auto"/>
              </w:rPr>
            </w:pPr>
          </w:p>
        </w:tc>
      </w:tr>
      <w:tr>
        <w:trPr>
          <w:trHeight w:val="277"/>
        </w:trPr>
        <w:tc>
          <w:tcPr>
            <w:tcW w:w="24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DESCRIPTION OF RIGHTS</w:t>
            </w:r>
          </w:p>
        </w:tc>
        <w:tc>
          <w:tcPr>
            <w:tcW w:w="8020" w:type="dxa"/>
            <w:vAlign w:val="bottom"/>
            <w:gridSpan w:val="12"/>
          </w:tcPr>
          <w:p>
            <w:pPr>
              <w:spacing w:after="0"/>
              <w:rPr>
                <w:sz w:val="24"/>
                <w:szCs w:val="24"/>
                <w:color w:val="auto"/>
              </w:rPr>
            </w:pPr>
          </w:p>
        </w:tc>
        <w:tc>
          <w:tcPr>
            <w:tcW w:w="560" w:type="dxa"/>
            <w:vAlign w:val="bottom"/>
            <w:gridSpan w:val="3"/>
          </w:tcPr>
          <w:p>
            <w:pPr>
              <w:spacing w:after="0"/>
              <w:rPr>
                <w:sz w:val="24"/>
                <w:szCs w:val="24"/>
                <w:color w:val="auto"/>
              </w:rPr>
            </w:pPr>
          </w:p>
        </w:tc>
        <w:tc>
          <w:tcPr>
            <w:tcW w:w="180" w:type="dxa"/>
            <w:vAlign w:val="bottom"/>
            <w:tcBorders>
              <w:top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20</w:t>
            </w:r>
          </w:p>
        </w:tc>
        <w:tc>
          <w:tcPr>
            <w:tcW w:w="0" w:type="dxa"/>
            <w:vAlign w:val="bottom"/>
          </w:tcPr>
          <w:p>
            <w:pPr>
              <w:spacing w:after="0"/>
              <w:rPr>
                <w:sz w:val="1"/>
                <w:szCs w:val="1"/>
                <w:color w:val="auto"/>
              </w:rPr>
            </w:pPr>
          </w:p>
        </w:tc>
      </w:tr>
      <w:tr>
        <w:trPr>
          <w:trHeight w:val="277"/>
        </w:trPr>
        <w:tc>
          <w:tcPr>
            <w:tcW w:w="21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DESCRIPTION OF UNITS</w:t>
            </w:r>
          </w:p>
        </w:tc>
        <w:tc>
          <w:tcPr>
            <w:tcW w:w="8360" w:type="dxa"/>
            <w:vAlign w:val="bottom"/>
            <w:gridSpan w:val="14"/>
          </w:tcPr>
          <w:p>
            <w:pPr>
              <w:spacing w:after="0"/>
              <w:rPr>
                <w:sz w:val="24"/>
                <w:szCs w:val="24"/>
                <w:color w:val="auto"/>
              </w:rPr>
            </w:pPr>
          </w:p>
        </w:tc>
        <w:tc>
          <w:tcPr>
            <w:tcW w:w="560" w:type="dxa"/>
            <w:vAlign w:val="bottom"/>
            <w:gridSpan w:val="3"/>
          </w:tcPr>
          <w:p>
            <w:pPr>
              <w:spacing w:after="0"/>
              <w:rPr>
                <w:sz w:val="24"/>
                <w:szCs w:val="24"/>
                <w:color w:val="auto"/>
              </w:rPr>
            </w:pPr>
          </w:p>
        </w:tc>
        <w:tc>
          <w:tcPr>
            <w:tcW w:w="180" w:type="dxa"/>
            <w:vAlign w:val="bottom"/>
            <w:tcBorders>
              <w:top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21</w:t>
            </w:r>
          </w:p>
        </w:tc>
        <w:tc>
          <w:tcPr>
            <w:tcW w:w="0" w:type="dxa"/>
            <w:vAlign w:val="bottom"/>
          </w:tcPr>
          <w:p>
            <w:pPr>
              <w:spacing w:after="0"/>
              <w:rPr>
                <w:sz w:val="1"/>
                <w:szCs w:val="1"/>
                <w:color w:val="auto"/>
              </w:rPr>
            </w:pPr>
          </w:p>
        </w:tc>
      </w:tr>
      <w:tr>
        <w:trPr>
          <w:trHeight w:val="20"/>
        </w:trPr>
        <w:tc>
          <w:tcPr>
            <w:tcW w:w="2020" w:type="dxa"/>
            <w:vAlign w:val="bottom"/>
            <w:gridSpan w:val="5"/>
            <w:shd w:val="clear" w:color="auto" w:fill="0000EE"/>
          </w:tcPr>
          <w:p>
            <w:pPr>
              <w:spacing w:after="0" w:line="20" w:lineRule="exact"/>
              <w:rPr>
                <w:sz w:val="1"/>
                <w:szCs w:val="1"/>
                <w:color w:val="auto"/>
              </w:rPr>
            </w:pPr>
          </w:p>
        </w:tc>
        <w:tc>
          <w:tcPr>
            <w:tcW w:w="1800" w:type="dxa"/>
            <w:vAlign w:val="bottom"/>
            <w:gridSpan w:val="1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8"/>
              </w:rPr>
              <w:t>CERTAIN PROVISIONS OF DELAWARE LAW AND OF THE COMPANY’S CERTIFICATE OF INCORPORATION AND BYLAWS</w:t>
            </w:r>
          </w:p>
        </w:tc>
        <w:tc>
          <w:tcPr>
            <w:tcW w:w="500" w:type="dxa"/>
            <w:vAlign w:val="bottom"/>
          </w:tcPr>
          <w:p>
            <w:pPr>
              <w:spacing w:after="0"/>
              <w:rPr>
                <w:sz w:val="24"/>
                <w:szCs w:val="24"/>
                <w:color w:val="auto"/>
              </w:rPr>
            </w:pPr>
          </w:p>
        </w:tc>
        <w:tc>
          <w:tcPr>
            <w:tcW w:w="560" w:type="dxa"/>
            <w:vAlign w:val="bottom"/>
            <w:gridSpan w:val="3"/>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22</w:t>
            </w:r>
          </w:p>
        </w:tc>
        <w:tc>
          <w:tcPr>
            <w:tcW w:w="0" w:type="dxa"/>
            <w:vAlign w:val="bottom"/>
          </w:tcPr>
          <w:p>
            <w:pPr>
              <w:spacing w:after="0"/>
              <w:rPr>
                <w:sz w:val="1"/>
                <w:szCs w:val="1"/>
                <w:color w:val="auto"/>
              </w:rPr>
            </w:pPr>
          </w:p>
        </w:tc>
      </w:tr>
      <w:tr>
        <w:trPr>
          <w:trHeight w:val="277"/>
        </w:trPr>
        <w:tc>
          <w:tcPr>
            <w:tcW w:w="105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7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23</w:t>
            </w:r>
          </w:p>
        </w:tc>
        <w:tc>
          <w:tcPr>
            <w:tcW w:w="0" w:type="dxa"/>
            <w:vAlign w:val="bottom"/>
          </w:tcPr>
          <w:p>
            <w:pPr>
              <w:spacing w:after="0"/>
              <w:rPr>
                <w:sz w:val="1"/>
                <w:szCs w:val="1"/>
                <w:color w:val="auto"/>
              </w:rPr>
            </w:pPr>
          </w:p>
        </w:tc>
      </w:tr>
      <w:tr>
        <w:trPr>
          <w:trHeight w:val="277"/>
        </w:trPr>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2"/>
          </w:tcPr>
          <w:p>
            <w:pPr>
              <w:spacing w:after="0"/>
              <w:rPr>
                <w:sz w:val="24"/>
                <w:szCs w:val="24"/>
                <w:color w:val="auto"/>
              </w:rPr>
            </w:pPr>
          </w:p>
        </w:tc>
        <w:tc>
          <w:tcPr>
            <w:tcW w:w="9040" w:type="dxa"/>
            <w:vAlign w:val="bottom"/>
            <w:gridSpan w:val="18"/>
          </w:tcPr>
          <w:p>
            <w:pPr>
              <w:spacing w:after="0"/>
              <w:rPr>
                <w:sz w:val="24"/>
                <w:szCs w:val="24"/>
                <w:color w:val="auto"/>
              </w:rPr>
            </w:pPr>
          </w:p>
        </w:tc>
        <w:tc>
          <w:tcPr>
            <w:tcW w:w="560" w:type="dxa"/>
            <w:vAlign w:val="bottom"/>
            <w:gridSpan w:val="3"/>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23</w:t>
            </w:r>
          </w:p>
        </w:tc>
        <w:tc>
          <w:tcPr>
            <w:tcW w:w="0" w:type="dxa"/>
            <w:vAlign w:val="bottom"/>
          </w:tcPr>
          <w:p>
            <w:pPr>
              <w:spacing w:after="0"/>
              <w:rPr>
                <w:sz w:val="1"/>
                <w:szCs w:val="1"/>
                <w:color w:val="auto"/>
              </w:rPr>
            </w:pPr>
          </w:p>
        </w:tc>
      </w:tr>
      <w:tr>
        <w:trPr>
          <w:trHeight w:val="277"/>
        </w:trPr>
        <w:tc>
          <w:tcPr>
            <w:tcW w:w="105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7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23</w:t>
            </w:r>
          </w:p>
        </w:tc>
        <w:tc>
          <w:tcPr>
            <w:tcW w:w="0" w:type="dxa"/>
            <w:vAlign w:val="bottom"/>
          </w:tcPr>
          <w:p>
            <w:pPr>
              <w:spacing w:after="0"/>
              <w:rPr>
                <w:sz w:val="1"/>
                <w:szCs w:val="1"/>
                <w:color w:val="auto"/>
              </w:rPr>
            </w:pPr>
          </w:p>
        </w:tc>
      </w:tr>
      <w:tr>
        <w:trPr>
          <w:trHeight w:val="20"/>
        </w:trPr>
        <w:tc>
          <w:tcPr>
            <w:tcW w:w="3820" w:type="dxa"/>
            <w:vAlign w:val="bottom"/>
            <w:gridSpan w:val="15"/>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5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7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24</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No dealer, salesperson or other person is authorized to give any information or to represent anything not contained in this prospectus supplement or the accompanying prospectus. You must not rely on any unauthorized information or representations. This prospectus supplement and the accompanying prospectus are an offer to sell only the securities offered hereby, but only under circumstances and in jurisdictions where it is lawful to do so. The information contained in this prospectus supplement and the accompanying prospectus is current only as of their respective dates.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(File No. 333-273726) that we filed with the U.S. Securities and Exchange Commission (the “SEC”) utilizing a “shelf” registration process. This document is in two parts. The first part is this prospectus supplement, which describes the specific terms of this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supplement or the accompanying prospectus, or incorporated by reference herein. We have not authorized any other person to provide you with different information.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sections entitled “Where You Can Find More Information” and “Incorporation of Certain Documents by Reference” in the accompanying prospectus.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and incorporate by reference market data and industry statistics and forecasts that are based on independent industry publications and other publicly-available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supplement, accompanying prospectus or the documents incorporated herein by reference, these estimates involve risks and uncertainties and are subject to change based on various factors, including those discussed in the section entitled “Risk Factors” in this prospectus supplement and the accompanying prospectus, and under similar headings in the other documents that are incorporated herein by reference. Accordingly, investors should not place undue reliance on this information.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offering to sell, and seeking offers to buy, the securities offered by this prospectus supplement only in jurisdictions where offers and sales are permitted. The distribution of this prospectus supplement and the accompanying prospectus and the offering of the securities offered by this prospectus supplement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to “we,” “our,” “us,” or the “Company” in this prospectus mean XWELL, Inc., together with its subsidiaries. All other trademarks, service marks or other tradenames appearing in this prospectus supplement and the accompanying prospectus are the property of their respective owners.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supplement includes our trademarks, trade names and service marks, which is protected under applicable intellectual property laws and are the property of XWELL, Inc., or its subsidiaries. Solely for convenience, trademarks, trade names and service marks referred to in this prospectus supplement may appear without the ® and ™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8962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962390"/>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about us, this offering and information appearing elsewhere in this prospectus supplement, in the accompanying prospectus and in the information and documents incorporated by reference herein and therein. This summary is not complete and does not contain all the information you should consider before investing in our common stock pursuant to this prospectus supplement and the accompanying prospectus. Before making an investment decision, to fully understand this offering and its consequences to you, you should carefully read this entire prospectus supplement and the accompanying prospectus, including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financial statements, and related notes, and the other information incorporated by reference herein and therein.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XWELL is a global wellness company operating multiple brands and focused on bringing restorative, regenerative and reinvigorating products and services to travelers. XWELL currently has four reportable operating segments: XpresSpa®, XpresTest®, Naples Wax Center and Treat™.</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Although we recognize four segments of business, we believe there is opportunity to leverage a segment of our products and services across our platform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plan to build our capability for delivering health and wellness services outside of the airport. We believe operating outside of the airport complements our offering and represents the fastest way to scale the XWELL family of brands.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will be looking to further expand internationally. With international travel returning to pre-pandemic levels, we continue to be opportunistic in our approach by taking advantage of the current market to growth. We believe a strategy for international expansion further advances our ability to expand our other brands including bio surveillance outside of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CPC Pain &amp; Wellness SPV, LLC Litigation</w:t>
      </w:r>
    </w:p>
    <w:p>
      <w:pPr>
        <w:spacing w:after="0" w:line="22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On July 19, 2024, CPC SPV (as defined herein) a recently formed special purpose vehicle, acquired a 9.42% stake in XWELL in June 2024, filed suit against members of the Board of Directors, Chairman Bruce T. Bernstein and directors Michael Lebowitz, Robert Weinstein, Gaëlle Wizenberg, and Scott R. Milford, for, among other reasons, breach of their fiduciary duties and unlawful, unenforceable, and inequitable application of our Third Amended and Restated Bylaws to reject CPC SPV’s notice of intent to propose its own slate of directors for election at the 2024 annual meeting of stockholders. On July 22, 2024, we announced that the director candidate nomination notice submitted by CPC SPV is invalid. We intend to defend these claims vigorously.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Agreement</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August 5, 2024, we, XpresSpa Middle East B.V., and certain parties thereto (such parties, the “Settlor Parties” entered into a Settlement Agreement (the “Settlement Agreement”), pursuant to which we agreed to issue an aggregate of 416,000 shares of common stock (the “Settlement Shares”) to the Settlor Parties in consideration for their entry into the Settlement Agreement. The Settlement Shares were not registered under the Securities Act of 1933, as amended (the “Securities Act”), and were issued in reliance on one or more exemptions from registration under the Securities Act, including pursuant to Rule 903 of Regulation S under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 exceeded $100 million during such completed fiscal year and the market value of our common stock held by non-affiliates exceeds $700 million as of the prior June 30.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were incorporated in Delaware as a corporation on January 9, 2006, and completed an initial public offering in June 2010. On October 25, 2022, we changed our name to XWELL, Inc. from XpresSpa Group, Inc. Our common stock, par value $0.01 per share, which had previously been listed under the trading symbol “XSPA” on the Nasdaq Capital Market, now trades under the trading symbol “XWEL”. We filed an amended and restated certificate of incorporation with the Delaware Secretary of State on October 24, 2022 (the “Amended and Restated Certificate”) reflecting the name change. Rebranding to XWELL aligned our corporate strategy to build a pure-play wellness services company, in both the airport and off airport marketplaces.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254 West 31st Street, 11th Floor, New York, New York 10001. Our telephone number is (212) 750-9595 and our website address is </w:t>
      </w:r>
      <w:r>
        <w:rPr>
          <w:rFonts w:ascii="Times New Roman" w:cs="Times New Roman" w:eastAsia="Times New Roman" w:hAnsi="Times New Roman"/>
          <w:sz w:val="18"/>
          <w:szCs w:val="18"/>
          <w:i w:val="1"/>
          <w:iCs w:val="1"/>
          <w:color w:val="auto"/>
        </w:rPr>
        <w:t>www.xwell.com</w:t>
      </w:r>
      <w:r>
        <w:rPr>
          <w:rFonts w:ascii="Times New Roman" w:cs="Times New Roman" w:eastAsia="Times New Roman" w:hAnsi="Times New Roman"/>
          <w:sz w:val="18"/>
          <w:szCs w:val="18"/>
          <w:color w:val="auto"/>
        </w:rPr>
        <w:t xml:space="preserve">. We also operate the websites </w:t>
      </w:r>
      <w:r>
        <w:rPr>
          <w:rFonts w:ascii="Times New Roman" w:cs="Times New Roman" w:eastAsia="Times New Roman" w:hAnsi="Times New Roman"/>
          <w:sz w:val="18"/>
          <w:szCs w:val="18"/>
          <w:i w:val="1"/>
          <w:iCs w:val="1"/>
          <w:color w:val="auto"/>
        </w:rPr>
        <w:t>www.xpresspa.com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www.treat.com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www.xprescheck.com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26035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420" w:top="1157" w:right="419" w:bottom="623"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916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626"/>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9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652,705 shares of common stock.</w:t>
            </w:r>
          </w:p>
        </w:tc>
      </w:t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offered by us</w:t>
            </w:r>
          </w:p>
        </w:tc>
        <w:tc>
          <w:tcPr>
            <w:tcW w:w="9160" w:type="dxa"/>
            <w:vAlign w:val="bottom"/>
          </w:tcPr>
          <w:p>
            <w:pPr>
              <w:spacing w:after="0"/>
              <w:rPr>
                <w:sz w:val="20"/>
                <w:szCs w:val="20"/>
                <w:color w:val="auto"/>
              </w:rPr>
            </w:pPr>
          </w:p>
        </w:tc>
      </w:tr>
      <w:tr>
        <w:trPr>
          <w:trHeight w:val="410"/>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to be</w:t>
            </w:r>
          </w:p>
        </w:tc>
        <w:tc>
          <w:tcPr>
            <w:tcW w:w="9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5,256,024 shares of common stock.</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9160" w:type="dxa"/>
            <w:vAlign w:val="bottom"/>
          </w:tcPr>
          <w:p>
            <w:pPr>
              <w:spacing w:after="0"/>
              <w:rPr>
                <w:sz w:val="18"/>
                <w:szCs w:val="18"/>
                <w:color w:val="auto"/>
              </w:rPr>
            </w:pPr>
          </w:p>
        </w:tc>
      </w:tr>
      <w:tr>
        <w:trPr>
          <w:trHeight w:val="220"/>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immediately after</w:t>
            </w:r>
          </w:p>
        </w:tc>
        <w:tc>
          <w:tcPr>
            <w:tcW w:w="9160" w:type="dxa"/>
            <w:vAlign w:val="bottom"/>
          </w:tcPr>
          <w:p>
            <w:pPr>
              <w:spacing w:after="0"/>
              <w:rPr>
                <w:sz w:val="19"/>
                <w:szCs w:val="19"/>
                <w:color w:val="auto"/>
              </w:rPr>
            </w:pPr>
          </w:p>
        </w:tc>
      </w:tr>
      <w:tr>
        <w:trPr>
          <w:trHeight w:val="39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this offering</w:t>
            </w:r>
            <w:r>
              <w:rPr>
                <w:rFonts w:ascii="Times New Roman" w:cs="Times New Roman" w:eastAsia="Times New Roman" w:hAnsi="Times New Roman"/>
                <w:sz w:val="29"/>
                <w:szCs w:val="29"/>
                <w:b w:val="1"/>
                <w:bCs w:val="1"/>
                <w:color w:val="auto"/>
                <w:vertAlign w:val="superscript"/>
              </w:rPr>
              <w:t>(1)</w:t>
            </w:r>
          </w:p>
        </w:tc>
        <w:tc>
          <w:tcPr>
            <w:tcW w:w="9160" w:type="dxa"/>
            <w:vAlign w:val="bottom"/>
          </w:tcPr>
          <w:p>
            <w:pPr>
              <w:spacing w:after="0"/>
              <w:rPr>
                <w:sz w:val="24"/>
                <w:szCs w:val="24"/>
                <w:color w:val="auto"/>
              </w:rPr>
            </w:pPr>
          </w:p>
        </w:tc>
      </w:tr>
      <w:tr>
        <w:trPr>
          <w:trHeight w:val="291"/>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9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general corporate purposes. See “Use</w:t>
            </w:r>
          </w:p>
        </w:tc>
      </w:tr>
      <w:tr>
        <w:trPr>
          <w:trHeight w:val="234"/>
        </w:trPr>
        <w:tc>
          <w:tcPr>
            <w:tcW w:w="1720" w:type="dxa"/>
            <w:vAlign w:val="bottom"/>
          </w:tcPr>
          <w:p>
            <w:pPr>
              <w:spacing w:after="0"/>
              <w:rPr>
                <w:sz w:val="20"/>
                <w:szCs w:val="20"/>
                <w:color w:val="auto"/>
              </w:rPr>
            </w:pPr>
          </w:p>
        </w:tc>
        <w:tc>
          <w:tcPr>
            <w:tcW w:w="9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Proceeds” on page S-7 of this prospectus supplement.</w:t>
            </w:r>
          </w:p>
        </w:tc>
      </w:tr>
      <w:tr>
        <w:trPr>
          <w:trHeight w:val="414"/>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91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Investing in our common stock involves a high degree of risk. You should read the “Risk Factors” section beginning on page</w:t>
            </w:r>
          </w:p>
        </w:tc>
      </w:tr>
      <w:tr>
        <w:trPr>
          <w:trHeight w:val="216"/>
        </w:trPr>
        <w:tc>
          <w:tcPr>
            <w:tcW w:w="1720" w:type="dxa"/>
            <w:vAlign w:val="bottom"/>
          </w:tcPr>
          <w:p>
            <w:pPr>
              <w:spacing w:after="0"/>
              <w:rPr>
                <w:sz w:val="18"/>
                <w:szCs w:val="18"/>
                <w:color w:val="auto"/>
              </w:rPr>
            </w:pPr>
          </w:p>
        </w:tc>
        <w:tc>
          <w:tcPr>
            <w:tcW w:w="9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S-3 of this prospectus supplement and beginning on page 3 of the accompanying prospectus and in the information and</w:t>
            </w:r>
          </w:p>
        </w:tc>
      </w:tr>
      <w:tr>
        <w:trPr>
          <w:trHeight w:val="216"/>
        </w:trPr>
        <w:tc>
          <w:tcPr>
            <w:tcW w:w="1720" w:type="dxa"/>
            <w:vAlign w:val="bottom"/>
          </w:tcPr>
          <w:p>
            <w:pPr>
              <w:spacing w:after="0"/>
              <w:rPr>
                <w:sz w:val="18"/>
                <w:szCs w:val="18"/>
                <w:color w:val="auto"/>
              </w:rPr>
            </w:pPr>
          </w:p>
        </w:tc>
        <w:tc>
          <w:tcPr>
            <w:tcW w:w="9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documents incorporated by reference in this prospectus supplement and the accompanying prospectus for a discussion of</w:t>
            </w:r>
          </w:p>
        </w:tc>
      </w:tr>
      <w:tr>
        <w:trPr>
          <w:trHeight w:val="234"/>
        </w:trPr>
        <w:tc>
          <w:tcPr>
            <w:tcW w:w="1720" w:type="dxa"/>
            <w:vAlign w:val="bottom"/>
          </w:tcPr>
          <w:p>
            <w:pPr>
              <w:spacing w:after="0"/>
              <w:rPr>
                <w:sz w:val="20"/>
                <w:szCs w:val="20"/>
                <w:color w:val="auto"/>
              </w:rPr>
            </w:pPr>
          </w:p>
        </w:tc>
        <w:tc>
          <w:tcPr>
            <w:tcW w:w="9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factors to consider before deciding to invest in our common stock.</w:t>
            </w:r>
          </w:p>
        </w:tc>
      </w:tr>
      <w:tr>
        <w:trPr>
          <w:trHeight w:val="410"/>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Nasdaq Capital</w:t>
            </w:r>
          </w:p>
        </w:tc>
        <w:tc>
          <w:tcPr>
            <w:tcW w:w="9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“XWEL”</w:t>
            </w:r>
          </w:p>
        </w:tc>
      </w:t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 symbol</w:t>
            </w:r>
          </w:p>
        </w:tc>
        <w:tc>
          <w:tcPr>
            <w:tcW w:w="9160" w:type="dxa"/>
            <w:vAlign w:val="bottom"/>
          </w:tcPr>
          <w:p>
            <w:pPr>
              <w:spacing w:after="0"/>
              <w:rPr>
                <w:sz w:val="20"/>
                <w:szCs w:val="20"/>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4581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4581525"/>
                    </a:xfrm>
                    <a:prstGeom prst="rect">
                      <a:avLst/>
                    </a:prstGeom>
                    <a:noFill/>
                  </pic:spPr>
                </pic:pic>
              </a:graphicData>
            </a:graphic>
          </wp:anchor>
        </w:drawing>
      </w:r>
    </w:p>
    <w:p>
      <w:pPr>
        <w:ind w:firstLine="8"/>
        <w:spacing w:after="0" w:line="282" w:lineRule="auto"/>
        <w:tabs>
          <w:tab w:leader="none" w:pos="2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to be outstanding immediately after this offering is based on 4,187,319 shares of our common stock outstanding as of August 5, 2024, and excludes as of such date:</w:t>
      </w:r>
    </w:p>
    <w:p>
      <w:pPr>
        <w:spacing w:after="0" w:line="16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337,058 shares of common stock issuable upon the exercise of stock options outstanding at a weighted average exercise price of $10.71 per share;</w:t>
      </w:r>
    </w:p>
    <w:p>
      <w:pPr>
        <w:ind w:left="660" w:right="20" w:hanging="328"/>
        <w:spacing w:after="0" w:line="250"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114,439 shares of common stock issuable from time to time upon the settlement of restricted stock units outstanding at a weighted average grant date fair value of $24.34 per share; and</w:t>
      </w: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173,503 shares of common stock reserved for future issuance under our 2020 Equity Incentive Plan (the “2020 Plan”).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500" w:top="1130" w:right="5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An investment in our securities involves a high degree of risk. Before deciding whether to invest in our securities, you should consider carefully the risks described below, together with other information in this prospectus supplement, the accompanying prospectus, the information and documents incorporated by reference. You should also consider the risks, uncertainties and assumptions discussed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included in our most recent Annual Report on Form 10-K, as amended, and the subsequent quarterly reports on Form 10-Q and other reports that we file with the SEC which are on file with the SEC and are incorporated herein by reference, and which may be amended, supplemented or superseded from time to time by other reports we file with the SEC in the future. If any of these risks actually occurs, our business, financial condition, results of operations or cash flow could be seriously harmed. This could cause the trading price of our common stock to decline, resulting in a loss of all or part of your investment. The risks and uncertainties described below are not the only ones facing us. Additional risks and uncertainties not presently known to us, or that we currently see as immaterial, may also harm our business. Please also read carefully the section below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prices can be volatile, and this volatility may depress the price of our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stock market has experienced significant price and volume fluctuations, which have affected the market price of many companies in ways that may have been unrelated to those companies’ operating performance. Furthermore, we believe that our stock price may reflect certain future growth and profitability expectations. If we fail to meet these expectations, then our stock price may significantly decline, which could have an adverse impact on investor confidence. We believe that various factors may cause the market price of our common stock to fluctuate, perhaps substantially, including, among others, the following:</w:t>
      </w:r>
    </w:p>
    <w:p>
      <w:pPr>
        <w:spacing w:after="0" w:line="183" w:lineRule="exact"/>
        <w:rPr>
          <w:sz w:val="20"/>
          <w:szCs w:val="20"/>
          <w:color w:val="auto"/>
        </w:rPr>
      </w:pPr>
    </w:p>
    <w:p>
      <w:pPr>
        <w:ind w:left="660" w:right="390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key personnel, or our overall ability to retain key personnel; announcements of innovations by us or our competitors;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strategic partnerships, capital commitments, or new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regulatory pronouncements and changes in regulatory guidelines;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intellectual property rights generally;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claims, and investigations that may be filed against us, and other events that may adversely affect our reputation;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introduce new products and services;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 and business plan and the effects that such financing may have on the value of the equity instruments held by our stockholders;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 skilled labor force and the costs associated;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new retail locations, maintain existing ones, and ensure continued customer traffic at those locations;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of our significant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trends in the health and wellness and travel industries and potential technology and service obsolescence;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quality, pricing, availability, and useful life of our products and/or services, as well as the mix of our products and services sold.</w:t>
      </w:r>
    </w:p>
    <w:p>
      <w:pPr>
        <w:spacing w:after="0" w:line="1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allocate the net proceeds from this offering in ways that you and other stockholders may not approve.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have a material adverse effect on our business and cause the market price of our common stock to decline. Pending their ultimate use, we intend to invest the net proceeds in short-term, investment-grade, interest-bearing instruments. These investments may not yield a favorable return to our stockholders.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significant dilution as a result of future financings and the exercise of outstanding options or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including offerings pursuant to the accompanying prospectus.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or other financings could cause our stock price to fall.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the perception that these sales might occur or other financings, could depress the market price of our common stock and could impair our ability to raise capital through the sale of additional equity securities. A substantial majority of the outstanding shares of our common stock are freely tradable without restriction or further registration under the Securities Act unless these shares are owned or purchased by “affiliates” as that term is defined in Rule 144 under the Securities Act. In addition, shares of common stock issuable upon exercise of outstanding options, restricted stock units and shares reserved for future issuance under our incentive stock plan will be eligible for sale in the public market to the extent permitted by applicable vesting requirements and, in some cases, subject to compliance with the requirements of Rule 144. As a result, these shares can be freely sold in the public market upon issuance, subject to restrictions under the securities 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current plans to pay dividends on our common stock, and our investors may not receive funds without selling their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nor do we expect to pay any cash dividends on our common stock for the foreseeable future. Investors seeking cash dividends should not invest in our common stock for that purpose. We currently intend to retain any additional future earnings to finance our operations and growth and, therefore, we have no plans to pay cash dividends on our common stock currently.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our investors may have to sell some or all their common stock in order to generate cash from their investment. You may not receive a gain on your investment when you sell our common stock and may lose the entire amount of your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sell additional equity or debt securities to fund our operations, it may impose restrictions on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raise additional funds to support our operations, we may sell additional equity or debt securities, which may impose restrictive covenants that adversely impact our business. The incurrence of indebtedness would result in increased fixed payment obligations and could also result in restrictive covenants, such as limitations on our ability to incur additional debt, limitations on our ability to acquire, sell or license intellectual property rights and other operating restrictions that could adversely impact our ability to conduct our business. If we are unable to expand our operations or otherwise capitalize on our business opportunities due to such restrictions, our business, financial condition and results of operations could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Litigation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stockholders, including the actions currently being taken by CPC Pain &amp; Wellness SPV, LLC (“CPC SPV”), could materially and adversely affect our business, results of operations and share price.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Activist stockholders may from time to time engage in proxy solicitations, advance stockholder proposals or otherwise attempt to effect changes or acquire control over us. While we value constructive input from investors and regularly engage in dialogue with our stockholders, and we welcome their views and opinions, we may be subject to actions or proposals from activist stockholders that may not align with our business strategy or with the interests of our stockholders. Because our Board and management team are committed to acting in the best interests of all our stockholders, there is no assurance that the actions taken by the Board and management in seeking to maintain constructive engagement with certain stockholders will be successful in preventing the occurrence of stockholder activist campaigns.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Campaigns by activist stockholders to effect changes at publicly traded companies often demand that companies undertake or pursue financial restructuring, increase debt, issue special dividends, repurchase shares, or undertake sales of assets or other transactions, including strategic transactions. Campaigns may also be initiated by activist stockholders advocating for particular social causes. Activist stockholders who disagree with the composition of a publicly traded company’s board of directors, or with its strategy or management team often seek to involve themselves in the governance and strategic direction of a company through various activities that range from private engagement to publicity campaigns, proxy contests, efforts to force transactions not supported by the company’s board, and in some instances, litigation. We have been and may in the future be subject to activities initiated by activist stockholders.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17 and June 23, 2024, CPC SPV submitted documents to the Company purporting to provide notice of an intent to nominate four director candidates for election to the Board at the Company’s 2024 Annual Meeting (the “Purported Nomination Notice”). The Board determined that the Purported Nomination Notice was invalid because it failed to comply with the Company’s third amended and restated bylaws (as may be amended or restated from time to time, the “Bylaws”) as a result of material omissions and other material deficiencies.</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 July 19, 2024, CPC SPV filed a lawsuit in the Court of Chancery for the State of Delaware contesting the Company’s rejection of the Purported Nomination Notice and contending that the advance notice requirements of the Bylaws were inequitably adopted and unenforceable. The complaint names the Company and the five incumbent Board members as defendants: Bruce T. Bernstein, Board member and Chairman; Michael Lebowitz, Board member; Robert Weinstein, Board member; Gaëlle Wizenberg, Board member; and Scott R. Milford, Board member and CEO. The complaint seeks the following relief: (1) a declaration that the Company’s advance notice bylaw is unenforceable; (2) a declaration that Defendants acted unreasonably and inequitably when applying the advance notice bylaw to reject the Purported Nomination Notice; (3) a declaration that the Company’s directors breached their fiduciary duties by adopting the Company’s advance notice bylaw and by applying it to reject the Purported Nomination Notice; (4) an order compelling Defendants to include CPC SPV’s purported director nominees on the Company’s universal proxy card for the 2024 Annual Meeting; (5) if necessary, a postponement of the 2024 Annual Meeting until CPC SPV can distribute its Schedule 14A materials to the Company’s stockholders; (6) CPC SPV’s costs and expenses in</w:t>
      </w:r>
    </w:p>
    <w:p>
      <w:pPr>
        <w:sectPr>
          <w:pgSz w:w="11900" w:h="16915" w:orient="portrait"/>
          <w:cols w:equalWidth="0" w:num="1">
            <w:col w:w="11240"/>
          </w:cols>
          <w:pgMar w:left="320" w:top="900" w:right="339" w:bottom="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the action, including attorneys’, accountants’, and experts’ fees; and (7) any other relief the Court deems just and proper. The Court of Chancery has set the case for trial on September 18-19, 2024, and the parties are currently engaged in discovery. Defendants deny all wrongdoing, believe CPC SPV’s claims lack legal merit, and intend to vigorously defend against CPC SPV’s claims.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Nonetheless, litigation is inherently unpredictable and responding to these potential proxy contests, and any other actions by activist stockholders, will be costly and time-consuming and will divert the attention of our Board, management team and employees from the management of our operations and the pursuit of our business strategies. Further, actions of activist stockholders may cause fluctuations in our stock price based on temporary or speculative market perceptions or other factors that do not necessarily reflect the underlying fundamentals and prospects of our business. Perceived uncertainties as to our future direction, strategy or leadership created as a consequence of activist stockholder initiatives may result in the loss of potential business opportunities and make it more difficult to attract and retain investors, customers, employees, qualified directors and officers and business partners. Also, we will be required to incur significant expenses related to any activist stockholder matters (including legal fees, fees for financial advisors, fees for public relation advisors and proxy solicitation expenses). If individuals with a specific agenda are elected or appointed to our Board, it may adversely affect our ability to effectively and timely implement our strategic plan and maximize value for our stockholders. Furthermore, if individuals are elected or appointed to our Board who do not agree with our strategic plan, the ability of our Board to function effectively could be adversely affected. As a result, activist stockholder campaigns could adversely affect our business, results of operations, financial condition and share price.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any activist campaign, we may choose to initiate, or may become subject to, litigation, which would serve as a further distraction to our Board, management and employees and would require us to incur significant additional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predict, and no assurances can be given, as to the outcome or timing of any matters relating to the foregoing actions by stockholders and our responses thereto or the ultimate impact on our business, liquidity, financial condition or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and the information incorporated by reference in this prospectus supplement and the accompanying prospectus contain “forward-looking statements,” which include information relating to future events, future financial performance, strategies, expectations, competitive environment and regulation. Words such as “may,” “should,” “could,” “would,” “predicts,” “potential,” “continue,” “expects,” “anticipates,” “future,” “intends,” “plans,” “believes,” “estimates,” and similar expressions, as well as statements in future tense, identify forward-looking statements. Forward-looking statements should not be read as a guarantee of future performance or results and may not be accurate indications of when such performance or results will be achieved. Forward-looking statements are based on information we have when those statements are made or our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8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effects of public health epidemics, similar to the coronavirus outbreak, on our business, results of operations and financial condition;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material weaknesses we identified in our internal control over financial reporting, our efforts to remediate such material weaknesses and the timing of remediation;</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 for the quarter ended September 30, 2023, and the impact of such Restatement on our future financial statements and other financial measures;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offer new products and services;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deploy our available cash resources, as well as our ability raise additional capital to fund our operations and business plan, to the extent necessary;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level of consumer and corporate spending on health, wellness and travel;</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new locations, maintain XpresSpa, Naples Wax, Treat and CDC Bio surveillance testing locations, and ensure continued customer traffic at those locations;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 skilled labor force and the costs associated with that labor;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the costs associated with opening new retail locations and maintaining or converting existing ones, and the revenue derived from our retail locations;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by our Airport Concession Disadvantaged Business Enterprise partners on obligations set forth in our joint venture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confidential information and customers’ financial data and other personal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disruption to our information technology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members of our management team;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an adverse change with regard to, one or more of our significant suppliers, distributors, vendors or other business relationships;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events and trends in the health, wellness and travel industries;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quality, pricing, availability and useful life of our products and/or services, as well as the mix of our products and services sold;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within our industries;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laws and regulations in the jurisdictions in which we do business and any new laws and regulations or changes in existing laws and regulations;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regulatory actions in the healthcare sector that could impact our ability to continue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discontinuance of emergency use authorization policies that could impact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Nasdaq Capital Market’s listing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claims, and investigations that may be filed against us and other events that may adversely affect our reputation;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intellectual property;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including risks and uncertainties listed under the caption “Risk Factors” in our filings with the SEC.</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review carefully the section entitled “Risk Factors” beginning on page S-3 of this prospectus supplement for a discussion of these and other risks that relate to our business and investing in our common stock. The forward-looking statements contained or incorporated by reference in this prospectus supplement are expressly qualified in their entirety by this cautionary statement. Except as required by applicable law, we do not undertake any obligation to publicly update any forward-looking statement contained in this prospectus supplement, the accompanying prospectus or the documents incorporated by reference herein to reflect events or circumstances after the date on which any such statement is made or to reflect the occurrence of unanticipated events. For all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intend to pay any cash dividends on our common stock. Rather, we currently intend to retain all available funds and any future earnings, if any, to fund the development and expansion of our business and for general corporate purposes, and we do not anticipate paying any cash dividends in the foreseeable future. Moreover, any future indebtedness that we may incur could preclude us from paying dividends. Any future determination to pay dividends will be made at the discretion of our board of directors. Investors should not purchase our common stock with the expectation of receiving cash dividends.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$1.2 million after deducting estimated offering expenses payable by us in connection with this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working capital and general corporate purposes. We do not currently have more specific plans or commitments with respect to the net proceeds from this offering and, accordingly, are unable to quantify the allocation of such proceeds among the various potential issues.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will be relying on the judgment of our management, who will have broad discretion regarding the application of the proceeds of this offering. The amounts and timing of our actual expenditures will depend upon numerous factors, including the amount of cash generated by our operations, the amount of competition and other operational factors. We may find it necessary or advisable to use portions of the proceeds from this offering for other purposes.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evaluate these and other factors and we anticipate continuing to make such evaluations to determine if the existing allocation of resources, including the proceeds of this offering, is being optimized. Circumstances that may give rise to a change in the use of proceeds include:</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development plan or strategy;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new products or applications;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delays;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with our clinical trials;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results from our clinical trials;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obtaining regulatory approvals;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sales as anticipated;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of cash including cash flow from operations and new bank debt financing arrangements, if any.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terms and provisions of our common stock are described under the heading “Description of Capital Stock” in the accompanying prospectus.</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900" w:right="5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 and sale of our common stock pursuant hereto are expected to be made principally through the efforts of our officers, directors and employees, on a “best efforts” basis. Therefore, we may not sell all of the shares of our common stock being offered. The terms of this offering were subject to market conditions and negotiations between us and prospective investors. We have entered into a securities purchase agreement directly with certain institutional investors who have agreed to purchase shares of our common stock in this offering pursuant to a securities purchase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Delivery of the shares of common stock offered hereby is expected to occur on or about August 8, 2024, subject to satisfaction of certain customary closing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indemnify the purchaser of shares of our common stock in this offering against liabilities arising out of or relating to (i) any breach of any of the representations, warranties, covenants or agreements made by us in the Purchase Agreement or related documents or (ii) any action instituted against the Purchaser by a third party (other than a third party who is affiliated with such purchaser) with respect to the Purchase Agreement or related documents and the transactions contemplated thereby, subject to certain exceptions.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shares of common stock are listed on Nasdaq under the symbol “XWEL”.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by this prospectus supplement and the accompanying prospectus will be passed upon for us by Haynes and Boone, LLP, New York,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statements as of December 31, 2023 and for the year then ended incorporated in this prospectus supplement by reference to the Annual Report on Form 10-K, as amended, have been audited by Marcum LLP, an independent registered public accounting firm, as stated in its report appearing in the registration statement, and are so incorporated in reliance upon the report of such firm given upon its authority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have filed with it, which means that we can disclose important information to you by referring you to those documents. The information incorporated by reference is deemed to be part of this prospectus supplement and the accompanying prospectus, and subsequent information that we file with the SEC will automatically update and supersede that information. Any statement contained in a previously filed document incorporated by reference will be deemed to be modified or superseded for purposes of this prospectus supplement and accompanying prospectus to the extent that a statement contained in this prospectus supplement or the accompanying prospectus modifies or replaces that statement.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incorporate by reference our documents listed below and any future filings made by us with the SEC under Sections 13(a), 13(c), 14 or 15(d) of the Exchange Act in this prospectus supplement, between the date of this prospectus supplement and the termination of the offering of the securities described in this prospectus supplement. We are not, however, incorporating by reference any documents or portions thereof, whether specifically listed below or filed in the future, that are not deemed “filed” with the SEC, unless such Form 8-K expressly provides to the contrary.</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incorporate by reference the documents set forth below that have previously been filed with the SEC:</w:t>
      </w:r>
    </w:p>
    <w:p>
      <w:pPr>
        <w:spacing w:after="0" w:line="162"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auto"/>
          </w:rPr>
          <w:t xml:space="preserve">our Annual Report on Form 10-K for the fiscal year ended December 31, 2023, filed with the SEC on </w:t>
        </w:r>
        <w:r>
          <w:rPr>
            <w:rFonts w:ascii="Times New Roman" w:cs="Times New Roman" w:eastAsia="Times New Roman" w:hAnsi="Times New Roman"/>
            <w:sz w:val="18"/>
            <w:szCs w:val="18"/>
            <w:u w:val="single" w:color="auto"/>
            <w:color w:val="0000EE"/>
          </w:rPr>
          <w:t>April 16, 2024</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April 17,</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24">
        <w:r>
          <w:rPr>
            <w:rFonts w:ascii="Times New Roman" w:cs="Times New Roman" w:eastAsia="Times New Roman" w:hAnsi="Times New Roman"/>
            <w:sz w:val="18"/>
            <w:szCs w:val="18"/>
            <w:u w:val="single" w:color="auto"/>
            <w:color w:val="0000EE"/>
          </w:rPr>
          <w:t>April 29, 2024</w:t>
        </w:r>
      </w:hyperlink>
      <w:hyperlink r:id="rId23">
        <w:r>
          <w:rPr>
            <w:rFonts w:ascii="Times New Roman" w:cs="Times New Roman" w:eastAsia="Times New Roman" w:hAnsi="Times New Roman"/>
            <w:sz w:val="18"/>
            <w:szCs w:val="18"/>
            <w:color w:val="000000"/>
          </w:rPr>
          <w:t>;</w:t>
        </w:r>
      </w:hyperlink>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2024, filed with the SEC on </w:t>
      </w:r>
      <w:hyperlink r:id="rId25">
        <w:r>
          <w:rPr>
            <w:rFonts w:ascii="Times New Roman" w:cs="Times New Roman" w:eastAsia="Times New Roman" w:hAnsi="Times New Roman"/>
            <w:sz w:val="18"/>
            <w:szCs w:val="18"/>
            <w:u w:val="single" w:color="auto"/>
            <w:color w:val="0000EE"/>
          </w:rPr>
          <w:t>May 15, 2024</w:t>
        </w:r>
      </w:hyperlink>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26">
        <w:r>
          <w:rPr>
            <w:rFonts w:ascii="Times New Roman" w:cs="Times New Roman" w:eastAsia="Times New Roman" w:hAnsi="Times New Roman"/>
            <w:sz w:val="18"/>
            <w:szCs w:val="18"/>
            <w:u w:val="single" w:color="auto"/>
            <w:color w:val="0000EE"/>
          </w:rPr>
          <w:t>April 12, 2024</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May 21, 2024</w:t>
        </w:r>
      </w:hyperlink>
      <w:r>
        <w:rPr>
          <w:rFonts w:ascii="Times New Roman" w:cs="Times New Roman" w:eastAsia="Times New Roman" w:hAnsi="Times New Roman"/>
          <w:sz w:val="18"/>
          <w:szCs w:val="18"/>
          <w:color w:val="auto"/>
        </w:rPr>
        <w:t xml:space="preserve">, and </w:t>
      </w:r>
      <w:hyperlink r:id="rId28">
        <w:r>
          <w:rPr>
            <w:rFonts w:ascii="Times New Roman" w:cs="Times New Roman" w:eastAsia="Times New Roman" w:hAnsi="Times New Roman"/>
            <w:sz w:val="18"/>
            <w:szCs w:val="18"/>
            <w:u w:val="single" w:color="auto"/>
            <w:color w:val="0000EE"/>
          </w:rPr>
          <w:t>July 22, 2024</w:t>
        </w:r>
      </w:hyperlink>
      <w:r>
        <w:rPr>
          <w:rFonts w:ascii="Times New Roman" w:cs="Times New Roman" w:eastAsia="Times New Roman" w:hAnsi="Times New Roman"/>
          <w:sz w:val="18"/>
          <w:szCs w:val="18"/>
          <w:color w:val="auto"/>
        </w:rPr>
        <w:t>;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the Company’s common stock and warrants contained in the Form 8-A filed with the SEC on </w:t>
      </w:r>
      <w:hyperlink r:id="rId29">
        <w:r>
          <w:rPr>
            <w:rFonts w:ascii="Times New Roman" w:cs="Times New Roman" w:eastAsia="Times New Roman" w:hAnsi="Times New Roman"/>
            <w:sz w:val="18"/>
            <w:szCs w:val="18"/>
            <w:u w:val="single" w:color="auto"/>
            <w:color w:val="0000EE"/>
          </w:rPr>
          <w:t>June 16, 2010</w:t>
        </w:r>
      </w:hyperlink>
      <w:r>
        <w:rPr>
          <w:rFonts w:ascii="Times New Roman" w:cs="Times New Roman" w:eastAsia="Times New Roman" w:hAnsi="Times New Roman"/>
          <w:sz w:val="18"/>
          <w:szCs w:val="18"/>
          <w:color w:val="auto"/>
        </w:rPr>
        <w:t xml:space="preserve">, as amended by </w:t>
      </w:r>
      <w:hyperlink r:id="rId30">
        <w:r>
          <w:rPr>
            <w:rFonts w:ascii="Times New Roman" w:cs="Times New Roman" w:eastAsia="Times New Roman" w:hAnsi="Times New Roman"/>
            <w:sz w:val="18"/>
            <w:szCs w:val="18"/>
            <w:u w:val="single" w:color="auto"/>
            <w:color w:val="0000EE"/>
          </w:rPr>
          <w:t>Exhibit 4.15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10-K, as amended, for the fiscal year ended December 31, 2023, as amended, including any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amendments thereto or reports filed for the purposes of updating this description.</w:t>
      </w:r>
    </w:p>
    <w:p>
      <w:pPr>
        <w:spacing w:after="0" w:line="186"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but excluding any information furnished to, rather than filed with, the SEC, will also be incorporated by reference into this prospectus supplement and the accompanying prospectus and deemed to be part of this prospectus supplement and the accompanying prospectus from the date of the filing of such reports and documents.</w:t>
      </w:r>
    </w:p>
    <w:p>
      <w:pPr>
        <w:spacing w:after="0" w:line="180"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We have not authorized anyone else to provide you with different information. You should not assume that the information in this prospectus supplement is accurate as of any date other than the date of this prospectus supplement or the date of the documents incorporated by reference in this prospectus supplement.</w:t>
      </w:r>
    </w:p>
    <w:p>
      <w:pPr>
        <w:spacing w:after="0" w:line="176" w:lineRule="exact"/>
        <w:rPr>
          <w:rFonts w:ascii="Times New Roman" w:cs="Times New Roman" w:eastAsia="Times New Roman" w:hAnsi="Times New Roman"/>
          <w:sz w:val="18"/>
          <w:szCs w:val="18"/>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supplement and the accompanying prospectus (other than exhibits, unless they are specifically incorporated by reference in the documents) by writing or telephoning us at the following address:</w:t>
      </w:r>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XWELL,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254 West 31st Street, 11th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 750-9595</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You may also access the documents incorporated by reference in this prospectus through our website at </w:t>
      </w:r>
      <w:r>
        <w:rPr>
          <w:rFonts w:ascii="Times New Roman" w:cs="Times New Roman" w:eastAsia="Times New Roman" w:hAnsi="Times New Roman"/>
          <w:sz w:val="18"/>
          <w:szCs w:val="18"/>
          <w:i w:val="1"/>
          <w:iCs w:val="1"/>
          <w:color w:val="auto"/>
        </w:rPr>
        <w:t>www.xwell.com</w:t>
      </w:r>
      <w:r>
        <w:rPr>
          <w:rFonts w:ascii="Times New Roman" w:cs="Times New Roman" w:eastAsia="Times New Roman" w:hAnsi="Times New Roman"/>
          <w:sz w:val="18"/>
          <w:szCs w:val="18"/>
          <w:color w:val="auto"/>
        </w:rPr>
        <w:t>. Except for the specific incorporated documents listed above, no information available on or through our website shall be deemed to be incorporated in this prospectus supplement and the accompanying prospectus or the registration statement of which it forms a part.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and in accordance therewith file annual, quarterly and current reports, proxy statements and other information with the SEC. The SEC maintains a website that contains reports, proxy and information statements and other information regarding registrants that file electronically with the SEC. The address of the SEC’s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make available free of charge on or through our website at </w:t>
      </w:r>
      <w:r>
        <w:rPr>
          <w:rFonts w:ascii="Times New Roman" w:cs="Times New Roman" w:eastAsia="Times New Roman" w:hAnsi="Times New Roman"/>
          <w:sz w:val="18"/>
          <w:szCs w:val="18"/>
          <w:i w:val="1"/>
          <w:iCs w:val="1"/>
          <w:color w:val="auto"/>
        </w:rPr>
        <w:t>www.xwell.com</w:t>
      </w:r>
      <w:r>
        <w:rPr>
          <w:rFonts w:ascii="Times New Roman" w:cs="Times New Roman" w:eastAsia="Times New Roman" w:hAnsi="Times New Roman"/>
          <w:sz w:val="18"/>
          <w:szCs w:val="18"/>
          <w:color w:val="auto"/>
        </w:rPr>
        <w:t>,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 it to the SEC.</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under the Securities Act, relating to the offering of these securities. The registration statement, including the attached exhibits, contains additional relevant information about us and the securities. This prospectus supplement does not contain all of the information set forth in the registration statement. You can obtain a copy of the registration statement for free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The registration statement and the documents referred to above under “Incorporation of Certain Information By Reference” are also available on our website, </w:t>
      </w:r>
      <w:r>
        <w:rPr>
          <w:rFonts w:ascii="Times New Roman" w:cs="Times New Roman" w:eastAsia="Times New Roman" w:hAnsi="Times New Roman"/>
          <w:sz w:val="18"/>
          <w:szCs w:val="18"/>
          <w:i w:val="1"/>
          <w:iCs w:val="1"/>
          <w:color w:val="auto"/>
        </w:rPr>
        <w:t>www.xwell.com</w:t>
      </w:r>
      <w:r>
        <w:rPr>
          <w:rFonts w:ascii="Times New Roman" w:cs="Times New Roman" w:eastAsia="Times New Roman" w:hAnsi="Times New Roman"/>
          <w:sz w:val="18"/>
          <w:szCs w:val="18"/>
          <w:color w:val="auto"/>
        </w:rPr>
        <w:t>. We have not incorporated by reference into this prospectus supplement the information on our website, and you should not consider it to be a part of this prospectus supplement.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XWELL, INC.</w:t>
      </w: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$200,000,000</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prospectus will allow us to issue, from time to time at prices and on terms to be determined at or prior to the time of the offering, up to $200,000,000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or rights.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common stock is quoted on The Nasdaq Capital Market (“Nasdaq”) under the symbol “XWEL.” On August 3, 2023, the last reported sale price of our common stock was $0.2528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General Instruction I.B.6 of Form S-3, in no event will we sell shares of our common stock in a public primary offering with a value exceeding more than one-third of the aggregate market value of our outstanding common stock held by non-affiliates, or our public float, in any 12-month period, so long as our public float remains below $75 million. As of August 1, 2023, our public float was $21,525,263.20, based on 77,151,481 shares of our outstanding stock held by non-affiliates at the per share price of $0.279, the closing sale price of our common stock on August 1, 2023. One-third of our public float, calculated in accordance with General Instruction I.B.6 of Form S-3 as of August 1, 2023, is equal to $7,175,087.73. We have not offered any securities pursuant to General Instruction I.B.6 of Form S-3 during the 12 calendar months prior to and including the date of this prospectus.</w:t>
      </w:r>
    </w:p>
    <w:p>
      <w:pPr>
        <w:spacing w:after="0" w:line="183" w:lineRule="exact"/>
        <w:rPr>
          <w:sz w:val="20"/>
          <w:szCs w:val="20"/>
          <w:color w:val="auto"/>
        </w:rPr>
      </w:pPr>
    </w:p>
    <w:p>
      <w:pPr>
        <w:jc w:val="both"/>
        <w:ind w:right="140"/>
        <w:spacing w:after="0" w:line="291"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Before deciding whether to invest in our securities, you should consider carefully the risks that we have described on page 3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15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12"/>
        </w:trPr>
        <w:tc>
          <w:tcPr>
            <w:tcW w:w="22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ABOUT THIS PROSPECTUS</w:t>
            </w:r>
          </w:p>
        </w:tc>
        <w:tc>
          <w:tcPr>
            <w:tcW w:w="820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9"/>
              </w:rPr>
              <w:t>ii</w:t>
            </w:r>
          </w:p>
        </w:tc>
      </w:tr>
      <w:tr>
        <w:trPr>
          <w:trHeight w:val="277"/>
        </w:trPr>
        <w:tc>
          <w:tcPr>
            <w:tcW w:w="21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PROSPECTUS SUMMARY</w:t>
            </w:r>
          </w:p>
        </w:tc>
        <w:tc>
          <w:tcPr>
            <w:tcW w:w="8340" w:type="dxa"/>
            <w:vAlign w:val="bottom"/>
            <w:gridSpan w:val="11"/>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840" w:type="dxa"/>
            <w:vAlign w:val="bottom"/>
            <w:gridSpan w:val="4"/>
          </w:tcPr>
          <w:p>
            <w:pPr>
              <w:spacing w:after="0"/>
              <w:rPr>
                <w:sz w:val="24"/>
                <w:szCs w:val="24"/>
                <w:color w:val="auto"/>
              </w:rPr>
            </w:pPr>
          </w:p>
        </w:tc>
        <w:tc>
          <w:tcPr>
            <w:tcW w:w="8340" w:type="dxa"/>
            <w:vAlign w:val="bottom"/>
            <w:gridSpan w:val="11"/>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10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53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5100" w:type="dxa"/>
            <w:vAlign w:val="bottom"/>
            <w:gridSpan w:val="2"/>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7</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0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6"/>
              </w:rPr>
              <w:t>PLAN OF DISTRIBUTION</w:t>
            </w:r>
          </w:p>
        </w:tc>
        <w:tc>
          <w:tcPr>
            <w:tcW w:w="8420" w:type="dxa"/>
            <w:vAlign w:val="bottom"/>
            <w:gridSpan w:val="12"/>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8</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9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DESCRIPTION OF COMMON STOCK</w:t>
            </w:r>
          </w:p>
        </w:tc>
        <w:tc>
          <w:tcPr>
            <w:tcW w:w="7480" w:type="dxa"/>
            <w:vAlign w:val="bottom"/>
            <w:gridSpan w:val="7"/>
          </w:tcPr>
          <w:p>
            <w:pPr>
              <w:spacing w:after="0"/>
              <w:rPr>
                <w:sz w:val="24"/>
                <w:szCs w:val="24"/>
                <w:color w:val="auto"/>
              </w:rPr>
            </w:pPr>
          </w:p>
        </w:tc>
        <w:tc>
          <w:tcPr>
            <w:tcW w:w="62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10</w:t>
            </w:r>
          </w:p>
        </w:tc>
      </w:tr>
      <w:tr>
        <w:trPr>
          <w:trHeight w:val="277"/>
        </w:trPr>
        <w:tc>
          <w:tcPr>
            <w:tcW w:w="10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PREFERRED STOCK</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12</w:t>
            </w:r>
          </w:p>
        </w:tc>
      </w:tr>
      <w:tr>
        <w:trPr>
          <w:trHeight w:val="277"/>
        </w:trPr>
        <w:tc>
          <w:tcPr>
            <w:tcW w:w="30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100" w:type="dxa"/>
            <w:vAlign w:val="bottom"/>
            <w:tcBorders>
              <w:top w:val="single" w:sz="8" w:color="0000EE"/>
            </w:tcBorders>
          </w:tcPr>
          <w:p>
            <w:pPr>
              <w:spacing w:after="0"/>
              <w:rPr>
                <w:sz w:val="24"/>
                <w:szCs w:val="24"/>
                <w:color w:val="auto"/>
              </w:rPr>
            </w:pPr>
          </w:p>
        </w:tc>
        <w:tc>
          <w:tcPr>
            <w:tcW w:w="7300" w:type="dxa"/>
            <w:vAlign w:val="bottom"/>
            <w:gridSpan w:val="5"/>
          </w:tcPr>
          <w:p>
            <w:pPr>
              <w:spacing w:after="0"/>
              <w:rPr>
                <w:sz w:val="24"/>
                <w:szCs w:val="24"/>
                <w:color w:val="auto"/>
              </w:rPr>
            </w:pPr>
          </w:p>
        </w:tc>
        <w:tc>
          <w:tcPr>
            <w:tcW w:w="6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13</w:t>
            </w:r>
          </w:p>
        </w:tc>
      </w:tr>
      <w:tr>
        <w:trPr>
          <w:trHeight w:val="277"/>
        </w:trPr>
        <w:tc>
          <w:tcPr>
            <w:tcW w:w="10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WARRANTS</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19</w:t>
            </w:r>
          </w:p>
        </w:tc>
      </w:tr>
      <w:tr>
        <w:trPr>
          <w:trHeight w:val="277"/>
        </w:trPr>
        <w:tc>
          <w:tcPr>
            <w:tcW w:w="24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DESCRIPTION OF RIGHTS</w:t>
            </w:r>
          </w:p>
        </w:tc>
        <w:tc>
          <w:tcPr>
            <w:tcW w:w="7960" w:type="dxa"/>
            <w:vAlign w:val="bottom"/>
            <w:gridSpan w:val="8"/>
          </w:tcPr>
          <w:p>
            <w:pPr>
              <w:spacing w:after="0"/>
              <w:rPr>
                <w:sz w:val="24"/>
                <w:szCs w:val="24"/>
                <w:color w:val="auto"/>
              </w:rPr>
            </w:pPr>
          </w:p>
        </w:tc>
        <w:tc>
          <w:tcPr>
            <w:tcW w:w="620" w:type="dxa"/>
            <w:vAlign w:val="bottom"/>
            <w:gridSpan w:val="2"/>
          </w:tcPr>
          <w:p>
            <w:pPr>
              <w:spacing w:after="0"/>
              <w:rPr>
                <w:sz w:val="24"/>
                <w:szCs w:val="24"/>
                <w:color w:val="auto"/>
              </w:rPr>
            </w:pPr>
          </w:p>
        </w:tc>
        <w:tc>
          <w:tcPr>
            <w:tcW w:w="180" w:type="dxa"/>
            <w:vAlign w:val="bottom"/>
            <w:tcBorders>
              <w:top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20</w:t>
            </w:r>
          </w:p>
        </w:tc>
      </w:tr>
      <w:tr>
        <w:trPr>
          <w:trHeight w:val="277"/>
        </w:trPr>
        <w:tc>
          <w:tcPr>
            <w:tcW w:w="21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DESCRIPTION OF UNITS</w:t>
            </w:r>
          </w:p>
        </w:tc>
        <w:tc>
          <w:tcPr>
            <w:tcW w:w="8300" w:type="dxa"/>
            <w:vAlign w:val="bottom"/>
            <w:gridSpan w:val="10"/>
          </w:tcPr>
          <w:p>
            <w:pPr>
              <w:spacing w:after="0"/>
              <w:rPr>
                <w:sz w:val="24"/>
                <w:szCs w:val="24"/>
                <w:color w:val="auto"/>
              </w:rPr>
            </w:pPr>
          </w:p>
        </w:tc>
        <w:tc>
          <w:tcPr>
            <w:tcW w:w="620" w:type="dxa"/>
            <w:vAlign w:val="bottom"/>
            <w:gridSpan w:val="2"/>
          </w:tcPr>
          <w:p>
            <w:pPr>
              <w:spacing w:after="0"/>
              <w:rPr>
                <w:sz w:val="24"/>
                <w:szCs w:val="24"/>
                <w:color w:val="auto"/>
              </w:rPr>
            </w:pPr>
          </w:p>
        </w:tc>
        <w:tc>
          <w:tcPr>
            <w:tcW w:w="180" w:type="dxa"/>
            <w:vAlign w:val="bottom"/>
            <w:tcBorders>
              <w:top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21</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77"/>
        </w:trPr>
        <w:tc>
          <w:tcPr>
            <w:tcW w:w="100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CERTAIN PROVISIONS OF DELAWARE LAW AND OF THE COMPANY’S CERTIFICATE OF INCORPORATION AND BYLAWS</w:t>
            </w:r>
          </w:p>
        </w:tc>
        <w:tc>
          <w:tcPr>
            <w:tcW w:w="44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22</w:t>
            </w:r>
          </w:p>
        </w:tc>
      </w:tr>
      <w:tr>
        <w:trPr>
          <w:trHeight w:val="277"/>
        </w:trPr>
        <w:tc>
          <w:tcPr>
            <w:tcW w:w="10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23</w:t>
            </w:r>
          </w:p>
        </w:tc>
      </w:tr>
      <w:tr>
        <w:trPr>
          <w:trHeight w:val="277"/>
        </w:trPr>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2"/>
          </w:tcPr>
          <w:p>
            <w:pPr>
              <w:spacing w:after="0"/>
              <w:rPr>
                <w:sz w:val="24"/>
                <w:szCs w:val="24"/>
                <w:color w:val="auto"/>
              </w:rPr>
            </w:pPr>
          </w:p>
        </w:tc>
        <w:tc>
          <w:tcPr>
            <w:tcW w:w="8980" w:type="dxa"/>
            <w:vAlign w:val="bottom"/>
            <w:gridSpan w:val="14"/>
          </w:tcPr>
          <w:p>
            <w:pPr>
              <w:spacing w:after="0"/>
              <w:rPr>
                <w:sz w:val="24"/>
                <w:szCs w:val="24"/>
                <w:color w:val="auto"/>
              </w:rPr>
            </w:pPr>
          </w:p>
        </w:tc>
        <w:tc>
          <w:tcPr>
            <w:tcW w:w="6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23</w:t>
            </w:r>
          </w:p>
        </w:tc>
      </w:tr>
      <w:tr>
        <w:trPr>
          <w:trHeight w:val="277"/>
        </w:trPr>
        <w:tc>
          <w:tcPr>
            <w:tcW w:w="10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23</w:t>
            </w:r>
          </w:p>
        </w:tc>
      </w:tr>
      <w:tr>
        <w:trPr>
          <w:trHeight w:val="20"/>
        </w:trPr>
        <w:tc>
          <w:tcPr>
            <w:tcW w:w="3820" w:type="dxa"/>
            <w:vAlign w:val="bottom"/>
            <w:gridSpan w:val="13"/>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77"/>
        </w:trPr>
        <w:tc>
          <w:tcPr>
            <w:tcW w:w="10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24</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utilizing a “shelf” registration process. Under this shelf registration process, we may offer shares of our common stock and preferred stock, various series of debt securities and/or warrants, rights to purchase any of such securities, either individually or in units, in one or more offerings, with a total value of up to $200,000,000.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We take no responsibility for, and can provide no assurances as to the reliability of, any other information that others may give you.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7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to “we,” “our,” “us,” or the “Company” in this prospectus mean XWELL, Inc., together with its subsidiaries.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7905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36130" cy="5790565"/>
                    </a:xfrm>
                    <a:prstGeom prst="rect">
                      <a:avLst/>
                    </a:prstGeom>
                    <a:noFill/>
                  </pic:spPr>
                </pic:pic>
              </a:graphicData>
            </a:graphic>
          </wp:anchor>
        </w:drawing>
        <w:t>PROSPECTUS SUMMARY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XWELL, Inc. (formerly known as XpresSpa Group, Inc.) (“XWELL”) is a global travel health and wellness services holding company. XWELL currently has four reportable operating segments: XpresSpa®, XpresCheck®, Treat™ and HyperPointe™.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XpresSpa</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XWELL’s subsidiary, XpresSpa Holdings, LLC (“XpresSpa”) has been a global airport retailer of spa services through its XpresSpa spa locations, offering travelers premium spa services, including massage, nail and skin care, as well as spa and travel products.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June 30, 2023, there were 25 operating XpresSpa domestic locations. During 2022, the Company sold one location in Austin-Bergstrom International Airport to its franchisee which now operates both locations at this airport. As the Company continues to monitor fluctuating airport volumes, the Company will also continue to review operating hours to optimize revenue opportunity.</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also had 10 international locations operating as of June 30, 2023, including two XpresSpa locations in Dubai International Airport in the United Arab Emirates, three XpresSpa locations in Schiphol Amsterdam Airport in the Netherlands and five XpresSpa locations in Istanbul Airport in Turkey.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XpresTest</w:t>
      </w:r>
    </w:p>
    <w:p>
      <w:pPr>
        <w:spacing w:after="0" w:line="22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Company in partnership with certain COVID-19 testing partners, successfully launched its XpresCheck Wellness Centers through its XpresTest, Inc. subsidiary (“XpresTest”), offering testing services, also in airports. During 2022, as countries continued to relax their testing requirements resulting in rapid decline of testing volumes at Company’s XpresCheck locations, the Company closed all of its XpresCheck Wellness Centers before the end of June 30, 2023.</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XpresTest began conducting biosurveillance monitoring with the Centers for Disease Control and Prevention (CDC) in collaboration with Concentric by Ginkgo in 2021 and on January 31, 2022, the Company announced the extension of the initial program, bringing the total contract to $5.5 million. As of August 2022, the program was renewed in partnership with Ginkgo BioWorks for a new two-year contract term which represents approximately $7.3 million in revenue (for the first fiscal year) for the XpresTest segment. Funding for the second year is anticipated but has not been confirmed at this time.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680" w:top="1130" w:right="7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3047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36130" cy="3047365"/>
                    </a:xfrm>
                    <a:prstGeom prst="rect">
                      <a:avLst/>
                    </a:prstGeom>
                    <a:noFill/>
                  </pic:spPr>
                </pic:pic>
              </a:graphicData>
            </a:graphic>
          </wp:anchor>
        </w:drawing>
        <w:t>Treat</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Treat segment, which is operating through XWELL’s subsidiary Treat, Inc. (“Treat”) is a travel health and wellness brand that provides access to health and wellness services for travelers at on-site centers, located in JFK International Airport and in Salt Lake City International Airport as of June 30,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Hyperpointe</w:t>
      </w:r>
    </w:p>
    <w:p>
      <w:pPr>
        <w:spacing w:after="0" w:line="2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XWELL’s subsidiary, gcg Connect, LLC, operating as HyperPointe, which was acquired in January 2022, provides direct to business marketing support across a number of health and health-related channels. From the creation of marketing campaigns for the pharmaceutical industry, to learning management systems, to website and health related content creation, HyperPointe is a complementary service provider to XWELL’s health-focused brands as well as providing the majority of services to the external community.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Information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were incorporated in Delaware as a corporation on January 9, 2006 and completed an initial public offering in June 2010. Our common stock, par value $0.01 per share, which was previously listed since January 8, 2018 under the trading symbol “XSPA” on The Nasdaq Capital Market, has been listed under the trading symbol “XWEL” since October 25, 2022. Our principal executive offices are located at 254 West 31st Street, 11th Floor, New York, New York 10001. Our telephone number is (212) 750-9595 and our website address is </w:t>
      </w:r>
      <w:r>
        <w:rPr>
          <w:rFonts w:ascii="Times New Roman" w:cs="Times New Roman" w:eastAsia="Times New Roman" w:hAnsi="Times New Roman"/>
          <w:sz w:val="18"/>
          <w:szCs w:val="18"/>
          <w:i w:val="1"/>
          <w:iCs w:val="1"/>
          <w:color w:val="auto"/>
        </w:rPr>
        <w:t>www.xwell.com</w:t>
      </w:r>
      <w:r>
        <w:rPr>
          <w:rFonts w:ascii="Times New Roman" w:cs="Times New Roman" w:eastAsia="Times New Roman" w:hAnsi="Times New Roman"/>
          <w:sz w:val="18"/>
          <w:szCs w:val="18"/>
          <w:color w:val="auto"/>
        </w:rPr>
        <w:t xml:space="preserve">. We also operate the websites </w:t>
      </w:r>
      <w:r>
        <w:rPr>
          <w:rFonts w:ascii="Times New Roman" w:cs="Times New Roman" w:eastAsia="Times New Roman" w:hAnsi="Times New Roman"/>
          <w:sz w:val="18"/>
          <w:szCs w:val="18"/>
          <w:i w:val="1"/>
          <w:iCs w:val="1"/>
          <w:color w:val="auto"/>
        </w:rPr>
        <w:t>www.xpresspa.com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www.treat.com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www.xprescheck.com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680" w:top="1132" w:right="67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the risk factors set forth below as well as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annual report on Form 10-K for the year ended December 31, 2022, as amended, and our quarterly report on Form 10-Q for the quarter ended March 31, 2023,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common stock.</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continued listing standards of Nasdaq provide, among other things, that a company may be delisted if the bid price of its stock drops below $1.00 for a period of 30 consecutive business days under Nasdaq Listing Rule 5550(a)(2) (the “Bid Price Requirement”) or if stockholders’ equity is less than $2,500,000. As discussed further below under “</w:t>
      </w:r>
      <w:r>
        <w:rPr>
          <w:rFonts w:ascii="Times New Roman" w:cs="Times New Roman" w:eastAsia="Times New Roman" w:hAnsi="Times New Roman"/>
          <w:sz w:val="18"/>
          <w:szCs w:val="18"/>
          <w:i w:val="1"/>
          <w:iCs w:val="1"/>
          <w:color w:val="auto"/>
        </w:rPr>
        <w:t>Description of Common Stock—Shares Authorized, issued and Outstanding; Reverse Stock Split</w:t>
      </w:r>
      <w:r>
        <w:rPr>
          <w:rFonts w:ascii="Times New Roman" w:cs="Times New Roman" w:eastAsia="Times New Roman" w:hAnsi="Times New Roman"/>
          <w:sz w:val="18"/>
          <w:szCs w:val="18"/>
          <w:color w:val="auto"/>
        </w:rPr>
        <w:t>,” on October 28, 2022, we received a deficiency letter from Nasdaq which indicated that we were not in compliance with the Bid Price Requirement and providing us 180 calendar days, or until April 26, 2023, to regain compliance with the requirement. On April 27, 2023, we received an extension of 180 calendar days from Nasdaq to regain compliance with the Bid Price Requirement, or until October 23, 2023.</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address our non-compliance with the Bid Price Requirement, we have included a proposal to implement a reverse stock split, with a ratio of between one-for-eight and one-for-twenty, in our proxy statement for the 2023 annual meeting of our stockholders. If the reverse stock split proposal is not approved by our stockholders at our 2023 annual meeting, we may be unable to regain compliance prior to the October 23, 2023 deadline, or in the future if our stock price again falls below the Bid Price Requirement. Additionally, if we fail to comply with any other continued listing standards of Nasdaq, our common stock would also be subject to delisting. If that were to occur:</w:t>
      </w:r>
    </w:p>
    <w:p>
      <w:pPr>
        <w:spacing w:after="0" w:line="18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pursue trading on a less recognized or accepted market, such as the OTC Bulletin Board or the “pink sheets”;</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could be less liquid and marketable, thereby reducing the ability of stockholders to purchase or sell our shares as quickly and as inexpensively as they have done historically;</w:t>
      </w:r>
    </w:p>
    <w:p>
      <w:pPr>
        <w:spacing w:after="0" w:line="161"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deemed a “penny stock,” and transactions in our common stock would be more difficult and cumbersome. For example,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w:t>
      </w:r>
    </w:p>
    <w:p>
      <w:pPr>
        <w:spacing w:after="0" w:line="179" w:lineRule="exact"/>
        <w:rPr>
          <w:rFonts w:ascii="Times New Roman" w:cs="Times New Roman" w:eastAsia="Times New Roman" w:hAnsi="Times New Roman"/>
          <w:sz w:val="18"/>
          <w:szCs w:val="18"/>
          <w:color w:val="auto"/>
        </w:rPr>
      </w:pPr>
    </w:p>
    <w:p>
      <w:pPr>
        <w:jc w:val="both"/>
        <w:ind w:left="660" w:right="38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common stock may further decline.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if we were to be delisted from Nasdaq, our common stock would cease to be recognized as covered securities and we would be subject to regulation in each state in which we offer our securities. Delisting could also have other negative results, including the potential loss of confidence by employees, the loss of institutional investor interest and fewer business development opportunities.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A reverse stock split may negatively impact the market for our common stock.</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Factors such as our financial results, market conditions and the market perception of our business may adversely affect the market price of our common stock. As a result, there can be no assurance that the total market capitalization of our common stock after the proposed reverse stock split will be equal to or greater than the total market capitalization before the proposed reverse stock split or that the per share market price of our common stock outstanding before the reverse stock split. A decline in the market price of our common stock after the reverse stock split may result in a greater percentage decline than would occur in the absence of a reverse stock split, and the liquidity of our common stock could be adversely affected following such a reverse stock split.</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reverse stock split may increase the number of stockholders who own odd lots (less than 100 shares). Any stockholder who owns fewer than 800 to 2,000 shares of common stock, depending on the final ratio, prior to the reverse stock split will own fewer than 100 shares of common stock following the reverse stock split. Stockholders who hold odd lots typically experience an increase in the cost of selling their shares and may have greater difficulty in effecting sales. Furthermore, some of our stockholders may cease being stockholders following the reverse stock split. Any stockholder who owns fewer than 8 to 20 shares of common stock, depending on the final ratio, prior to the reverse stock split will own less than one share of common stock following the reverse stock split and therefore such stockholder will receive cash equal to the market value of such fractional share and cease being a stockholder of the Company, as further described below under “— Procedure for Effecting Reverse Split and Exchange of Stock Certificates — Fractional Shares”.</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will also be based on our performance and other factors, including those factors listed under the heading “Risk Factors” and elsewhere in our Annual Report on Form 10-K, as amended, for the year ended December 31, 2022, and other reports that we file with the SEC. There can also be no assurance that the minimum bid price per share of our common stock will remain in excess of $1.00 following the reverse stock split for a sustained period of time, if at all.</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reverse stock split would increase our authorized but unissued shares of common stock, which could negatively impact a potential investor if they purchased shares of common stock.</w:t>
      </w:r>
    </w:p>
    <w:p>
      <w:pPr>
        <w:spacing w:after="0" w:line="15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Because the number of authorized shares of our common stock will not be reduced proportionately, the reverse stock split will increase our board of directors’ ability to issue authorized and unissued shares without further stockholder action. The issuance of additional shares of common stock or securities convertible into common stock may have a dilutive effect on earnings per share and relative voting power and may cause a decline in the trading price of the common stock. We could use the shares that are available for future issuance in dilutive equity financing transactions, or to oppose a hostile takeover attempt or delay or prevent changes in control or changes in or removal of management, including transactions that are favored by a majority of the stockholders or in which the stockholders might otherwise receive a premium for their shares over then-current market prices or benefit in some other manner.</w:t>
      </w:r>
    </w:p>
    <w:p>
      <w:pPr>
        <w:spacing w:after="0" w:line="18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We expect to require additional financing to fund our ongoing activities. Other than the foregoing, and except for our obligation to issue common stock upon the exercise of outstanding options and warrants, we have no specific plan, commitment, arrangement, understanding or agreement, either oral or written, regarding the issuance of common stock subsequent to the reverse stock split at this time.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and Section 21E of the Securities Exchange Act of 1934, as amended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Annual Report on Form 10-K for the fiscal year ended December 31, 2022, as amended, and our quarterly report on Form 10-Q for the quarter ended March 31, 2023, entitled “Business,” “Risk Factors,” and “Management’s Discussion and Analysis of Financial Condition and Results of Operations,” as well as other sections in this prospectus and the documents or reports incorporated by reference in this prospectus, discuss some of the factors that could contribute to these differences.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effects of public health epidemics, similar to the coronavirus outbreak, on our business, results of operations and financial condition;</w:t>
      </w:r>
    </w:p>
    <w:p>
      <w:pPr>
        <w:spacing w:after="0" w:line="63" w:lineRule="exact"/>
        <w:rPr>
          <w:rFonts w:ascii="Times New Roman" w:cs="Times New Roman" w:eastAsia="Times New Roman" w:hAnsi="Times New Roman"/>
          <w:sz w:val="18"/>
          <w:szCs w:val="18"/>
          <w:color w:val="auto"/>
        </w:rPr>
      </w:pPr>
    </w:p>
    <w:p>
      <w:pPr>
        <w:ind w:left="660" w:right="160" w:hanging="328"/>
        <w:spacing w:after="0" w:line="28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previously identified material weakness related to our internal control over financial reporting, which remains unremediated as of the date of this prospectus;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offer new products and services;</w:t>
      </w:r>
    </w:p>
    <w:p>
      <w:pPr>
        <w:spacing w:after="0" w:line="63" w:lineRule="exact"/>
        <w:rPr>
          <w:rFonts w:ascii="Times New Roman" w:cs="Times New Roman" w:eastAsia="Times New Roman" w:hAnsi="Times New Roman"/>
          <w:sz w:val="18"/>
          <w:szCs w:val="18"/>
          <w:color w:val="auto"/>
        </w:rPr>
      </w:pPr>
    </w:p>
    <w:p>
      <w:pPr>
        <w:ind w:left="660" w:right="360" w:hanging="328"/>
        <w:spacing w:after="0" w:line="28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deploy our available cash resources, as well as our ability raise additional capital to fund our operations and business plan, to the extent necessary;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level of consumer and corporate spending on health, wellness and travel;</w:t>
      </w:r>
    </w:p>
    <w:p>
      <w:pPr>
        <w:spacing w:after="0" w:line="63" w:lineRule="exact"/>
        <w:rPr>
          <w:rFonts w:ascii="Times New Roman" w:cs="Times New Roman" w:eastAsia="Times New Roman" w:hAnsi="Times New Roman"/>
          <w:sz w:val="18"/>
          <w:szCs w:val="18"/>
          <w:color w:val="auto"/>
        </w:rPr>
      </w:pPr>
    </w:p>
    <w:p>
      <w:pPr>
        <w:ind w:left="660" w:right="100" w:hanging="328"/>
        <w:spacing w:after="0" w:line="28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new locations, maintain XpresSpa and CDC Biosurveillance testing locations, and ensure continued customer traffic at those locations;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 skilled labor force and the costs associated with that labor;</w:t>
      </w:r>
    </w:p>
    <w:p>
      <w:pPr>
        <w:spacing w:after="0" w:line="63" w:lineRule="exact"/>
        <w:rPr>
          <w:rFonts w:ascii="Times New Roman" w:cs="Times New Roman" w:eastAsia="Times New Roman" w:hAnsi="Times New Roman"/>
          <w:sz w:val="18"/>
          <w:szCs w:val="18"/>
          <w:color w:val="auto"/>
        </w:rPr>
      </w:pPr>
    </w:p>
    <w:p>
      <w:pPr>
        <w:ind w:left="660" w:right="520" w:hanging="328"/>
        <w:spacing w:after="0" w:line="28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the costs associated with opening new retail locations and maintaining or converting existing ones, and the revenue derived from our retail locations;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by our Airport Concession Disadvantaged Business Enterprise partners on obligations set forth in our joint venture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confidential information and customers’ financial data and other personal information;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disruption to our information technology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members of our management team;</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an adverse change with regard to, one or more of our significant suppliers, distributors, vendors or other business relationships;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events and trends in the health, wellness and travel industries;</w:t>
      </w:r>
    </w:p>
    <w:p>
      <w:pPr>
        <w:spacing w:after="0" w:line="63" w:lineRule="exact"/>
        <w:rPr>
          <w:rFonts w:ascii="Times New Roman" w:cs="Times New Roman" w:eastAsia="Times New Roman" w:hAnsi="Times New Roman"/>
          <w:sz w:val="18"/>
          <w:szCs w:val="18"/>
          <w:color w:val="auto"/>
        </w:rPr>
      </w:pPr>
    </w:p>
    <w:p>
      <w:pPr>
        <w:ind w:left="660" w:right="360" w:hanging="328"/>
        <w:spacing w:after="0" w:line="28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quality, pricing, availability and useful life of our products and/or services, as well as the mix of our products and services sold;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within our industries;</w:t>
      </w:r>
    </w:p>
    <w:p>
      <w:pPr>
        <w:spacing w:after="0" w:line="63" w:lineRule="exact"/>
        <w:rPr>
          <w:rFonts w:ascii="Times New Roman" w:cs="Times New Roman" w:eastAsia="Times New Roman" w:hAnsi="Times New Roman"/>
          <w:sz w:val="18"/>
          <w:szCs w:val="18"/>
          <w:color w:val="auto"/>
        </w:rPr>
      </w:pPr>
    </w:p>
    <w:p>
      <w:pPr>
        <w:ind w:left="660" w:right="280" w:hanging="328"/>
        <w:spacing w:after="0" w:line="28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laws and regulations in the jurisdictions in which we do business and any new laws and regulations or changes in existing laws and regulations;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regulatory actions in the healthcare sector that could impact our ability to continue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discontinuance of emergency use authorization (“EUA”) policies that could impact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claims, and investigations that may be filed against us and other events that may adversely affect our reputation;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intellectual property.</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3" w:name="page24"/>
    <w:bookmarkEnd w:id="23"/>
    <w:p>
      <w:pPr>
        <w:spacing w:after="0" w:line="253"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amended,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9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any net proceeds from the sale of securities under this prospectus for our operations and for other general corporate purposes, including, but not limited to, general working capital.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 from time to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may directly solicit offers to purchase the securities being offered by this prospectus. 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9" w:lineRule="exact"/>
        <w:rPr>
          <w:sz w:val="20"/>
          <w:szCs w:val="20"/>
          <w:color w:val="auto"/>
        </w:rPr>
      </w:pPr>
    </w:p>
    <w:p>
      <w:pPr>
        <w:ind w:left="660" w:right="40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6" w:name="page27"/>
    <w:bookmarkEnd w:id="26"/>
    <w:p>
      <w:pPr>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Shares of our common stock sold pursuant to the registration statement of which this prospectus is a part will be authorized for listing and trading on Nasdaq. The applicable prospectus supplement will contain information, where applicable, as to any other listing, if any, on Nasdaq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provisions of our common stock does not purport to be complete. You should refer to the section of this prospectus entitled “Certain Provisions of Delaware Law and of the Company’s Certificate of Incorporation and Bylaws” and our amended and restated certificate of incorporation, as amended, and our amended and restated bylaws, both of which are included as exhibits to the registration statement of which this prospectus is a part. The summary below is also qualified by provisions of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Authorized, Issued and Outstanding; Reverse Stock Split</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authorized to issue 150,000,000 shares of common stock, par value $0.01 per share. As of July 31, 2023, we had 83,487,663 shares of common stock outstanding and approximately 98 stockholders of record. The number of shares of common stock outstanding excludes, in each case as of July 31, 2023:</w:t>
      </w:r>
    </w:p>
    <w:p>
      <w:pPr>
        <w:spacing w:after="0" w:line="176" w:lineRule="exact"/>
        <w:rPr>
          <w:sz w:val="20"/>
          <w:szCs w:val="20"/>
          <w:color w:val="auto"/>
        </w:rPr>
      </w:pPr>
    </w:p>
    <w:p>
      <w:pPr>
        <w:ind w:left="540" w:right="160" w:hanging="262"/>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 shares of common stock issuable upon the exercise of common stock warrants outstanding as of such date at an exercise price of $2.125 per share;</w:t>
      </w:r>
    </w:p>
    <w:p>
      <w:pPr>
        <w:spacing w:after="0" w:line="161"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7,709,552 shares of common stock issuable upon the exercise of stock options at a weighted average exercise price of $1.356 per share;</w:t>
      </w:r>
    </w:p>
    <w:p>
      <w:pPr>
        <w:spacing w:after="0" w:line="225"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432,638 shares of common stock issuable upon the vesting of restricted stock units; and</w:t>
      </w:r>
    </w:p>
    <w:p>
      <w:pPr>
        <w:spacing w:after="0" w:line="225"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4,153,479 shares of common stock available for future issuance under the 2020 Equity Incentive Plan, as amended.</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October 28, 2022, we received a written notification from the Listing Qualifications Department of Nasdaq notifying us that the closing bid price for our common stock had been below $1.00 for 30 consecutive business days and that we therefore were not in compliance with the Bid Price Requirement for continued inclusion on Nasdaq under Nasdaq Listing Rule 5550(a)(2). We were provided 180 calendar days, or until April 26, 2023, to regain compliance with the Bid Price Requirement. On April 27, 2023, we received an extension of 180 calendar days from Nasdaq to regain compliance with the Bid Price Requirement, or until October 23, 2023.</w:t>
      </w:r>
    </w:p>
    <w:p>
      <w:pPr>
        <w:spacing w:after="0" w:line="18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To address our non-compliance with the Bid Price Requirement, we have included a proposal to implement a reverse stock split in our proxy statement for the 2023 annual meeting of our stockholders. If we choose to implement a reverse stock split to regain compliance, it must be completed no later than ten business days prior to the expiration of the additional 180 calendar day period in order to timely regain compliance.</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approved by our stockholders, our board of directors will likely use its discretion to implement a reverse stock prior to October 6, 2023 (the “Reverse Stock Split”). In such event, all of the outstanding and authorized shares of the Company’s common stock immediately prior to the effective date of the Reverse Stock Split, or the Effective Date, will be reduced in proportion to the ratio of the Reverse Stock Split. In such event, proportionate adjustments would also be made to our outstanding equity awards under our 2012 Employee, Director and Consultant Equity Incentive Plan and our 2020 Equity Incentive Plan (the “2020 Plan”), each as amended, as well as the number of shares of our common stock available for award grants under the 2020. There can be no assurance that the Reverse Stock Split will have the intended effect or that any increase in the trading price of our common stock will be proportional to the decrease in the number of outstanding shares.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the Reverse Stock Split is implemented, it will have a ratio of between one-for-eight and one-for-twenty. If we implement a one-for-eight Reverse Stock Split, then on the Effective Date, each stockholder will receive one new share of our common stock in exchange for every eight shares of our common stock such stockholder holds. If we implement a one-for-twenty Reverse Stock Split, then on the Effective Date, each stockholder will receive one new share of our common stock in exchange for every twenty shares of our common stock such stockholder holds. The Reverse Stock Split would affect all outstanding and authorized shares of our common stock as well as the number of shares of common stock underlying stock options and other exercisable or convertible instruments outstanding on the Effective Date.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then outstanding series of preferred stock.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our common stock are entitled to receive proportionately our net assets available for distribution to stockholders after the payment of all debts and other liabilities and subject to any preferential rights of any then outstanding series of preferred stock. Holders of our common stock have no preemptive, subscription, redemption or conversion rights. There are no redemption or sinking fund provisions applicable to our common stock. The voting, dividend and liquidation rights of holders of our common stock are subject to, and may be adversely affected by, the rights of the holders of shares of our existing series of preferred stock or any series of preferred stock that we may designate and issue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 with offices at 6201 15th Avenue, Brooklyn, New York 11219.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for quotation on The Nasdaq Capital Market under the symbol “XWEL.”</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following description of preferred stock and the description of the terms of any particular series of preferred stock that we choose to issue hereunder are not complete. These descriptions are qualified in their entirety by reference to our amended and restated certificate of incorporation and the certificate of designation relating to any series of preferred stock issued by us. The powers, preferences, rights and restrictions of the preferred stock of each series will be fixed by the certificate of designation relating to that series.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as amended, authorizes us to issue 10,000,000 shares of preferred stock. As of July 31, 2023, we had designated 300,000 shares of our preferred stock as “Series C Junior Preferred Stock” with no shares outstanding.</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the stockholders, to issue up to an additional 9,700,000 shares of preferred stock in one or more series and to fix the rights, preferences, privileges and restrictions granted to or imposed upon the preferred stock. Any or all of these rights may be greater than the rights of our common stock.</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board of directors, without stockholder approval, can issue preferred stock with voting, conversion or other rights that could negatively affect the voting power and other rights of the holders of our common stock. Preferred stock could thus be issued quickly with terms calculated to delay or prevent a change in control of the Company or make it more difficult to remove our management. Additionally, the issuance of preferred stock may have the effect of decreasing the market price of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may specify the following characteristics of any preferred stock:</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shares;</w:t>
      </w:r>
    </w:p>
    <w:p>
      <w:pPr>
        <w:spacing w:after="0" w:line="22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dividend rate, if any, whether the dividend rate is fixed or variable, the date or dates on which dividends will accrue, the dividend payment dates, and whether dividends will be cumulative;</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the terms and conditions for redemption, if any, including redemption at our option or at the option of the holders, including the time period for redemption, and any accumulated dividends or premiums;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if any, and any accumulated dividends upon the liquidation, dissolution or winding up of our affairs;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similar provision, and, if so, the terms and provisions relating to the purpose and operation of the fund;</w:t>
      </w:r>
    </w:p>
    <w:p>
      <w:pPr>
        <w:spacing w:after="0" w:line="225"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other preferences and relative, participating, optional or other special rights, privileges or qualifications, limitations or restrictions;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preferred stock issued will be fully paid and nonassessable upon issuance.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preferred stock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or designation;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1" w:name="page32"/>
    <w:bookmarkEnd w:id="31"/>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a series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2" w:name="page33"/>
    <w:bookmarkEnd w:id="32"/>
    <w:p>
      <w:pPr>
        <w:spacing w:after="0" w:line="269"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225" w:lineRule="exact"/>
        <w:rPr>
          <w:sz w:val="20"/>
          <w:szCs w:val="20"/>
          <w:color w:val="auto"/>
        </w:rPr>
      </w:pPr>
    </w:p>
    <w:p>
      <w:pPr>
        <w:ind w:left="580" w:hanging="24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22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holders of a majority in principal amount of the outstanding debt securities of any series may rescind an acceleration and its consequences, including any related payment default that resulted from the acceleration.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or exchange of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right="20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ind w:left="660" w:right="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Debenture Trustee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common stock and the number of shares of common stock to be received upon exercise of the warrants;</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preferred stock, the number of shares of preferred stock to be received upon exercise, and a description of that series of our preferred stock;</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61" w:lineRule="exact"/>
        <w:rPr>
          <w:rFonts w:ascii="Times New Roman" w:cs="Times New Roman" w:eastAsia="Times New Roman" w:hAnsi="Times New Roman"/>
          <w:sz w:val="18"/>
          <w:szCs w:val="18"/>
          <w:color w:val="auto"/>
        </w:rPr>
      </w:pPr>
    </w:p>
    <w:p>
      <w:pPr>
        <w:jc w:val="both"/>
        <w:ind w:left="660" w:right="340" w:hanging="328"/>
        <w:spacing w:after="0" w:line="312" w:lineRule="auto"/>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if any, and of any other depositaries, execution or paying agents, transfer agents, registrars or other agents;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225"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stock, preferred stock and/or debt securities will be separately transferable;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may be sold separately or with other securities as parts of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We will provide in a prospectus supplement the following terms of the rights being issued:</w:t>
      </w:r>
    </w:p>
    <w:p>
      <w:pPr>
        <w:spacing w:after="0" w:line="19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stockholders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preferred stock or other securities purchasable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rights are transferrable and the date, if any, on and after which the rights may be separately transferred;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to exercise the rights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by which holders of rights will be entitled to exercise;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offering,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termination and cancellation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are any backstop or standby purchaser or purchasers and the terms of their commitment,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stockholders are entitled to oversubscription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considerations;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 as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applicable.</w:t>
      </w:r>
    </w:p>
    <w:p>
      <w:pPr>
        <w:spacing w:after="0" w:line="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 agent for any rights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related to the particular series of units that we may offer under this prospectus, as well as any related free writing prospectuses and the complete unit agreement and any supplemental agreements that contain the terms of the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1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and address of the unit agent, if any,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COMPANY’S CERTIFICATE OF INCORPORATION AND BYLAWS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Charter Documents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amendments by our stockholders of our amended and restated bylaws require the approval of at least 66⅔% of the voting power of all outstanding stock. These provisions could discourage a potential acquirer from making a tender offer or otherwise attempting to obtain control of the Company and could delay changes in management.</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directors may be removed by our stockholders with or without cause upon the affirmative vote of at least a majority of the voting power of all outstanding securities then entitled to vote generally in the election of directors, voting together as a single class. These provisions mean that a proposal to replace one or more directors on our board of directors could be delayed until the next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are required to indemnify our directors and officers, in each case to the fullest extent permitted by Delaware law. The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brought against them by reason of the fact that they are or were our agents. We believe that these provisions in our amended and restated certificate of incorporation and amended and restated bylaws and indemnification agreements are necessary to attract and retain qualified directors and officers. We also maintain directors’ and officers’ liability insurance. This description of the limitation of liability and indemnification provisions of our amended and restated certificate of incorporation, amended and restated bylaws and indemnification agreements is qualified in its entirety by reference to these documents.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Bryan Cave Leighton Paisner LLP, St. Louis, Missouri. Additional legal matters may be passed upon for us or any underwriters, dealers or agents, by counsel that we will name in the applicable prospectus supplement.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as of and for the year ended December 31, 2022, included in our Annual Report on Form 10-K for the year ended December 31, 2022, as amended, have been audited by Marcum LLP, an independent registered public accounting firm, as stated in their report. Such consolidated financial statements are incorporated by reference in reliance upon the report of such firm given upon their authority as experts in accounting and auditing.</w:t>
      </w:r>
    </w:p>
    <w:p>
      <w:pPr>
        <w:spacing w:after="0" w:line="180"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The consolidated financial statements as of and for the year ended December 31, 2021, included in our Annual Report on Form 10-K for the year ended December 31, 2022, have been audited by Friedman LLP, an independent registered public accounting firm, as stated in their report. Such consolidated financial statements are incorporated by reference in reliance upon the report of such firm given upon their authority as experts in accounting and auditing.</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are a public company and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and on our website at </w:t>
      </w:r>
      <w:r>
        <w:rPr>
          <w:rFonts w:ascii="Times New Roman" w:cs="Times New Roman" w:eastAsia="Times New Roman" w:hAnsi="Times New Roman"/>
          <w:sz w:val="18"/>
          <w:szCs w:val="18"/>
          <w:i w:val="1"/>
          <w:iCs w:val="1"/>
          <w:color w:val="auto"/>
        </w:rPr>
        <w:t>http://www.XWELL.com</w:t>
      </w:r>
      <w:r>
        <w:rPr>
          <w:rFonts w:ascii="Times New Roman" w:cs="Times New Roman" w:eastAsia="Times New Roman" w:hAnsi="Times New Roman"/>
          <w:sz w:val="18"/>
          <w:szCs w:val="18"/>
          <w:color w:val="auto"/>
        </w:rPr>
        <w:t>. The information contained on our website is not included or incorporated by reference into this prospectus. In addition, our common stock is listed for trading on The Nasdaq Capital Market under the symbol “XWEL.”</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obtain a copy from the SEC’s website or our website.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89" w:lineRule="exact"/>
        <w:rPr>
          <w:sz w:val="20"/>
          <w:szCs w:val="20"/>
          <w:color w:val="auto"/>
        </w:rPr>
      </w:pPr>
    </w:p>
    <w:p>
      <w:pPr>
        <w:ind w:left="660" w:right="40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2022, filed on </w:t>
      </w:r>
      <w:hyperlink r:id="rId61">
        <w:r>
          <w:rPr>
            <w:rFonts w:ascii="Times New Roman" w:cs="Times New Roman" w:eastAsia="Times New Roman" w:hAnsi="Times New Roman"/>
            <w:sz w:val="18"/>
            <w:szCs w:val="18"/>
            <w:u w:val="single" w:color="auto"/>
            <w:color w:val="0000EE"/>
          </w:rPr>
          <w:t>April 17, 2023</w:t>
        </w:r>
      </w:hyperlink>
      <w:r>
        <w:rPr>
          <w:rFonts w:ascii="Times New Roman" w:cs="Times New Roman" w:eastAsia="Times New Roman" w:hAnsi="Times New Roman"/>
          <w:sz w:val="18"/>
          <w:szCs w:val="18"/>
          <w:color w:val="auto"/>
        </w:rPr>
        <w:t xml:space="preserve">, as amended on </w:t>
      </w:r>
      <w:hyperlink r:id="rId62">
        <w:r>
          <w:rPr>
            <w:rFonts w:ascii="Times New Roman" w:cs="Times New Roman" w:eastAsia="Times New Roman" w:hAnsi="Times New Roman"/>
            <w:sz w:val="18"/>
            <w:szCs w:val="18"/>
            <w:u w:val="single" w:color="auto"/>
            <w:color w:val="0000EE"/>
          </w:rPr>
          <w:t>May 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001-34785);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2023, filed on </w:t>
      </w:r>
      <w:hyperlink r:id="rId63">
        <w:r>
          <w:rPr>
            <w:rFonts w:ascii="Times New Roman" w:cs="Times New Roman" w:eastAsia="Times New Roman" w:hAnsi="Times New Roman"/>
            <w:sz w:val="18"/>
            <w:szCs w:val="18"/>
            <w:u w:val="single" w:color="auto"/>
            <w:color w:val="0000EE"/>
          </w:rPr>
          <w:t>May 15,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001-34785);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64">
        <w:r>
          <w:rPr>
            <w:rFonts w:ascii="Times New Roman" w:cs="Times New Roman" w:eastAsia="Times New Roman" w:hAnsi="Times New Roman"/>
            <w:sz w:val="18"/>
            <w:szCs w:val="18"/>
            <w:u w:val="single" w:color="auto"/>
            <w:color w:val="0000EE"/>
          </w:rPr>
          <w:t>April 27, 2023</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May 4, 2023</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EE"/>
          </w:rPr>
          <w:t>June 16,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7">
        <w:r>
          <w:rPr>
            <w:rFonts w:ascii="Times New Roman" w:cs="Times New Roman" w:eastAsia="Times New Roman" w:hAnsi="Times New Roman"/>
            <w:sz w:val="18"/>
            <w:szCs w:val="18"/>
            <w:u w:val="single" w:color="auto"/>
            <w:color w:val="0000EE"/>
          </w:rPr>
          <w:t>June 28,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(except for the information furnished under Items 2.02 or 7.01 and the exhibits furnished thereto);</w:t>
      </w:r>
    </w:p>
    <w:p>
      <w:pPr>
        <w:spacing w:after="0" w:line="161"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60" w:val="left"/>
        </w:tabs>
        <w:numPr>
          <w:ilvl w:val="0"/>
          <w:numId w:val="25"/>
        </w:numPr>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auto"/>
          </w:rPr>
          <w:t xml:space="preserve">the description of our common stock contained in our Registration Statement on Form 8-A filed on </w:t>
        </w:r>
        <w:r>
          <w:rPr>
            <w:rFonts w:ascii="Times New Roman" w:cs="Times New Roman" w:eastAsia="Times New Roman" w:hAnsi="Times New Roman"/>
            <w:sz w:val="18"/>
            <w:szCs w:val="18"/>
            <w:u w:val="single" w:color="auto"/>
            <w:color w:val="0000EE"/>
          </w:rPr>
          <w:t>March 21, 2016</w:t>
        </w:r>
        <w:r>
          <w:rPr>
            <w:rFonts w:ascii="Times New Roman" w:cs="Times New Roman" w:eastAsia="Times New Roman" w:hAnsi="Times New Roman"/>
            <w:sz w:val="18"/>
            <w:szCs w:val="18"/>
            <w:color w:val="auto"/>
          </w:rPr>
          <w:t xml:space="preserve"> (File No. 001-34785), </w:t>
        </w:r>
        <w:r>
          <w:rPr>
            <w:rFonts w:ascii="Times New Roman" w:cs="Times New Roman" w:eastAsia="Times New Roman" w:hAnsi="Times New Roman"/>
            <w:sz w:val="18"/>
            <w:szCs w:val="18"/>
            <w:u w:val="single" w:color="auto"/>
            <w:color w:val="0000EE"/>
          </w:rPr>
          <w:t>April</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29, 2013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001-34785) and</w:t>
        </w:r>
        <w:r>
          <w:rPr>
            <w:rFonts w:ascii="Times New Roman" w:cs="Times New Roman" w:eastAsia="Times New Roman" w:hAnsi="Times New Roman"/>
            <w:sz w:val="18"/>
            <w:szCs w:val="18"/>
            <w:color w:val="0000EE"/>
          </w:rPr>
          <w:t xml:space="preserve"> </w:t>
        </w:r>
      </w:hyperlink>
      <w:hyperlink r:id="rId69">
        <w:r>
          <w:rPr>
            <w:rFonts w:ascii="Times New Roman" w:cs="Times New Roman" w:eastAsia="Times New Roman" w:hAnsi="Times New Roman"/>
            <w:sz w:val="18"/>
            <w:szCs w:val="18"/>
            <w:u w:val="single" w:color="auto"/>
            <w:color w:val="0000EE"/>
          </w:rPr>
          <w:t xml:space="preserve">June 16, 2010 </w:t>
        </w:r>
      </w:hyperlink>
      <w:hyperlink r:id="rId68">
        <w:r>
          <w:rPr>
            <w:rFonts w:ascii="Times New Roman" w:cs="Times New Roman" w:eastAsia="Times New Roman" w:hAnsi="Times New Roman"/>
            <w:sz w:val="18"/>
            <w:szCs w:val="18"/>
            <w:color w:val="000000"/>
          </w:rPr>
          <w:t>(File No. 001-34785), pursuant to Section 12(b) of the Exchange Act of 1934, as amended by</w:t>
        </w:r>
      </w:hyperlink>
      <w:r>
        <w:rPr>
          <w:rFonts w:ascii="Times New Roman" w:cs="Times New Roman" w:eastAsia="Times New Roman" w:hAnsi="Times New Roman"/>
          <w:sz w:val="18"/>
          <w:szCs w:val="18"/>
          <w:color w:val="0000EE"/>
        </w:rPr>
        <w:t xml:space="preserve"> </w:t>
      </w:r>
      <w:hyperlink r:id="rId30">
        <w:r>
          <w:rPr>
            <w:rFonts w:ascii="Times New Roman" w:cs="Times New Roman" w:eastAsia="Times New Roman" w:hAnsi="Times New Roman"/>
            <w:sz w:val="18"/>
            <w:szCs w:val="18"/>
            <w:u w:val="single" w:color="auto"/>
            <w:color w:val="0000EE"/>
          </w:rPr>
          <w:t>Exhibit 4.22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10-K for the year ended December 31, 2022 filed with the SEC on</w:t>
      </w:r>
      <w:r>
        <w:rPr>
          <w:rFonts w:ascii="Times New Roman" w:cs="Times New Roman" w:eastAsia="Times New Roman" w:hAnsi="Times New Roman"/>
          <w:sz w:val="18"/>
          <w:szCs w:val="18"/>
          <w:color w:val="0000EE"/>
        </w:rPr>
        <w:t xml:space="preserve"> </w:t>
      </w:r>
      <w:hyperlink r:id="rId61">
        <w:r>
          <w:rPr>
            <w:rFonts w:ascii="Times New Roman" w:cs="Times New Roman" w:eastAsia="Times New Roman" w:hAnsi="Times New Roman"/>
            <w:sz w:val="18"/>
            <w:szCs w:val="18"/>
            <w:u w:val="single" w:color="auto"/>
            <w:color w:val="0000EE"/>
          </w:rPr>
          <w:t>April 17,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including any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amendment or report filed for the purpose of updating such description;</w:t>
      </w:r>
    </w:p>
    <w:p>
      <w:pPr>
        <w:spacing w:after="0" w:line="179" w:lineRule="exact"/>
        <w:rPr>
          <w:rFonts w:ascii="Times New Roman" w:cs="Times New Roman" w:eastAsia="Times New Roman" w:hAnsi="Times New Roman"/>
          <w:sz w:val="18"/>
          <w:szCs w:val="18"/>
          <w:color w:val="0000EE"/>
        </w:rPr>
      </w:pPr>
    </w:p>
    <w:p>
      <w:pPr>
        <w:ind w:left="660" w:right="32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prior to the termination or completion of the offering of securities under this prospectus (including documents filed after the initial date of the registration statement of which this prospectus is a part and prior to the effectiveness of such registration statement) shall be deemed to be incorporated by reference in this prospectus and to be a part hereof from the date of filing such reports and other documents.</w:t>
      </w:r>
    </w:p>
    <w:p>
      <w:pPr>
        <w:spacing w:after="0" w:line="180" w:lineRule="exact"/>
        <w:rPr>
          <w:rFonts w:ascii="Times New Roman" w:cs="Times New Roman" w:eastAsia="Times New Roman" w:hAnsi="Times New Roman"/>
          <w:sz w:val="18"/>
          <w:szCs w:val="18"/>
          <w:color w:val="0000EE"/>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3" w:lineRule="exact"/>
        <w:rPr>
          <w:rFonts w:ascii="Times New Roman" w:cs="Times New Roman" w:eastAsia="Times New Roman" w:hAnsi="Times New Roman"/>
          <w:sz w:val="18"/>
          <w:szCs w:val="18"/>
          <w:color w:val="0000EE"/>
        </w:rPr>
      </w:pPr>
    </w:p>
    <w:p>
      <w:pPr>
        <w:ind w:right="160"/>
        <w:spacing w:after="0" w:line="216" w:lineRule="auto"/>
        <w:rPr>
          <w:sz w:val="20"/>
          <w:szCs w:val="20"/>
          <w:color w:val="auto"/>
        </w:rPr>
      </w:pPr>
      <w:r>
        <w:rPr>
          <w:rFonts w:ascii="Times New Roman" w:cs="Times New Roman" w:eastAsia="Times New Roman" w:hAnsi="Times New Roman"/>
          <w:sz w:val="18"/>
          <w:szCs w:val="18"/>
          <w:color w:val="auto"/>
        </w:rPr>
        <w:t>You may request a copy of these documents, which will be provided to you at no cost, by contacting XWELL, Inc., 254 West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Street,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10001, Attention: Investor Relations. The Investor Relations Department can be reached via email at </w:t>
      </w:r>
      <w:r>
        <w:rPr>
          <w:rFonts w:ascii="Times New Roman" w:cs="Times New Roman" w:eastAsia="Times New Roman" w:hAnsi="Times New Roman"/>
          <w:sz w:val="18"/>
          <w:szCs w:val="18"/>
          <w:u w:val="single" w:color="auto"/>
          <w:color w:val="auto"/>
        </w:rPr>
        <w:t>ir@xwell.com</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0000EE"/>
        </w:rPr>
      </w:pPr>
    </w:p>
    <w:p>
      <w:pPr>
        <w:spacing w:after="0" w:line="214"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2222500</wp:posOffset>
            </wp:positionH>
            <wp:positionV relativeFrom="page">
              <wp:posOffset>586105</wp:posOffset>
            </wp:positionV>
            <wp:extent cx="3068955" cy="436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3068955" cy="43688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652,705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164465</wp:posOffset>
            </wp:positionV>
            <wp:extent cx="17830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156845</wp:posOffset>
            </wp:positionV>
            <wp:extent cx="17830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August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lvl w:ilvl="1">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jpe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23" Type="http://schemas.openxmlformats.org/officeDocument/2006/relationships/hyperlink" Target="https://www.sec.gov/ix?doc=/Archives/edgar/data/1410428/000110465924048308/tm2412026d1_10ka.htm" TargetMode="External"/><Relationship Id="rId24" Type="http://schemas.openxmlformats.org/officeDocument/2006/relationships/hyperlink" Target="https://www.sec.gov/ix?doc=/Archives/edgar/data/1410428/000155837024006040/xwel-20231231x10ka.htm" TargetMode="External"/><Relationship Id="rId25" Type="http://schemas.openxmlformats.org/officeDocument/2006/relationships/hyperlink" Target="https://www.sec.gov/ix?doc=/Archives/edgar/data/1410428/000154478424000083/xwel-20240331x10q.htm" TargetMode="External"/><Relationship Id="rId26" Type="http://schemas.openxmlformats.org/officeDocument/2006/relationships/hyperlink" Target="https://www.sec.gov/ix?doc=/Archives/edgar/data/1410428/000110465924046836/tm2411774d1_8k.htm" TargetMode="External"/><Relationship Id="rId27" Type="http://schemas.openxmlformats.org/officeDocument/2006/relationships/hyperlink" Target="https://www.sec.gov/ix?doc=/Archives/edgar/data/1410428/000110465924063832/tm2415030d1_8k.htm" TargetMode="External"/><Relationship Id="rId28" Type="http://schemas.openxmlformats.org/officeDocument/2006/relationships/hyperlink" Target="https://www.sec.gov/ix?doc=/Archives/edgar/data/1410428/000110465924081538/tm2419933d1_8k.htm" TargetMode="External"/><Relationship Id="rId29" Type="http://schemas.openxmlformats.org/officeDocument/2006/relationships/hyperlink" Target="https://www.sec.gov/Archives/edgar/data/1410428/000119312510140514/d8a12b.htm" TargetMode="External"/><Relationship Id="rId30" Type="http://schemas.openxmlformats.org/officeDocument/2006/relationships/hyperlink" Target="https://www.sec.gov/Archives/edgar/data/1410428/000110465920048780/tm205324d1_ex4-22.htm" TargetMode="External"/><Relationship Id="rId61" Type="http://schemas.openxmlformats.org/officeDocument/2006/relationships/hyperlink" Target="http://www.sec.gov/Archives/edgar/data/1410428/000155837023006084/0001558370-23-006084-index.htm" TargetMode="External"/><Relationship Id="rId62" Type="http://schemas.openxmlformats.org/officeDocument/2006/relationships/hyperlink" Target="http://www.sec.gov/Archives/edgar/data/1410428/000155837023007509/0001558370-23-007509-index.htm" TargetMode="External"/><Relationship Id="rId63" Type="http://schemas.openxmlformats.org/officeDocument/2006/relationships/hyperlink" Target="http://www.sec.gov/Archives/edgar/data/1410428/000155837023009943/0001558370-23-009943-index.htm" TargetMode="External"/><Relationship Id="rId64" Type="http://schemas.openxmlformats.org/officeDocument/2006/relationships/hyperlink" Target="http://www.sec.gov/Archives/edgar/data/1410428/000110465923051380/0001104659-23-051380-index.htm" TargetMode="External"/><Relationship Id="rId65" Type="http://schemas.openxmlformats.org/officeDocument/2006/relationships/hyperlink" Target="http://www.sec.gov/Archives/edgar/data/1410428/000110465923055809/0001104659-23-055809-index.htm" TargetMode="External"/><Relationship Id="rId66" Type="http://schemas.openxmlformats.org/officeDocument/2006/relationships/hyperlink" Target="http://www.sec.gov/Archives/edgar/data/1410428/000110465923072254/0001104659-23-072254-index.htm" TargetMode="External"/><Relationship Id="rId67" Type="http://schemas.openxmlformats.org/officeDocument/2006/relationships/hyperlink" Target="http://www.sec.gov/Archives/edgar/data/1410428/000110465923075565/0001104659-23-075565-index.htm" TargetMode="External"/><Relationship Id="rId68" Type="http://schemas.openxmlformats.org/officeDocument/2006/relationships/hyperlink" Target="http://www.sec.gov/Archives/edgar/data/1410428/000114420413024675/0001144204-13-024675-index.htm" TargetMode="External"/><Relationship Id="rId69" Type="http://schemas.openxmlformats.org/officeDocument/2006/relationships/hyperlink" Target="http://www.sec.gov/Archives/edgar/data/1410428/000119312510140514/0001193125-10-140514-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2024-08-07T08:05:26Z</dcterms:created>
  <dcterms:modified xsi:type="dcterms:W3CDTF">2024-08-07T08:05:26Z</dcterms:modified>
</cp:coreProperties>
</file>