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jc w:val="center"/>
              <w:ind w:right="4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20"/>
            <w:vMerge w:val="restart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2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6"/>
                </w:rPr>
                <w:t>Scrabis Suzanne A.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XWELL,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XWEL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2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9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-6067425</wp:posOffset>
            </wp:positionV>
            <wp:extent cx="7045960" cy="6220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2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26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100,000 Restricted Stock Units ("RSUs") to vest in four quarterly installments of 25.0%, such that the 25.0% of such RSUs will vest on the first, second, third and fourth quarters after the Grant Date (i.e., 9/30/23, 12/31/23, 3/31/24 and 6/30/24), subject to Ms. Scrabis' continuous service with the Company through such dates.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75,000 Non-Qualified Stock Options (the "Options") which shall vest in four quarterly installments of 25.0%, such that the 25.0% of such Options will vest on the first, second, third and fourth quarters after the Grant Date (i.e., 9/30/23, 12/31/23, 3/31/24 and 6/30/24), subject to Ms. Scrabis' continuous service with the Company through such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Cara Soffer,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Suzanne A. Scrabis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83935" TargetMode="External"/><Relationship Id="rId9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2023-07-12T15:33:17Z</dcterms:created>
  <dcterms:modified xsi:type="dcterms:W3CDTF">2023-07-12T15:33:17Z</dcterms:modified>
</cp:coreProperties>
</file>