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As filed with the Securities and Exchange Commission on August 22, 2019</w:t>
      </w:r>
    </w:p>
    <w:p>
      <w:pPr>
        <w:spacing w:after="0" w:line="215" w:lineRule="exact"/>
        <w:rPr>
          <w:sz w:val="24"/>
          <w:szCs w:val="24"/>
          <w:color w:val="auto"/>
        </w:rPr>
      </w:pPr>
    </w:p>
    <w:p>
      <w:pPr>
        <w:ind w:left="94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S-3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2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3"/>
              </w:rPr>
              <w:t>Delaware</w:t>
            </w:r>
          </w:p>
        </w:tc>
        <w:tc>
          <w:tcPr>
            <w:tcW w:w="3660" w:type="dxa"/>
            <w:vAlign w:val="bottom"/>
          </w:tcPr>
          <w:p>
            <w:pPr>
              <w:jc w:val="center"/>
              <w:ind w:left="177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42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(State or other jurisdiction of</w:t>
            </w:r>
          </w:p>
        </w:tc>
        <w:tc>
          <w:tcPr>
            <w:tcW w:w="366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incorporation or organization)</w:t>
            </w:r>
          </w:p>
        </w:tc>
        <w:tc>
          <w:tcPr>
            <w:tcW w:w="366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780 Third Avenue, 12th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Douglas Satzman</w:t>
      </w:r>
    </w:p>
    <w:p>
      <w:pPr>
        <w:spacing w:after="0" w:line="2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XpresSpa Group, Inc.</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780 Third Avenue, 12th Floor</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Kenneth R. Koch,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Daniel A. Bagliebter,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(212) 935-3000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this Registration Statement becomes effective.</w:t>
      </w:r>
    </w:p>
    <w:p>
      <w:pPr>
        <w:spacing w:after="0" w:line="1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3" w:right="239" w:bottom="0" w:gutter="0" w:footer="0" w:header="0"/>
        </w:sectPr>
      </w:pP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8300" w:space="720"/>
            <w:col w:w="2400"/>
          </w:cols>
          <w:pgMar w:left="240" w:top="463" w:right="239" w:bottom="0" w:gutter="0" w:footer="0" w:header="0"/>
          <w:type w:val="continuous"/>
        </w:sectPr>
      </w:pPr>
    </w:p>
    <w:p>
      <w:pPr>
        <w:spacing w:after="0" w:line="3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463"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4840" w:type="dxa"/>
            <w:vAlign w:val="bottom"/>
            <w:gridSpan w:val="7"/>
          </w:tcPr>
          <w:p>
            <w:pPr>
              <w:ind w:left="220"/>
              <w:spacing w:after="0"/>
              <w:rPr>
                <w:sz w:val="20"/>
                <w:szCs w:val="20"/>
                <w:color w:val="auto"/>
              </w:rPr>
            </w:pPr>
            <w:r>
              <w:rPr>
                <w:rFonts w:ascii="Arial" w:cs="Arial" w:eastAsia="Arial" w:hAnsi="Arial"/>
                <w:sz w:val="18"/>
                <w:szCs w:val="18"/>
                <w:b w:val="1"/>
                <w:bCs w:val="1"/>
                <w:color w:val="auto"/>
              </w:rPr>
              <w:t>CALCULATION OF REGISTRATION FEE</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Proposed</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Proposed</w:t>
            </w: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tcPr>
          <w:p>
            <w:pPr>
              <w:jc w:val="center"/>
              <w:ind w:left="1590"/>
              <w:spacing w:after="0"/>
              <w:rPr>
                <w:sz w:val="20"/>
                <w:szCs w:val="20"/>
                <w:color w:val="auto"/>
              </w:rPr>
            </w:pPr>
            <w:r>
              <w:rPr>
                <w:rFonts w:ascii="Arial" w:cs="Arial" w:eastAsia="Arial" w:hAnsi="Arial"/>
                <w:sz w:val="18"/>
                <w:szCs w:val="18"/>
                <w:b w:val="1"/>
                <w:bCs w:val="1"/>
                <w:color w:val="auto"/>
                <w:w w:val="90"/>
              </w:rPr>
              <w:t>Title of Each Class of</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Aggregate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tcPr>
          <w:p>
            <w:pPr>
              <w:jc w:val="center"/>
              <w:ind w:left="1650"/>
              <w:spacing w:after="0"/>
              <w:rPr>
                <w:sz w:val="20"/>
                <w:szCs w:val="20"/>
                <w:color w:val="auto"/>
              </w:rPr>
            </w:pPr>
            <w:r>
              <w:rPr>
                <w:rFonts w:ascii="Arial" w:cs="Arial" w:eastAsia="Arial" w:hAnsi="Arial"/>
                <w:sz w:val="18"/>
                <w:szCs w:val="18"/>
                <w:b w:val="1"/>
                <w:bCs w:val="1"/>
                <w:color w:val="auto"/>
                <w:w w:val="87"/>
              </w:rPr>
              <w:t>Securities to be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 to be</w:t>
            </w: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Offering Price</w:t>
            </w:r>
          </w:p>
        </w:tc>
        <w:tc>
          <w:tcPr>
            <w:tcW w:w="1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Offering</w:t>
            </w:r>
          </w:p>
        </w:tc>
        <w:tc>
          <w:tcPr>
            <w:tcW w:w="14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 of</w:t>
            </w:r>
          </w:p>
        </w:tc>
      </w:tr>
      <w:tr>
        <w:trPr>
          <w:trHeight w:val="234"/>
        </w:trPr>
        <w:tc>
          <w:tcPr>
            <w:tcW w:w="3760" w:type="dxa"/>
            <w:vAlign w:val="bottom"/>
          </w:tcPr>
          <w:p>
            <w:pPr>
              <w:jc w:val="center"/>
              <w:ind w:left="1650"/>
              <w:spacing w:after="0"/>
              <w:rPr>
                <w:sz w:val="20"/>
                <w:szCs w:val="20"/>
                <w:color w:val="auto"/>
              </w:rPr>
            </w:pPr>
            <w:r>
              <w:rPr>
                <w:rFonts w:ascii="Arial" w:cs="Arial" w:eastAsia="Arial" w:hAnsi="Arial"/>
                <w:sz w:val="18"/>
                <w:szCs w:val="18"/>
                <w:b w:val="1"/>
                <w:bCs w:val="1"/>
                <w:color w:val="auto"/>
                <w:w w:val="88"/>
              </w:rPr>
              <w:t>Registered</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Registered(1)(2)</w:t>
            </w:r>
          </w:p>
        </w:tc>
        <w:tc>
          <w:tcPr>
            <w:tcW w:w="1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Per Share(3)</w:t>
            </w:r>
          </w:p>
        </w:tc>
        <w:tc>
          <w:tcPr>
            <w:tcW w:w="1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gridSpan w:val="4"/>
          </w:tcPr>
          <w:p>
            <w:pPr>
              <w:spacing w:after="0"/>
              <w:rPr>
                <w:sz w:val="20"/>
                <w:szCs w:val="20"/>
                <w:color w:val="auto"/>
              </w:rPr>
            </w:pPr>
            <w:r>
              <w:rPr>
                <w:rFonts w:ascii="Arial" w:cs="Arial" w:eastAsia="Arial" w:hAnsi="Arial"/>
                <w:sz w:val="18"/>
                <w:szCs w:val="18"/>
                <w:b w:val="1"/>
                <w:bCs w:val="1"/>
                <w:color w:val="auto"/>
                <w:w w:val="94"/>
              </w:rPr>
              <w:t>Registration Fee</w:t>
            </w:r>
          </w:p>
        </w:tc>
      </w:tr>
      <w:tr>
        <w:trPr>
          <w:trHeight w:val="210"/>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$0.01 per share</w:t>
            </w: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35,014,122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48,319,488.36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48,319,488.36</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5,856.32</w:t>
            </w:r>
          </w:p>
        </w:tc>
        <w:tc>
          <w:tcPr>
            <w:tcW w:w="80" w:type="dxa"/>
            <w:vAlign w:val="bottom"/>
          </w:tcPr>
          <w:p>
            <w:pPr>
              <w:spacing w:after="0"/>
              <w:rPr>
                <w:sz w:val="20"/>
                <w:szCs w:val="20"/>
                <w:color w:val="auto"/>
              </w:rPr>
            </w:pPr>
          </w:p>
        </w:tc>
      </w:tr>
      <w:tr>
        <w:trPr>
          <w:trHeight w:val="20"/>
        </w:trPr>
        <w:tc>
          <w:tcPr>
            <w:tcW w:w="3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registers up to the following:</w:t>
      </w:r>
    </w:p>
    <w:p>
      <w:pPr>
        <w:spacing w:after="0" w:line="225" w:lineRule="exact"/>
        <w:rPr>
          <w:rFonts w:ascii="Arial" w:cs="Arial" w:eastAsia="Arial" w:hAnsi="Arial"/>
          <w:sz w:val="18"/>
          <w:szCs w:val="18"/>
          <w:color w:val="auto"/>
        </w:rPr>
      </w:pPr>
    </w:p>
    <w:p>
      <w:pPr>
        <w:ind w:left="1620" w:hanging="640"/>
        <w:spacing w:after="0" w:line="277"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200% of the 450,000 shares (or 900,000 shares) of our common stock issuable upon the conversion of Series F Convertible Preferred Stock (the “Series F Preferred Stock”) at a conversion price equal to $2.00 per share;</w:t>
      </w:r>
    </w:p>
    <w:p>
      <w:pPr>
        <w:spacing w:after="0" w:line="170" w:lineRule="exact"/>
        <w:rPr>
          <w:rFonts w:ascii="Arial" w:cs="Arial" w:eastAsia="Arial" w:hAnsi="Arial"/>
          <w:sz w:val="18"/>
          <w:szCs w:val="18"/>
          <w:color w:val="auto"/>
        </w:rPr>
      </w:pPr>
    </w:p>
    <w:p>
      <w:pPr>
        <w:jc w:val="both"/>
        <w:ind w:left="1620" w:hanging="640"/>
        <w:spacing w:after="0" w:line="312" w:lineRule="auto"/>
        <w:tabs>
          <w:tab w:leader="none" w:pos="1620" w:val="left"/>
        </w:tabs>
        <w:numPr>
          <w:ilvl w:val="1"/>
          <w:numId w:val="1"/>
        </w:numPr>
        <w:rPr>
          <w:rFonts w:ascii="Arial" w:cs="Arial" w:eastAsia="Arial" w:hAnsi="Arial"/>
          <w:sz w:val="16"/>
          <w:szCs w:val="16"/>
          <w:color w:val="auto"/>
        </w:rPr>
      </w:pPr>
      <w:r>
        <w:rPr>
          <w:rFonts w:ascii="Arial" w:cs="Arial" w:eastAsia="Arial" w:hAnsi="Arial"/>
          <w:sz w:val="16"/>
          <w:szCs w:val="16"/>
          <w:color w:val="auto"/>
        </w:rPr>
        <w:t>200% of the 1,445,816 shares (or 2,891,632 shares) of our common stock underlying shares of Series E Convertible Preferred Stock (the “Series E Preferred Stock”) issuable upon conversion of an aggregate principal amount of $2,500,000 of unsecured convertible notes due May 31, 2022, plus interest payable thereon (the “Calm Notes”) at a conversion price equal to $2.00 per share;</w:t>
      </w:r>
    </w:p>
    <w:p>
      <w:pPr>
        <w:spacing w:after="0" w:line="146" w:lineRule="exact"/>
        <w:rPr>
          <w:rFonts w:ascii="Arial" w:cs="Arial" w:eastAsia="Arial" w:hAnsi="Arial"/>
          <w:sz w:val="16"/>
          <w:szCs w:val="16"/>
          <w:color w:val="auto"/>
        </w:rPr>
      </w:pPr>
    </w:p>
    <w:p>
      <w:pPr>
        <w:ind w:left="1620" w:right="20" w:hanging="640"/>
        <w:spacing w:after="0" w:line="277"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200% of the 1,500,000 shares (or 3,000,000 shares) of our common stock issuable upon conversion of our previously issued Series E Preferred Stock at a conversion price equal to $2.00 per share;</w:t>
      </w:r>
    </w:p>
    <w:p>
      <w:pPr>
        <w:spacing w:after="0" w:line="170" w:lineRule="exact"/>
        <w:rPr>
          <w:rFonts w:ascii="Arial" w:cs="Arial" w:eastAsia="Arial" w:hAnsi="Arial"/>
          <w:sz w:val="18"/>
          <w:szCs w:val="18"/>
          <w:color w:val="auto"/>
        </w:rPr>
      </w:pPr>
    </w:p>
    <w:p>
      <w:pPr>
        <w:ind w:left="1620" w:right="20" w:hanging="640"/>
        <w:spacing w:after="0" w:line="277"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200% of the 937,500 shares (or 1,875,000 shares) of our common stock issuable upon the exercise of warrants (the “Calm Warrants”) at an exercise price equal to $2.00 per share;</w:t>
      </w:r>
    </w:p>
    <w:p>
      <w:pPr>
        <w:spacing w:after="0" w:line="170" w:lineRule="exact"/>
        <w:rPr>
          <w:rFonts w:ascii="Arial" w:cs="Arial" w:eastAsia="Arial" w:hAnsi="Arial"/>
          <w:sz w:val="18"/>
          <w:szCs w:val="18"/>
          <w:color w:val="auto"/>
        </w:rPr>
      </w:pPr>
    </w:p>
    <w:p>
      <w:pPr>
        <w:jc w:val="both"/>
        <w:ind w:left="1620" w:hanging="640"/>
        <w:spacing w:after="0" w:line="272" w:lineRule="auto"/>
        <w:tabs>
          <w:tab w:leader="none" w:pos="1620" w:val="left"/>
        </w:tabs>
        <w:numPr>
          <w:ilvl w:val="1"/>
          <w:numId w:val="1"/>
        </w:numPr>
        <w:rPr>
          <w:rFonts w:ascii="Arial" w:cs="Arial" w:eastAsia="Arial" w:hAnsi="Arial"/>
          <w:sz w:val="17"/>
          <w:szCs w:val="17"/>
          <w:color w:val="auto"/>
        </w:rPr>
      </w:pPr>
      <w:r>
        <w:rPr>
          <w:rFonts w:ascii="Arial" w:cs="Arial" w:eastAsia="Arial" w:hAnsi="Arial"/>
          <w:sz w:val="17"/>
          <w:szCs w:val="17"/>
          <w:color w:val="auto"/>
        </w:rPr>
        <w:t>200% of the 4,156,275 shares (or 8,312,550 shares) of our common stock issuable (a) upon conversion of an aggregate principal amount of $7,000,000 of senior secured convertible notes due May 31, 2021 at a conversion price equal to $2.00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exercise notice, and (c) as certain make-whole payments to the extent that the accrued and unpaid interest amount described above is less than 90% of the average volume weighted average price of our common stock for the 30 trading days prior to the interest deferment date (or if not a trading day the next succeeding trading day) (the “B3D Note”);</w:t>
      </w:r>
    </w:p>
    <w:p>
      <w:pPr>
        <w:spacing w:after="0" w:line="177" w:lineRule="exact"/>
        <w:rPr>
          <w:rFonts w:ascii="Arial" w:cs="Arial" w:eastAsia="Arial" w:hAnsi="Arial"/>
          <w:sz w:val="17"/>
          <w:szCs w:val="17"/>
          <w:color w:val="auto"/>
        </w:rPr>
      </w:pPr>
    </w:p>
    <w:p>
      <w:pPr>
        <w:ind w:left="1620" w:hanging="640"/>
        <w:spacing w:after="0" w:line="277"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200% of the 8,831,540 shares (or 17,663,080 shares) of our common stock issuable upon conversion of our Series D Convertible Preferred Stock at a conversion price equal to $2.00 per share;</w:t>
      </w:r>
    </w:p>
    <w:p>
      <w:pPr>
        <w:spacing w:after="0" w:line="170" w:lineRule="exact"/>
        <w:rPr>
          <w:rFonts w:ascii="Arial" w:cs="Arial" w:eastAsia="Arial" w:hAnsi="Arial"/>
          <w:sz w:val="18"/>
          <w:szCs w:val="18"/>
          <w:color w:val="auto"/>
        </w:rPr>
      </w:pPr>
    </w:p>
    <w:p>
      <w:pPr>
        <w:ind w:left="1620" w:hanging="640"/>
        <w:spacing w:after="0" w:line="277"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200% of the 79,406 shares (or 158,812 shares) of our common stock issuable upon the exercise of warrants originally issued in December 2016 (the “December 2016 Warrants”) at an exercise price equal to $2.00 per share; and</w:t>
      </w:r>
    </w:p>
    <w:p>
      <w:pPr>
        <w:spacing w:after="0" w:line="170" w:lineRule="exact"/>
        <w:rPr>
          <w:rFonts w:ascii="Arial" w:cs="Arial" w:eastAsia="Arial" w:hAnsi="Arial"/>
          <w:sz w:val="18"/>
          <w:szCs w:val="18"/>
          <w:color w:val="auto"/>
        </w:rPr>
      </w:pPr>
    </w:p>
    <w:p>
      <w:pPr>
        <w:jc w:val="both"/>
        <w:ind w:left="1620" w:hanging="640"/>
        <w:spacing w:after="0" w:line="279" w:lineRule="auto"/>
        <w:tabs>
          <w:tab w:leader="none" w:pos="1620" w:val="left"/>
        </w:tabs>
        <w:numPr>
          <w:ilvl w:val="1"/>
          <w:numId w:val="1"/>
        </w:numPr>
        <w:rPr>
          <w:rFonts w:ascii="Arial" w:cs="Arial" w:eastAsia="Arial" w:hAnsi="Arial"/>
          <w:sz w:val="17"/>
          <w:szCs w:val="17"/>
          <w:color w:val="auto"/>
        </w:rPr>
      </w:pPr>
      <w:r>
        <w:rPr>
          <w:rFonts w:ascii="Arial" w:cs="Arial" w:eastAsia="Arial" w:hAnsi="Arial"/>
          <w:sz w:val="17"/>
          <w:szCs w:val="17"/>
          <w:color w:val="auto"/>
        </w:rPr>
        <w:t>200% of the 106,524 shares (or 213,048 shares) of our common stock issued in connection with that certain Agreement and Plan of Merger by and among FORM Holdings Corp., FHXMS, LLC, XpresSpa Holdings, LLC and Mistral XH Representative, LLC, as representative of the unitholders, dated October 25, 2016, as subsequently amended (the “Merger Agreement”) and in connection with a related subscription agreement between us and a unitholder (the “Subscription Agreement”).</w:t>
      </w:r>
    </w:p>
    <w:p>
      <w:pPr>
        <w:spacing w:after="0" w:line="171"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(the “Securities Act”), this Registration Statement shall also cover any additional shares of the Registrant’s common stock that become issuable by reason of any stock dividend, stock split, recapitalization or other similar transaction effected without receipt of consideration that increases the number of the Registrant’s outstanding shares of common stock.</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 of calculating the registration fee according to Rule 457(c) under the Securities Act of 1933, as amended, on the basis of the average of the high and low prices for a share of the Registrant’s common stock reported on The Nasdaq Stock Market LLC on August 19, 2019, which is within five business days prior to the filing of this registration statement.</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August 22,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35,014,122 Shares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relates to the resale of up to an aggregate of 35,014,122 shares of our common stock. This total includes the following:</w:t>
      </w:r>
    </w:p>
    <w:p>
      <w:pPr>
        <w:spacing w:after="0" w:line="225" w:lineRule="exact"/>
        <w:rPr>
          <w:sz w:val="20"/>
          <w:szCs w:val="20"/>
          <w:color w:val="auto"/>
        </w:rPr>
      </w:pPr>
    </w:p>
    <w:p>
      <w:pPr>
        <w:ind w:left="130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 of the 450,000 shares (or 900,000 shares) of our common stock issuable upon the conversion of Series F Preferred Stock at a conversion price equal to $2.00 per share;</w:t>
      </w:r>
    </w:p>
    <w:p>
      <w:pPr>
        <w:spacing w:after="0" w:line="170" w:lineRule="exact"/>
        <w:rPr>
          <w:rFonts w:ascii="Arial" w:cs="Arial" w:eastAsia="Arial" w:hAnsi="Arial"/>
          <w:sz w:val="18"/>
          <w:szCs w:val="18"/>
          <w:color w:val="auto"/>
        </w:rPr>
      </w:pPr>
    </w:p>
    <w:p>
      <w:pPr>
        <w:jc w:val="both"/>
        <w:ind w:left="1300" w:hanging="455"/>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 of the 1,445,816 shares (or 2,891,632 shares) of our common stock underlying shares of Series E Preferred Stock issuable upon conversion of an aggregate principal amount of $2,500,000 of the Calm Notes, plus interest payable thereon, at a conversion price equal to $2.00 per share;</w:t>
      </w:r>
    </w:p>
    <w:p>
      <w:pPr>
        <w:spacing w:after="0" w:line="181" w:lineRule="exact"/>
        <w:rPr>
          <w:rFonts w:ascii="Arial" w:cs="Arial" w:eastAsia="Arial" w:hAnsi="Arial"/>
          <w:sz w:val="18"/>
          <w:szCs w:val="18"/>
          <w:color w:val="auto"/>
        </w:rPr>
      </w:pPr>
    </w:p>
    <w:p>
      <w:pPr>
        <w:ind w:left="1300" w:right="2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 of the 1,500,000 shares (or 3,000,000 shares) of our common stock issuable upon conversion of our previously issued Series E Preferred Stock at a conversion price equal to $2.00 per share;</w:t>
      </w:r>
    </w:p>
    <w:p>
      <w:pPr>
        <w:spacing w:after="0" w:line="170" w:lineRule="exact"/>
        <w:rPr>
          <w:rFonts w:ascii="Arial" w:cs="Arial" w:eastAsia="Arial" w:hAnsi="Arial"/>
          <w:sz w:val="18"/>
          <w:szCs w:val="18"/>
          <w:color w:val="auto"/>
        </w:rPr>
      </w:pPr>
    </w:p>
    <w:p>
      <w:pPr>
        <w:ind w:left="1300" w:right="2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 of the 937,500 shares (or 1,875,000 shares) of our common stock issuable upon the exercise of the Calm Warrants at an exercise price equal to $2.00 per share;</w:t>
      </w:r>
    </w:p>
    <w:p>
      <w:pPr>
        <w:spacing w:after="0" w:line="170" w:lineRule="exact"/>
        <w:rPr>
          <w:rFonts w:ascii="Arial" w:cs="Arial" w:eastAsia="Arial" w:hAnsi="Arial"/>
          <w:sz w:val="18"/>
          <w:szCs w:val="18"/>
          <w:color w:val="auto"/>
        </w:rPr>
      </w:pPr>
    </w:p>
    <w:p>
      <w:pPr>
        <w:jc w:val="both"/>
        <w:ind w:left="1300" w:hanging="455"/>
        <w:spacing w:after="0" w:line="293"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200% of the 4,156,275 shares (or 8,312,550 shares) of our common stock issuable (a) upon conversion of an aggregate principal amount of $7,000,000 of the B3D Note at a conversion price equal to $2.00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exercise notice, and (c) as certain make-whole payments to the extent that the accrued and unpaid interest amount described above is less than 90% of the average volume weighted average price of our common stock for the 30 trading days prior to the interest deferment date (or if not a trading day the next succeeding trading day);</w:t>
      </w:r>
    </w:p>
    <w:p>
      <w:pPr>
        <w:spacing w:after="0" w:line="164" w:lineRule="exact"/>
        <w:rPr>
          <w:rFonts w:ascii="Arial" w:cs="Arial" w:eastAsia="Arial" w:hAnsi="Arial"/>
          <w:sz w:val="16"/>
          <w:szCs w:val="16"/>
          <w:color w:val="auto"/>
        </w:rPr>
      </w:pPr>
    </w:p>
    <w:p>
      <w:pPr>
        <w:ind w:left="130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 of the 8,831,540 shares (or 17,663,080 shares) of our common stock issuable upon conversion of our Series D Preferred Stock at a conversion price equal to $2.00 per share;</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 of the 79,406 shares (or 158,812 shares) of our common stock issuable upon the exercise of the December 2016 Warrants at an exercise price equal to $2.00 per share; and</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 of the 106,524 shares (or 213,048 shares) of our common stock issued in connection with the Merger Agreement and the Subscription Agreement (items (i) through (viii) collectively, the “Securities”).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Securities were issued by XpresSpa Group, Inc. (the “Company”) and were issued (a) with respect to item (i) above, to accredited investors pursuant to or in connection with that certain Amendment to Securities Purchase Agreement and Class A Warrants and Class B Warrants, dated as of July 8, 2019 (the “May 2018 SPA Amendment”); (b) with respect to items (ii) and (iv) above, to an accredited investor pursuant to or in connection with that certain Securities Purchase Agreement, dated as of July 8, 2019, by and between the Company and Calm.com, Inc. (the “2019 Calm Purchase Agreement”); (c) with respect to item (iii) above, to an accredited investor pursuant to or in connection with that certain Securities Purchase Agreement, dated as of November 12, 2018, by and between the Company and Calm.com, Inc. (the “2018 Calm Purchase Agreement”) and in connection with that certain amendment to the Certificate of Designation, Preference, Rights and Limitations of the Series E Convertible Preferred Stock, dated as of July 8, 2019 (the “Series E COD Amendment”); (d) with respect to item (v) above, to an accredited investor pursuant to or in connection with a Fourth Amendment to Credit Agreement by and between the Company and B3D, LLC ("B3D"), dated as of July 8, 2019 (the “Credit Agreement Amendment”); (e) with respect to item (vi) above, to accredited investors pursuant to or in connection with an Amendment to our Certificate of Designation of Preferences, Rights and Limitations of Series D Convertible Preferred Stock, dated as of July 8, 2019 (the “Series D COD Amendment”); (f) with respect to item (vii) above, to accredited investors pursuant to or in connection with the December 2016 Warrant Amendment; and (g) with respect to item (viii) above, to an investor in connection with the Merger Agreement and the Subscription Agreement.</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These shares of common stock will be resold from time to time by the entities and persons listed in the section titled “Selling Securityholders” on page 22, which we refer to as the selling securityholders. The shares of common stock offered under this prospectus by the selling securityholders are currently held by such selling securityholders or will be issued upon conversion of each of the Calm Notes and B3D Notes, respectively (collectively, the “Notes”), upon conversion of each of the Series D Convertible Preferred Stock, Series E Convertible Preferred Stock and Series F Convertible Preferred Stock, respectively (the “Preferred Stock”) and upon exercise of each of the Calm Warrants and December 2016 Warrants, respectively (collectively, the “Warrants”).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not selling any securities under this prospectus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 Moreover, we will receive the exercise price upon any exercise of the Warrants, to the extent exercised on a cash basis. If the Warrants are exercised in full, we would receive gross proceeds of approximately $2.0 million. We currently intend to use such proceeds, if any, for general corporate purposes and working capital. The holder of the Warrant is not obligated to exercise the Warrant, and we cannot predict whether or when, if ever, the holder of the Warrant will choose to exercise the Warrant, in whole or in part.</w:t>
      </w:r>
    </w:p>
    <w:p>
      <w:pPr>
        <w:sectPr>
          <w:pgSz w:w="11900" w:h="16838" w:orient="portrait"/>
          <w:cols w:equalWidth="0" w:num="1">
            <w:col w:w="11420"/>
          </w:cols>
          <w:pgMar w:left="240" w:top="904" w:right="239" w:bottom="0" w:gutter="0" w:footer="0" w:header="0"/>
        </w:sectPr>
      </w:pPr>
    </w:p>
    <w:bookmarkStart w:id="3" w:name="page4"/>
    <w:bookmarkEnd w:id="3"/>
    <w:p>
      <w:pPr>
        <w:spacing w:after="0" w:line="308" w:lineRule="auto"/>
        <w:rPr>
          <w:sz w:val="20"/>
          <w:szCs w:val="20"/>
          <w:color w:val="auto"/>
        </w:rPr>
      </w:pPr>
      <w:r>
        <w:rPr>
          <w:rFonts w:ascii="Arial" w:cs="Arial" w:eastAsia="Arial" w:hAnsi="Arial"/>
          <w:sz w:val="17"/>
          <w:szCs w:val="17"/>
          <w:color w:val="auto"/>
        </w:rPr>
        <w:t>The selling securityholders may sell the shares of common stock described in this prospectus in a number of different ways and at varying prices. We provide more information about how a selling securityholder may sell its shares of common stock in the section titled “Plan of Distribution” on page 26.</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quoted on The Nasdaq Capital Market (“Nasdaq”) under the symbol “XSPA.” On August 21, 2019, the last reported sale price of our common stock was $1.41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3 of this prospectus.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ind w:left="3640"/>
              <w:spacing w:after="0"/>
              <w:rPr>
                <w:sz w:val="20"/>
                <w:szCs w:val="20"/>
                <w:color w:val="auto"/>
              </w:rPr>
            </w:pPr>
            <w:r>
              <w:rPr>
                <w:rFonts w:ascii="Arial" w:cs="Arial" w:eastAsia="Arial" w:hAnsi="Arial"/>
                <w:sz w:val="18"/>
                <w:szCs w:val="18"/>
                <w:b w:val="1"/>
                <w:bCs w:val="1"/>
                <w:color w:val="auto"/>
              </w:rPr>
              <w:t>THE DATE OF THIS PROSPECTUS IS</w:t>
            </w:r>
          </w:p>
        </w:tc>
        <w:tc>
          <w:tcPr>
            <w:tcW w:w="4380" w:type="dxa"/>
            <w:vAlign w:val="bottom"/>
          </w:tcPr>
          <w:p>
            <w:pPr>
              <w:jc w:val="right"/>
              <w:ind w:right="3530"/>
              <w:spacing w:after="0"/>
              <w:rPr>
                <w:sz w:val="20"/>
                <w:szCs w:val="20"/>
                <w:color w:val="auto"/>
              </w:rPr>
            </w:pPr>
            <w:r>
              <w:rPr>
                <w:rFonts w:ascii="Arial" w:cs="Arial" w:eastAsia="Arial" w:hAnsi="Arial"/>
                <w:sz w:val="18"/>
                <w:szCs w:val="18"/>
                <w:b w:val="1"/>
                <w:bCs w:val="1"/>
                <w:color w:val="auto"/>
              </w:rPr>
              <w:t>, 2019.</w:t>
            </w:r>
          </w:p>
        </w:tc>
      </w:tr>
      <w:tr>
        <w:trPr>
          <w:trHeight w:val="675"/>
        </w:trPr>
        <w:tc>
          <w:tcPr>
            <w:tcW w:w="70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540" w:type="dxa"/>
            <w:vAlign w:val="bottom"/>
            <w:gridSpan w:val="3"/>
          </w:tcPr>
          <w:p>
            <w:pPr>
              <w:jc w:val="center"/>
              <w:ind w:right="1740"/>
              <w:spacing w:after="0"/>
              <w:rPr>
                <w:sz w:val="20"/>
                <w:szCs w:val="20"/>
                <w:color w:val="auto"/>
              </w:rPr>
            </w:pPr>
            <w:r>
              <w:rPr>
                <w:rFonts w:ascii="Arial" w:cs="Arial" w:eastAsia="Arial" w:hAnsi="Arial"/>
                <w:sz w:val="18"/>
                <w:szCs w:val="18"/>
                <w:b w:val="1"/>
                <w:bCs w:val="1"/>
                <w:color w:val="auto"/>
                <w:w w:val="98"/>
              </w:rPr>
              <w:t>TABLE OF CONTENTS</w:t>
            </w: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SPECIAL NOTE REGARDING FORWARD-LOOKING STATEMENTS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USE OF PROCEEDS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SELLING SECURITYHOLDERS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22</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PLAN OF DISTRIBUTION</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26</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27</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27</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28</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INCORPORATION OF CERTAIN DOCUMENTS BY REFERENCE</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28</w:t>
              </w:r>
            </w:hyperlink>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4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rPr>
              <w:t>INFORMATION CONTAINED IN THIS PROSPECTUS</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into this prospectus. We have not, and the selling securityholders have not, authorized anyone to provide you with additional or different information. These securities are not being offered in any jurisdiction where the offer is not permitted. You should assume that the information in this prospectus is accurate only as of the date on the front of the document and that any information we have incorporated by reference is accurate only as of the date of the documents incorporated by reference, regardless of the time of delivery of this prospectus or of any sale of our common stock. Unless the context otherwise requires, references to “we,” “our,” “us,” or the “Company” in this prospectus mean XpresSpa Group, Inc., together with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6041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6041390"/>
                    </a:xfrm>
                    <a:prstGeom prst="rect">
                      <a:avLst/>
                    </a:prstGeom>
                    <a:noFill/>
                  </pic:spPr>
                </pic:pic>
              </a:graphicData>
            </a:graphic>
          </wp:anchor>
        </w:drawing>
        <w:t>PROSPECTUS 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U.S. Securities and Exchange Commission, or SEC. Investing in our securities involves risks. Therefore, please carefully consider the information provided under the heading “Risk Factors” starting on page 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54 locations, consisting of 49 domestic and 5 international locations as of June 30, 2019.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8, 2019, we entered into the May 2018 SPA Amendment, to provide for, among other things, (i) with respect to our previously issued Class A Warrants, a reduction in the exercise price to $2.00 per share, the removal of the conversion price floor and the inclusion of a provision allowing for voluntary reduction of the exercise price by our Board of Directors at any time in its discretion and (ii) the establishment of a new class of preferred stock, the Series F Preferred Stock, which Series F Preferred Stock, subject to the approval of our stockholders, will contain anti-dilution price protection, and the issuance of 9,000 shares of such Series F Preferred Stock to the parties to the May 2018 SPA Amendment, which will be convertible into common stock at a conversion price of $2.00 per share, subject to the approval of our stockholders.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8, 2019, we also entered into the 2019 Calm Purchase Agreement, pursuant to which we agreed to sell (i) the Calm Notes, which are convertible into shares of Series E Preferred Stock and (ii) the Calm Warrants. Each of the Calm Notes and the Calm Warrants contains, subject to the approval of our stockholders, anti-dilution price protection and provides for the inclusion of a provision allowing for the voluntary reduction of the conversion or exercise price, as applicable, by our Board of Directors at any time in its discretion. In connection with the 2019 Calm Purchase Agreement, we filed the Series E COD Amendment with the State of Delaware to reduce the conversion price to $2.00 per share, subject to the approval of our stockholders.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1229" w:right="339" w:bottom="1440" w:gutter="0" w:footer="0" w:header="0"/>
        </w:sectPr>
      </w:pPr>
    </w:p>
    <w:bookmarkStart w:id="6" w:name="page7"/>
    <w:bookmarkEnd w:id="6"/>
    <w:p>
      <w:pPr>
        <w:jc w:val="both"/>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2774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774315"/>
                    </a:xfrm>
                    <a:prstGeom prst="rect">
                      <a:avLst/>
                    </a:prstGeom>
                    <a:noFill/>
                  </pic:spPr>
                </pic:pic>
              </a:graphicData>
            </a:graphic>
          </wp:anchor>
        </w:drawing>
        <w:t>On July 8, 2019, we also entered into the Credit Agreement Amendment with B3D in order to, among other provisions, (i) extend the maturity date to May 31, 2021, (ii) reduce the applicable interest rate to 9.0% and (iii) amend and restate the B3D Note in order to increase the principal amount owed to B3D to $7.0 million, which principal and any interest accrued thereon will be, subject to the approval of our stockholders, convertible at B3D’s option into common stock at an initial conversion price of $2.00 per share. Subject to the approval of our stockholders, the B3D Note will contain anti-dilution price protection and will include a provision allowing for voluntary reduction of the conversion price by our Board of Directors at any time in its discretion.</w:t>
      </w:r>
    </w:p>
    <w:p>
      <w:pPr>
        <w:spacing w:after="0" w:line="15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On July 8, 2019, we also (i) filed the Series D COD Amendment to reduce the conversion price of the Series D Preferred Stock to $2.00 per share, subject to the approval of our stockholders and (ii) entered into the December 2016 Warrant Amendment to provide for (a) a reduction in the exercise price to $2.00, (b) certain anti-dilution price protection and (c) the inclusion of a provision allowing for voluntary reduction of the exercise price by our Board of Directors at any time in its discretion, in each case subject to the approval of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12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2"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Investing in our securities involves a high degree of risk. You should carefully review and consider the following risk factors and in the sections entitled “Risk Factors” contained in our most recent </w:t>
      </w:r>
      <w:hyperlink r:id="rId18">
        <w:r>
          <w:rPr>
            <w:rFonts w:ascii="Arial" w:cs="Arial" w:eastAsia="Arial" w:hAnsi="Arial"/>
            <w:sz w:val="17"/>
            <w:szCs w:val="17"/>
            <w:i w:val="1"/>
            <w:iCs w:val="1"/>
            <w:u w:val="single" w:color="auto"/>
            <w:color w:val="0000EE"/>
          </w:rPr>
          <w:t>annual report on Form 10-K</w:t>
        </w:r>
      </w:hyperlink>
      <w:r>
        <w:rPr>
          <w:rFonts w:ascii="Arial" w:cs="Arial" w:eastAsia="Arial" w:hAnsi="Arial"/>
          <w:sz w:val="17"/>
          <w:szCs w:val="17"/>
          <w:i w:val="1"/>
          <w:iCs w:val="1"/>
          <w:color w:val="auto"/>
        </w:rPr>
        <w:t>, which has been filed with the SEC and is incorporated by reference in this prospectus, as well as any updates thereto contained in subsequent filings with the SEC, and all other information contained in this prospectus and incorporated by reference into the prospectus before purchasing our securities. The risks and uncertainties described below are not the only ones facing our Company. Additional risks and uncertainties of which we are unaware, or that we currently deem immaterial, also may become important factors that affect us. If any of the following risks occur, our business, financial condition or results of operations could be materially and adversely affected. In that case, the trading price of our common stock could decline, and you may lose some or all of your investment.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independent registered public accounting firm has expressed substantial doubt as to our ability to continue as a going concern.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audited financial statements included in our Annual Report on Form 10-K for the fiscal year ended December 31, 2018 have been prepared assuming that we will continue as a going concern and do not include any adjustments that might result if we cease to continue as a going concern. The report of our independent registered public accounting firm on our financial statements for the years ended December 31, 2018 and 2017, included an explanatory paragraph indicating that there is substantial doubt about our ability to continue as a going concern. Our auditors’ doubts are based on our recurring losses from operations and working capital deficiency. The inclusion of a going concern explanatory paragraph in future reports of our independent auditors may make it more difficult for us to secure additional financing or enter into strategic relationships on terms acceptable to us, if at all, and may materially and adversely affect the terms of any financing that we might obtain.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financial condition could be constrained by XpresSpa’s outstanding debt.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XpresSpa is obligated under the Credit Agreement Amendment and B3D Note, which has an outstanding balance of approximately $7,000,000, with a maturity date of May 31, 2021. The B3D Note accrues interest of 9.0% per annum, which interest is payable in arrears on the last business date of each month. Notwithstanding the foregoing, until the earlier of (i) October 7, 2019 or (ii) the date upon which we receive approval from our shareholders in connection with the B3D Note (the “Interest Deferment Date”), interest will continue to accrue, will be compounded monthly and all unpaid amounts thereof will be due and payable on the interest deferment date. XpresSpa has granted B3D a security interest in all of its tangible and intangible personal property to secure its obligations under the B3D Note. The B3D Note is an outstanding obligation of XpresSpa but is guaranteed by us.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on July 8, 2019, we entered into the 2019 Calm Purchase Agreement pursuant to which we issued the Calm Notes. Interest on the Calm Notes is payable in arrears beginning on the last day of each February, May, August and November during the period beginning on the original issuance date and ending on, and including, the maturity date, when all amounts outstanding under the Calm Notes become due and payable in cash.</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of the B3D Note and the Calm Notes provides that upon an event of default (defined to include any default in payment, failure to observe or perform certain covenants, and the occurrence of certain bankruptcy events, among other events), the respective lender could declare such note, including outstanding principal and all other amounts owing thereon, immediately due and payable. While we do not anticipate failing to make any such debt payments or taking any action that could result in an event of default, any default of our loan obligations could lead to financial and operational hardship. Our failure to make payments pursuant to either of the B3D Note or the Calm Notes could cause material harm to our business, financial condition and results of operations.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Moreover, additional financing may have an adverse effect on the value of the equity instruments held by our stockholders.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choose to raise additional funds in connection with any potential acquisition of operating businesses or other assets. In addition, we may also need additional funds to respond to business opportunities and challenges, including our ongoing operating expenses, protection of our assets, development of new lines of business and enhancement of our operating infrastructure. While we may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2018, we had federal net operating loss carryforwards (“NOLs”) of $150,926,000 which expire 20 years from the respective tax years to which they relate, and $23,139,000 for U.S. federal purposes with an indefinite life due to new regulations in the “Tax Cuts and Jobs Act” (the “TCJA”). Our ability to utilize our NOLs may be limited under Section 382 of the Internal Revenue Code.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United States tax laws limit the time during which these carryforwards may be utilized against future taxes. As a result, we may not be able to take full advantage of these carryforwards for federal and state tax purposes. Future changes in stock ownership may also trigger an ownership change and, consequently, a Section 382 limitation.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federal tax reform bill could adversely affect our business and financial condition.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2017, President Trump signed into law the TCJA, which significantly reformed the Internal Revenue Code of 1986, as amended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We continue to examine the impact this tax reform legislation may have on our business. However, the effect of the TCJA on our business, whether adverse or favorable, is uncertain, and may not become evident for some period of time. We urge investors to consult with their legal and tax advisers regarding the implications of the TCJA on an investment in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and market conditions may adversely affect our business, financial condition and operating results.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plan depends significantly on worldwide economic conditions and our success is dependent on consumer spending, which is sensitive to economic downturns, inflation and any associated rise in unemployment, decline in consumer confidence, adverse changes in exchange rates, increase in interest rates, increase in the price of oil, deflation, direct or indirect taxes or increase in consumer debt levels.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XpresSpa is reliant on international and domestic airplane travel, and the time that airline passengers spend in United States airports post-security. A decrease in airline travel, a decrease in the desire of customers to buy spa services and products, or decreased time spent in airports would negatively impact XpresSpa’s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depends upon a large number of airplane travelers with the propensity for health and wellness, and in particular spa treatments and products, spending significant time post- security clearance check points.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number of airline travelers decreases, if the time that these travelers spend post-security decreases, and/or if travelers ability or willingness to pay for XpresSpa’s products and services diminishes, this could have an adverse effect on XpresSpa’s growth, business activities, cash flow, financial condition and results of operations. Some reasons for these events could include:</w:t>
      </w:r>
    </w:p>
    <w:p>
      <w:pPr>
        <w:spacing w:after="0" w:line="181"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terrorist activities (including cyber-attacks), pandemics and outbreaks of contagious diseases, such as the Zika or Ebola crises, impacting either domestic or international travel through airports where XpresSpa operates, causing fear of flying, flight cancellations, or an economic downturn, or any other event of a similar nature, even if not directly affecting the airline industry, may lead to a significant reduction in the number of airline passengers;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business spending that impacts business travel, such as a recession;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consumer spending that impacts leisure travel, such as a recession or a stock market downturn or a change in consumer lending regulations impacting available credit for leisure travel;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increase in airfare prices that impacts the willingness of air travelers to fly, such as an increase in oil prices or heightened taxation from federal or other aviation authorities;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scientific studies that malign the use of spa services or the products used in spa services, such as the impact of certain chemicals and procedures on health and wellness;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streamlined security screening checkpoints, which could decrease the wait time at checkpoints and therefore the time air travelers’ budget for spending time at the airport.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any disruption to, or suspension of services provided by, airlines and the travel industry as a result of financial difficulties, labor disputes, construction work, increased security, changes to regulations governing airlines, mergers and acquisitions in the airline industry and challenging economic conditions causing airlines to reduce flight schedules or increase the price of airline tickets could negatively affect the number of airline passengers.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will depend in part on relationships with third parties. Any adverse changes in these relationships could adversely affect our business, financial condition, or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is dependent on our ability to maintain and renew our business relationships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ultimately cause us to lose our concessions.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a small number of suppliers for our products. As a result, these distributors may have increased bargaining power and we may be required to accept less favorable purchasing terms. In the event of a dispute with a supplier or distributor,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In particular, we have publicized our sale of certain brands of products in our stores – our failure to sell these brands may adversely affect our business.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pandemic,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operating results may fluctuate significantly due to certain factors, some of which are beyond its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XpresSpa’s operating results may fluctuate from period to period significantly because of several factors, including:</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size of new unit openings, particularly the launch of new terminals;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passenger traffic and seasonality of air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price and availability of supplies;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to new markets and new locations;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infrastructure costs, including those costs associated with the build-out of new concession locations and renovating existing concession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XpresSpa’s operating results may fluctuate significantly as a result of the factors discussed above. Accordingly, results for any period are not necessarily indicative of results to be expected for any other period or for any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expansion into new airports or off-airport locations may present increased risks due to its unfamiliarity with those areas.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XpresSpa’s growth strategy depends upon expanding into markets where it has little or no meaningful operating experience. Those locations may have demographic characteristics, consumer tastes and discretionary spending patterns that are different from those in the markets where its existing operations are located. As a result, new airport terminal and/or off-airport operations may be less successful than existing concession locations in current airport terminals. XpresSpa may find it more difficult in new markets to hire, motivate and keep qualified employees who can project its vision, passion and culture. XpresSpa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 Operations in new markets may also have lower average revenues or enplanements than in the markets where XpresSpa currently operates. Operations in new markets may also take longer to ramp up and reach expected sales and profit levels, and may never do so, thereby negatively affecting XpresSpa’s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XpresSpa’s growth strategy is highly dependent on its ability to successfully identify and open new XpresSpa locations.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XpresSpa’s growth strategy primarily contemplates expansion through procuring new XpresSpa locations and opening new XpresSpa stores and kiosks. Implementing this strategy depends on XpresSpa’s ability to successfully identify new store locations. XpresSpa will also need to assess and mitigate the risk of any new store locations, to open the stores on favorable terms and to successfully integrate their operations with ours. XpresSpa may not be able to successfully identify opportunities that meet these criteria, or, if it does, XpresSpa may not be able to successfully negotiate and open new stores on a timely basis. If XpresSpa is unable to identify and open new locations in accordance with its operating plan, XpresSpa’s revenue growth rate and financial performance may fall short of our expectations.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profitability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execute our growth strategy to expand and integrate new concessions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of our growth strategy is to expand and remodel our existing facilities and to seek new concessions through tenders, direct negotiations or other acquisition opportunities. In this regard, our future growth will depend upon a number of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In particular, new concessions and acquisitions, and in some cases future expansions and remodeling of existing concessions, could pose numerous risks to our operations, including that we may:</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difficulty integrating operations or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substantial unanticipated integration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unexpected construction and development costs and project delays;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challenges identifying and engaging local business partners to meet ACDBE requirements in concession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be able to obtain construction materials or labor at acceptable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face engineering or environmental problems associated with our new and existing facilities;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significant diversion of management attention and financial resources from our existing operations in order to integrate expanded, new or acquired businesses, which could disrupt our ongoing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lose key employees, particularly with respect to acquired or new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difficulty retaining or developing acquired or new business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 our existing business relationships with suppliers or other third parties as a result of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 to realize the potential cost savings or other financial benefits and/or the strategic benefits of acquisitions, new concessions or remodeling;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liabilities from the acquired businesses and we may not be successful in seeking indemnification for such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estimates and assumptions we use to determine the size of our market are inaccurate, our future growth rate may be impacted.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Market opportunity estimates and growth forecasts are subject to uncertainty and are based on assumptions and estimates that may not prove to be accurate. The estimates and forecasts in this annual report relating to the size and expected growth of the travel retail market may prove to be inaccurate. Even if the market in which we compete meets our size estimates and forecasted growth, our business could fail to grow at similar rates, if at all. The principal assumptions relating to our market opportunity include projected growth in the travel retail market and our share of the market. If these assumptions prove inaccurate, our business, financial condition and results of operations could be adversely affected.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Our business requires substantial capital expenditures and we may not have access to the capital required to maintain and grow our operations.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Maintaining and expanding our operations in our existing and new retail locations is capital intensive. Specifically, the construction, redesign and maintenance of our retail space in airport terminals where we operate, technology costs, and compliance with applicable laws and regulations require substantial capital expenditures. We may require additional capital in the future to fund our operations and respond to potential strategic opportunities, such as investments, acquisitions and expansions.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cannot provide assurance that we will be able to maintain our operating performance, generate sufficient cash flow, or have access to sufficient financing to continue our operations and development activities at or above our present levels, and we may be required to defer all or a portion of our capital expenditures. Our business, financial condition and results of operations may be materially adversely affected if we cannot make such capital expenditures.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 currently relies on a skilled, licensed labor force to provide spa services, and the supply of this labor force is finite. If XpresSpa cannot hire adequate staff for its locations, it will not be able to operate.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15, 2019, XpresSpa had 517 full-time and 186 part-time employees in its locations. Excluding some dedicated retail staff, the majority of these employees are licensed to perform spa services, and hold such licenses as masseuses, nail technicians, aestheticians, barbers and master barbers. The demand for these licensed technicians has been increasing as more consumers gravitate to health and wellness treatments such as spa services. XpresSpa competes not only with other airport-based spa companies but with spa companies outside of the airport for this skilled labor force. In addition, all staff hired by XpresSpa must pass the background checks and security clearances necessary to work in airport locations. If XpresSpa is unable to attract and retain qualified staff to work in its airport locations, its ability to operate will be impacted negatively.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various laws and regulations in the United States, Netherlands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in order to comply with applicable standards. Compliance with such laws and regulations can be costly and can increase our exposure to litigation or governmental investigations or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labor force could unionize, putting upward pressure on labor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Currently, XpresSpa stores in two airports have a labor force which is unionized. Major players in labor organization, and in particular “Unite Here!” which represents approximately 45,000 employees in the airport concessions and airline catering industries, could target XpresSpa locations for its unionization efforts. In the event of the successful unionization of all of XpresSpa’s labor force, XpresSpa would likely incur additional costs in the form of higher wages, more benefits such as vacation and sick leave, and potentially also higher health care insurance costs.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XpresSpa competes for new locations in airports and may not be able to secure new locations.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XpresSpa participates in the highly competitive and lucrative airport concessions industry, and as a result competes for retail leases with a variety of larger, better capitalized concessions companies as well as smaller, mid-tier and single unit operators. Frequently, an airport includes a spa concept within its retail product set and, in those instances, XpresSpa competes primarily with BeRelax, Terminal Getaway, Massage Bar and 10 Minute Manicure.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predict accurately or fulfill customer preferences or demands.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leases may be terminated, either for convenience by the landlord or as a result of an XpresSpa default.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has store locations and kiosks in a number of airports in which the landlord, with prior written notice to XpresSpa, can terminate XpresSpa’s lease, including for convenience or as necessary for airport purposes or operations. If a landlord elects to terminate a lease at an airport, XpresSpa may have to shut down one or more store locations at that airport.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XpresSpa leases have numerous provisions governing the operation of XpresSpa’s stores. Violation of one or more of these provisions, even unintentionally, may result in the landlord finding that XpresSpa is in default of the lease. Violation of lease provisions may result in fines and, in some cases, termination of a lease.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XpresSpa’s ability to operate depends on the traffic patterns of the terminals in which it operates, and the cessation or disruption of air traveler traffic in these terminals would negatively impact XpresSpa’s addressable market.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depends on a high volume of air travelers in its terminals. It is possible that a terminal in which XpresSpa operates could become subject to a lower volume of air travelers, which would significantly impact traffic near and around XpresSpa locations and therefore its total addressable market. Lower volume in a terminal could be caused by:</w:t>
      </w:r>
    </w:p>
    <w:p>
      <w:pPr>
        <w:spacing w:after="0" w:line="181" w:lineRule="exact"/>
        <w:rPr>
          <w:sz w:val="20"/>
          <w:szCs w:val="20"/>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terminal construction that results in the temporary or permanent closure of a unit, or adversely impacts the volume or pattern of traffic flows within an airport;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airline utilizing an airport in which XpresSpa operates could abandon that airport or an individual terminal in favor of other airports or terminals, or because it is contracting operations;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weather conditions could cause damage to the terminal or airport in which XpresSpa operates, resulting in the temporary or permanent closure of a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local partners.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local partners, including our Airport Concession Disadvantaged Business Enterprise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in a position to take action contrary to our instructions, our requests, our policies, our objectives or applicable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actions that reduce our return on investment;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 bankrupt or are otherwise unable to meet their capital contribution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or become inconsistent with our business interests or goals;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actions that harm our reputation or restrict our ability to run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ACDBE participation requirements, XpresSpa is often required to meet, or use good faith efforts to meet, certain minimum ACDBE participation requirements when bidding on or submitting proposals for new concession contracts. If XpresSpa is unable to find and/or partner with an appropriate ACDBE, XpresSpa may lose opportunities to open new locations. In addition, a number of XpresSpa’s existing leases contain minimum ACDBE participation requirements which require the ACDBE to own a significant portion of the business being operated under those leases. The level of ACDBE participation requirements may affect XpresSpa’s profitability and/or its ability to meet financial forecasts.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if XpresSpa fails to comply with the minimum ACDBE participation requirements, XpresSpa may be held responsible for a breach of contract, which could result in the termination of a lease and impairment of XpresSpa’s ability to bid on or obtain future concession contracts. To the extent that XpresSpa leases are terminated and XpresSpa is required to shut down one or more store locations, there could be a material adverse impact to its business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minimum wage increases would negatively impact XpresSpa’s cost of labor.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compensates its licensed technicians via a formula that includes commissions. As a result, an increase in the minimum wage would increase XpresSpa’s cost of labor and have an adverse impact on our business,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Information technology systems failure or disruption, or changes to information technology related to payment systems, could impact our day-to-day operations.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If XpresSpa is unable to protect its customers’ credit card data and other personal information, XpresSpa could be exposed to data loss, litigation and liability, and its reputation could be significantly harmed.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Privacy protection is increasingly demanding, and the use of electronic payment methods and collection of other personal information, including order history, travel history and other preferences, exposes XpresSpa to increased risk of privacy and/or security breaches as well as other risks. The majority of XpresSpa’s sales are by credit or debit cards. Additionally, XpresSpa collects and stores personal information from individuals, including its customers and employees.</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future, XpresSpa may experience security breaches in which credit and debit card information or other personal information is stolen. Although XpresSpa uses secure private networks to transmit confidential information, third parties may have the technology or know-how to breach the security of the customer information transmitted in connection with credit and debit 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XpresSpa. In addition, contractors, or third parties with whom XpresSpa does business or to whom XpresSpa outsources business operations may attempt to circumvent its security measures in order to misappropriate such information and may purposefully or inadvertently cause a breach involving such information. If a person is able to circumvent XpresSpa’s security measures or those of third parties, he or she could destroy or steal valuable information or disrupt XpresSpa’s operations. XpresSpa may become subject to claims for purportedly fraudulent transactions arising out of the actual or alleged theft of credit or debit card information, and XpresSpa may also be subject to lawsuits or other proceedings relating to these types of incidents. Any such claim or proceeding could cause XpresSpa to incur significant unplanned expenses, which could have an adverse effect on its business or results of operations. Further, adverse publicity resulting from these allegations could significantly harm its reputation and may have a material adverse effect on it. Although XpresSpa carries cyber liability insurance to protect against these risks, there can be no assurance that such insurance will provide adequate levels of coverage against all potential claims.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social media regarding XpresSpa could result in decreased revenues and impact XpresSpa’s ability to recruit workers.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XpresSpa’s affinity among consumers is highly dependent on their positive feelings about the brand, its customer service and the range and quality of services and products that it offers. A negative customer experience that is posted to social media outlets and is distributed virally could tarnish XpresSpa’s brand and its customers may opt to no longer engage with the brand.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XpresSpa employs people in multiple different jurisdictions, and the employment laws of those jurisdictions are subject to change. In addition, its services are regulated through government-issued operating licenses. Noncompliance with applicable laws could result in employee lawsuits or legal action taken by government authorities.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must comply with a variety of employment and business practices laws across the United States, Netherlands and United Arab Emirates. XpresSpa monitors the laws governing its activities, but in the event it does not become aware of a new regulation or fails to comply with a regulation, it could be subject to disciplinary action by governing bodies and potentially employee lawsuits.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XpresSpa is not currently cash flow positive and will depend on funding to open new locations. In the event that capital is unavailable, XpresSpa will not be able to open new locations.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Throughout its operating history, XpresSpa has not generated sufficient cash from operations to fund its new store development. As a result, it will be dependent upon additional funding for its new location growth until such time as it can produce enough cash to profitably fund its own location growth.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sources, develops and sells products that may result in product liability defense costs and product liability payments.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XpresSpa’s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XpresSpa may face substantial product liability exposure for products it sells to the general public or that is uses in its services. Product liability claims, regardless of their merits, could be costly and divert management’s attention, and adversely affect XpresSpa’s reputation and the demand for its products and services. XpresSpa to date has not been named as a defendant in any product liability action.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commenced legal proceedings and/or licensing discussions with security, content distribution and/or telecommunications companies. We expect that licensing discussions may be time consuming and may either, absent any litigation we initiate, fail to lead to a license, or may result in litigations commenced by the potential licensee.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license or otherwise monetize the patent assets that we own, we have commenced legal proceedings and/or attempted to commence licensing discussions with a number of companies, during the course of which we allege that such companies infringe one or more of our patents. The future viability of our licensing program is highly dependent on the outcome of these discussions, and there is a risk that we may be unable to achieve the results we desire from such negotiations and be forced either to accept minimal royalties or commence litigations against the alleged infringer. In addition, the recipients of our licensing overtures have substantially more resources than we do, which could make our licensing efforts more difficult. Furthermore, due to changes in the approach to patent laws around the world it has become much easier for potential licensees to commence proceedings to revoke or otherwise nullify our patents in lieu of engaging in bona fide licensing discussions. There is a real risk that any potential licensee we approach would rather commence proceedings to revoke our patents than engage in any licensing discussions whatsoever.</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any legal proceedings could continue for several years. While we endeavor, where possible, to engage counsel on a full or partial contingency basis, proceedings may commence that fall outside of contingency arrangements with counsel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in an effort to avoid or limit liability and damages for patent infringement. If such actions by our adversaries are successful, they may preclude our ability to derive licensing revenue from the patents being asserted.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a risk that we may be unable to achieve the results we desire from such litigation, which may harm our business. In addition, the defendants in these litigations have substantially more resources than we do, which could make our litigation efforts more difficult.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There is a risk that a court will find our patents invalid, not infringed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 litigation is inherently risky and the outcome is uncertain. Some of the parties that we believe infringe on our patents are large and well-financed companies with substantially greater resources than ours. We believe that these parties may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 In addition, as part of our ongoing legal proceedings, the validity and/or enforceability of our patents-in-suit is often challenged in a court or an administrative proceeding.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i w:val="1"/>
          <w:iCs w:val="1"/>
          <w:color w:val="auto"/>
        </w:rPr>
        <w:t>We may not be able to successfully monetize our patents and, thus, we may fail to realize all of the anticipated benefits of acquisitions from third parties.</w:t>
      </w:r>
    </w:p>
    <w:p>
      <w:pPr>
        <w:spacing w:after="0" w:line="2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is no assurance that we will be able to successfully monetize the patent portfolios that we acquired from third parties. The patents we acquired could fail to produce anticipated benefits or could have other adverse effects that we currently do not foresee.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46"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subsidiaries have been, are, and may become involved in litigation that could divert management’s attention and harm our businesses.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often is expensive and diverts management’s attention and resources, which could adversely affect our businesses. We may be exposed to claims against us even if no wrongdoing has occurred. Responding to such claims, regardless of their merit, can be time-consuming, costly to defend, disruptive to our management’s attention and to our resources, damaging to our reputation and brand, and may cause us to incur significant expenses. Even if we are indemnified against such costs, the indemnifying party may be unable to uphold its 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harm our business and operating results.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acquisitions or business opportunities could involve unknown risks that could harm our business and adversely affect our financial condition and results of operations.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that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w:t>
      </w:r>
    </w:p>
    <w:p>
      <w:pPr>
        <w:spacing w:after="0" w:line="5"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an acquirer or the transaction is later approved by our Board of Directors and by our stockholders by at least a 66</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percent vote of our stockholders other than the “interested stockholder,” each as specifically provided in Section 203.</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2022. Although this is not the purpose of the Section 382 Rights Plan, it could have the effect of making it uneconomical for a third party to acquire us on a hostile basis.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confidential information may be disclosed by other parties.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7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prices can be volatile, and this volatility may depress the price of our common stock.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5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strategic partnerships, capital commitments, or new technologies;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or disputes concerning our patents and efforts in licensing and/or enforcing our patents;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sales of our shares of common stock by our stockholders could cause the market price of our common stock to drop significantly, even if our business is otherwise performing well.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August 1, 2019, we had 2,916,919 shares of common stock issued and outstanding, excluding shares of common stock issuable upon exercise of warrants, options or restricted stock units, or preferred stock on an as-converted basis. As shares saleable under Rule 144 are sold or as restrictions on resale lapse, the market price of our common stock could drop significantly if the holders of shares of restricted stock sell them or are perceived by the market as intending to sell them. This decline in our stock price could occur even if our business is otherwise performing well.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Ownership of our common stock may be highly concentrated, and it may prevent our existing stockholders from influencing significant corporate decisions and may result in conflicts of interest that could cause our stock price to decline.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executive officers and directors beneficially own or control approximately 13.2% of our common stock on a fully diluted basis. Accordingly, these executive officers and directors, acting individually or as a group,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us,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conversion of a substantial number of shares of our preferred stock, the conversion of a substantial amount of notes or the exercise of a substantial number of warrants or options by our security holders may have an adverse effect on the market price of our common stock.</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Should our Series D Preferred Stock (including shares issuable in respect of accrued but unpaid dividends), Series E Preferred Stock and Series F Preferred Stock outstanding as of August 1, 2019 be converted into common stock at a conversion price of $2.00 per share, there would be an additional 14,740,272 shares of common stock eligible for trading in the public market. Should the B3D Note and Calm Notes outstanding as of August 1, 2019 be converted into common stock at a conversion price of $2.00 per share, there would be an additional 4,773,906 shares of common stock eligible for trading in the public market. Should our warrants outstanding as of August 1, 2019 be exercised, there would be an additional 1,016,906 shares of common stock eligible for trading in the public market. Such securities, if converted or exercised, will increase the number of issued and outstanding shares of our common stock. Therefore, the sale of the shares of common stock underlying these instruments could have an adverse effect on the market price for our securities and/or on our ability to obtain future financing.</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current plans to pay dividends on our common stock, and our investors may not receive funds without selling their stock.</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Accordingly, our investors may have to sell some or all of their common stock in order to generate cash from their investment. You may not receive a gain on your investment when you sell our common stock and may lose the entire amount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and likely will continue to be highly volatile.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for our shares of common stock historically has been highly volatile, and the market for our shares has from time to time experienced significant price and volume fluctuations, based both on our operating performance and for reasons that appear to be unrelated to our operating performance. The market price of our shares of common stock may fluctuate significantly in response to a number of factors, including:</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realize the expected value and benefits of our recent business and asset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our financial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 generally or those of us or our competitors;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secure new retail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deviations in our business and the trading price of our common stock from the estimates of securities analysts;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trends in the health and wellness and travel industries and potential technology and service obsolescence;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the continued listing requirements of The Nasdaq Capital Market could result in a delisting of our common stock.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continued listing standards of Nasdaq provide, among other things, that a company may be delisted if the bid price of its stock drops below $1.00 for a period of 30 consecutive business days or if stockholders’ equity is less than $2.5 million. On March 16, 2018, we received a notification letter from The Nasdaq Stock Market informing us that for the last 30 consecutive business days, the bid price of our securities had closed below $1.00 per share, which is the minimum required closing bid price for continued listing on The Nasdaq Capital Market pursuant to Listing Rule 5550(a)(2). In order to regain compliance, on February 22, 2019, we filed a certificate of amendment to our amended and restated certificate of incorporation with the Secretary of State of the State of Delaware to effect a one-for-twenty reverse stock split of our outstanding shares of Common Stock. On March 11, 2019, we received a notification letter from The Nasdaq Stock Market informing us that we had regained compliance with Listing Rule 5550(a)(2).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276" w:lineRule="auto"/>
        <w:rPr>
          <w:sz w:val="20"/>
          <w:szCs w:val="20"/>
          <w:color w:val="auto"/>
        </w:rPr>
      </w:pPr>
      <w:r>
        <w:rPr>
          <w:rFonts w:ascii="Arial" w:cs="Arial" w:eastAsia="Arial" w:hAnsi="Arial"/>
          <w:sz w:val="17"/>
          <w:szCs w:val="17"/>
          <w:color w:val="auto"/>
        </w:rPr>
        <w:t>While we have exercised diligent efforts to maintain the listing of our common stock on Nasdaq, there can be no assurance that we will be able to continue to meet the continuing listing requirements of The Nasdaq Capital Market. If we are unable to meet the continuing listing requirements, Nasdaq may take steps to delist our common stock. Such a delisting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we offer our securities.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has traded in low volumes. We cannot predict whether an active trading market for our common stock will ever develop. Even if an active trading market develops, the market price of our common stock may be significantly volatile.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Historically, our common stock has experienced a lack of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raise additional capital in the future, stockholders’ ownership in us could be diluted.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issuance of equity we may undertake in the future to raise additional capital could cause the price of our shares to decline or require us to issue shares at a price that is lower than that paid by holders of our shares in the past, which would result in previously issued shares being dilutive. If we obtain funds through a credit facility or through the issuance of debt or preferred securities, these securities would likely have rights senior to rights as a holder of common stock, which could impair the value of our shares.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our stockholders approve of the automatic conversion of our Series D Preferred Stock into common stock, or if we exercise the option to repay the Series D Preferred Stock in common stock rather than cash, such conversion or repayment may result in the issuance of a large number of shares of common stock which may have a negative effect on the trading price of our common stock as well as a dilutive effect.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Series D COD Amendment that we filed with the State of Delaware on July 8, 2019, upon receipt of the approval of our shareholders, the conversion price of the Series D Preferred Stock will be decreased to $2.00 per share and the Series D Preferred Stock will automatically convert into common stock. This would result in the issuance of 12,908,592 shares of common stock to the holders of shares of Series D Preferred Stock, which may have a negative effect on the trading price of our common stock.</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event that we do not receive such shareholder approval, pursuant to the terms of the shares of Series D Preferred Stock, on the seven-year anniversary of the initial issuance date of the shares of Series D Preferred Stock, December 23, 2023, we may repay each share of Series D Preferred Stock, at our option, in cash, by delivery of shares of common stock or through any combination thereof. If we elect to make a payment, or any portion thereof, in shares of common stock, the number of shares deliverable (the “Base Shares”) will be based on the volume weighted average price per share of our common stock for the thirty trading days prior to the date of calculation (the “Base Price”) plus an additional number of shares of common stock (the “Premium Shares”), calculated as follows: (i) if the Base Price is greater than $180.00, no Premium Shares shall be issued, (ii) if the Base Price is greater than $140.00 and equal to or less than $180.00, an additional number of shares equal to 5% of the Base Shares shall be issued, (iii) if the Base Price is greater than $120.00 and equal to or less than $140.00, an additional number of shares equal to 10% of the Base Shares shall be issued, (iv) if the Base Price is greater than $100.00 and equal to or less than $120.00, an additional number of shares equal to 20% of the Base Shares shall be issued and (v) if the Base Price is less than or equal to $100.00, an additional number of shares equal to 25% of the Base Shares shall be issued. Accordingly, if the volume weighted average price per share of our common stock is below $180.00 per share as of the time of repayment and we exercise the option to make such repayment in shares of our common stock, a large number of shares of our common stock may be issued to the holders of shares of Series D Preferred Stock upon maturity which may have a negative effect on the trading price of our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exercise the option to repay the Series E Preferred Stock in common stock rather than cash, such repayment may result in the issuance of a large number of shares of common stock which may have a negative effect on the trading price of our common stock as well as a dilutive effect.</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terms of the shares of Series E Preferred Stock, on the seven-year anniversary of the initial issuance date of the shares of Series E Preferred Stock, November 14, 2025 in the case the 3,225,806 shares of Series E Preferred Stock issued on November 14, 2018 or December 28, 2025 in the case of the 322,581 shares of Series E Preferred Stock issued on December 28, 2018, we may repay each share of Series E Preferred Stock, at our option, in cash, by delivery of shares of common stock or through any combination thereof. If we elect to make a payment, or any portion thereof, in shares of common stock, the Base Shares will be based on the Base Price plus the Premium Shares, calculated as follows: (i) if the Base Price is greater than $180.00, no Premium Shares shall be issued, (ii) if the Base Price is greater than $140.00 and equal to or less than $180.00, an additional number of shares equal to 5% of the Base Shares shall be issued, (iii) if the Base Price is greater than $120.00 and equal to or less than $140.00, an additional number of shares equal to 10% of the Base Shares shall be issued, (iv) if the Base Price is greater than $100.00 and equal to or less than $120.00, an additional number of shares equal to 20% of the Base Shares shall be issued and (v) if the Base Price is less than or equal to $100.00, an additional number of shares equal to 25% of the Base Shares shall be issued. Accordingly, if the volume weighted average price per share of our common stock is below $180.00 per share as of the time of repayment and we exercise the option to make such repayment in shares of our common stock, a large number of shares of our common stock may be issued to the holders of shares of Series E Preferred Stock upon maturity which may have a negative effect on the trading price of our common stock.</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14, 2025 or December 28, 2025, as applicable, upon the maturity of the Series E Preferred Stock, when determining whether to repay the Series E Preferred Stock in cash or shares of common stock, we expect to consider a number of factors, including our cash position, the price of our common stock and our capital structure at such time. Because we do not have to make a determination as to which option to elect until 2023, it is impossible to predict whether it is more or less likely to repay in cash, stock or a portion of each.</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Section 12b-2 of the Exchange Act, a "smaller reporting company" is a company that is not an investment company, an asset-backed issuer, or a majority-owned subsidiary of a parent company that is not a smaller reporting company, and has a public float of less than $250 million and annual revenues of less than $100 million during the most recently completed fiscal year.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as a result of our having availed ourselves of scaled disclosure may make it harder for investors to analyze our results of operations and financial prospects.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of 1933, as amended (the “Securities Act”), and Section 21E of the Securities Exchange Act of 1934, as amended (the “Exchange Act”), that involve substantial risks and uncertainties. You can identify these statements by the fact that they do not relate strictly to historic or current facts. They use words, such as “anticipate,” “could,” “continue,” “contemplate,” “estimate,” “expect,” “will,” “may,” “potential,” “intend,” “plan,” “believe,” and other words and terms of similar meaning. These include statements, among others, relating to the sufficiency of our financial resources, our planned future actions, and expected outcomes, our products under development, our intellectual property position, our plans with respect to funding operations, projected expense levels, and the outcome of contingencies.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wrong. They can be affected by inaccurate assumptions we might make or by known or unknown risks and uncertainties. Consequently, no forward-looking statement can be guaranteed. Actual results may vary materially from those set forth in forward-looking statements. The uncertainties that may cause differences include, but are not limited to: our need for additional funds to finance our operations; our history of losses; anticipated continuing losses and uncertainty of future financing; market acceptance of our services; the sufficiency of our existing capital resources; competition from other companies; the risk of technological obsolescence; uncertainties related to our ability to obtain intellectual property protection for our technology; and dependence on officers, directors and other individuals.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not update forward-looking statements, whether as a result of new information, future events or otherwise, unless required by law. You are advised to consult any further disclosures we make in our reports to the SEC, including our reports on Forms 10-K, 10-Q and 8-K. Our filings list various important factors that could cause actual results to differ materially from expected results. We note these factors for investors as permitted by the Private Securities Litigation Reform Act of 1995. You should understand that it is not possible to predict or identify all such factors. Consequently, you should not consider any such list to be a complete set of all potential risks or uncertainties.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not selling any securities in this offering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receive the exercise price upon any exercise of the Warrants, to the extent exercised on a cash basis. If the Warrants are exercised in full, we would receive gross proceeds of approximately $2.0 million. We currently intend to use such proceeds, if any, for general corporate purposes and working capital. The holder of the Warrant is not obligated to exercise the Warrant, and we cannot predict whether or when, if ever, the holder of the Warrant will choose to exercise the Warrant, in whole or in part.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shares of common stock being offered by the selling securityholders relate to the resale of up to an aggregate of 35,014,122 shares of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total includes the following:</w:t>
      </w:r>
    </w:p>
    <w:p>
      <w:pPr>
        <w:spacing w:after="0" w:line="211" w:lineRule="exact"/>
        <w:rPr>
          <w:sz w:val="20"/>
          <w:szCs w:val="20"/>
          <w:color w:val="auto"/>
        </w:rPr>
      </w:pPr>
    </w:p>
    <w:p>
      <w:pPr>
        <w:ind w:left="130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of the 450,000 shares (or 900,000 shares) of our common stock issuable upon the conversion of Series F Preferred Stock at a conversion price equal to $2.00 per share;</w:t>
      </w:r>
    </w:p>
    <w:p>
      <w:pPr>
        <w:spacing w:after="0" w:line="170" w:lineRule="exact"/>
        <w:rPr>
          <w:rFonts w:ascii="Arial" w:cs="Arial" w:eastAsia="Arial" w:hAnsi="Arial"/>
          <w:sz w:val="18"/>
          <w:szCs w:val="18"/>
          <w:color w:val="auto"/>
        </w:rPr>
      </w:pPr>
    </w:p>
    <w:p>
      <w:pPr>
        <w:jc w:val="both"/>
        <w:ind w:left="1300" w:hanging="455"/>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of the 1,445,816 shares (or 2,891,632 shares) of our common stock underlying shares of Series E Preferred Stock issuable upon conversion of an aggregate principal amount of $2,500,000 of the Calm Notes, plus interest payable thereon, at a conversion price equal to $2.00 per share;</w:t>
      </w:r>
    </w:p>
    <w:p>
      <w:pPr>
        <w:spacing w:after="0" w:line="181" w:lineRule="exact"/>
        <w:rPr>
          <w:rFonts w:ascii="Arial" w:cs="Arial" w:eastAsia="Arial" w:hAnsi="Arial"/>
          <w:sz w:val="18"/>
          <w:szCs w:val="18"/>
          <w:color w:val="auto"/>
        </w:rPr>
      </w:pPr>
    </w:p>
    <w:p>
      <w:pPr>
        <w:ind w:left="1300" w:right="2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of the 1,500,000 shares (or 3,000,000 shares) of our common stock issuable upon conversion of our previously issued Series E Preferred Stock at a conversion price equal to $2.00 per share;</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of the 937,500 shares (or 1,875,000 shares) of our common stock issuable upon the exercise the Calm Warrants at an exercise price equal to $2.00 per share;</w:t>
      </w:r>
    </w:p>
    <w:p>
      <w:pPr>
        <w:spacing w:after="0" w:line="170" w:lineRule="exact"/>
        <w:rPr>
          <w:rFonts w:ascii="Arial" w:cs="Arial" w:eastAsia="Arial" w:hAnsi="Arial"/>
          <w:sz w:val="18"/>
          <w:szCs w:val="18"/>
          <w:color w:val="auto"/>
        </w:rPr>
      </w:pPr>
    </w:p>
    <w:p>
      <w:pPr>
        <w:jc w:val="both"/>
        <w:ind w:left="1300" w:hanging="455"/>
        <w:spacing w:after="0" w:line="293"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200% of the 4,156,275 shares (or 8,312,550 shares) of our common stock issuable (a) upon conversion of an aggregate principal amount of $7,000,000 of the B3D Note at a conversion price equal to $2.00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exercise notice, and (c) as certain make-whole payments to the extent that the accrued and unpaid interest amount described above is less than 90% of the average volume weighted average price of our common stock for the 30 trading days prior to the interest deferment date (or if not a trading day the next succeeding trading day);</w:t>
      </w:r>
    </w:p>
    <w:p>
      <w:pPr>
        <w:spacing w:after="0" w:line="164" w:lineRule="exact"/>
        <w:rPr>
          <w:rFonts w:ascii="Arial" w:cs="Arial" w:eastAsia="Arial" w:hAnsi="Arial"/>
          <w:sz w:val="16"/>
          <w:szCs w:val="16"/>
          <w:color w:val="auto"/>
        </w:rPr>
      </w:pPr>
    </w:p>
    <w:p>
      <w:pPr>
        <w:ind w:left="130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of the 8,831,540 shares (or 17,663,080 shares) of our common stock issuable upon conversion of our Series D Preferred Stock at a conversion price equal to $2.00 per share;</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of the 79,406 shares (or 158,812 shares) of our common stock issuable upon the exercise of the December 2016 Warrants at an exercise price equal to $2.00 per share; and</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of the 106,524 shares (or 213,048 shares) of our common stock issued in connection with the Merger Agreement and the Subscription Agreement (items (i) through (viii) collectively, the “Securities”).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Securities were issued by the Company and were issued (a) with respect to item (i) above, to accredited investors pursuant to or in connection with the May 2018 SPA Amendment; (b) with respect to items (ii) and (iv) above, to an accredited investor pursuant to or in connection with the 2019 Calm Purchase Agreement; (c) with respect to item (iii) above, to an accredited investor pursuant to or in connection with the 2018 Calm Purchase Agreement and in connection with the Series E COD Amendment; (d) with respect to item (v) above, to an accredited investor pursuant to or in connection with the Credit Agreement Amendment; (e) with respect to item (vi) above, to accredited investors pursuant to or in connection with the Series D COD Amendment; (f) with respect to item (vii) above, to accredited investors pursuant to or in connection with the December 2016 Warrant Amendment; and (g) with respect to item</w:t>
      </w:r>
    </w:p>
    <w:p>
      <w:pPr>
        <w:spacing w:after="0" w:line="5" w:lineRule="exact"/>
        <w:rPr>
          <w:sz w:val="20"/>
          <w:szCs w:val="20"/>
          <w:color w:val="auto"/>
        </w:rPr>
      </w:pPr>
    </w:p>
    <w:p>
      <w:pPr>
        <w:ind w:left="5620" w:right="4020" w:hanging="5612"/>
        <w:spacing w:after="0" w:line="762" w:lineRule="auto"/>
        <w:tabs>
          <w:tab w:leader="none" w:pos="4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above, to an investor in connection with the Merger Agreement and the Subscription Agreement.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The table below lists the selling securityholders and other information regarding the beneficial ownership of the shares of common stock held by each of the selling securityholders. Beneficial ownership is determined in accordance with the rules of the SEC and includes voting or investment power with respect to the securities. We deem shares of common stock, Series D Preferred Stock and Series E Preferred Stock that may be acquired by an individual or group within 60 days of August 1, 2019, pursuant to the conversion of preferred stock into common stock and the exercise of warrants to be outstanding for the purpose of computing the percentage ownership of such individual or group, but not for the purpose of computing the percentage ownership of any other person shown in the table.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second column lists the number of shares of common stock beneficially owned by the selling securityholders, based on their respective ownership of shares of common stock, as of August 1, 2019, assuming conversion of the Notes, conversion of the Preferred Stock and exercise of the Warrants held by each such selling securityholder on that date. The third column lists the number of shares of Series D Preferred Stock beneficially owned by the selling securityholders, based on their respective ownership of shares of Series D Preferred Stock, as of August 1, 2019. The percentage of shares beneficially owned prior to the offering is based on 425,750 shares of our Series D Preferred Stock outstanding as of August 1, 2019. The fourth column lists the number of shares of Series E Preferred Stock beneficially owned by the selling securityholders, based on their respective ownership of shares of Series E Preferred Stock, as of August 1, 2019. The percentage of shares beneficially owned prior to the offering is based on 967,742 shares of our Series E Preferred Stock outstanding as of August 1, 2019. The fifth column lists the number of shares of Series F Preferred Stock beneficially owned by the selling securityholders, based on their respective ownership of shares of Series F Preferred Stock, as of August 1, 2019. The percentage of shares beneficially owned prior to the offering is based on 9,000 shares of our Series F Preferred Stock outstanding as of August 1, 2019.</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percentage of shares beneficially owned prior to the offering is based on 2,916,919 shares of our common stock outstanding as of August 1, 2019. The number of shares in the column “Maximum Number of Shares of Common Stock to be Sold Pursuant to this Prospectus” represents all of the shares that the selling securityholder may offer under this prospectus and does not take into account any limitations on the conversion of the Notes, conversion of the Preferred Stock and exercise of the Warrants set forth therein.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Certificate of Designation of Preferences, Rights and Limitations of Series F Convertible Preferred Stock, a selling securityholder may not convert the Series F Preferred Stock to the extent (but only to the extent) such selling securityholder or any of its affiliates would beneficially own a number of shares of our common stock which would exceed 4.99% of the total number of shares of our common stock then issued or outstanding. Under the terms of the Class A Warrants, a selling securityholder may not exercise the Class A Warrants to the extent (but only to the extent) such selling securityholder or any of its affiliates would beneficially own a number of shares of our common stock which would exceed 9.99% of the total number of shares of our common stock then issued or outstanding. The numbers in the fourth column do not reflect these limitations. The selling securityholders may sell all, some or none of their shares in this offering. See “Plan of Distribution.”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0"/>
              </w:rPr>
              <w:t>Shares of</w:t>
            </w:r>
          </w:p>
        </w:tc>
        <w:tc>
          <w:tcPr>
            <w:tcW w:w="40" w:type="dxa"/>
            <w:vAlign w:val="bottom"/>
          </w:tcPr>
          <w:p>
            <w:pPr>
              <w:spacing w:after="0"/>
              <w:rPr>
                <w:sz w:val="17"/>
                <w:szCs w:val="17"/>
                <w:color w:val="auto"/>
              </w:rPr>
            </w:pPr>
          </w:p>
        </w:tc>
        <w:tc>
          <w:tcPr>
            <w:tcW w:w="900" w:type="dxa"/>
            <w:vAlign w:val="bottom"/>
            <w:gridSpan w:val="2"/>
          </w:tcPr>
          <w:p>
            <w:pPr>
              <w:jc w:val="center"/>
              <w:ind w:left="23"/>
              <w:spacing w:after="0"/>
              <w:rPr>
                <w:sz w:val="20"/>
                <w:szCs w:val="20"/>
                <w:color w:val="auto"/>
              </w:rPr>
            </w:pPr>
            <w:r>
              <w:rPr>
                <w:rFonts w:ascii="Arial" w:cs="Arial" w:eastAsia="Arial" w:hAnsi="Arial"/>
                <w:sz w:val="16"/>
                <w:szCs w:val="16"/>
                <w:b w:val="1"/>
                <w:bCs w:val="1"/>
                <w:color w:val="auto"/>
                <w:w w:val="87"/>
              </w:rPr>
              <w:t>Shares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7"/>
              </w:rPr>
              <w:t>Maximum</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0"/>
              </w:rPr>
              <w:t>Series D</w:t>
            </w:r>
          </w:p>
        </w:tc>
        <w:tc>
          <w:tcPr>
            <w:tcW w:w="40" w:type="dxa"/>
            <w:vAlign w:val="bottom"/>
          </w:tcPr>
          <w:p>
            <w:pPr>
              <w:spacing w:after="0"/>
              <w:rPr>
                <w:sz w:val="17"/>
                <w:szCs w:val="17"/>
                <w:color w:val="auto"/>
              </w:rPr>
            </w:pPr>
          </w:p>
        </w:tc>
        <w:tc>
          <w:tcPr>
            <w:tcW w:w="900" w:type="dxa"/>
            <w:vAlign w:val="bottom"/>
            <w:gridSpan w:val="2"/>
          </w:tcPr>
          <w:p>
            <w:pPr>
              <w:jc w:val="center"/>
              <w:ind w:left="23"/>
              <w:spacing w:after="0"/>
              <w:rPr>
                <w:sz w:val="20"/>
                <w:szCs w:val="20"/>
                <w:color w:val="auto"/>
              </w:rPr>
            </w:pPr>
            <w:r>
              <w:rPr>
                <w:rFonts w:ascii="Arial" w:cs="Arial" w:eastAsia="Arial" w:hAnsi="Arial"/>
                <w:sz w:val="16"/>
                <w:szCs w:val="16"/>
                <w:b w:val="1"/>
                <w:bCs w:val="1"/>
                <w:color w:val="auto"/>
                <w:w w:val="88"/>
              </w:rPr>
              <w:t>Series 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7"/>
              </w:rPr>
              <w:t>Shares of</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4"/>
              </w:rPr>
              <w:t>Number of</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w w:val="87"/>
              </w:rPr>
              <w:t>Shares of</w:t>
            </w:r>
          </w:p>
        </w:tc>
        <w:tc>
          <w:tcPr>
            <w:tcW w:w="11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2"/>
              </w:rPr>
              <w:t>Preferred</w:t>
            </w:r>
          </w:p>
        </w:tc>
        <w:tc>
          <w:tcPr>
            <w:tcW w:w="40" w:type="dxa"/>
            <w:vAlign w:val="bottom"/>
          </w:tcPr>
          <w:p>
            <w:pPr>
              <w:spacing w:after="0"/>
              <w:rPr>
                <w:sz w:val="17"/>
                <w:szCs w:val="17"/>
                <w:color w:val="auto"/>
              </w:rPr>
            </w:pPr>
          </w:p>
        </w:tc>
        <w:tc>
          <w:tcPr>
            <w:tcW w:w="900" w:type="dxa"/>
            <w:vAlign w:val="bottom"/>
            <w:gridSpan w:val="2"/>
          </w:tcPr>
          <w:p>
            <w:pPr>
              <w:jc w:val="center"/>
              <w:ind w:left="23"/>
              <w:spacing w:after="0"/>
              <w:rPr>
                <w:sz w:val="20"/>
                <w:szCs w:val="20"/>
                <w:color w:val="auto"/>
              </w:rPr>
            </w:pPr>
            <w:r>
              <w:rPr>
                <w:rFonts w:ascii="Arial" w:cs="Arial" w:eastAsia="Arial" w:hAnsi="Arial"/>
                <w:sz w:val="16"/>
                <w:szCs w:val="16"/>
                <w:b w:val="1"/>
                <w:bCs w:val="1"/>
                <w:color w:val="auto"/>
                <w:w w:val="95"/>
              </w:rPr>
              <w:t>Preferred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Series F</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87"/>
              </w:rPr>
              <w:t>Shares of</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7"/>
          </w:tcPr>
          <w:p>
            <w:pPr>
              <w:jc w:val="center"/>
              <w:ind w:right="300"/>
              <w:spacing w:after="0"/>
              <w:rPr>
                <w:sz w:val="20"/>
                <w:szCs w:val="20"/>
                <w:color w:val="auto"/>
              </w:rPr>
            </w:pPr>
            <w:r>
              <w:rPr>
                <w:rFonts w:ascii="Arial" w:cs="Arial" w:eastAsia="Arial" w:hAnsi="Arial"/>
                <w:sz w:val="16"/>
                <w:szCs w:val="16"/>
                <w:b w:val="1"/>
                <w:bCs w:val="1"/>
                <w:color w:val="auto"/>
                <w:w w:val="90"/>
              </w:rPr>
              <w:t>Common Stock</w:t>
            </w:r>
          </w:p>
        </w:tc>
        <w:tc>
          <w:tcPr>
            <w:tcW w:w="11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2"/>
              </w:rPr>
              <w:t>Beneficially</w:t>
            </w:r>
          </w:p>
        </w:tc>
        <w:tc>
          <w:tcPr>
            <w:tcW w:w="4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Beneficially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5"/>
              </w:rPr>
              <w:t>Preferred</w:t>
            </w:r>
          </w:p>
        </w:tc>
        <w:tc>
          <w:tcPr>
            <w:tcW w:w="1200" w:type="dxa"/>
            <w:vAlign w:val="bottom"/>
            <w:gridSpan w:val="6"/>
          </w:tcPr>
          <w:p>
            <w:pPr>
              <w:jc w:val="right"/>
              <w:ind w:right="100"/>
              <w:spacing w:after="0"/>
              <w:rPr>
                <w:sz w:val="20"/>
                <w:szCs w:val="20"/>
                <w:color w:val="auto"/>
              </w:rPr>
            </w:pPr>
            <w:r>
              <w:rPr>
                <w:rFonts w:ascii="Arial" w:cs="Arial" w:eastAsia="Arial" w:hAnsi="Arial"/>
                <w:sz w:val="16"/>
                <w:szCs w:val="16"/>
                <w:b w:val="1"/>
                <w:bCs w:val="1"/>
                <w:color w:val="auto"/>
                <w:w w:val="91"/>
              </w:rPr>
              <w:t>Common Stock</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7"/>
          </w:tcPr>
          <w:p>
            <w:pPr>
              <w:jc w:val="center"/>
              <w:ind w:right="300"/>
              <w:spacing w:after="0"/>
              <w:rPr>
                <w:sz w:val="20"/>
                <w:szCs w:val="20"/>
                <w:color w:val="auto"/>
              </w:rPr>
            </w:pPr>
            <w:r>
              <w:rPr>
                <w:rFonts w:ascii="Arial" w:cs="Arial" w:eastAsia="Arial" w:hAnsi="Arial"/>
                <w:sz w:val="16"/>
                <w:szCs w:val="16"/>
                <w:b w:val="1"/>
                <w:bCs w:val="1"/>
                <w:color w:val="auto"/>
                <w:w w:val="92"/>
              </w:rPr>
              <w:t>Beneficially</w:t>
            </w:r>
          </w:p>
        </w:tc>
        <w:tc>
          <w:tcPr>
            <w:tcW w:w="180" w:type="dxa"/>
            <w:vAlign w:val="bottom"/>
          </w:tcPr>
          <w:p>
            <w:pPr>
              <w:spacing w:after="0"/>
              <w:rPr>
                <w:sz w:val="17"/>
                <w:szCs w:val="17"/>
                <w:color w:val="auto"/>
              </w:rPr>
            </w:pPr>
          </w:p>
        </w:tc>
        <w:tc>
          <w:tcPr>
            <w:tcW w:w="9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3"/>
              </w:rPr>
              <w:t>Owned</w:t>
            </w:r>
          </w:p>
        </w:tc>
        <w:tc>
          <w:tcPr>
            <w:tcW w:w="4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Owned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9"/>
              </w:rPr>
              <w:t>Beneficially</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87"/>
              </w:rPr>
              <w:t>to be Sold</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4"/>
              </w:rPr>
              <w:t>Owned Prior to</w:t>
            </w:r>
          </w:p>
        </w:tc>
        <w:tc>
          <w:tcPr>
            <w:tcW w:w="11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4"/>
              </w:rPr>
              <w:t>Prior to</w:t>
            </w:r>
          </w:p>
        </w:tc>
        <w:tc>
          <w:tcPr>
            <w:tcW w:w="4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Prior to</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4"/>
              </w:rPr>
              <w:t>Owned Prior to</w:t>
            </w:r>
          </w:p>
        </w:tc>
        <w:tc>
          <w:tcPr>
            <w:tcW w:w="1200" w:type="dxa"/>
            <w:vAlign w:val="bottom"/>
            <w:gridSpan w:val="6"/>
          </w:tcPr>
          <w:p>
            <w:pPr>
              <w:jc w:val="right"/>
              <w:ind w:right="80"/>
              <w:spacing w:after="0"/>
              <w:rPr>
                <w:sz w:val="20"/>
                <w:szCs w:val="20"/>
                <w:color w:val="auto"/>
              </w:rPr>
            </w:pPr>
            <w:r>
              <w:rPr>
                <w:rFonts w:ascii="Arial" w:cs="Arial" w:eastAsia="Arial" w:hAnsi="Arial"/>
                <w:sz w:val="16"/>
                <w:szCs w:val="16"/>
                <w:b w:val="1"/>
                <w:bCs w:val="1"/>
                <w:color w:val="auto"/>
                <w:w w:val="90"/>
              </w:rPr>
              <w:t>Pursuant to this</w:t>
            </w:r>
          </w:p>
        </w:tc>
        <w:tc>
          <w:tcPr>
            <w:tcW w:w="0" w:type="dxa"/>
            <w:vAlign w:val="bottom"/>
          </w:tcPr>
          <w:p>
            <w:pPr>
              <w:spacing w:after="0"/>
              <w:rPr>
                <w:sz w:val="1"/>
                <w:szCs w:val="1"/>
                <w:color w:val="auto"/>
              </w:rPr>
            </w:pPr>
          </w:p>
        </w:tc>
      </w:tr>
      <w:tr>
        <w:trPr>
          <w:trHeight w:val="213"/>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Name of Selling Security Holder</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w w:val="96"/>
              </w:rPr>
              <w:t>Offering</w:t>
            </w:r>
          </w:p>
        </w:tc>
        <w:tc>
          <w:tcPr>
            <w:tcW w:w="11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3"/>
              </w:rPr>
              <w:t>Offering</w:t>
            </w:r>
          </w:p>
        </w:tc>
        <w:tc>
          <w:tcPr>
            <w:tcW w:w="40" w:type="dxa"/>
            <w:vAlign w:val="bottom"/>
          </w:tcPr>
          <w:p>
            <w:pPr>
              <w:spacing w:after="0"/>
              <w:rPr>
                <w:sz w:val="18"/>
                <w:szCs w:val="18"/>
                <w:color w:val="auto"/>
              </w:rPr>
            </w:pPr>
          </w:p>
        </w:tc>
        <w:tc>
          <w:tcPr>
            <w:tcW w:w="900" w:type="dxa"/>
            <w:vAlign w:val="bottom"/>
            <w:gridSpan w:val="2"/>
          </w:tcPr>
          <w:p>
            <w:pPr>
              <w:jc w:val="center"/>
              <w:ind w:left="23"/>
              <w:spacing w:after="0"/>
              <w:rPr>
                <w:sz w:val="20"/>
                <w:szCs w:val="20"/>
                <w:color w:val="auto"/>
              </w:rPr>
            </w:pPr>
            <w:r>
              <w:rPr>
                <w:rFonts w:ascii="Arial" w:cs="Arial" w:eastAsia="Arial" w:hAnsi="Arial"/>
                <w:sz w:val="16"/>
                <w:szCs w:val="16"/>
                <w:b w:val="1"/>
                <w:bCs w:val="1"/>
                <w:color w:val="auto"/>
                <w:w w:val="96"/>
              </w:rPr>
              <w:t>Offering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6"/>
              </w:rPr>
              <w:t>Offering</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7"/>
              </w:rPr>
              <w:t>Prospectus</w:t>
            </w:r>
          </w:p>
        </w:tc>
        <w:tc>
          <w:tcPr>
            <w:tcW w:w="0" w:type="dxa"/>
            <w:vAlign w:val="bottom"/>
          </w:tcPr>
          <w:p>
            <w:pPr>
              <w:spacing w:after="0"/>
              <w:rPr>
                <w:sz w:val="1"/>
                <w:szCs w:val="1"/>
                <w:color w:val="auto"/>
              </w:rPr>
            </w:pPr>
          </w:p>
        </w:tc>
      </w:tr>
      <w:tr>
        <w:trPr>
          <w:trHeight w:val="199"/>
        </w:trPr>
        <w:tc>
          <w:tcPr>
            <w:tcW w:w="3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Alpha Capital Anstalt (2)</w:t>
            </w: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202,800</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0</w:t>
            </w: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4,056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8,112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Arial" w:cs="Arial" w:eastAsia="Arial" w:hAnsi="Arial"/>
                <w:sz w:val="16"/>
                <w:szCs w:val="16"/>
                <w:color w:val="auto"/>
              </w:rPr>
              <w:t>Anson Investments Master Fund LP (3)</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6"/>
                <w:szCs w:val="16"/>
                <w:color w:val="auto"/>
                <w:w w:val="93"/>
              </w:rPr>
              <w:t>295,050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0</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90,100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L1 Capital Global Opportunities Master Fund (4)</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3"/>
              </w:rPr>
              <w:t>340,100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0</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901</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90,100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Arial" w:cs="Arial" w:eastAsia="Arial" w:hAnsi="Arial"/>
                <w:sz w:val="16"/>
                <w:szCs w:val="16"/>
                <w:color w:val="auto"/>
              </w:rPr>
              <w:t>Intracoastal Capital, LLC (5)</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6"/>
                <w:szCs w:val="16"/>
                <w:color w:val="auto"/>
                <w:w w:val="93"/>
              </w:rPr>
              <w:t>281,681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0</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90,100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Hewlett Fund LP (6)</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31,500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0</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63,000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Arial" w:cs="Arial" w:eastAsia="Arial" w:hAnsi="Arial"/>
                <w:sz w:val="16"/>
                <w:szCs w:val="16"/>
                <w:color w:val="auto"/>
              </w:rPr>
              <w:t>Brio Capital Master Fund Ltd. (7)</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6"/>
                <w:szCs w:val="16"/>
                <w:color w:val="auto"/>
                <w:w w:val="93"/>
              </w:rPr>
              <w:t>142,808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0</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45,000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Palladium Capital Advisors LLC (8)</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3"/>
              </w:rPr>
              <w:t>101,600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0</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1,157</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115,700</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Arial" w:cs="Arial" w:eastAsia="Arial" w:hAnsi="Arial"/>
                <w:sz w:val="16"/>
                <w:szCs w:val="16"/>
                <w:color w:val="auto"/>
              </w:rPr>
              <w:t>B3D, LLC (9)</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7"/>
          </w:tcPr>
          <w:p>
            <w:pPr>
              <w:jc w:val="right"/>
              <w:ind w:right="220"/>
              <w:spacing w:after="0"/>
              <w:rPr>
                <w:sz w:val="20"/>
                <w:szCs w:val="20"/>
                <w:color w:val="auto"/>
              </w:rPr>
            </w:pPr>
            <w:r>
              <w:rPr>
                <w:rFonts w:ascii="Arial" w:cs="Arial" w:eastAsia="Arial" w:hAnsi="Arial"/>
                <w:sz w:val="16"/>
                <w:szCs w:val="16"/>
                <w:color w:val="auto"/>
              </w:rPr>
              <w:t>5,676,129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6"/>
                <w:szCs w:val="16"/>
                <w:color w:val="auto"/>
              </w:rPr>
              <w:t>62,073</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0</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8,312,550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Calm.com, Inc. (10)</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60" w:type="dxa"/>
            <w:vAlign w:val="bottom"/>
            <w:gridSpan w:val="7"/>
            <w:shd w:val="clear" w:color="auto" w:fill="CCEEFF"/>
          </w:tcPr>
          <w:p>
            <w:pPr>
              <w:jc w:val="right"/>
              <w:ind w:right="220"/>
              <w:spacing w:after="0"/>
              <w:rPr>
                <w:sz w:val="20"/>
                <w:szCs w:val="20"/>
                <w:color w:val="auto"/>
              </w:rPr>
            </w:pPr>
            <w:r>
              <w:rPr>
                <w:rFonts w:ascii="Arial" w:cs="Arial" w:eastAsia="Arial" w:hAnsi="Arial"/>
                <w:sz w:val="16"/>
                <w:szCs w:val="16"/>
                <w:color w:val="auto"/>
              </w:rPr>
              <w:t>3,883,316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1,900,526</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7,766,632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40" w:type="dxa"/>
            <w:vAlign w:val="bottom"/>
            <w:gridSpan w:val="2"/>
          </w:tcPr>
          <w:p>
            <w:pPr>
              <w:spacing w:after="0"/>
              <w:rPr>
                <w:sz w:val="20"/>
                <w:szCs w:val="20"/>
                <w:color w:val="auto"/>
              </w:rPr>
            </w:pPr>
            <w:r>
              <w:rPr>
                <w:rFonts w:ascii="Arial" w:cs="Arial" w:eastAsia="Arial" w:hAnsi="Arial"/>
                <w:sz w:val="16"/>
                <w:szCs w:val="16"/>
                <w:color w:val="auto"/>
              </w:rPr>
              <w:t>Mistral Spa Holdings, LLC (11)</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7"/>
          </w:tcPr>
          <w:p>
            <w:pPr>
              <w:jc w:val="right"/>
              <w:ind w:right="220"/>
              <w:spacing w:after="0"/>
              <w:rPr>
                <w:sz w:val="20"/>
                <w:szCs w:val="20"/>
                <w:color w:val="auto"/>
              </w:rPr>
            </w:pPr>
            <w:r>
              <w:rPr>
                <w:rFonts w:ascii="Arial" w:cs="Arial" w:eastAsia="Arial" w:hAnsi="Arial"/>
                <w:sz w:val="16"/>
                <w:szCs w:val="16"/>
                <w:color w:val="auto"/>
              </w:rPr>
              <w:t>9,017,470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6"/>
                <w:szCs w:val="16"/>
                <w:color w:val="auto"/>
              </w:rPr>
              <w:t>291,287</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0</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18,034,940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0"/>
              </w:rPr>
              <w:t>Shares of</w:t>
            </w:r>
          </w:p>
        </w:tc>
        <w:tc>
          <w:tcPr>
            <w:tcW w:w="180" w:type="dxa"/>
            <w:vAlign w:val="bottom"/>
          </w:tcPr>
          <w:p>
            <w:pPr>
              <w:spacing w:after="0"/>
              <w:rPr>
                <w:sz w:val="24"/>
                <w:szCs w:val="24"/>
                <w:color w:val="auto"/>
              </w:rPr>
            </w:pP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 of Shares</w:t>
            </w:r>
          </w:p>
        </w:tc>
        <w:tc>
          <w:tcPr>
            <w:tcW w:w="40" w:type="dxa"/>
            <w:vAlign w:val="bottom"/>
          </w:tcPr>
          <w:p>
            <w:pPr>
              <w:spacing w:after="0"/>
              <w:rPr>
                <w:sz w:val="24"/>
                <w:szCs w:val="2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Shares of</w:t>
            </w:r>
          </w:p>
        </w:tc>
        <w:tc>
          <w:tcPr>
            <w:tcW w:w="20" w:type="dxa"/>
            <w:vAlign w:val="bottom"/>
          </w:tcPr>
          <w:p>
            <w:pPr>
              <w:spacing w:after="0"/>
              <w:rPr>
                <w:sz w:val="24"/>
                <w:szCs w:val="24"/>
                <w:color w:val="auto"/>
              </w:rPr>
            </w:pPr>
          </w:p>
        </w:tc>
        <w:tc>
          <w:tcPr>
            <w:tcW w:w="102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4"/>
              </w:rPr>
              <w:t>% of Shares</w:t>
            </w:r>
          </w:p>
        </w:tc>
        <w:tc>
          <w:tcPr>
            <w:tcW w:w="7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0"/>
              </w:rPr>
              <w:t>Shares of</w:t>
            </w:r>
          </w:p>
        </w:tc>
        <w:tc>
          <w:tcPr>
            <w:tcW w:w="180" w:type="dxa"/>
            <w:vAlign w:val="bottom"/>
          </w:tcPr>
          <w:p>
            <w:pPr>
              <w:spacing w:after="0"/>
              <w:rPr>
                <w:sz w:val="24"/>
                <w:szCs w:val="2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 of Shares</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Shares of</w:t>
            </w:r>
          </w:p>
        </w:tc>
        <w:tc>
          <w:tcPr>
            <w:tcW w:w="10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2"/>
              </w:rPr>
              <w:t>% of Shares of</w:t>
            </w:r>
          </w:p>
        </w:tc>
        <w:tc>
          <w:tcPr>
            <w:tcW w:w="6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Series D</w:t>
            </w:r>
          </w:p>
        </w:tc>
        <w:tc>
          <w:tcPr>
            <w:tcW w:w="18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Series D</w:t>
            </w:r>
          </w:p>
        </w:tc>
        <w:tc>
          <w:tcPr>
            <w:tcW w:w="4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Series E</w:t>
            </w:r>
          </w:p>
        </w:tc>
        <w:tc>
          <w:tcPr>
            <w:tcW w:w="20" w:type="dxa"/>
            <w:vAlign w:val="bottom"/>
          </w:tcPr>
          <w:p>
            <w:pPr>
              <w:spacing w:after="0"/>
              <w:rPr>
                <w:sz w:val="12"/>
                <w:szCs w:val="12"/>
                <w:color w:val="auto"/>
              </w:rPr>
            </w:pPr>
          </w:p>
        </w:tc>
        <w:tc>
          <w:tcPr>
            <w:tcW w:w="10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of Series E</w:t>
            </w:r>
          </w:p>
        </w:tc>
        <w:tc>
          <w:tcPr>
            <w:tcW w:w="620" w:type="dxa"/>
            <w:vAlign w:val="bottom"/>
            <w:gridSpan w:val="2"/>
          </w:tcPr>
          <w:p>
            <w:pPr>
              <w:jc w:val="center"/>
              <w:ind w:left="3"/>
              <w:spacing w:after="0" w:line="149" w:lineRule="exact"/>
              <w:rPr>
                <w:sz w:val="20"/>
                <w:szCs w:val="20"/>
                <w:color w:val="auto"/>
              </w:rPr>
            </w:pPr>
            <w:r>
              <w:rPr>
                <w:rFonts w:ascii="Arial" w:cs="Arial" w:eastAsia="Arial" w:hAnsi="Arial"/>
                <w:sz w:val="14"/>
                <w:szCs w:val="14"/>
                <w:b w:val="1"/>
                <w:bCs w:val="1"/>
                <w:color w:val="auto"/>
                <w:w w:val="91"/>
              </w:rPr>
              <w:t>Series F</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Series F</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Common</w:t>
            </w:r>
          </w:p>
        </w:tc>
        <w:tc>
          <w:tcPr>
            <w:tcW w:w="10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2"/>
                <w:szCs w:val="12"/>
                <w:color w:val="auto"/>
              </w:rPr>
            </w:pPr>
          </w:p>
        </w:tc>
        <w:tc>
          <w:tcPr>
            <w:tcW w:w="7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Preferred</w:t>
            </w:r>
          </w:p>
        </w:tc>
        <w:tc>
          <w:tcPr>
            <w:tcW w:w="18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Preferred</w:t>
            </w:r>
          </w:p>
        </w:tc>
        <w:tc>
          <w:tcPr>
            <w:tcW w:w="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Preferred</w:t>
            </w:r>
          </w:p>
        </w:tc>
        <w:tc>
          <w:tcPr>
            <w:tcW w:w="7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Preferred</w:t>
            </w:r>
          </w:p>
        </w:tc>
        <w:tc>
          <w:tcPr>
            <w:tcW w:w="180" w:type="dxa"/>
            <w:vAlign w:val="bottom"/>
          </w:tcPr>
          <w:p>
            <w:pPr>
              <w:spacing w:after="0"/>
              <w:rPr>
                <w:sz w:val="12"/>
                <w:szCs w:val="12"/>
                <w:color w:val="auto"/>
              </w:rPr>
            </w:pPr>
          </w:p>
        </w:tc>
        <w:tc>
          <w:tcPr>
            <w:tcW w:w="8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7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 w:type="dxa"/>
            <w:vAlign w:val="bottom"/>
          </w:tcPr>
          <w:p>
            <w:pPr>
              <w:spacing w:after="0"/>
              <w:rPr>
                <w:sz w:val="12"/>
                <w:szCs w:val="12"/>
                <w:color w:val="auto"/>
              </w:rPr>
            </w:pPr>
          </w:p>
        </w:tc>
        <w:tc>
          <w:tcPr>
            <w:tcW w:w="10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60" w:type="dxa"/>
            <w:vAlign w:val="bottom"/>
          </w:tcPr>
          <w:p>
            <w:pPr>
              <w:spacing w:after="0"/>
              <w:rPr>
                <w:sz w:val="12"/>
                <w:szCs w:val="12"/>
                <w:color w:val="auto"/>
              </w:rPr>
            </w:pPr>
          </w:p>
        </w:tc>
        <w:tc>
          <w:tcPr>
            <w:tcW w:w="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Owned</w:t>
            </w:r>
          </w:p>
        </w:tc>
        <w:tc>
          <w:tcPr>
            <w:tcW w:w="18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Owned</w:t>
            </w:r>
          </w:p>
        </w:tc>
        <w:tc>
          <w:tcPr>
            <w:tcW w:w="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Owned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Owned</w:t>
            </w:r>
          </w:p>
        </w:tc>
        <w:tc>
          <w:tcPr>
            <w:tcW w:w="620" w:type="dxa"/>
            <w:vAlign w:val="bottom"/>
            <w:gridSpan w:val="2"/>
          </w:tcPr>
          <w:p>
            <w:pPr>
              <w:jc w:val="center"/>
              <w:ind w:left="23"/>
              <w:spacing w:after="0" w:line="149" w:lineRule="exact"/>
              <w:rPr>
                <w:sz w:val="20"/>
                <w:szCs w:val="20"/>
                <w:color w:val="auto"/>
              </w:rPr>
            </w:pPr>
            <w:r>
              <w:rPr>
                <w:rFonts w:ascii="Arial" w:cs="Arial" w:eastAsia="Arial" w:hAnsi="Arial"/>
                <w:sz w:val="14"/>
                <w:szCs w:val="14"/>
                <w:b w:val="1"/>
                <w:bCs w:val="1"/>
                <w:color w:val="auto"/>
                <w:w w:val="94"/>
              </w:rPr>
              <w:t>Owned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Security Holder</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0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60" w:type="dxa"/>
            <w:vAlign w:val="bottom"/>
          </w:tcPr>
          <w:p>
            <w:pPr>
              <w:spacing w:after="0"/>
              <w:rPr>
                <w:sz w:val="12"/>
                <w:szCs w:val="12"/>
                <w:color w:val="auto"/>
              </w:rPr>
            </w:pPr>
          </w:p>
        </w:tc>
        <w:tc>
          <w:tcPr>
            <w:tcW w:w="7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rPr>
              <w:t>After</w:t>
            </w:r>
          </w:p>
        </w:tc>
        <w:tc>
          <w:tcPr>
            <w:tcW w:w="18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After</w:t>
            </w:r>
          </w:p>
        </w:tc>
        <w:tc>
          <w:tcPr>
            <w:tcW w:w="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After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After</w:t>
            </w:r>
          </w:p>
        </w:tc>
        <w:tc>
          <w:tcPr>
            <w:tcW w:w="620" w:type="dxa"/>
            <w:vAlign w:val="bottom"/>
            <w:gridSpan w:val="2"/>
          </w:tcPr>
          <w:p>
            <w:pPr>
              <w:jc w:val="center"/>
              <w:ind w:left="3"/>
              <w:spacing w:after="0" w:line="149" w:lineRule="exact"/>
              <w:rPr>
                <w:sz w:val="20"/>
                <w:szCs w:val="20"/>
                <w:color w:val="auto"/>
              </w:rPr>
            </w:pPr>
            <w:r>
              <w:rPr>
                <w:rFonts w:ascii="Arial" w:cs="Arial" w:eastAsia="Arial" w:hAnsi="Arial"/>
                <w:sz w:val="14"/>
                <w:szCs w:val="14"/>
                <w:b w:val="1"/>
                <w:bCs w:val="1"/>
                <w:color w:val="auto"/>
              </w:rPr>
              <w:t>After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Offering (1)</w:t>
            </w:r>
          </w:p>
        </w:tc>
        <w:tc>
          <w:tcPr>
            <w:tcW w:w="10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8"/>
              </w:rPr>
              <w:t>Offering (1)</w:t>
            </w:r>
          </w:p>
        </w:tc>
        <w:tc>
          <w:tcPr>
            <w:tcW w:w="60" w:type="dxa"/>
            <w:vAlign w:val="bottom"/>
          </w:tcPr>
          <w:p>
            <w:pPr>
              <w:spacing w:after="0"/>
              <w:rPr>
                <w:sz w:val="14"/>
                <w:szCs w:val="14"/>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5"/>
              </w:rPr>
              <w:t>Offering (1)</w:t>
            </w:r>
          </w:p>
        </w:tc>
        <w:tc>
          <w:tcPr>
            <w:tcW w:w="180" w:type="dxa"/>
            <w:vAlign w:val="bottom"/>
          </w:tcPr>
          <w:p>
            <w:pPr>
              <w:spacing w:after="0"/>
              <w:rPr>
                <w:sz w:val="14"/>
                <w:szCs w:val="14"/>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Offering (1)</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Offering (1)</w:t>
            </w:r>
          </w:p>
        </w:tc>
        <w:tc>
          <w:tcPr>
            <w:tcW w:w="20" w:type="dxa"/>
            <w:vAlign w:val="bottom"/>
          </w:tcPr>
          <w:p>
            <w:pPr>
              <w:spacing w:after="0"/>
              <w:rPr>
                <w:sz w:val="14"/>
                <w:szCs w:val="14"/>
                <w:color w:val="auto"/>
              </w:rPr>
            </w:pPr>
          </w:p>
        </w:tc>
        <w:tc>
          <w:tcPr>
            <w:tcW w:w="1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Offering (1)</w:t>
            </w:r>
          </w:p>
        </w:tc>
        <w:tc>
          <w:tcPr>
            <w:tcW w:w="7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5"/>
              </w:rPr>
              <w:t>Offering (1)</w:t>
            </w:r>
          </w:p>
        </w:tc>
        <w:tc>
          <w:tcPr>
            <w:tcW w:w="18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Offering (1)</w:t>
            </w:r>
          </w:p>
        </w:tc>
        <w:tc>
          <w:tcPr>
            <w:tcW w:w="0" w:type="dxa"/>
            <w:vAlign w:val="bottom"/>
          </w:tcPr>
          <w:p>
            <w:pPr>
              <w:spacing w:after="0"/>
              <w:rPr>
                <w:sz w:val="1"/>
                <w:szCs w:val="1"/>
                <w:color w:val="auto"/>
              </w:rPr>
            </w:pPr>
          </w:p>
        </w:tc>
      </w:tr>
      <w:tr>
        <w:trPr>
          <w:trHeight w:val="142"/>
        </w:trPr>
        <w:tc>
          <w:tcPr>
            <w:tcW w:w="3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Alpha Capital Anstalt (2)</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ind w:left="680"/>
              <w:spacing w:after="0" w:line="142" w:lineRule="exact"/>
              <w:rPr>
                <w:sz w:val="20"/>
                <w:szCs w:val="20"/>
                <w:color w:val="auto"/>
              </w:rPr>
            </w:pPr>
            <w:r>
              <w:rPr>
                <w:rFonts w:ascii="Arial" w:cs="Arial" w:eastAsia="Arial" w:hAnsi="Arial"/>
                <w:sz w:val="14"/>
                <w:szCs w:val="14"/>
                <w:color w:val="auto"/>
                <w:w w:val="72"/>
              </w:rPr>
              <w:t>*</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ind w:left="680"/>
              <w:spacing w:after="0"/>
              <w:rPr>
                <w:sz w:val="20"/>
                <w:szCs w:val="20"/>
                <w:color w:val="auto"/>
              </w:rPr>
            </w:pPr>
            <w:r>
              <w:rPr>
                <w:rFonts w:ascii="Arial" w:cs="Arial" w:eastAsia="Arial" w:hAnsi="Arial"/>
                <w:sz w:val="10"/>
                <w:szCs w:val="10"/>
                <w:color w:val="auto"/>
                <w:w w:val="71"/>
              </w:rPr>
              <w:t>0</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Anson Investments Master Fund LP (3)</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250,000</w:t>
            </w:r>
          </w:p>
        </w:tc>
        <w:tc>
          <w:tcPr>
            <w:tcW w:w="10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7.7%</w:t>
            </w:r>
          </w:p>
        </w:tc>
        <w:tc>
          <w:tcPr>
            <w:tcW w:w="84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3"/>
          </w:tcPr>
          <w:p>
            <w:pPr>
              <w:ind w:left="8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3"/>
          </w:tcPr>
          <w:p>
            <w:pPr>
              <w:ind w:left="680"/>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L1 Capital Global Opportunities Master Fund (4)</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250,000</w:t>
            </w:r>
          </w:p>
        </w:tc>
        <w:tc>
          <w:tcPr>
            <w:tcW w:w="10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w:t>
            </w:r>
          </w:p>
        </w:tc>
        <w:tc>
          <w:tcPr>
            <w:tcW w:w="8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680"/>
              <w:spacing w:after="0" w:line="149" w:lineRule="exact"/>
              <w:rPr>
                <w:sz w:val="20"/>
                <w:szCs w:val="20"/>
                <w:color w:val="auto"/>
              </w:rPr>
            </w:pPr>
            <w:r>
              <w:rPr>
                <w:rFonts w:ascii="Arial" w:cs="Arial" w:eastAsia="Arial" w:hAnsi="Arial"/>
                <w:sz w:val="14"/>
                <w:szCs w:val="14"/>
                <w:color w:val="auto"/>
              </w:rPr>
              <w:t>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Intracoastal Capital, LLC (5)</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236,631</w:t>
            </w:r>
          </w:p>
        </w:tc>
        <w:tc>
          <w:tcPr>
            <w:tcW w:w="10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7.4%</w:t>
            </w:r>
          </w:p>
        </w:tc>
        <w:tc>
          <w:tcPr>
            <w:tcW w:w="84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3"/>
          </w:tcPr>
          <w:p>
            <w:pPr>
              <w:ind w:left="8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3"/>
          </w:tcPr>
          <w:p>
            <w:pPr>
              <w:ind w:left="680"/>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Hewlett Fund LP (6)</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168,285</w:t>
            </w:r>
          </w:p>
        </w:tc>
        <w:tc>
          <w:tcPr>
            <w:tcW w:w="10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w:t>
            </w:r>
          </w:p>
        </w:tc>
        <w:tc>
          <w:tcPr>
            <w:tcW w:w="8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680"/>
              <w:spacing w:after="0" w:line="149" w:lineRule="exact"/>
              <w:rPr>
                <w:sz w:val="20"/>
                <w:szCs w:val="20"/>
                <w:color w:val="auto"/>
              </w:rPr>
            </w:pPr>
            <w:r>
              <w:rPr>
                <w:rFonts w:ascii="Arial" w:cs="Arial" w:eastAsia="Arial" w:hAnsi="Arial"/>
                <w:sz w:val="14"/>
                <w:szCs w:val="14"/>
                <w:color w:val="auto"/>
              </w:rPr>
              <w:t>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Brio Capital Master Fund Ltd. (7)</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142,808</w:t>
            </w:r>
          </w:p>
        </w:tc>
        <w:tc>
          <w:tcPr>
            <w:tcW w:w="10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4.7%</w:t>
            </w:r>
          </w:p>
        </w:tc>
        <w:tc>
          <w:tcPr>
            <w:tcW w:w="84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3"/>
          </w:tcPr>
          <w:p>
            <w:pPr>
              <w:ind w:left="8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3"/>
          </w:tcPr>
          <w:p>
            <w:pPr>
              <w:ind w:left="680"/>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Palladium Capital Advisors LLC (8)</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43,750</w:t>
            </w:r>
          </w:p>
        </w:tc>
        <w:tc>
          <w:tcPr>
            <w:tcW w:w="10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8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680"/>
              <w:spacing w:after="0" w:line="149" w:lineRule="exact"/>
              <w:rPr>
                <w:sz w:val="20"/>
                <w:szCs w:val="20"/>
                <w:color w:val="auto"/>
              </w:rPr>
            </w:pPr>
            <w:r>
              <w:rPr>
                <w:rFonts w:ascii="Arial" w:cs="Arial" w:eastAsia="Arial" w:hAnsi="Arial"/>
                <w:sz w:val="14"/>
                <w:szCs w:val="14"/>
                <w:color w:val="auto"/>
              </w:rPr>
              <w:t>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B3D, LLC (9)</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1,519,854</w:t>
            </w:r>
          </w:p>
        </w:tc>
        <w:tc>
          <w:tcPr>
            <w:tcW w:w="10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13.5%</w:t>
            </w:r>
          </w:p>
        </w:tc>
        <w:tc>
          <w:tcPr>
            <w:tcW w:w="84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3"/>
          </w:tcPr>
          <w:p>
            <w:pPr>
              <w:ind w:left="8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3"/>
          </w:tcPr>
          <w:p>
            <w:pPr>
              <w:ind w:left="680"/>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Calm.com, Inc. (10)</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680"/>
              <w:spacing w:after="0" w:line="149" w:lineRule="exact"/>
              <w:rPr>
                <w:sz w:val="20"/>
                <w:szCs w:val="20"/>
                <w:color w:val="auto"/>
              </w:rPr>
            </w:pPr>
            <w:r>
              <w:rPr>
                <w:rFonts w:ascii="Arial" w:cs="Arial" w:eastAsia="Arial" w:hAnsi="Arial"/>
                <w:sz w:val="14"/>
                <w:szCs w:val="14"/>
                <w:color w:val="auto"/>
              </w:rPr>
              <w:t>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Mistral Spa Holdings, LLC (11)</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10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5"/>
          </w:tcPr>
          <w:p>
            <w:pPr>
              <w:jc w:val="right"/>
              <w:ind w:right="40"/>
              <w:spacing w:after="0"/>
              <w:rPr>
                <w:sz w:val="20"/>
                <w:szCs w:val="20"/>
                <w:color w:val="auto"/>
              </w:rPr>
            </w:pPr>
            <w:r>
              <w:rPr>
                <w:rFonts w:ascii="Arial" w:cs="Arial" w:eastAsia="Arial" w:hAnsi="Arial"/>
                <w:sz w:val="14"/>
                <w:szCs w:val="14"/>
                <w:color w:val="auto"/>
              </w:rPr>
              <w:t>0</w:t>
            </w:r>
          </w:p>
        </w:tc>
        <w:tc>
          <w:tcPr>
            <w:tcW w:w="96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3"/>
          </w:tcPr>
          <w:p>
            <w:pPr>
              <w:ind w:left="680"/>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 w:name="page30"/>
    <w:bookmarkEnd w:id="29"/>
    <w:p>
      <w:pPr>
        <w:ind w:left="140" w:hanging="132"/>
        <w:spacing w:after="0"/>
        <w:tabs>
          <w:tab w:leader="none" w:pos="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Assumes the sale of the maximum number of shares to common stock to be sold pursuant to this prospectus.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200% of 4,056 shares of Series F Preferred Stock, which are convertible into 202,800 shares of common stock. Konrad Ackerman is the natural person with voting and dispositive power over the shares held by Alpha Capital Anstalt. The selling securityholder’s address is Lettstrasse 32,9490 Vaduz, Liechtenstein.</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200% of 901 shares of Series F Preferred Stock, which are convertible into 45,050 shares of common stock. Beneficial ownership includes warrants to purchase 250,000 shares of common stock. Amin Nathoo is the natural person with voting and dispositive power over the shares held by Anson Investments Master Fund LP. The selling securityholder’s address is c/o Anson Advisors Inc., 155 University Avenue, Suite 2017, Toronto, Ontario, Canada M5H 3B7.</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200% of 901 shares of Series F Preferred Stock, which are convertible into 45,050 shares of common stock. Beneficial ownership includes warrants to purchase 250,000 shares of common stock. David Feldman is the natural person with voting and dispositive power over the shares held by L1 Capital Global Opportunities Master Fund. The selling securityholder’s address is attention: David Feldman, L1 Capital, Meridian Center, 1688 Meridian Avenue,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and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Miami Beach, Florida 33139.</w:t>
      </w:r>
    </w:p>
    <w:p>
      <w:pPr>
        <w:spacing w:after="0" w:line="58"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Includes 200% of 901 shares of Series F Preferred Stock, which are convertible into 45,050 shares of common stock. Beneficial ownership includes 28,568 shares of common stock and warrants to purchase 208,063 shares of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 The selling securityholder’s address is 2211A Lakeside Drive, Bannockburn, IL 60015.</w:t>
      </w:r>
    </w:p>
    <w:p>
      <w:pPr>
        <w:spacing w:after="0" w:line="178" w:lineRule="exact"/>
        <w:rPr>
          <w:rFonts w:ascii="Arial" w:cs="Arial" w:eastAsia="Arial" w:hAnsi="Arial"/>
          <w:sz w:val="17"/>
          <w:szCs w:val="17"/>
          <w:color w:val="auto"/>
        </w:rPr>
      </w:pPr>
    </w:p>
    <w:p>
      <w:pPr>
        <w:jc w:val="both"/>
        <w:ind w:left="660" w:hanging="328"/>
        <w:spacing w:after="0" w:line="312"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Includes 200% of 630 shares of Series F Preferred Stock, which are convertible into 31,500 shares of common stock. Beneficial ownership includes warrants to purchase 168,285 shares of common stock. Martin Chopp is the natural person with voting and dispositive power over the shares held by The Hewlett Fund LP. The selling securityholder’s address is 100 Merrick Road, Suite 400W, Rockville Centre, New York 11570.</w:t>
      </w:r>
    </w:p>
    <w:p>
      <w:pPr>
        <w:spacing w:after="0" w:line="146"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200% of 450 shares of Series F Preferred Stock, which are convertible into 22,500 shares of common stock. Beneficial ownership includes 42,001 shares of common stock and warrants to purchase an additional 100,807 shares of common stock. Shaye Hirsch is the natural person with voting and dispositive power over the shares held by Brio Capital Master Fund Ltd. The selling securityholder’s address is 100 Merrick Road, Suite 401W, Rockville Centre, New York 11570.</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200% of 1,157 shares of Series F Preferred Stock, which are convertible into 57,850 shares of common stock. Beneficial ownership includes warrants to purchase an additional 43,750 shares of common stock. Joel Padowitz is the natural person with voting and dispositive power over the shares held by Palladium Capital Advisors, LLC. The selling securityholder’s address is attention: Joel Padowitz, 10 Rockefeller Plaza, Suite 909, New York, New York 10020.</w:t>
      </w:r>
    </w:p>
    <w:p>
      <w:pPr>
        <w:spacing w:after="0" w:line="186"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Includes 200% of 4,156,275 shares of common stock (or 8,312,550 shares) underlying the B3D Note. Beneficial ownership includes (i) 1,489,741 shares of common stock underlying Series D Preferred Stock, (ii) 12,935 shares of common stock underlying December 2016 warrants and (iii) 17,178 shares of common stock. B3D, LLC is an investment entity controlled by Brian Daly. The Senior Secured Note were assigned to B3D, LLC in 2017. We issued B3D, LLC Class A Warrants to purchase 250,000 shares of our common stock in consideration for the agreement to extend the maturity of the Senior Secured Note to December 31, 2019, the waiver of certain rights of B3D, LLC under the Senior Secured Note and the consent to the issuance of the Secured Convertible Notes and Warrants pursuant to the Purchase Agreement. Brian Daly is the natural person with voting and dispositive power over the shares held by B3D, LLC. The selling securityholder’s address is 9935D REA Road #317, Charlotte, NC 28277.</w:t>
      </w:r>
    </w:p>
    <w:p>
      <w:pPr>
        <w:spacing w:after="0" w:line="167"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200% of each of (i) 1,445,816 shares of common stock (or 2,891,632 shares) issuable pursuant to the Calm Note, (ii) 1,500,000 shares of common stock (or 3,000,000 shares) issuable upon the conversion of previously issued shares of Series E Preferred Stock and (iii) 937,500 shares of common stock (or 1,875,000 shares) underlying warrants. The principal business address of the beneficial owner is 77 Geary Street, 3rd Floor, San Francisco, CA 94105.</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Includes 200% of each of (i) 8,831,540 shares of common stock (or 17,663,080 shares) issuable upon the conversion of Series D Preferred Stock (including shares that are or will be payable as accrued but unpaid dividends thereon through September 9, 2019), (ii) 79,406 shares of common stock (or 158,812 shares) issuable upon the exercise of the December 2016 warrants and (iii) 106,524 shares of common stock (or 213,048 shares) issued in connection with that certain Agreement and Plan of Merger by and among FORM Holdings Corp., FHXMS, LLC, XpresSpa Holdings, LLC and Mistral XH Representative, LLC, as representative of the unitholders, dated October 25, 2016, as subsequently amended and in connection with a related subscription agreement between the Company and a unitholder. Mistral Spa Holdings, LLC (“MSH”), a Delaware limited liability company, is an investment entity indirectly controlled by Mr. Heyer through Mistral Equity Partners, LP (“MEP”), Mistral Equity Partners QP, LP (“MEP QP”) and MEP Co-Invest, LLC (“MEP Co-Invest”). Mistral Equity GP, LLC (“MEP GP” and, together with MEP, MEP QP, and MEP Co-Invest, the “Mistral Fund Entities”) is the general partner of MEP and MEP QP. By reason of the provisions of Rule 16a-1 of the Exchange Act, the Mistral Fund Entities may be deemed to be beneficial owners of certain of the securities that are deemed to be beneficially owned by MSH, and Mr. Heyer may be deemed to be the beneficial owner of any securities that may be deemed to be beneficially owned by MSH and/or the Mistral Fund Entities. Mr. Heyer may be deemed to have an indirect pecuniary interest (within the meaning of Rule 16a-1 of the Exchange Act) in an indeterminate portion of the securities reported as beneficially owned by MSH, and MEP GP may be deemed to have an indirect pecuniary interest in an indeterminate portion of the securities reported as beneficially owned by MEP and MEP QP. MSH’s address is 650 Fifth Avenue, Floor 31, New York, NY 10019. Mr. Heyer’s business address is c/o Mistral Capital Management, LLC, 650 Fifth Avenue, 31st Floor, New York, NY 10019.</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208"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registering the offer and sale of (i) the shares of common stock that may be issued upon the conversion or exercise, as applicable, of the Securities and</w:t>
      </w:r>
    </w:p>
    <w:p>
      <w:pPr>
        <w:spacing w:after="0" w:line="46" w:lineRule="exact"/>
        <w:rPr>
          <w:sz w:val="20"/>
          <w:szCs w:val="20"/>
          <w:color w:val="auto"/>
        </w:rPr>
      </w:pPr>
    </w:p>
    <w:p>
      <w:pPr>
        <w:jc w:val="both"/>
        <w:ind w:firstLine="8"/>
        <w:spacing w:after="0" w:line="277" w:lineRule="auto"/>
        <w:tabs>
          <w:tab w:leader="none" w:pos="277" w:val="left"/>
        </w:tabs>
        <w:numPr>
          <w:ilvl w:val="0"/>
          <w:numId w:val="14"/>
        </w:numPr>
        <w:rPr>
          <w:rFonts w:ascii="Arial" w:cs="Arial" w:eastAsia="Arial" w:hAnsi="Arial"/>
          <w:sz w:val="17"/>
          <w:szCs w:val="17"/>
          <w:color w:val="auto"/>
        </w:rPr>
      </w:pPr>
      <w:r>
        <w:rPr>
          <w:rFonts w:ascii="Arial" w:cs="Arial" w:eastAsia="Arial" w:hAnsi="Arial"/>
          <w:sz w:val="17"/>
          <w:szCs w:val="17"/>
          <w:color w:val="auto"/>
        </w:rPr>
        <w:t>certain shares of common stock held by certain of the selling securityholders, in each case to permit the resale of these shares of common stock by the holders of such Securities from time to time after the date of this prospectus. We will not receive any of the proceeds from the sale by the selling securityholders of the shares of common stock. We will bear all fees and expenses incident to our obligation to register the shares of common stock.</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securityholders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securityholders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58"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the writing of options, whether such options are listed on an options exchange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pursuant to Rule 144;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22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distributions to their members, partners or shareholders;  a combination of any such methods of sale; and</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selling securityholders effect such transactions by selling shares of common stock to or through underwriters, broker-dealers or agents, such underwriters, broker-dealers or agents may receive commissions in the form of discounts, concessions or commissions from the selling securityholders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securityholders may enter into hedging transactions with broker-dealers, which may in turn engage in short sales of the shares of common stock in the course of hedging in positions they assume. The selling securityholders may also sell shares of common stock short and deliver shares of common stock covered by this prospectus to close out short positions and to return borrowed shares in connection with such short sales. The selling securityholders may also loan or pledge shares of common stock to broker-dealers that in turn may sell such shares.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selling securityholders may pledge or grant a security interest in some or all of the shares of common stock or the Securities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securityholders to include the pledgee, transferee or other successors in interest as selling securityholders under this prospectus. The selling securityholders also may transfer and donate the shares of common stock in other circumstances in which case the transferees, donees, pledgees or other successors in interest will be the selling beneficial owners for purposes of this prospectus.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spacing w:after="0" w:line="273" w:lineRule="auto"/>
        <w:rPr>
          <w:sz w:val="20"/>
          <w:szCs w:val="20"/>
          <w:color w:val="auto"/>
        </w:rPr>
      </w:pPr>
      <w:r>
        <w:rPr>
          <w:rFonts w:ascii="Arial" w:cs="Arial" w:eastAsia="Arial" w:hAnsi="Arial"/>
          <w:sz w:val="17"/>
          <w:szCs w:val="17"/>
          <w:color w:val="auto"/>
        </w:rPr>
        <w:t>The selling securityholders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any selling securityholder will sell any or all of the shares of common stock registered pursuant to the registration statement, of which this prospectus forms a part.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securityholders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securityholders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will pay all expenses of the registration of the shares of common stock, estimated to be $75,000 in total, including, without limitation, SEC filing fees and expenses of compliance with state securities or "blue sky" laws; provided, however, that a selling securityholder will pay all underwriting discounts and selling commissions, if any. We will indemnify certain of the selling securityholders against liabilities, including some liabilities under the Securities Act, in accordance with those certain registration rights agreements that we have entered into with each of Calm, B3D and certain unitholders party to the Merger Agreement, as applicable, or certain selling securityholders will be entitled to contribution. We may be indemnified by the selling securityholders against civil liabilities, including liabilities under the Securities Act, that may arise from any written information furnished to us by the selling securityholder specifically for use in this prospectus, in accordance with those certain registration rights agreements that we have entered into with each of Calm, B3D and certain unitholders party to the Merger Agreement, as applicable, or we may be entitled to contribution.</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The validity of the securities we are offering will be passed upon for us by Mintz, Levin, Cohn, Ferris, Glovsky and Popeo, P.C., New York, New York.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79" w:lineRule="auto"/>
        <w:rPr>
          <w:rFonts w:ascii="Arial" w:cs="Arial" w:eastAsia="Arial" w:hAnsi="Arial"/>
          <w:sz w:val="17"/>
          <w:szCs w:val="17"/>
          <w:color w:val="0000EE"/>
        </w:rPr>
      </w:pPr>
      <w:hyperlink r:id="rId18">
        <w:r>
          <w:rPr>
            <w:rFonts w:ascii="Arial" w:cs="Arial" w:eastAsia="Arial" w:hAnsi="Arial"/>
            <w:sz w:val="17"/>
            <w:szCs w:val="17"/>
            <w:color w:val="auto"/>
          </w:rPr>
          <w:t xml:space="preserve">CohnReznick LLP, independent registered public accounting firm, has audited our financial statements included in our </w:t>
        </w:r>
        <w:r>
          <w:rPr>
            <w:rFonts w:ascii="Arial" w:cs="Arial" w:eastAsia="Arial" w:hAnsi="Arial"/>
            <w:sz w:val="17"/>
            <w:szCs w:val="17"/>
            <w:u w:val="single" w:color="auto"/>
            <w:color w:val="0000EE"/>
          </w:rPr>
          <w:t>Annual Report on Form 10-K for the</w:t>
        </w:r>
      </w:hyperlink>
      <w:r>
        <w:rPr>
          <w:rFonts w:ascii="Arial" w:cs="Arial" w:eastAsia="Arial" w:hAnsi="Arial"/>
          <w:sz w:val="17"/>
          <w:szCs w:val="17"/>
          <w:color w:val="auto"/>
        </w:rPr>
        <w:t xml:space="preserve"> </w:t>
      </w:r>
      <w:hyperlink r:id="rId18">
        <w:r>
          <w:rPr>
            <w:rFonts w:ascii="Arial" w:cs="Arial" w:eastAsia="Arial" w:hAnsi="Arial"/>
            <w:sz w:val="17"/>
            <w:szCs w:val="17"/>
            <w:u w:val="single" w:color="auto"/>
            <w:color w:val="0000EE"/>
          </w:rPr>
          <w:t>year ended December 31, 2018</w:t>
        </w:r>
        <w:r>
          <w:rPr>
            <w:rFonts w:ascii="Arial" w:cs="Arial" w:eastAsia="Arial" w:hAnsi="Arial"/>
            <w:sz w:val="17"/>
            <w:szCs w:val="17"/>
            <w:color w:val="000000"/>
          </w:rPr>
          <w:t>, as set forth in their report (which includes an explanatory paragraph referring to the Company’s ability to continue as a going</w:t>
        </w:r>
      </w:hyperlink>
      <w:r>
        <w:rPr>
          <w:rFonts w:ascii="Arial" w:cs="Arial" w:eastAsia="Arial" w:hAnsi="Arial"/>
          <w:sz w:val="17"/>
          <w:szCs w:val="17"/>
          <w:color w:val="0000EE"/>
        </w:rPr>
        <w:t xml:space="preserve"> </w:t>
      </w:r>
      <w:r>
        <w:rPr>
          <w:rFonts w:ascii="Arial" w:cs="Arial" w:eastAsia="Arial" w:hAnsi="Arial"/>
          <w:sz w:val="17"/>
          <w:szCs w:val="17"/>
          <w:color w:val="000000"/>
        </w:rPr>
        <w:t>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Our Annual Report on Form 10-K for the year ended December 31, 2018, filed on April 1, 2019 (File No. 001-34785);</w:t>
        </w:r>
      </w:hyperlink>
    </w:p>
    <w:p>
      <w:pPr>
        <w:spacing w:after="0" w:line="225" w:lineRule="exact"/>
        <w:rPr>
          <w:rFonts w:ascii="Arial" w:cs="Arial" w:eastAsia="Arial" w:hAnsi="Arial"/>
          <w:sz w:val="18"/>
          <w:szCs w:val="18"/>
          <w:u w:val="single" w:color="auto"/>
          <w:color w:val="0000EE"/>
        </w:rPr>
      </w:pPr>
    </w:p>
    <w:p>
      <w:pPr>
        <w:ind w:left="660" w:hanging="328"/>
        <w:spacing w:after="0"/>
        <w:tabs>
          <w:tab w:leader="none" w:pos="660" w:val="left"/>
        </w:tabs>
        <w:numPr>
          <w:ilvl w:val="0"/>
          <w:numId w:val="18"/>
        </w:numPr>
        <w:rPr>
          <w:rFonts w:ascii="Arial" w:cs="Arial" w:eastAsia="Arial" w:hAnsi="Arial"/>
          <w:sz w:val="17"/>
          <w:szCs w:val="17"/>
          <w:u w:val="single" w:color="auto"/>
          <w:color w:val="0000EE"/>
        </w:rPr>
      </w:pPr>
      <w:hyperlink r:id="rId44">
        <w:r>
          <w:rPr>
            <w:rFonts w:ascii="Arial" w:cs="Arial" w:eastAsia="Arial" w:hAnsi="Arial"/>
            <w:sz w:val="17"/>
            <w:szCs w:val="17"/>
            <w:u w:val="single" w:color="auto"/>
            <w:color w:val="0000EE"/>
          </w:rPr>
          <w:t>Amendment No. 1 to our Annual Report on Form 10-K/A for the year ended December 31, 2018, filed on April 30, 2019 (File No. 001-34785);</w:t>
        </w:r>
      </w:hyperlink>
    </w:p>
    <w:p>
      <w:pPr>
        <w:spacing w:after="0" w:line="236" w:lineRule="exact"/>
        <w:rPr>
          <w:rFonts w:ascii="Arial" w:cs="Arial" w:eastAsia="Arial" w:hAnsi="Arial"/>
          <w:sz w:val="17"/>
          <w:szCs w:val="17"/>
          <w:u w:val="single" w:color="auto"/>
          <w:color w:val="0000EE"/>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2019 and June 30, 2019, filed on </w:t>
      </w:r>
      <w:hyperlink r:id="rId45">
        <w:r>
          <w:rPr>
            <w:rFonts w:ascii="Arial" w:cs="Arial" w:eastAsia="Arial" w:hAnsi="Arial"/>
            <w:sz w:val="18"/>
            <w:szCs w:val="18"/>
            <w:u w:val="single" w:color="auto"/>
            <w:color w:val="0000EE"/>
          </w:rPr>
          <w:t>May 15,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6">
        <w:r>
          <w:rPr>
            <w:rFonts w:ascii="Arial" w:cs="Arial" w:eastAsia="Arial" w:hAnsi="Arial"/>
            <w:sz w:val="18"/>
            <w:szCs w:val="18"/>
            <w:u w:val="single" w:color="auto"/>
            <w:color w:val="0000EE"/>
          </w:rPr>
          <w:t>August 14, 2019</w:t>
        </w:r>
      </w:hyperlink>
      <w:r>
        <w:rPr>
          <w:rFonts w:ascii="Arial" w:cs="Arial" w:eastAsia="Arial" w:hAnsi="Arial"/>
          <w:sz w:val="18"/>
          <w:szCs w:val="18"/>
          <w:color w:val="auto"/>
        </w:rPr>
        <w:t>, respectively (File No. 001-34785);</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on </w:t>
      </w:r>
      <w:hyperlink r:id="rId47">
        <w:r>
          <w:rPr>
            <w:rFonts w:ascii="Arial" w:cs="Arial" w:eastAsia="Arial" w:hAnsi="Arial"/>
            <w:sz w:val="18"/>
            <w:szCs w:val="18"/>
            <w:u w:val="single" w:color="auto"/>
            <w:color w:val="0000EE"/>
          </w:rPr>
          <w:t>February 13, 2019</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February 22, 2019</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EE"/>
          </w:rPr>
          <w:t>March 15, 2019</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March 22, 2019</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May 17, 2019</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June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4">
        <w:r>
          <w:rPr>
            <w:rFonts w:ascii="Arial" w:cs="Arial" w:eastAsia="Arial" w:hAnsi="Arial"/>
            <w:sz w:val="18"/>
            <w:szCs w:val="18"/>
            <w:u w:val="single" w:color="auto"/>
            <w:color w:val="0000EE"/>
          </w:rPr>
          <w:t>June 27,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5">
        <w:r>
          <w:rPr>
            <w:rFonts w:ascii="Arial" w:cs="Arial" w:eastAsia="Arial" w:hAnsi="Arial"/>
            <w:sz w:val="18"/>
            <w:szCs w:val="18"/>
            <w:u w:val="single" w:color="auto"/>
            <w:color w:val="0000EE"/>
          </w:rPr>
          <w:t xml:space="preserve">July 8,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6">
        <w:r>
          <w:rPr>
            <w:rFonts w:ascii="Arial" w:cs="Arial" w:eastAsia="Arial" w:hAnsi="Arial"/>
            <w:sz w:val="18"/>
            <w:szCs w:val="18"/>
            <w:u w:val="single" w:color="auto"/>
            <w:color w:val="0000EE"/>
          </w:rPr>
          <w:t xml:space="preserve">July 10, 2019 </w:t>
        </w:r>
      </w:hyperlink>
      <w:r>
        <w:rPr>
          <w:rFonts w:ascii="Arial" w:cs="Arial" w:eastAsia="Arial" w:hAnsi="Arial"/>
          <w:sz w:val="18"/>
          <w:szCs w:val="18"/>
          <w:color w:val="000000"/>
        </w:rPr>
        <w:t>(File</w:t>
      </w:r>
      <w:r>
        <w:rPr>
          <w:rFonts w:ascii="Arial" w:cs="Arial" w:eastAsia="Arial" w:hAnsi="Arial"/>
          <w:sz w:val="18"/>
          <w:szCs w:val="18"/>
          <w:color w:val="0000EE"/>
        </w:rPr>
        <w:t xml:space="preserve"> </w:t>
      </w:r>
      <w:r>
        <w:rPr>
          <w:rFonts w:ascii="Arial" w:cs="Arial" w:eastAsia="Arial" w:hAnsi="Arial"/>
          <w:sz w:val="18"/>
          <w:szCs w:val="18"/>
          <w:color w:val="000000"/>
        </w:rPr>
        <w:t>Nos. 001-34785); and</w:t>
      </w:r>
    </w:p>
    <w:p>
      <w:pPr>
        <w:spacing w:after="0" w:line="170" w:lineRule="exact"/>
        <w:rPr>
          <w:rFonts w:ascii="Arial" w:cs="Arial" w:eastAsia="Arial" w:hAnsi="Arial"/>
          <w:sz w:val="18"/>
          <w:szCs w:val="18"/>
          <w:color w:val="0000EE"/>
        </w:rPr>
      </w:pPr>
    </w:p>
    <w:p>
      <w:pPr>
        <w:ind w:left="660" w:hanging="328"/>
        <w:spacing w:after="0" w:line="308" w:lineRule="auto"/>
        <w:tabs>
          <w:tab w:leader="none" w:pos="660" w:val="left"/>
        </w:tabs>
        <w:numPr>
          <w:ilvl w:val="0"/>
          <w:numId w:val="18"/>
        </w:numPr>
        <w:rPr>
          <w:rFonts w:ascii="Arial" w:cs="Arial" w:eastAsia="Arial" w:hAnsi="Arial"/>
          <w:sz w:val="17"/>
          <w:szCs w:val="17"/>
          <w:u w:val="single" w:color="auto"/>
          <w:color w:val="0000EE"/>
        </w:rPr>
      </w:pPr>
      <w:hyperlink r:id="rId57">
        <w:r>
          <w:rPr>
            <w:rFonts w:ascii="Arial" w:cs="Arial" w:eastAsia="Arial" w:hAnsi="Arial"/>
            <w:sz w:val="17"/>
            <w:szCs w:val="17"/>
            <w:u w:val="single" w:color="auto"/>
            <w:color w:val="0000EE"/>
          </w:rPr>
          <w:t>The description of our securities contained in our Registration Statement on Form 8-A filed on March 21, 2016 (File No. 001-34785) pursuant to</w:t>
        </w:r>
      </w:hyperlink>
      <w:r>
        <w:rPr>
          <w:rFonts w:ascii="Arial" w:cs="Arial" w:eastAsia="Arial" w:hAnsi="Arial"/>
          <w:sz w:val="17"/>
          <w:szCs w:val="17"/>
          <w:u w:val="single" w:color="auto"/>
          <w:color w:val="0000EE"/>
        </w:rPr>
        <w:t xml:space="preserve"> </w:t>
      </w:r>
      <w:hyperlink r:id="rId57">
        <w:r>
          <w:rPr>
            <w:rFonts w:ascii="Arial" w:cs="Arial" w:eastAsia="Arial" w:hAnsi="Arial"/>
            <w:sz w:val="17"/>
            <w:szCs w:val="17"/>
            <w:u w:val="single" w:color="auto"/>
            <w:color w:val="0000EE"/>
          </w:rPr>
          <w:t>Section 12(g) of the Exchange Act, and any amendment or report filed with the SEC for purposes of updating such description.</w:t>
        </w:r>
      </w:hyperlink>
    </w:p>
    <w:p>
      <w:pPr>
        <w:spacing w:after="0" w:line="363"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780 Third Avenue, 12th Floor, New York, NY 10017 Attention: Investor Relations. The Investor Relations Department can be reached via telephone at (212) 838-3777.</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3940"/>
        <w:spacing w:after="0"/>
        <w:rPr>
          <w:sz w:val="20"/>
          <w:szCs w:val="20"/>
          <w:color w:val="auto"/>
        </w:rPr>
      </w:pPr>
      <w:r>
        <w:rPr>
          <w:rFonts w:ascii="Arial" w:cs="Arial" w:eastAsia="Arial" w:hAnsi="Arial"/>
          <w:sz w:val="18"/>
          <w:szCs w:val="18"/>
          <w:b w:val="1"/>
          <w:bCs w:val="1"/>
          <w:color w:val="auto"/>
        </w:rPr>
        <w:t>XpresSpa,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35,014,122 Shares of Common Stock</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 2019</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Company’s estimates (other than the SEC registration fee) of the expenses in connection with the issuance and distribution of the securities being registered.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9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r>
      <w:tr>
        <w:trPr>
          <w:trHeight w:val="210"/>
        </w:trPr>
        <w:tc>
          <w:tcPr>
            <w:tcW w:w="9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w w:val="89"/>
              </w:rPr>
              <w:t>Printing fees</w:t>
            </w:r>
          </w:p>
        </w:tc>
        <w:tc>
          <w:tcPr>
            <w:tcW w:w="9020" w:type="dxa"/>
            <w:vAlign w:val="bottom"/>
          </w:tcPr>
          <w:p>
            <w:pPr>
              <w:spacing w:after="0"/>
              <w:rPr>
                <w:sz w:val="18"/>
                <w:szCs w:val="18"/>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Total</w:t>
            </w:r>
          </w:p>
        </w:tc>
        <w:tc>
          <w:tcPr>
            <w:tcW w:w="9020" w:type="dxa"/>
            <w:vAlign w:val="bottom"/>
          </w:tcPr>
          <w:p>
            <w:pPr>
              <w:spacing w:after="0"/>
              <w:rPr>
                <w:sz w:val="20"/>
                <w:szCs w:val="20"/>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75,856.32</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020" w:type="dxa"/>
            <w:vAlign w:val="bottom"/>
          </w:tcPr>
          <w:p>
            <w:pPr>
              <w:spacing w:after="0"/>
              <w:rPr>
                <w:sz w:val="20"/>
                <w:szCs w:val="20"/>
                <w:color w:val="auto"/>
              </w:rPr>
            </w:pPr>
            <w:r>
              <w:rPr>
                <w:rFonts w:ascii="Arial" w:cs="Arial" w:eastAsia="Arial" w:hAnsi="Arial"/>
                <w:sz w:val="18"/>
                <w:szCs w:val="18"/>
                <w:b w:val="1"/>
                <w:bCs w:val="1"/>
                <w:color w:val="auto"/>
              </w:rPr>
              <w:t>Indemnification of Directors and Officers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Subsection (a) of Section 145 of the General Corporation Law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w:t>
      </w: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under Section 174 of the DGCL (providing for liability of directors for unlawful payment of dividends or unlawful stock purchases or redemptions) or</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both"/>
        <w:spacing w:after="0" w:line="297" w:lineRule="auto"/>
        <w:rPr>
          <w:sz w:val="20"/>
          <w:szCs w:val="20"/>
          <w:color w:val="auto"/>
        </w:rPr>
      </w:pPr>
      <w:r>
        <w:rPr>
          <w:rFonts w:ascii="Arial" w:cs="Arial" w:eastAsia="Arial" w:hAnsi="Arial"/>
          <w:sz w:val="16"/>
          <w:szCs w:val="16"/>
          <w:color w:val="auto"/>
        </w:rPr>
        <w:t>Our certificate of incorporation, as amended, provides that a director shall not be personally liable to the Company or its stockholders for monetary damages for breach of fiduciary duty as a director, except for liability (i) for any breach of his or her duty of loyalty to the Company or its stockholders, (ii) for acts or omissions not in good faith or which involve intentional misconduct or a knowing violation of the law, (under Section 174 of the DGCL or (iv) 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4"/>
          </w:tcPr>
          <w:p>
            <w:pPr>
              <w:spacing w:after="0"/>
              <w:rPr>
                <w:sz w:val="20"/>
                <w:szCs w:val="20"/>
                <w:color w:val="auto"/>
              </w:rPr>
            </w:pPr>
            <w:r>
              <w:rPr>
                <w:rFonts w:ascii="Arial" w:cs="Arial" w:eastAsia="Arial" w:hAnsi="Arial"/>
                <w:sz w:val="18"/>
                <w:szCs w:val="18"/>
                <w:color w:val="auto"/>
              </w:rPr>
              <w:t>(a) Exhibits.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60" w:type="dxa"/>
            <w:vAlign w:val="bottom"/>
            <w:gridSpan w:val="11"/>
          </w:tcPr>
          <w:p>
            <w:pPr>
              <w:ind w:left="13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r:id="rId62">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auto"/>
              <w:bottom w:val="single" w:sz="8" w:color="0000EE"/>
            </w:tcBorders>
            <w:gridSpan w:val="12"/>
          </w:tcPr>
          <w:p>
            <w:pPr>
              <w:spacing w:after="0" w:line="170" w:lineRule="exact"/>
              <w:rPr>
                <w:rFonts w:ascii="Arial" w:cs="Arial" w:eastAsia="Arial" w:hAnsi="Arial"/>
                <w:sz w:val="18"/>
                <w:szCs w:val="18"/>
                <w:color w:val="0000EE"/>
                <w:w w:val="98"/>
              </w:rPr>
            </w:pPr>
            <w:hyperlink r:id="rId62">
              <w:r>
                <w:rPr>
                  <w:rFonts w:ascii="Arial" w:cs="Arial" w:eastAsia="Arial" w:hAnsi="Arial"/>
                  <w:sz w:val="18"/>
                  <w:szCs w:val="18"/>
                  <w:color w:val="0000EE"/>
                  <w:w w:val="98"/>
                </w:rPr>
                <w:t>Agreement and Plan of Merger by and among FORM Holdings Corp., FHXMS, LLC, XpresSpa Holdings, LLC, the unitholders of</w:t>
              </w:r>
            </w:hyperlink>
          </w:p>
        </w:tc>
        <w:tc>
          <w:tcPr>
            <w:tcW w:w="40" w:type="dxa"/>
            <w:vAlign w:val="bottom"/>
            <w:tcBorders>
              <w:bottom w:val="single" w:sz="8" w:color="0000EE"/>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62">
              <w:r>
                <w:rPr>
                  <w:rFonts w:ascii="Arial" w:cs="Arial" w:eastAsia="Arial" w:hAnsi="Arial"/>
                  <w:sz w:val="18"/>
                  <w:szCs w:val="18"/>
                  <w:color w:val="0000EE"/>
                  <w:w w:val="93"/>
                </w:rPr>
                <w:t>XpresSpa who are parties thereto and Mistral XH Representative, LLC, as representative of the unitholders, dated as of August 8, 2016</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4"/>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(incorporated by reference to Exhibit 2.1 to our Current Report on Form 8-K filed with the SEC on August 8, 2016)</w:t>
              </w:r>
            </w:hyperlink>
          </w:p>
        </w:tc>
      </w:tr>
      <w:tr>
        <w:trPr>
          <w:trHeight w:val="20"/>
        </w:trPr>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3">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4"/>
          </w:tcPr>
          <w:p>
            <w:pPr>
              <w:spacing w:after="0"/>
              <w:rPr>
                <w:rFonts w:ascii="Arial" w:cs="Arial" w:eastAsia="Arial" w:hAnsi="Arial"/>
                <w:sz w:val="18"/>
                <w:szCs w:val="18"/>
                <w:color w:val="0000EE"/>
                <w:w w:val="94"/>
              </w:rPr>
            </w:pPr>
            <w:hyperlink r:id="rId63">
              <w:r>
                <w:rPr>
                  <w:rFonts w:ascii="Arial" w:cs="Arial" w:eastAsia="Arial" w:hAnsi="Arial"/>
                  <w:sz w:val="18"/>
                  <w:szCs w:val="18"/>
                  <w:color w:val="0000EE"/>
                  <w:w w:val="94"/>
                </w:rPr>
                <w:t>Amendment No. 1 to Agreement and Plan of Merger by and among FORM Holdings Corp., FHXMS, LLC, XpresSpa Holdings, LLC and</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Mistral XH Representative, LLC, as representative of the unitholders, dated September 8, 2016 (incorporated by reference to Exhibit 2.1 to</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4"/>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our Current Report on Form 8-K filed with the SEC on September 9, 2016)</w:t>
              </w:r>
            </w:hyperlink>
          </w:p>
        </w:tc>
      </w:tr>
      <w:tr>
        <w:trPr>
          <w:trHeight w:val="20"/>
        </w:trPr>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4">
              <w:r>
                <w:rPr>
                  <w:rFonts w:ascii="Arial" w:cs="Arial" w:eastAsia="Arial" w:hAnsi="Arial"/>
                  <w:sz w:val="18"/>
                  <w:szCs w:val="18"/>
                  <w:color w:val="0000EE"/>
                  <w:w w:val="87"/>
                </w:rPr>
                <w:t>2.</w:t>
              </w:r>
              <w:r>
                <w:rPr>
                  <w:rFonts w:ascii="Arial" w:cs="Arial" w:eastAsia="Arial" w:hAnsi="Arial"/>
                  <w:sz w:val="18"/>
                  <w:szCs w:val="18"/>
                  <w:u w:val="single" w:color="auto"/>
                  <w:color w:val="0000EE"/>
                  <w:w w:val="87"/>
                </w:rPr>
                <w:t>3</w:t>
              </w:r>
            </w:hyperlink>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4"/>
          </w:tcPr>
          <w:p>
            <w:pPr>
              <w:spacing w:after="0"/>
              <w:rPr>
                <w:rFonts w:ascii="Arial" w:cs="Arial" w:eastAsia="Arial" w:hAnsi="Arial"/>
                <w:sz w:val="18"/>
                <w:szCs w:val="18"/>
                <w:color w:val="0000EE"/>
                <w:w w:val="94"/>
              </w:rPr>
            </w:pPr>
            <w:hyperlink r:id="rId64">
              <w:r>
                <w:rPr>
                  <w:rFonts w:ascii="Arial" w:cs="Arial" w:eastAsia="Arial" w:hAnsi="Arial"/>
                  <w:sz w:val="18"/>
                  <w:szCs w:val="18"/>
                  <w:color w:val="0000EE"/>
                  <w:w w:val="94"/>
                </w:rPr>
                <w:t>Amendment No. 2 to Agreement and Plan of Merger by and among FORM Holdings Corp., FHXMS, LLC, XpresSpa Holdings, LLC and</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Mistral XH Representative, LLC, as representative of the unitholders, dated October 25, 2016 (incorporated by reference to Exhibit 2.1 to</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4"/>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our Current Report on Form 8-K filed with the SEC on October 25, 2016)</w:t>
              </w:r>
            </w:hyperlink>
          </w:p>
        </w:tc>
      </w:tr>
      <w:tr>
        <w:trPr>
          <w:trHeight w:val="20"/>
        </w:trPr>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4"/>
          </w:tcPr>
          <w:p>
            <w:pPr>
              <w:spacing w:after="0"/>
              <w:rPr>
                <w:rFonts w:ascii="Arial" w:cs="Arial" w:eastAsia="Arial" w:hAnsi="Arial"/>
                <w:sz w:val="18"/>
                <w:szCs w:val="18"/>
                <w:color w:val="0000EE"/>
                <w:w w:val="92"/>
              </w:rPr>
            </w:pPr>
            <w:hyperlink r:id="rId65">
              <w:r>
                <w:rPr>
                  <w:rFonts w:ascii="Arial" w:cs="Arial" w:eastAsia="Arial" w:hAnsi="Arial"/>
                  <w:sz w:val="18"/>
                  <w:szCs w:val="18"/>
                  <w:color w:val="0000EE"/>
                  <w:w w:val="92"/>
                </w:rPr>
                <w:t>Amendment to the Certificate of Designation, Preferences, Rights and Limitations of the Series E Convertible Preferred Stock, dated as of</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July 8, 2019 (incorporated by reference to Exhibit 3.1 to our Current Report on Form 8-K filed with the SEC on July 8, 2019)</w:t>
              </w:r>
            </w:hyperlink>
          </w:p>
        </w:tc>
        <w:tc>
          <w:tcPr>
            <w:tcW w:w="1080" w:type="dxa"/>
            <w:vAlign w:val="bottom"/>
            <w:gridSpan w:val="5"/>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4"/>
          </w:tcPr>
          <w:p>
            <w:pPr>
              <w:spacing w:after="0"/>
              <w:rPr>
                <w:rFonts w:ascii="Arial" w:cs="Arial" w:eastAsia="Arial" w:hAnsi="Arial"/>
                <w:sz w:val="18"/>
                <w:szCs w:val="18"/>
                <w:color w:val="0000EE"/>
                <w:w w:val="95"/>
              </w:rPr>
            </w:pPr>
            <w:hyperlink r:id="rId66">
              <w:r>
                <w:rPr>
                  <w:rFonts w:ascii="Arial" w:cs="Arial" w:eastAsia="Arial" w:hAnsi="Arial"/>
                  <w:sz w:val="18"/>
                  <w:szCs w:val="18"/>
                  <w:color w:val="0000EE"/>
                  <w:w w:val="95"/>
                </w:rPr>
                <w:t>Form of Amendment to the Certificate of Designation, Preferences, Rights and Limitations of the Series D Convertible Preferred Stock</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4"/>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(incorporated by reference to Exhibit 3.2 to our Current Report on Form 8-K filed with the SEC on July 8, 2019)</w:t>
              </w:r>
            </w:hyperlink>
          </w:p>
        </w:tc>
      </w:tr>
      <w:tr>
        <w:trPr>
          <w:trHeight w:val="20"/>
        </w:trPr>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4"/>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Form of Certificate of Designation, Preferences, Rights and Limitations of the Series F Convertible Preferred Stock, dated as of July 8, 2019</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9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4"/>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(incorporated by reference to Exhibit 3.3 to our Current Report on Form 8-K filed with the SEC on July 8, 2019)</w:t>
              </w:r>
            </w:hyperlink>
          </w:p>
        </w:tc>
      </w:tr>
      <w:tr>
        <w:trPr>
          <w:trHeight w:val="20"/>
        </w:trPr>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4"/>
          </w:tcPr>
          <w:p>
            <w:pPr>
              <w:spacing w:after="0"/>
              <w:rPr>
                <w:rFonts w:ascii="Arial" w:cs="Arial" w:eastAsia="Arial" w:hAnsi="Arial"/>
                <w:sz w:val="18"/>
                <w:szCs w:val="18"/>
                <w:color w:val="0000EE"/>
                <w:w w:val="93"/>
              </w:rPr>
            </w:pPr>
            <w:hyperlink r:id="rId68">
              <w:r>
                <w:rPr>
                  <w:rFonts w:ascii="Arial" w:cs="Arial" w:eastAsia="Arial" w:hAnsi="Arial"/>
                  <w:sz w:val="18"/>
                  <w:szCs w:val="18"/>
                  <w:color w:val="0000EE"/>
                  <w:w w:val="93"/>
                </w:rPr>
                <w:t>Certificate of Elimination of Shares of Series B Convertible Preferred Stock, dated as of July 8, 2019 (incorporated by reference to Exhibit</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9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4"/>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3.</w:t>
              </w:r>
              <w:r>
                <w:rPr>
                  <w:rFonts w:ascii="Arial" w:cs="Arial" w:eastAsia="Arial" w:hAnsi="Arial"/>
                  <w:sz w:val="18"/>
                  <w:szCs w:val="18"/>
                  <w:u w:val="single" w:color="auto"/>
                  <w:color w:val="0000EE"/>
                </w:rPr>
                <w:t>4</w:t>
              </w:r>
              <w:r>
                <w:rPr>
                  <w:rFonts w:ascii="Arial" w:cs="Arial" w:eastAsia="Arial" w:hAnsi="Arial"/>
                  <w:sz w:val="18"/>
                  <w:szCs w:val="18"/>
                  <w:color w:val="0000EE"/>
                </w:rPr>
                <w:t xml:space="preserve"> to our Current Report on Form 8-K filed with the SEC on July 8, 2019)</w:t>
              </w:r>
            </w:hyperlink>
          </w:p>
        </w:tc>
      </w:tr>
      <w:tr>
        <w:trPr>
          <w:trHeight w:val="20"/>
        </w:trPr>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13"/>
          </w:tcPr>
          <w:p>
            <w:pPr>
              <w:ind w:left="20"/>
              <w:spacing w:after="0"/>
              <w:rPr>
                <w:rFonts w:ascii="Arial" w:cs="Arial" w:eastAsia="Arial" w:hAnsi="Arial"/>
                <w:sz w:val="18"/>
                <w:szCs w:val="18"/>
                <w:color w:val="0000EE"/>
                <w:w w:val="97"/>
              </w:rPr>
            </w:pPr>
            <w:hyperlink r:id="rId69">
              <w:r>
                <w:rPr>
                  <w:rFonts w:ascii="Arial" w:cs="Arial" w:eastAsia="Arial" w:hAnsi="Arial"/>
                  <w:sz w:val="18"/>
                  <w:szCs w:val="18"/>
                  <w:color w:val="0000EE"/>
                  <w:w w:val="97"/>
                </w:rPr>
                <w:t>Form of Calm Note (incorporated by reference to Exhibit 4.1 to our Current Report on Form 8-K filed with the SEC on July 8, 2019)</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39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4"/>
          </w:tcPr>
          <w:p>
            <w:pPr>
              <w:spacing w:after="0"/>
              <w:rPr>
                <w:rFonts w:ascii="Arial" w:cs="Arial" w:eastAsia="Arial" w:hAnsi="Arial"/>
                <w:sz w:val="18"/>
                <w:szCs w:val="18"/>
                <w:color w:val="0000EE"/>
                <w:w w:val="93"/>
              </w:rPr>
            </w:pPr>
            <w:hyperlink r:id="rId70">
              <w:r>
                <w:rPr>
                  <w:rFonts w:ascii="Arial" w:cs="Arial" w:eastAsia="Arial" w:hAnsi="Arial"/>
                  <w:sz w:val="18"/>
                  <w:szCs w:val="18"/>
                  <w:color w:val="0000EE"/>
                  <w:w w:val="93"/>
                </w:rPr>
                <w:t>Form of Calm Warrant to Purchase Common Stock (incorporated by reference to Exhibit 4.2 to our Current Report on Form 8-K filed with</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39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the SEC on July 8, 2019)</w:t>
              </w:r>
            </w:hyperlink>
          </w:p>
        </w:tc>
        <w:tc>
          <w:tcPr>
            <w:tcW w:w="8360" w:type="dxa"/>
            <w:vAlign w:val="bottom"/>
            <w:gridSpan w:val="12"/>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4"/>
          </w:tcPr>
          <w:p>
            <w:pPr>
              <w:spacing w:after="0"/>
              <w:rPr>
                <w:rFonts w:ascii="Arial" w:cs="Arial" w:eastAsia="Arial" w:hAnsi="Arial"/>
                <w:sz w:val="18"/>
                <w:szCs w:val="18"/>
                <w:color w:val="0000EE"/>
                <w:w w:val="98"/>
              </w:rPr>
            </w:pPr>
            <w:hyperlink r:id="rId71">
              <w:r>
                <w:rPr>
                  <w:rFonts w:ascii="Arial" w:cs="Arial" w:eastAsia="Arial" w:hAnsi="Arial"/>
                  <w:sz w:val="18"/>
                  <w:szCs w:val="18"/>
                  <w:color w:val="0000EE"/>
                  <w:w w:val="98"/>
                </w:rPr>
                <w:t>Form of B3D Note (incorporated by reference to Exhibit 4.3 to our Current Report on Form 8-K filed with the SEC on July 8, 2019)</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398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4"/>
          </w:tcPr>
          <w:p>
            <w:pPr>
              <w:spacing w:after="0"/>
              <w:rPr>
                <w:rFonts w:ascii="Arial" w:cs="Arial" w:eastAsia="Arial" w:hAnsi="Arial"/>
                <w:sz w:val="18"/>
                <w:szCs w:val="18"/>
                <w:color w:val="0000EE"/>
                <w:w w:val="92"/>
              </w:rPr>
            </w:pPr>
            <w:hyperlink r:id="rId72">
              <w:r>
                <w:rPr>
                  <w:rFonts w:ascii="Arial" w:cs="Arial" w:eastAsia="Arial" w:hAnsi="Arial"/>
                  <w:sz w:val="18"/>
                  <w:szCs w:val="18"/>
                  <w:color w:val="0000EE"/>
                  <w:w w:val="92"/>
                </w:rPr>
                <w:t>Form of December 2016 Warrant Amendment, dated as of July 8, 2019 (incorporated by reference to Exhibit 4.4 to our Current Report on</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4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Form 8-K filed with the SEC on July 8, 2019)</w:t>
              </w:r>
            </w:hyperlink>
          </w:p>
        </w:tc>
        <w:tc>
          <w:tcPr>
            <w:tcW w:w="6860" w:type="dxa"/>
            <w:vAlign w:val="bottom"/>
            <w:gridSpan w:val="11"/>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4"/>
          </w:tcPr>
          <w:p>
            <w:pPr>
              <w:spacing w:after="0"/>
              <w:rPr>
                <w:rFonts w:ascii="Arial" w:cs="Arial" w:eastAsia="Arial" w:hAnsi="Arial"/>
                <w:sz w:val="18"/>
                <w:szCs w:val="18"/>
                <w:color w:val="0000EE"/>
                <w:w w:val="92"/>
              </w:rPr>
            </w:pPr>
            <w:hyperlink r:id="rId73">
              <w:r>
                <w:rPr>
                  <w:rFonts w:ascii="Arial" w:cs="Arial" w:eastAsia="Arial" w:hAnsi="Arial"/>
                  <w:sz w:val="18"/>
                  <w:szCs w:val="18"/>
                  <w:color w:val="0000EE"/>
                  <w:w w:val="92"/>
                </w:rPr>
                <w:t>Subscription Agreement by and between FORM Holdings Corp., each purchaser identified on the signature pages thereto, and Mistral XH</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gridSpan w:val="5"/>
            <w:shd w:val="clear" w:color="auto" w:fill="0000EE"/>
          </w:tcPr>
          <w:p>
            <w:pPr>
              <w:spacing w:after="0" w:line="20" w:lineRule="exact"/>
              <w:rPr>
                <w:sz w:val="1"/>
                <w:szCs w:val="1"/>
                <w:color w:val="auto"/>
              </w:rPr>
            </w:pPr>
          </w:p>
        </w:tc>
        <w:tc>
          <w:tcPr>
            <w:tcW w:w="44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Representative, LLC (incorporated by reference to Exhibit 10.1 to our Current Report on Form 8-K filed with the SEC on August 8, 2016)</w:t>
              </w:r>
            </w:hyperlink>
          </w:p>
        </w:tc>
        <w:tc>
          <w:tcPr>
            <w:tcW w:w="200" w:type="dxa"/>
            <w:vAlign w:val="bottom"/>
            <w:gridSpan w:val="2"/>
          </w:tcPr>
          <w:p>
            <w:pPr>
              <w:spacing w:after="0"/>
              <w:rPr>
                <w:sz w:val="17"/>
                <w:szCs w:val="17"/>
                <w:color w:val="auto"/>
              </w:rPr>
            </w:pPr>
          </w:p>
        </w:tc>
      </w:tr>
      <w:tr>
        <w:trPr>
          <w:trHeight w:val="453"/>
        </w:trPr>
        <w:tc>
          <w:tcPr>
            <w:tcW w:w="420" w:type="dxa"/>
            <w:vAlign w:val="bottom"/>
            <w:gridSpan w:val="3"/>
          </w:tcPr>
          <w:p>
            <w:pPr>
              <w:spacing w:after="0"/>
              <w:rPr>
                <w:sz w:val="20"/>
                <w:szCs w:val="20"/>
                <w:color w:val="auto"/>
              </w:rPr>
            </w:pPr>
            <w:r>
              <w:rPr>
                <w:rFonts w:ascii="Arial" w:cs="Arial" w:eastAsia="Arial" w:hAnsi="Arial"/>
                <w:sz w:val="18"/>
                <w:szCs w:val="18"/>
                <w:color w:val="auto"/>
              </w:rPr>
              <w:t>5.1**</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Arial" w:cs="Arial" w:eastAsia="Arial" w:hAnsi="Arial"/>
                <w:sz w:val="18"/>
                <w:szCs w:val="18"/>
                <w:color w:val="auto"/>
              </w:rPr>
              <w:t>Opinion of Mintz, Levin, Cohn, Ferris, Glovsky and Popeo, P.C. regarding legality of securities being registered</w:t>
            </w:r>
          </w:p>
        </w:tc>
      </w:tr>
      <w:tr>
        <w:trPr>
          <w:trHeight w:val="392"/>
        </w:trPr>
        <w:tc>
          <w:tcPr>
            <w:tcW w:w="420" w:type="dxa"/>
            <w:vAlign w:val="bottom"/>
            <w:gridSpan w:val="3"/>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Arial" w:cs="Arial" w:eastAsia="Arial" w:hAnsi="Arial"/>
                <w:sz w:val="18"/>
                <w:szCs w:val="18"/>
                <w:color w:val="0000EE"/>
              </w:rPr>
              <w:t>Consent of CohnReznick LLP, independent registered public accounting firm</w:t>
            </w:r>
          </w:p>
        </w:tc>
      </w:tr>
      <w:tr>
        <w:trPr>
          <w:trHeight w:val="20"/>
        </w:trPr>
        <w:tc>
          <w:tcPr>
            <w:tcW w:w="42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gridSpan w:val="5"/>
            <w:shd w:val="clear" w:color="auto" w:fill="0000EE"/>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r>
      <w:tr>
        <w:trPr>
          <w:trHeight w:val="453"/>
        </w:trPr>
        <w:tc>
          <w:tcPr>
            <w:tcW w:w="1160" w:type="dxa"/>
            <w:vAlign w:val="bottom"/>
            <w:gridSpan w:val="4"/>
          </w:tcPr>
          <w:p>
            <w:pPr>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Arial" w:cs="Arial" w:eastAsia="Arial" w:hAnsi="Arial"/>
                <w:sz w:val="18"/>
                <w:szCs w:val="18"/>
                <w:color w:val="auto"/>
              </w:rPr>
              <w:t>Consent of Mintz, Levin, Cohn, Ferris, Glovsky and Popeo, P.C. (included in Exhibit 5.1)</w:t>
            </w:r>
          </w:p>
        </w:tc>
      </w:tr>
    </w:tbl>
    <w:p>
      <w:pPr>
        <w:spacing w:after="0" w:line="202" w:lineRule="exact"/>
        <w:rPr>
          <w:sz w:val="20"/>
          <w:szCs w:val="20"/>
          <w:color w:val="auto"/>
        </w:rPr>
      </w:pPr>
    </w:p>
    <w:p>
      <w:pPr>
        <w:ind w:left="1260" w:hanging="1252"/>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1252"/>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ind w:left="1260" w:hanging="1252"/>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099" w:gutter="0" w:footer="0" w:header="0"/>
        </w:sectPr>
      </w:pPr>
    </w:p>
    <w:bookmarkStart w:id="37" w:name="page38"/>
    <w:bookmarkEnd w:id="37"/>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60" w:hanging="455"/>
        <w:spacing w:after="0"/>
        <w:tabs>
          <w:tab w:leader="none" w:pos="17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1760" w:hanging="455"/>
        <w:spacing w:after="0" w:line="272" w:lineRule="auto"/>
        <w:tabs>
          <w:tab w:leader="none" w:pos="1760" w:val="left"/>
        </w:tabs>
        <w:numPr>
          <w:ilvl w:val="2"/>
          <w:numId w:val="2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760" w:hanging="455"/>
        <w:spacing w:after="0" w:line="277" w:lineRule="auto"/>
        <w:tabs>
          <w:tab w:leader="none" w:pos="17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however, that paragraphs (a)(1)(i), (a)(1)(ii) and (a)(1)(iii) of this section do not apply if the registration statement is on Form S–3 (§239.13 of this chapter) or Form F–3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(§230.424(b) of this chapter) that is part of the registration statement.</w:t>
      </w:r>
    </w:p>
    <w:p>
      <w:pPr>
        <w:spacing w:after="0" w:line="188" w:lineRule="exact"/>
        <w:rPr>
          <w:sz w:val="20"/>
          <w:szCs w:val="20"/>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324" w:hanging="324"/>
        <w:spacing w:after="0" w:line="277"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104" w:hanging="455"/>
        <w:spacing w:after="0"/>
        <w:tabs>
          <w:tab w:leader="none" w:pos="1104"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the registrant is relying on Rule 430B (§230.430B of this chapter):</w:t>
      </w:r>
    </w:p>
    <w:p>
      <w:pPr>
        <w:spacing w:after="0" w:line="225" w:lineRule="exact"/>
        <w:rPr>
          <w:rFonts w:ascii="Arial" w:cs="Arial" w:eastAsia="Arial" w:hAnsi="Arial"/>
          <w:sz w:val="18"/>
          <w:szCs w:val="18"/>
          <w:color w:val="auto"/>
        </w:rPr>
      </w:pPr>
    </w:p>
    <w:p>
      <w:pPr>
        <w:jc w:val="both"/>
        <w:ind w:left="1624" w:hanging="327"/>
        <w:spacing w:after="0" w:line="264" w:lineRule="auto"/>
        <w:tabs>
          <w:tab w:leader="none" w:pos="1624" w:val="left"/>
        </w:tabs>
        <w:numPr>
          <w:ilvl w:val="2"/>
          <w:numId w:val="2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(§230.424(b)(3) of this chapter) shall be deemed to be part of the registration statement as of the date the filed prospectus was deemed part of and included in the registration statement; and</w:t>
      </w:r>
    </w:p>
    <w:p>
      <w:pPr>
        <w:spacing w:after="0" w:line="181" w:lineRule="exact"/>
        <w:rPr>
          <w:rFonts w:ascii="Arial" w:cs="Arial" w:eastAsia="Arial" w:hAnsi="Arial"/>
          <w:sz w:val="18"/>
          <w:szCs w:val="18"/>
          <w:color w:val="auto"/>
        </w:rPr>
      </w:pPr>
    </w:p>
    <w:p>
      <w:pPr>
        <w:jc w:val="both"/>
        <w:ind w:left="1624" w:hanging="327"/>
        <w:spacing w:after="0" w:line="268" w:lineRule="auto"/>
        <w:tabs>
          <w:tab w:leader="none" w:pos="1624" w:val="left"/>
        </w:tabs>
        <w:numPr>
          <w:ilvl w:val="2"/>
          <w:numId w:val="25"/>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(§230.424(b)(2), (b)(5), or (b)(7) of this chapter) as part of a registration statement in reliance on Rule 430B relating to an offering made pursuant to Rule 415(a)(1)(i), (vii), or (x) (§230.415(a)(1)(i), (vii), or (x) of this chapter)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5" w:lineRule="exact"/>
        <w:rPr>
          <w:rFonts w:ascii="Arial" w:cs="Arial" w:eastAsia="Arial" w:hAnsi="Arial"/>
          <w:sz w:val="17"/>
          <w:szCs w:val="17"/>
          <w:color w:val="auto"/>
        </w:rPr>
      </w:pPr>
    </w:p>
    <w:p>
      <w:pPr>
        <w:jc w:val="both"/>
        <w:ind w:left="1104" w:hanging="455"/>
        <w:spacing w:after="0" w:line="271" w:lineRule="auto"/>
        <w:tabs>
          <w:tab w:leader="none" w:pos="1104" w:val="left"/>
        </w:tabs>
        <w:numPr>
          <w:ilvl w:val="1"/>
          <w:numId w:val="25"/>
        </w:numPr>
        <w:rPr>
          <w:rFonts w:ascii="Arial" w:cs="Arial" w:eastAsia="Arial" w:hAnsi="Arial"/>
          <w:sz w:val="17"/>
          <w:szCs w:val="17"/>
          <w:color w:val="auto"/>
        </w:rPr>
      </w:pPr>
      <w:r>
        <w:rPr>
          <w:rFonts w:ascii="Arial" w:cs="Arial" w:eastAsia="Arial" w:hAnsi="Arial"/>
          <w:sz w:val="17"/>
          <w:szCs w:val="17"/>
          <w:color w:val="auto"/>
        </w:rPr>
        <w:t>If the registrant is subject to Rule 430C (§230.430C of this chapter),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8" w:lineRule="exact"/>
        <w:rPr>
          <w:rFonts w:ascii="Arial" w:cs="Arial" w:eastAsia="Arial" w:hAnsi="Arial"/>
          <w:sz w:val="17"/>
          <w:szCs w:val="17"/>
          <w:color w:val="auto"/>
        </w:rPr>
      </w:pPr>
    </w:p>
    <w:p>
      <w:pPr>
        <w:ind w:left="324" w:hanging="324"/>
        <w:spacing w:after="0" w:line="277"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rFonts w:ascii="Arial" w:cs="Arial" w:eastAsia="Arial" w:hAnsi="Arial"/>
          <w:sz w:val="18"/>
          <w:szCs w:val="18"/>
          <w:color w:val="auto"/>
        </w:rPr>
      </w:pPr>
    </w:p>
    <w:p>
      <w:pPr>
        <w:jc w:val="both"/>
        <w:ind w:left="324"/>
        <w:spacing w:after="0" w:line="259"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6" w:lineRule="exact"/>
        <w:rPr>
          <w:rFonts w:ascii="Arial" w:cs="Arial" w:eastAsia="Arial" w:hAnsi="Arial"/>
          <w:sz w:val="18"/>
          <w:szCs w:val="18"/>
          <w:color w:val="auto"/>
        </w:rPr>
      </w:pPr>
    </w:p>
    <w:p>
      <w:pPr>
        <w:ind w:left="1104" w:right="20" w:hanging="455"/>
        <w:spacing w:after="0" w:line="277" w:lineRule="auto"/>
        <w:tabs>
          <w:tab w:leader="none" w:pos="110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3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9" w:name="page40"/>
    <w:bookmarkEnd w:id="39"/>
    <w:p>
      <w:pPr>
        <w:ind w:left="1760" w:right="20" w:hanging="455"/>
        <w:spacing w:after="0" w:line="277"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760" w:hanging="455"/>
        <w:spacing w:after="0" w:line="277"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760" w:hanging="455"/>
        <w:spacing w:after="0"/>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this Form S-3 and has duly caused this Registration Statement to be signed on its behalf by the undersigned, thereunto duly authorized, in the City of New York, New York on the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August, 2019.</w:t>
      </w:r>
    </w:p>
    <w:p>
      <w:pPr>
        <w:spacing w:after="0" w:line="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XpresSpa Group, Inc.</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Douglas Satzman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-130810</wp:posOffset>
            </wp:positionV>
            <wp:extent cx="35331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KNOW ALL MEN BY THESE PRESENTS, that each of the undersigned directors and officers of XpresSpa Group, Inc. constitutes and appoints Douglas Satzman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attorneys-in-fact and agents, with full power to act alone, full power and authority to do and perform each and every act and thing requisite and necessary to be done in and about the premises, as fully to all intents and purposes as he or she might or could do in person, and hereby ratifying and confirming all that the said attorney-in-fact and agent, or his substitute or substitute, may lawfully do or cause to be done by virtue hereof.</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3760" w:type="dxa"/>
            <w:vAlign w:val="bottom"/>
            <w:tcBorders>
              <w:bottom w:val="single" w:sz="8" w:color="auto"/>
            </w:tcBorders>
          </w:tcPr>
          <w:p>
            <w:pPr>
              <w:ind w:left="170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r>
      <w:tr>
        <w:trPr>
          <w:trHeight w:val="43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Satzman</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August 22, 2019</w:t>
            </w:r>
          </w:p>
        </w:tc>
        <w:tc>
          <w:tcPr>
            <w:tcW w:w="100" w:type="dxa"/>
            <w:vAlign w:val="bottom"/>
          </w:tcPr>
          <w:p>
            <w:pPr>
              <w:spacing w:after="0"/>
              <w:rPr>
                <w:sz w:val="24"/>
                <w:szCs w:val="24"/>
                <w:color w:val="auto"/>
              </w:rPr>
            </w:pPr>
          </w:p>
        </w:tc>
      </w:tr>
      <w:tr>
        <w:trPr>
          <w:trHeight w:val="188"/>
        </w:trPr>
        <w:tc>
          <w:tcPr>
            <w:tcW w:w="3900" w:type="dxa"/>
            <w:vAlign w:val="bottom"/>
          </w:tcPr>
          <w:p>
            <w:pPr>
              <w:spacing w:after="0" w:line="189" w:lineRule="exact"/>
              <w:rPr>
                <w:sz w:val="20"/>
                <w:szCs w:val="20"/>
                <w:color w:val="auto"/>
              </w:rPr>
            </w:pPr>
            <w:r>
              <w:rPr>
                <w:rFonts w:ascii="Arial" w:cs="Arial" w:eastAsia="Arial" w:hAnsi="Arial"/>
                <w:sz w:val="18"/>
                <w:szCs w:val="18"/>
                <w:color w:val="auto"/>
              </w:rPr>
              <w:t>Douglas Satzman</w:t>
            </w:r>
          </w:p>
        </w:tc>
        <w:tc>
          <w:tcPr>
            <w:tcW w:w="410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(Principal Executive Officer, Principal Financial</w:t>
            </w: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900" w:type="dxa"/>
            <w:vAlign w:val="bottom"/>
          </w:tcPr>
          <w:p>
            <w:pPr>
              <w:spacing w:after="0"/>
              <w:rPr>
                <w:sz w:val="20"/>
                <w:szCs w:val="20"/>
                <w:color w:val="auto"/>
              </w:rPr>
            </w:pP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Officer and Principal Accounting Officer)</w:t>
            </w: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T. Bernstein</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Director, Chairman of the Board of Directors</w:t>
            </w: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August 22, 2019</w:t>
            </w:r>
          </w:p>
        </w:tc>
        <w:tc>
          <w:tcPr>
            <w:tcW w:w="10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Bruce T. Bernstein</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Salvatore Giardina</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August 22, 2019</w:t>
            </w:r>
          </w:p>
        </w:tc>
        <w:tc>
          <w:tcPr>
            <w:tcW w:w="10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Salvatore Giardina</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E. Stout</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August 22, 2019</w:t>
            </w:r>
          </w:p>
        </w:tc>
        <w:tc>
          <w:tcPr>
            <w:tcW w:w="10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Donald E. Stout</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R. Heyer</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August 22, 2019</w:t>
            </w:r>
          </w:p>
        </w:tc>
        <w:tc>
          <w:tcPr>
            <w:tcW w:w="10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Andrew R. Heyer</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4"/>
        </w:trPr>
        <w:tc>
          <w:tcPr>
            <w:tcW w:w="39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ind w:left="172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23.1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We consent to the incorporation by reference in this Registration Statement on Form S-3 of XpresSpa Group, Inc. of our report dated April 1, 2019 with respect to our audits of the consolidated financial statements of XpresSpa Group, Inc. (which includes an explanatory paragraph relating to the Company’s ability to continue as a going concern), as of and for the years ended December 31, 2018 and 2017, which appear in the Annual Report on Form 10-K of XpresSpa Group Inc. for the year ended December 31, 2018. We also consent to the reference to our firm under the caption “Experts” in the Prospectus, which is part of this Registration Statement.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 CohnReznick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Jericho,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August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lvl w:ilvl="1">
      <w:lvlJc w:val="left"/>
      <w:lvlText w:val="(%2)"/>
      <w:numFmt w:val="lowerRoman"/>
      <w:start w:val="1"/>
    </w:lvl>
  </w:abstractNum>
  <w:abstractNum w:abstractNumId="1">
    <w:nsid w:val="7FDCC233"/>
    <w:multiLevelType w:val="hybridMultilevel"/>
    <w:lvl w:ilvl="0">
      <w:lvlJc w:val="left"/>
      <w:lvlText w:val="(%1)"/>
      <w:numFmt w:val="lowerRoman"/>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lowerRoman"/>
      <w:start w:val="1"/>
    </w:lvl>
  </w:abstractNum>
  <w:abstractNum w:abstractNumId="11">
    <w:nsid w:val="257130A3"/>
    <w:multiLevelType w:val="hybridMultilevel"/>
    <w:lvl w:ilvl="0">
      <w:lvlJc w:val="left"/>
      <w:lvlText w:val="(%1)"/>
      <w:numFmt w:val="lowerRoman"/>
      <w:start w:val="8"/>
    </w:lvl>
  </w:abstractNum>
  <w:abstractNum w:abstractNumId="12">
    <w:nsid w:val="62BBD95A"/>
    <w:multiLevelType w:val="hybridMultilevel"/>
    <w:lvl w:ilvl="0">
      <w:lvlJc w:val="left"/>
      <w:lvlText w:val="*"/>
      <w:numFmt w:val="bullet"/>
      <w:start w:val="1"/>
    </w:lvl>
    <w:lvl w:ilvl="1">
      <w:lvlJc w:val="left"/>
      <w:lvlText w:val="(%2)"/>
      <w:numFmt w:val="decimal"/>
      <w:start w:val="1"/>
    </w:lvl>
  </w:abstractNum>
  <w:abstractNum w:abstractNumId="13">
    <w:nsid w:val="436C6125"/>
    <w:multiLevelType w:val="hybridMultilevel"/>
    <w:lvl w:ilvl="0">
      <w:lvlJc w:val="left"/>
      <w:lvlText w:val="(%1)"/>
      <w:numFmt w:val="lowerRoman"/>
      <w:start w:val="2"/>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lowerRoman"/>
      <w:start w:val="3"/>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3">
    <w:nsid w:val="4353D0CD"/>
    <w:multiLevelType w:val="hybridMultilevel"/>
    <w:lvl w:ilvl="0">
      <w:lvlJc w:val="left"/>
      <w:lvlText w:val="(%1)"/>
      <w:numFmt w:val="decimal"/>
      <w:start w:val="2"/>
    </w:lvl>
  </w:abstractNum>
  <w:abstractNum w:abstractNumId="24">
    <w:nsid w:val="B03E0C6"/>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25">
    <w:nsid w:val="189A769B"/>
    <w:multiLevelType w:val="hybridMultilevel"/>
    <w:lvl w:ilvl="0">
      <w:lvlJc w:val="left"/>
      <w:lvlText w:val="%1"/>
      <w:numFmt w:val="lowerLetter"/>
      <w:start w:val="1"/>
    </w:lvl>
    <w:lvl w:ilvl="1">
      <w:lvlJc w:val="left"/>
      <w:lvlText w:val="(%2)"/>
      <w:numFmt w:val="lowerRoman"/>
      <w:start w:val="2"/>
    </w:lvl>
  </w:abstractNum>
  <w:abstractNum w:abstractNumId="26">
    <w:nsid w:val="54E49EB4"/>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74" Type="http://schemas.openxmlformats.org/officeDocument/2006/relationships/image" Target="media/image40.png"/><Relationship Id="rId75" Type="http://schemas.openxmlformats.org/officeDocument/2006/relationships/image" Target="media/image41.png"/><Relationship Id="rId76" Type="http://schemas.openxmlformats.org/officeDocument/2006/relationships/image" Target="media/image42.png"/><Relationship Id="rId77" Type="http://schemas.openxmlformats.org/officeDocument/2006/relationships/image" Target="media/image43.png"/><Relationship Id="rId78" Type="http://schemas.openxmlformats.org/officeDocument/2006/relationships/image" Target="media/image44.png"/><Relationship Id="rId79" Type="http://schemas.openxmlformats.org/officeDocument/2006/relationships/image" Target="media/image45.png"/><Relationship Id="rId18" Type="http://schemas.openxmlformats.org/officeDocument/2006/relationships/hyperlink" Target="http://www.sec.gov/Archives/edgar/data/1410428/000114420419017496/tv516017_10k.htm" TargetMode="External"/><Relationship Id="rId44" Type="http://schemas.openxmlformats.org/officeDocument/2006/relationships/hyperlink" Target="http://www.sec.gov/Archives/edgar/data/1410428/000114420419022522/tv519608_10ka.htm" TargetMode="External"/><Relationship Id="rId45" Type="http://schemas.openxmlformats.org/officeDocument/2006/relationships/hyperlink" Target="http://www.sec.gov/Archives/edgar/data/1410428/000114420419026665/tv520725_10q.htm" TargetMode="External"/><Relationship Id="rId46" Type="http://schemas.openxmlformats.org/officeDocument/2006/relationships/hyperlink" Target="http://www.sec.gov/Archives/edgar/data/1410428/000114420419040130/tv527296_10q.htm" TargetMode="External"/><Relationship Id="rId47" Type="http://schemas.openxmlformats.org/officeDocument/2006/relationships/hyperlink" Target="http://www.sec.gov/Archives/edgar/data/1410428/000114420419007309/tv513163_8k.htm" TargetMode="External"/><Relationship Id="rId48" Type="http://schemas.openxmlformats.org/officeDocument/2006/relationships/hyperlink" Target="http://www.sec.gov/Archives/edgar/data/1410428/000114420419009610/tv514467_8k.htm" TargetMode="External"/><Relationship Id="rId49" Type="http://schemas.openxmlformats.org/officeDocument/2006/relationships/hyperlink" Target="http://www.sec.gov/Archives/edgar/data/1410428/000114420419014325/tv516349_8k.htm" TargetMode="External"/><Relationship Id="rId50" Type="http://schemas.openxmlformats.org/officeDocument/2006/relationships/hyperlink" Target="http://www.sec.gov/Archives/edgar/data/1410428/000114420419015650/tv516755_8k.htm" TargetMode="External"/><Relationship Id="rId51" Type="http://schemas.openxmlformats.org/officeDocument/2006/relationships/hyperlink" Target="http://www.sec.gov/Archives/edgar/data/1410428/000114420419022528/tv520089_8k.htm" TargetMode="External"/><Relationship Id="rId52" Type="http://schemas.openxmlformats.org/officeDocument/2006/relationships/hyperlink" Target="http://www.sec.gov/Archives/edgar/data/1410428/000114420419027101/tv521899_8k.htm" TargetMode="External"/><Relationship Id="rId53" Type="http://schemas.openxmlformats.org/officeDocument/2006/relationships/hyperlink" Target="http://www.sec.gov/Archives/edgar/data/1410428/000114420419031189/tv523626_8k.htm" TargetMode="External"/><Relationship Id="rId54" Type="http://schemas.openxmlformats.org/officeDocument/2006/relationships/hyperlink" Target="http://www.sec.gov/Archives/edgar/data/1410428/000114420419032532/tv524367_8k.htm" TargetMode="External"/><Relationship Id="rId55" Type="http://schemas.openxmlformats.org/officeDocument/2006/relationships/hyperlink" Target="http://www.sec.gov/Archives/edgar/data/1410428/000114420419033939/tv524856_8k.htm" TargetMode="External"/><Relationship Id="rId56" Type="http://schemas.openxmlformats.org/officeDocument/2006/relationships/hyperlink" Target="http://www.sec.gov/Archives/edgar/data/1410428/000114420419034328/tv525020_8k.htm" TargetMode="External"/><Relationship Id="rId57" Type="http://schemas.openxmlformats.org/officeDocument/2006/relationships/hyperlink" Target="http://www.sec.gov/Archives/edgar/data/1410428/000114420416089194/v434658_8a12b.htm" TargetMode="External"/><Relationship Id="rId62" Type="http://schemas.openxmlformats.org/officeDocument/2006/relationships/hyperlink" Target="http://www.sec.gov/Archives/edgar/data/1410428/000114420416117230/v446257_ex2-1.htm" TargetMode="External"/><Relationship Id="rId63" Type="http://schemas.openxmlformats.org/officeDocument/2006/relationships/hyperlink" Target="http://www.sec.gov/Archives/edgar/data/1410428/000114420416123414/v448507_ex2-1.htm" TargetMode="External"/><Relationship Id="rId64" Type="http://schemas.openxmlformats.org/officeDocument/2006/relationships/hyperlink" Target="http://www.sec.gov/Archives/edgar/data/1410428/000114420416129472/v451220_ex2-1.htm" TargetMode="External"/><Relationship Id="rId65" Type="http://schemas.openxmlformats.org/officeDocument/2006/relationships/hyperlink" Target="http://www.sec.gov/Archives/edgar/data/1410428/000114420419033939/tv524856_ex3-1.htm" TargetMode="External"/><Relationship Id="rId66" Type="http://schemas.openxmlformats.org/officeDocument/2006/relationships/hyperlink" Target="http://www.sec.gov/Archives/edgar/data/1410428/000114420419033939/tv524856_ex3-2.htm" TargetMode="External"/><Relationship Id="rId67" Type="http://schemas.openxmlformats.org/officeDocument/2006/relationships/hyperlink" Target="http://www.sec.gov/Archives/edgar/data/1410428/000114420419033939/tv524856_ex3-3.htm" TargetMode="External"/><Relationship Id="rId68" Type="http://schemas.openxmlformats.org/officeDocument/2006/relationships/hyperlink" Target="http://www.sec.gov/Archives/edgar/data/1410428/000114420419033939/tv524856_ex3-4.htm" TargetMode="External"/><Relationship Id="rId69" Type="http://schemas.openxmlformats.org/officeDocument/2006/relationships/hyperlink" Target="http://www.sec.gov/Archives/edgar/data/1410428/000114420419033939/tv524856_ex4-1.htm" TargetMode="External"/><Relationship Id="rId70" Type="http://schemas.openxmlformats.org/officeDocument/2006/relationships/hyperlink" Target="http://www.sec.gov/Archives/edgar/data/1410428/000114420419033939/tv524856_ex4-2.htm" TargetMode="External"/><Relationship Id="rId71" Type="http://schemas.openxmlformats.org/officeDocument/2006/relationships/hyperlink" Target="http://www.sec.gov/Archives/edgar/data/1410428/000114420419033939/tv524856_ex4-3.htm" TargetMode="External"/><Relationship Id="rId72" Type="http://schemas.openxmlformats.org/officeDocument/2006/relationships/hyperlink" Target="http://www.sec.gov/Archives/edgar/data/1410428/000114420419033939/tv524856_ex4-4.htm" TargetMode="External"/><Relationship Id="rId73" Type="http://schemas.openxmlformats.org/officeDocument/2006/relationships/hyperlink" Target="http://www.sec.gov/Archives/edgar/data/1410428/000114420416117230/v44625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2019-11-29T21:41:06Z</dcterms:created>
  <dcterms:modified xsi:type="dcterms:W3CDTF">2019-11-29T21:41:06Z</dcterms:modified>
</cp:coreProperties>
</file>