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19,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19, 2014, the Company entered privately into letter agreements with certain of its warrant holders, pursuant to which such warrant holders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exercised for cash certain of their outstanding Series 1 Warrants and Series 2 Warrants to purchase an aggregate of 5,697,227 shares of the Company’s shares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par value $0.01 per share (the “Common Stock”), at an exercise price of $1.76 per share, for a total net proceeds to the Company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$10,027,208. The Company issued to such warrant holders warrants to purchase an aggregate of 5,412,366 of the Company’s shares of Common Stock, at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price of $5.06 per share and with an expiration date of June 21, 2015. The newly issued warrants include customary terms and do not contain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cashless exercise or anti-dilution features. The Company is under no obligation to register the shares of common stock underlying them.</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warrants and the shares issuable upon exercise of the warrants have not been registered under the Securities Act of 1933, as amended, or state securities laws. The Company is relying on the exemption from the registration requirements of the Securities Act by virtue of Section 4(2)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700" w:type="dxa"/>
            <w:vAlign w:val="bottom"/>
            <w:gridSpan w:val="2"/>
          </w:tcPr>
          <w:p>
            <w:pPr>
              <w:ind w:left="2140"/>
              <w:spacing w:after="0"/>
              <w:rPr>
                <w:sz w:val="20"/>
                <w:szCs w:val="20"/>
                <w:color w:val="auto"/>
              </w:rPr>
            </w:pPr>
            <w:r>
              <w:rPr>
                <w:rFonts w:ascii="Arial" w:cs="Arial" w:eastAsia="Arial" w:hAnsi="Arial"/>
                <w:sz w:val="18"/>
                <w:szCs w:val="18"/>
                <w:b w:val="1"/>
                <w:bCs w:val="1"/>
                <w:color w:val="auto"/>
              </w:rPr>
              <w:t>VRINGO, INC.</w:t>
            </w:r>
          </w:p>
        </w:tc>
        <w:tc>
          <w:tcPr>
            <w:tcW w:w="11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June 20, 2014</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c>
          <w:tcPr>
            <w:tcW w:w="11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c>
          <w:tcPr>
            <w:tcW w:w="11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140" w:type="dxa"/>
            <w:vAlign w:val="bottom"/>
          </w:tcPr>
          <w:p>
            <w:pPr>
              <w:spacing w:after="0"/>
              <w:rPr>
                <w:sz w:val="20"/>
                <w:szCs w:val="20"/>
                <w:color w:val="auto"/>
              </w:rPr>
            </w:pPr>
          </w:p>
        </w:tc>
      </w:tr>
      <w:tr>
        <w:trPr>
          <w:trHeight w:val="648"/>
        </w:trPr>
        <w:tc>
          <w:tcPr>
            <w:tcW w:w="3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2019-12-07T17:11:18Z</dcterms:created>
  <dcterms:modified xsi:type="dcterms:W3CDTF">2019-12-07T17:11:18Z</dcterms:modified>
</cp:coreProperties>
</file>