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11,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68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11, 2018, XpresSpa Group, Inc. (the “Company”) and certain holders (each a “Holder,” and together the “Holders”) of the Company’s outstanding 5% Secured Convertible Notes due November 16, 2019 (the “Notes”), entered into a Second Amendment Agreement to such Holders’ Notes (the “Second Amendment Agreement”) whereby (i) regularly scheduled monthly amortization payments (the “Monthly Payments”) due and payable by the Company to such Holders in January, February and March of 2019 (the “Waiver Period”) have been waived by such Holders and the aggregate Monthly Payments during the Waiver Period that would otherwise be due and payable to such Holders but for the entry into the Second Amendment Agreement will be spread over the remaining life of the Notes, (ii) each Holder is permitted to convert its pro rata amount of the Notes into shares of the Company’s common stock, par value $0.01 (the “Common Stock”), in an aggregate amount of up to 5,000,000 shares of Common Stock at a conversion price of $0.20 per share of Common Stock and (iii) subject to stockholder approval, the Company may be permitted, at its option, to further reduce the conversion price of the Notes at an unspecified future date. All other material terms of the Notes held by the Holders remain unchanged. Not all holders of the Notes entered into the Second Amendment Agreement and therefore the Notes held by holders who have not executed the Second Amendment Agreement will continue to be governed by the original terms of the Notes, as amended by the Amendment Agreement to the Notes dated as of August 14, 2018.</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of the shares of Common Stock issued upon conversion of the Notes will not be registered under the Securities Act of 1933, as amended (the “Securities Act”) and will issued and sold in reliance upon the exemption from registration contained in Section 4(a)(2) of the Securities Act and Rule 506(b) of Regulation D promulgated thereunder. Each of the Holders previously acquired the Notes for investment and acknowledged that it is an accredited investor as defined by Rule 501 under the Securities Act. Certain of the shares of Common Stock issuable upon conversion of the Notes in accordance with the Second Amendment Agreement may not be offered or sold in the absence of an effective registration statement or exemption from the registration requirements under the Securities Act.</w:t>
      </w:r>
    </w:p>
    <w:p>
      <w:pPr>
        <w:spacing w:after="0" w:line="19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foregoing summary of the Second Amendment Agreement does not purport to be complete and is qualified in its entirety by reference to the Second Amendment Agreement, which is attached as Exhibit 10.1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by reference into this Item 3.03.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8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2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1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1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Second Amendment Agreement to Secured Convertible Notes Due November 16, 2019, dated December 11, 2018.</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280" w:type="dxa"/>
            <w:vAlign w:val="bottom"/>
            <w:tcBorders>
              <w:top w:val="single" w:sz="8" w:color="0000EE"/>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9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December 12, 2018</w:t>
            </w:r>
          </w:p>
        </w:tc>
        <w:tc>
          <w:tcPr>
            <w:tcW w:w="7580" w:type="dxa"/>
            <w:vAlign w:val="bottom"/>
            <w:gridSpan w:val="2"/>
          </w:tcPr>
          <w:p>
            <w:pPr>
              <w:ind w:left="1900"/>
              <w:spacing w:after="0"/>
              <w:rPr>
                <w:sz w:val="20"/>
                <w:szCs w:val="20"/>
                <w:color w:val="auto"/>
              </w:rPr>
            </w:pPr>
            <w:r>
              <w:rPr>
                <w:rFonts w:ascii="Arial" w:cs="Arial" w:eastAsia="Arial" w:hAnsi="Arial"/>
                <w:sz w:val="18"/>
                <w:szCs w:val="18"/>
                <w:color w:val="auto"/>
              </w:rPr>
              <w:t>By: /s/ Edward Jankowski</w:t>
            </w:r>
          </w:p>
        </w:tc>
      </w:tr>
      <w:tr>
        <w:trPr>
          <w:trHeight w:val="195"/>
        </w:trPr>
        <w:tc>
          <w:tcPr>
            <w:tcW w:w="3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Edward Jankowski</w:t>
            </w:r>
          </w:p>
        </w:tc>
      </w:tr>
      <w:tr>
        <w:trPr>
          <w:trHeight w:val="230"/>
        </w:trPr>
        <w:tc>
          <w:tcPr>
            <w:tcW w:w="3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AGREEMENT TO SECURED CONVERTIBLE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NOVEMBER 16, 2019</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Second Amendment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to the Secured Convertible Notes due November 16, 2019 (the “</w:t>
      </w:r>
      <w:r>
        <w:rPr>
          <w:rFonts w:ascii="Arial" w:cs="Arial" w:eastAsia="Arial" w:hAnsi="Arial"/>
          <w:sz w:val="17"/>
          <w:szCs w:val="17"/>
          <w:u w:val="single" w:color="auto"/>
          <w:color w:val="auto"/>
        </w:rPr>
        <w:t>Notes</w:t>
      </w:r>
      <w:r>
        <w:rPr>
          <w:rFonts w:ascii="Arial" w:cs="Arial" w:eastAsia="Arial" w:hAnsi="Arial"/>
          <w:sz w:val="17"/>
          <w:szCs w:val="17"/>
          <w:color w:val="auto"/>
        </w:rPr>
        <w:t>”), is made and entered into as of December 11, 2018, among XpresSpa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each of the Holders identified on the signature page hereto. Capitalized terms used herein but not defined shall have the meaning ascribed to such terms in the 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entered into a Securities Purchase Agreement dated as of May 15, 2018 (the “</w:t>
      </w:r>
      <w:r>
        <w:rPr>
          <w:rFonts w:ascii="Arial" w:cs="Arial" w:eastAsia="Arial" w:hAnsi="Arial"/>
          <w:sz w:val="18"/>
          <w:szCs w:val="18"/>
          <w:u w:val="single" w:color="auto"/>
          <w:color w:val="auto"/>
        </w:rPr>
        <w:t>SPA</w:t>
      </w:r>
      <w:r>
        <w:rPr>
          <w:rFonts w:ascii="Arial" w:cs="Arial" w:eastAsia="Arial" w:hAnsi="Arial"/>
          <w:sz w:val="18"/>
          <w:szCs w:val="18"/>
          <w:color w:val="auto"/>
        </w:rPr>
        <w:t>”) pursuant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were issued Notes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August 14, 2018, the Company and each of the Holders entered into an Amendment Agreement (the “</w:t>
      </w:r>
      <w:r>
        <w:rPr>
          <w:rFonts w:ascii="Arial" w:cs="Arial" w:eastAsia="Arial" w:hAnsi="Arial"/>
          <w:sz w:val="18"/>
          <w:szCs w:val="18"/>
          <w:u w:val="single" w:color="auto"/>
          <w:color w:val="auto"/>
        </w:rPr>
        <w:t>1</w:t>
      </w:r>
      <w:r>
        <w:rPr>
          <w:rFonts w:ascii="Arial" w:cs="Arial" w:eastAsia="Arial" w:hAnsi="Arial"/>
          <w:sz w:val="30"/>
          <w:szCs w:val="30"/>
          <w:u w:val="single" w:color="auto"/>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to amend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terms of the Notes and the SPA;</w:t>
      </w:r>
    </w:p>
    <w:p>
      <w:pPr>
        <w:spacing w:after="0" w:line="206"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2(a) of the Notes (as amended by the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Company is obligated, commencing on January 16, 2019,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monthly payments of interest (the “</w:t>
      </w:r>
      <w:r>
        <w:rPr>
          <w:rFonts w:ascii="Arial" w:cs="Arial" w:eastAsia="Arial" w:hAnsi="Arial"/>
          <w:sz w:val="18"/>
          <w:szCs w:val="18"/>
          <w:u w:val="single" w:color="auto"/>
          <w:color w:val="auto"/>
        </w:rPr>
        <w:t>Monthly Interest Payments</w:t>
      </w:r>
      <w:r>
        <w:rPr>
          <w:rFonts w:ascii="Arial" w:cs="Arial" w:eastAsia="Arial" w:hAnsi="Arial"/>
          <w:sz w:val="18"/>
          <w:szCs w:val="18"/>
          <w:color w:val="auto"/>
        </w:rPr>
        <w:t>”) in cash, or at the election of the Company, such interest may be paid in duly authorized, validly issued, fully paid and non-assessable shares of the Company’s common stock, par value $0.01 (the “</w:t>
      </w:r>
      <w:r>
        <w:rPr>
          <w:rFonts w:ascii="Arial" w:cs="Arial" w:eastAsia="Arial" w:hAnsi="Arial"/>
          <w:sz w:val="18"/>
          <w:szCs w:val="18"/>
          <w:u w:val="single" w:color="auto"/>
          <w:color w:val="auto"/>
        </w:rPr>
        <w:t>Common Stock</w:t>
      </w:r>
      <w:r>
        <w:rPr>
          <w:rFonts w:ascii="Arial" w:cs="Arial" w:eastAsia="Arial" w:hAnsi="Arial"/>
          <w:sz w:val="18"/>
          <w:szCs w:val="18"/>
          <w:color w:val="auto"/>
        </w:rPr>
        <w:t>”), or a combination thereof (the amount to be paid in shares of Common Stock, the “</w:t>
      </w:r>
      <w:r>
        <w:rPr>
          <w:rFonts w:ascii="Arial" w:cs="Arial" w:eastAsia="Arial" w:hAnsi="Arial"/>
          <w:sz w:val="18"/>
          <w:szCs w:val="18"/>
          <w:u w:val="single" w:color="auto"/>
          <w:color w:val="auto"/>
        </w:rPr>
        <w:t>Interest Share Amount</w:t>
      </w:r>
      <w:r>
        <w:rPr>
          <w:rFonts w:ascii="Arial" w:cs="Arial" w:eastAsia="Arial" w:hAnsi="Arial"/>
          <w:sz w:val="18"/>
          <w:szCs w:val="18"/>
          <w:color w:val="auto"/>
        </w:rPr>
        <w:t>”).</w:t>
      </w:r>
    </w:p>
    <w:p>
      <w:pPr>
        <w:spacing w:after="0" w:line="20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2(a) of the Notes, the Interest Share Amount is to be determined by dividing the amount of interest on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Payment Date by the then applicable Conversion Price.</w:t>
      </w:r>
    </w:p>
    <w:p>
      <w:pPr>
        <w:spacing w:after="0" w:line="170"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2(b) of the Notes (as amended by the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Company is obligated, commencing on January 16, 2019,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monthly payments of the principal on the Notes (the “</w:t>
      </w:r>
      <w:r>
        <w:rPr>
          <w:rFonts w:ascii="Arial" w:cs="Arial" w:eastAsia="Arial" w:hAnsi="Arial"/>
          <w:sz w:val="18"/>
          <w:szCs w:val="18"/>
          <w:u w:val="single" w:color="auto"/>
          <w:color w:val="auto"/>
        </w:rPr>
        <w:t>Amortization Payments</w:t>
      </w:r>
      <w:r>
        <w:rPr>
          <w:rFonts w:ascii="Arial" w:cs="Arial" w:eastAsia="Arial" w:hAnsi="Arial"/>
          <w:sz w:val="18"/>
          <w:szCs w:val="18"/>
          <w:color w:val="auto"/>
        </w:rPr>
        <w:t>” and collectively with the Monthly Interest Payments, the “</w:t>
      </w:r>
      <w:r>
        <w:rPr>
          <w:rFonts w:ascii="Arial" w:cs="Arial" w:eastAsia="Arial" w:hAnsi="Arial"/>
          <w:sz w:val="18"/>
          <w:szCs w:val="18"/>
          <w:u w:val="single" w:color="auto"/>
          <w:color w:val="auto"/>
        </w:rPr>
        <w:t>Monthly</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2(b) of the Notes, the Company may elect to pay the Amortization Payments with shares of Common Stock or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cash and shares of Common Stock (the amount to be paid in shares of Common Stock, “</w:t>
      </w:r>
      <w:r>
        <w:rPr>
          <w:rFonts w:ascii="Arial" w:cs="Arial" w:eastAsia="Arial" w:hAnsi="Arial"/>
          <w:sz w:val="18"/>
          <w:szCs w:val="18"/>
          <w:u w:val="single" w:color="auto"/>
          <w:color w:val="auto"/>
        </w:rPr>
        <w:t>Principal Share Amount</w:t>
      </w:r>
      <w:r>
        <w:rPr>
          <w:rFonts w:ascii="Arial" w:cs="Arial" w:eastAsia="Arial" w:hAnsi="Arial"/>
          <w:sz w:val="18"/>
          <w:szCs w:val="18"/>
          <w:color w:val="auto"/>
        </w:rPr>
        <w:t>”) subject to certain conditions. The Principal Share Amount is to be determined by dividing (i) the monthly principal amount by (ii) ninety percent (90%) of the VWAP of the Common Stock for the five (5) Trading Days commencing eight (8) days prior to the relevant Repayment Date and ending on the fourth (4th) Trading Day preceding such Repayment Date; provided, however, that notwithstanding the foregoing, the result of such calculation shall not be less than twenty percent (20%) of the Conversion Price on the Original Issue Date (subject to appropriate adjustments for stock splits, stock dividends, recapitalizations, reclassifications, combinations or other similar transactions after the Issuance Date) (the “Conversion Price Floor”); provided, further, however, that the result of this calculation can be reduced below the Conversion Price Floor if the Company is not then subject to Nasdaq Listing Rule 5635(d) or if approved by Nasdaq.</w:t>
      </w:r>
    </w:p>
    <w:p>
      <w:pPr>
        <w:spacing w:after="0" w:line="197"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 now desire to amend certain additional terms of the Notes and the SPA as previously amended by the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covenants contained herein,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firstLine="656"/>
        <w:spacing w:after="0" w:line="264" w:lineRule="auto"/>
        <w:tabs>
          <w:tab w:leader="none" w:pos="83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On or prior to March 31, 2019, each Holder shall be permitted to convert its pro rata amount of the Notes indicated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 a conversion price of $0.20 per share of Common Stock such that the maximum number of shares to be issued pursuant to this Amendment shall not exceed 5,000,000 shares of Common Stock.</w:t>
      </w:r>
    </w:p>
    <w:p>
      <w:pPr>
        <w:spacing w:after="0" w:line="181" w:lineRule="exact"/>
        <w:rPr>
          <w:rFonts w:ascii="Arial" w:cs="Arial" w:eastAsia="Arial" w:hAnsi="Arial"/>
          <w:sz w:val="18"/>
          <w:szCs w:val="18"/>
          <w:color w:val="auto"/>
        </w:rPr>
      </w:pPr>
    </w:p>
    <w:p>
      <w:pPr>
        <w:jc w:val="both"/>
        <w:ind w:firstLine="656"/>
        <w:spacing w:after="0" w:line="255" w:lineRule="auto"/>
        <w:tabs>
          <w:tab w:leader="none" w:pos="836"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Holder hereby waives the Company’s obligation to make any Monthly Payments for the months of January, February and March 2019 (the “</w:t>
      </w:r>
      <w:r>
        <w:rPr>
          <w:rFonts w:ascii="Arial" w:cs="Arial" w:eastAsia="Arial" w:hAnsi="Arial"/>
          <w:sz w:val="18"/>
          <w:szCs w:val="18"/>
          <w:u w:val="single" w:color="auto"/>
          <w:color w:val="auto"/>
        </w:rPr>
        <w:t>Second Waiver Period</w:t>
      </w:r>
      <w:r>
        <w:rPr>
          <w:rFonts w:ascii="Arial" w:cs="Arial" w:eastAsia="Arial" w:hAnsi="Arial"/>
          <w:sz w:val="18"/>
          <w:szCs w:val="18"/>
          <w:color w:val="auto"/>
        </w:rPr>
        <w:t>”). Each Holder and the Company agrees that the aggregate Monthly Payments during the Second Waiver Period that would otherwise be due and payable during the Second Waiver Period but for the entry into this Amendment shall be spread over the remaining life of the Notes. Amounts of conversions of principal amount made by the Holder or the Company pursuant to this Amendment, Section 4 of the Notes and amounts paid pursuant to Section 6 of the Notes shall be applied first against outstanding fees and damages, then against outstanding already payable accrued interest and then to principal amounts of Monthly Payments during the Second Waiver Period in chronological order and thereafter to Monthly Payments in reverse chronological order.</w:t>
      </w:r>
    </w:p>
    <w:p>
      <w:pPr>
        <w:spacing w:after="0" w:line="189" w:lineRule="exact"/>
        <w:rPr>
          <w:rFonts w:ascii="Arial" w:cs="Arial" w:eastAsia="Arial" w:hAnsi="Arial"/>
          <w:sz w:val="18"/>
          <w:szCs w:val="18"/>
          <w:color w:val="auto"/>
        </w:rPr>
      </w:pPr>
    </w:p>
    <w:p>
      <w:pPr>
        <w:jc w:val="both"/>
        <w:ind w:right="20" w:firstLine="656"/>
        <w:spacing w:after="0" w:line="264" w:lineRule="auto"/>
        <w:tabs>
          <w:tab w:leader="none" w:pos="8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hereby undertakes to, as soon as is reasonably practicable, file a proxy statement requesting from its stockholders approval for the inclusion of applicable language in the Notes to permit the Company, at its option, to further reduce the conversion price of the Notes at an unspecified future date.</w:t>
      </w:r>
    </w:p>
    <w:p>
      <w:pPr>
        <w:spacing w:after="0" w:line="181" w:lineRule="exact"/>
        <w:rPr>
          <w:rFonts w:ascii="Arial" w:cs="Arial" w:eastAsia="Arial" w:hAnsi="Arial"/>
          <w:sz w:val="18"/>
          <w:szCs w:val="18"/>
          <w:color w:val="auto"/>
        </w:rPr>
      </w:pPr>
    </w:p>
    <w:p>
      <w:pPr>
        <w:ind w:right="20" w:firstLine="656"/>
        <w:spacing w:after="0" w:line="277" w:lineRule="auto"/>
        <w:tabs>
          <w:tab w:leader="none" w:pos="8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and the Holders hereby acknowledge and agree that the shares of Common Stock issuable hereunder shall be deemed to be an “Exempt Issuance” pursuant to the definition of “Exempt Issuance” as defined in the SPA.</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explicitly modified herein, the Transaction Documents (as defined in the SPA) shall remain in full force and effect.</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shall be governed in accordance with terms of the Notes.</w:t>
      </w:r>
    </w:p>
    <w:p>
      <w:pPr>
        <w:spacing w:after="0" w:line="225" w:lineRule="exact"/>
        <w:rPr>
          <w:rFonts w:ascii="Arial" w:cs="Arial" w:eastAsia="Arial" w:hAnsi="Arial"/>
          <w:sz w:val="18"/>
          <w:szCs w:val="18"/>
          <w:color w:val="auto"/>
        </w:rPr>
      </w:pPr>
    </w:p>
    <w:p>
      <w:pPr>
        <w:jc w:val="both"/>
        <w:ind w:firstLine="656"/>
        <w:spacing w:after="0" w:line="255"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with respect to the material terms and conditions of this Amendment, which shall be disclosed within two (2) Business Days of the date hereof, the Company covenants and agrees that neither it, nor any other Person acting on its behalf will provide any Holder or its respective agents or counsel with any information that constitutes, or the Company reasonably believes constitutes, material non-public information, unless prior thereto such Holder shall have consented to the receipt of such information and agreed with the Company to keep such information confidential. From and after the disclosure of the material terms and conditions of this Agreement, the Company represents to the Holders that it shall have publicly disclosed all material, non-public information delivered to the Holders by the Company or any of its Subsidiaries, or any of their respective officers, directors, employees or agents in connection with this Amendment.</w:t>
      </w:r>
    </w:p>
    <w:p>
      <w:pPr>
        <w:spacing w:after="0" w:line="189" w:lineRule="exact"/>
        <w:rPr>
          <w:rFonts w:ascii="Arial" w:cs="Arial" w:eastAsia="Arial" w:hAnsi="Arial"/>
          <w:sz w:val="18"/>
          <w:szCs w:val="18"/>
          <w:color w:val="auto"/>
        </w:rPr>
      </w:pPr>
    </w:p>
    <w:p>
      <w:pPr>
        <w:jc w:val="both"/>
        <w:ind w:firstLine="656"/>
        <w:spacing w:after="0" w:line="257" w:lineRule="auto"/>
        <w:tabs>
          <w:tab w:leader="none" w:pos="8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all of which when taken together shall be considered one and the same agreement and shall become effective when counterparts have been signed by the Company and each of the Holders,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 OF THIS PAGE LEFT INTENTIONALLY BLANK]</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Holders have executed this Amendment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[Holder signature page follows]</w:t>
      </w: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Holder have executed this Amendment Agreement as of the date first above written.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41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Original Note Principal: $_____________________</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240" w:top="904" w:right="121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u w:val="single" w:color="auto"/>
          <w:color w:val="auto"/>
        </w:rPr>
        <w:t>Schedule A</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90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2019-12-28T17:26:01Z</dcterms:created>
  <dcterms:modified xsi:type="dcterms:W3CDTF">2019-12-28T17:26:01Z</dcterms:modified>
</cp:coreProperties>
</file>