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648"/>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Date of Report (Date of earliest event reported): August 9, 2017</w:t>
            </w:r>
          </w:p>
        </w:tc>
        <w:tc>
          <w:tcPr>
            <w:tcW w:w="1700" w:type="dxa"/>
            <w:vAlign w:val="bottom"/>
          </w:tcPr>
          <w:p>
            <w:pPr>
              <w:spacing w:after="0"/>
              <w:rPr>
                <w:sz w:val="24"/>
                <w:szCs w:val="24"/>
                <w:color w:val="auto"/>
              </w:rPr>
            </w:pPr>
          </w:p>
        </w:tc>
      </w:tr>
      <w:tr>
        <w:trPr>
          <w:trHeight w:val="63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84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5" w:right="259" w:bottom="1440" w:gutter="0" w:footer="0" w:header="0"/>
        </w:sectPr>
      </w:pPr>
    </w:p>
    <w:bookmarkStart w:id="1" w:name="page2"/>
    <w:bookmarkEnd w:id="1"/>
    <w:p>
      <w:pPr>
        <w:ind w:left="16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Attached hereto as Exhibit 99.1 is a copy of a press release of FORM Holdings Corp., dated August 9, 2017, announcing certain operating and financial results for the three months ended June 30, 2017. The information in the press release is incorporated by reference into this Item 2.02 of this Current Report on Form 8-K.</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2" w:lineRule="exact"/>
        <w:rPr>
          <w:sz w:val="20"/>
          <w:szCs w:val="20"/>
          <w:color w:val="auto"/>
        </w:rPr>
      </w:pPr>
    </w:p>
    <w:p>
      <w:pPr>
        <w:ind w:left="22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Press release dated August 9, 2017.</w:t>
            </w:r>
          </w:p>
        </w:tc>
      </w:tr>
      <w:tr>
        <w:trPr>
          <w:trHeight w:val="877"/>
        </w:trPr>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9, 2017</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Andrew D. Perlman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REPORTS SECOND QUARTER 2017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Substantial Cost Rationalization and Continued Growth in Q2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Outlines Accelerated Unit Opening Strategy and Reiterates Plan to Transform into Health &amp; Wellness Pure-play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 August 9, 2017 – FORM Holdings Corp. (NASDAQ: FH), a diversified holding company, today announced financial results for the second quarter ended June 30, 2017 and provided a business update.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second quarter performance demonstrates that we are delivering on our commitments to achieve expense synergies while continuing to deliver strong growth for our </w:t>
      </w:r>
      <w:r>
        <w:rPr>
          <w:rFonts w:ascii="Arial" w:cs="Arial" w:eastAsia="Arial" w:hAnsi="Arial"/>
          <w:sz w:val="17"/>
          <w:szCs w:val="17"/>
          <w:i w:val="1"/>
          <w:iCs w:val="1"/>
          <w:color w:val="auto"/>
        </w:rPr>
        <w:t>Wellness</w:t>
      </w:r>
      <w:r>
        <w:rPr>
          <w:rFonts w:ascii="Arial" w:cs="Arial" w:eastAsia="Arial" w:hAnsi="Arial"/>
          <w:sz w:val="17"/>
          <w:szCs w:val="17"/>
          <w:color w:val="auto"/>
        </w:rPr>
        <w:t xml:space="preserve"> segment. We will continue to leverage XpresSpa’s leadership as we continue our transformation into a health and wellness pure-play, which we expect to complete before the end of the first quarter of 2018," said Andrew D. Perlman, FORM's 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revenues were $16.4 million in the second quarter of fiscal 2017</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which consists of XpresSpa, were $12.9 million for the second quarter of 2017, representing a 17% increase from first quarter 2017 revenues of $11.0 million</w:t>
      </w: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operating loss was $2.0 million as compared to $2.4 million in the first quarter</w:t>
      </w:r>
    </w:p>
    <w:p>
      <w:pPr>
        <w:spacing w:after="0" w:line="9"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Adjusted EBITDA* was $1.1 million, up from a loss of $0.2 million in the first quarter, driven by aggressive cost reductions and increase in gross profit</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general &amp; administrative expenses were reduced by $1.2 million, or 43%, from the first quarter of 2017, of which $0.7 million relates to ongoing operations</w:t>
      </w:r>
    </w:p>
    <w:p>
      <w:pPr>
        <w:ind w:left="980" w:right="2980"/>
        <w:spacing w:after="0" w:line="250" w:lineRule="auto"/>
        <w:rPr>
          <w:rFonts w:ascii="Arial" w:cs="Arial" w:eastAsia="Arial" w:hAnsi="Arial"/>
          <w:sz w:val="18"/>
          <w:szCs w:val="18"/>
          <w:color w:val="auto"/>
        </w:rPr>
      </w:pPr>
      <w:r>
        <w:rPr>
          <w:rFonts w:ascii="Arial" w:cs="Arial" w:eastAsia="Arial" w:hAnsi="Arial"/>
          <w:sz w:val="18"/>
          <w:szCs w:val="18"/>
          <w:color w:val="auto"/>
        </w:rPr>
        <w:t>o XpresSpa year-over-year revenue grew 16% (compared to the pre-acquisition second quarter 2016) o Approximately 20% segment-level gross profit margin</w:t>
      </w:r>
    </w:p>
    <w:p>
      <w:pPr>
        <w:ind w:left="980"/>
        <w:spacing w:after="0"/>
        <w:rPr>
          <w:rFonts w:ascii="Arial" w:cs="Arial" w:eastAsia="Arial" w:hAnsi="Arial"/>
          <w:sz w:val="18"/>
          <w:szCs w:val="18"/>
          <w:color w:val="auto"/>
        </w:rPr>
      </w:pPr>
      <w:r>
        <w:rPr>
          <w:rFonts w:ascii="Arial" w:cs="Arial" w:eastAsia="Arial" w:hAnsi="Arial"/>
          <w:sz w:val="18"/>
          <w:szCs w:val="18"/>
          <w:color w:val="auto"/>
        </w:rPr>
        <w:t>o   Ended the quarter with 52 locations in 23 airports</w:t>
      </w:r>
    </w:p>
    <w:p>
      <w:pPr>
        <w:spacing w:after="0" w:line="9"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For the balance of fiscal 2017, the Company currently has nine new unit openings scheduled, and an additional nine units under negotiation, some of which may open in 2017</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segment, which consists of Group Mobile, were approximately flat at $3.5 million for the second quarter of 2017 compared to the first quarter of 2017</w:t>
      </w:r>
    </w:p>
    <w:p>
      <w:pPr>
        <w:ind w:left="980"/>
        <w:spacing w:after="0"/>
        <w:rPr>
          <w:rFonts w:ascii="Arial" w:cs="Arial" w:eastAsia="Arial" w:hAnsi="Arial"/>
          <w:sz w:val="18"/>
          <w:szCs w:val="18"/>
          <w:color w:val="auto"/>
        </w:rPr>
      </w:pPr>
      <w:r>
        <w:rPr>
          <w:rFonts w:ascii="Arial" w:cs="Arial" w:eastAsia="Arial" w:hAnsi="Arial"/>
          <w:sz w:val="18"/>
          <w:szCs w:val="18"/>
          <w:color w:val="auto"/>
        </w:rPr>
        <w:t>o   Group Mobile revenue grew 40.8% on a year-over-year basis compared to second quarter 2016</w:t>
      </w:r>
    </w:p>
    <w:p>
      <w:pPr>
        <w:spacing w:after="0" w:line="9"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segment doubled gross margins to 22% in the second quarter 2017 from 11% in the same period last year – we anticipate annual margins in the range of 15% to 20%</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FLI Charge is now reflected as assets and liabilities held for disposal and discontinued operations in the Company’s financials as a result of an offer from a third party to finance its ongoing operations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Subsequent to June 30, 2017, the Company completed a public offering of 6,900,000 shares of common stock, at $1.10 per share, for net proceeds of approximately $6.7 million</w:t>
      </w:r>
    </w:p>
    <w:p>
      <w:pPr>
        <w:ind w:left="66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operating loss from continued operations was $5.1 million and Adjusted EBITDA loss* was $1.0 million for the second quarter of fiscal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a non-GAAP financial measure; see "Use of Non-GAAP Financial Measures" below.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Mr. Perlman continued, “I’m proud of our team’s efforts to leverage our resources to realize the synergies that drove the marked improvement in our business compared to our first quarter, particularly within our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We expect to demonstrate further expense leverage in the third quarter, when we benefit from a full quarter of our cost savings actions that were implemented in the second quarter.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increased our XpresSpa unit growth plans for the balance of 2017, from two units to nine units. In addition, we are in varying degrees of negotiations for another nine locations, some of which may fall in 2017 as well. We continue to strengthen our capital structure, including our recent equity offering, which added approximately $6.7 million in net proceeds to the Company’s balance sheet and will allow us to implement our accelerated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7"/>
          <w:szCs w:val="17"/>
          <w:color w:val="auto"/>
        </w:rPr>
        <w:t xml:space="preserve">“Revenue results in our </w:t>
      </w:r>
      <w:r>
        <w:rPr>
          <w:rFonts w:ascii="Arial" w:cs="Arial" w:eastAsia="Arial" w:hAnsi="Arial"/>
          <w:sz w:val="17"/>
          <w:szCs w:val="17"/>
          <w:i w:val="1"/>
          <w:iCs w:val="1"/>
          <w:color w:val="auto"/>
        </w:rPr>
        <w:t>Technology</w:t>
      </w:r>
      <w:r>
        <w:rPr>
          <w:rFonts w:ascii="Arial" w:cs="Arial" w:eastAsia="Arial" w:hAnsi="Arial"/>
          <w:sz w:val="17"/>
          <w:szCs w:val="17"/>
          <w:color w:val="auto"/>
        </w:rPr>
        <w:t xml:space="preserve"> segment were flat as compared to first quarter of 2017, primarily due to the timing of certain contracts that shifted into the third quarter. However, the execution of several contracts early in the third quarter gives us confidence in our outlook for 2017 and beyond. We are committed to focusing on the growing health and wellness industry and parting with non-core assets, which begins with a potential sale of FLI Charge. These efforts are ongoing, but our intention is to take the necessary steps to create a pure-play health and wellness services company, led by our core XpresSpa asset, and we are planning to complete this process by the end of the first quarter of fiscal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is reaffirming its previously issued guidance for 2017 of over $70 million of consolidated revenue, of which approximately $50 million is expected to come from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(XpresSpa), and the remaining $20 million from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(Group Mobile). Additionally, the Company has established preliminary 2018 revenue guidance for its Wellness segment of $60 million, which represents (i) a 20% increase from its 2017 revenue guidance, (ii) a further acceleration of approximately 15% revenue growth that the Company expects to achieve in 2017 as compared to 2016, and (iii) a preceding three-year revenue CAGR (compound annual growth rate) of approximately 9% (as generated prior to FORM’s ownership of XpresSpa). The Company expects its new locations to perform at rates that are in-line or better than existing stores and to revise its 2018 guidance prior to year-end and provide further insight into revenue and other targets.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Perlman concluded, “As we look at the balance of fiscal 2017, we remain confident in our outlook and ability to build upon our leadership position in the fast growing health and wellness industry. We will continue to pursue growth through our highly productive XpresSpa store model, while also seeking out new avenues of growth that are complementary to our core competencies. In the near-term, our focus remains on delivering a best-in-class customer experience, while maintaining careful control of our expenses in order to leverage our cost structure and fund incremental investments. Accordingly, we expect our sales and margins will continue to grow throughout the remainder of 2017, which in turn will drive improving cash flow for the benefit of our business and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second quarter of fiscal 2017, the Company reported total revenue of $16.4 million, an increase of 44% as compared to the same period in the prior year, primarily driven by the acquisition of XpresSpa in December 2016 and Excalibur in February 2017. Revenue for the second quarter of 2016 includes a one-time payment of $8.9 million associated with an intellectual property license agreement and does not include revenue from XpresSpa.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from continuing operations was $5.1 million for the second quarter of fiscal 2017 as compared to a loss of $9.7 million in the second quarter of fiscal 2016. The Company’s operating loss from continuing operations for the second quarter of fiscal 2017 included approximately $0.3 million of merger integration costs and $0.7 million of stock-based compensation expense. The second quarter of fiscal 2016 included $0.5 million of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the Company had current assets of $15.9 million, a cash balance of $8.0 million and long-term debt of $6.5 million, which does not give effect to the equity offering completed after quarter-end.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26, 2017, the Company entered into an underwriting agreement with Roth Capital Partners, LLC, acting as the representative of the several underwriters named therein (collectively, the “Underwriters”), relating to the issuance and sale of 6,900,000 shares of the Company’s common stock, par value $0.01 per share, including 900,000 shares subject to the Underwriters’ over-allotment option, which was exercised on August 2, 2017 and closed on August 4, 2017. The price to the public in the offering was $1.10 per share. The net proceeds to the Company from the offeringwere approximately $6.7 million after deducting underwriting discounts and commissions and other estimated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FORM will host a conference call and audio webcast today, August 9, 2017, at 4:30 p.m. ET, to discuss financial results for the second quarter of fiscal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 the Conference Call via Webcast</w:t>
      </w:r>
    </w:p>
    <w:p>
      <w:pPr>
        <w:spacing w:after="0" w:line="23" w:lineRule="exact"/>
        <w:rPr>
          <w:sz w:val="20"/>
          <w:szCs w:val="20"/>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Visit the Investor Relations section of the Company’s website at www.formholdings.com. Visitors to the website should select the “Investors” tab and navigate to the “Events” link to access the webcast.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 the Conference Call via Assisted Dial-In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 access the conference call by telephone, interested parties should dial (888) 428-7458 (U.S and Canada dial-in) or (862) 255-5400 (Toll) (For international dial-in) and reference FORM Holdings.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Adjusted EBITDA has been presented in this Quarterly Report on Form 10-Q and is a supplemental measure of financial performance that is not required by, or presented in accordance with, GAAP. 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relationship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A reconciliation to the nearest US GAAP measure is noted below.</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1"/>
        </w:trPr>
        <w:tc>
          <w:tcPr>
            <w:tcW w:w="8400" w:type="dxa"/>
            <w:vAlign w:val="bottom"/>
            <w:gridSpan w:val="2"/>
          </w:tcPr>
          <w:p>
            <w:pPr>
              <w:ind w:left="3780"/>
              <w:spacing w:after="0"/>
              <w:rPr>
                <w:sz w:val="20"/>
                <w:szCs w:val="20"/>
                <w:color w:val="auto"/>
              </w:rPr>
            </w:pPr>
            <w:r>
              <w:rPr>
                <w:rFonts w:ascii="Arial" w:cs="Arial" w:eastAsia="Arial" w:hAnsi="Arial"/>
                <w:sz w:val="18"/>
                <w:szCs w:val="18"/>
                <w:color w:val="auto"/>
              </w:rPr>
              <w:t>Wellness</w:t>
            </w:r>
          </w:p>
        </w:tc>
        <w:tc>
          <w:tcPr>
            <w:tcW w:w="160" w:type="dxa"/>
            <w:vAlign w:val="bottom"/>
          </w:tcPr>
          <w:p>
            <w:pPr>
              <w:spacing w:after="0"/>
              <w:rPr>
                <w:sz w:val="24"/>
                <w:szCs w:val="24"/>
                <w:color w:val="auto"/>
              </w:rPr>
            </w:pPr>
          </w:p>
        </w:tc>
        <w:tc>
          <w:tcPr>
            <w:tcW w:w="2860" w:type="dxa"/>
            <w:vAlign w:val="bottom"/>
            <w:gridSpan w:val="6"/>
          </w:tcPr>
          <w:p>
            <w:pPr>
              <w:jc w:val="right"/>
              <w:ind w:right="420"/>
              <w:spacing w:after="0"/>
              <w:rPr>
                <w:sz w:val="20"/>
                <w:szCs w:val="20"/>
                <w:color w:val="auto"/>
              </w:rPr>
            </w:pPr>
            <w:r>
              <w:rPr>
                <w:rFonts w:ascii="Arial" w:cs="Arial" w:eastAsia="Arial" w:hAnsi="Arial"/>
                <w:sz w:val="18"/>
                <w:szCs w:val="18"/>
                <w:color w:val="auto"/>
                <w:w w:val="92"/>
              </w:rPr>
              <w:t>Three months ended (unaudited)</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Q1'2017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Q2'2017</w:t>
            </w:r>
          </w:p>
        </w:tc>
      </w:tr>
      <w:tr>
        <w:trPr>
          <w:trHeight w:val="223"/>
        </w:trPr>
        <w:tc>
          <w:tcPr>
            <w:tcW w:w="81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160" w:type="dxa"/>
            <w:vAlign w:val="bottom"/>
            <w:tcBorders>
              <w:top w:val="single" w:sz="8" w:color="CCEEFF"/>
            </w:tcBorders>
            <w:shd w:val="clear" w:color="auto" w:fill="CCEEFF"/>
          </w:tcPr>
          <w:p>
            <w:pPr>
              <w:spacing w:after="0"/>
              <w:rPr>
                <w:sz w:val="19"/>
                <w:szCs w:val="19"/>
                <w:color w:val="auto"/>
              </w:rPr>
            </w:pPr>
          </w:p>
        </w:tc>
      </w:tr>
      <w:tr>
        <w:trPr>
          <w:trHeight w:val="210"/>
        </w:trPr>
        <w:tc>
          <w:tcPr>
            <w:tcW w:w="8400" w:type="dxa"/>
            <w:vAlign w:val="bottom"/>
            <w:gridSpan w:val="2"/>
          </w:tcPr>
          <w:p>
            <w:pPr>
              <w:ind w:left="10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w:t>
            </w:r>
          </w:p>
        </w:tc>
      </w:tr>
      <w:tr>
        <w:trPr>
          <w:trHeight w:val="216"/>
        </w:trPr>
        <w:tc>
          <w:tcPr>
            <w:tcW w:w="8400" w:type="dxa"/>
            <w:vAlign w:val="bottom"/>
            <w:gridSpan w:val="2"/>
          </w:tcPr>
          <w:p>
            <w:pPr>
              <w:ind w:left="460"/>
              <w:spacing w:after="0"/>
              <w:rPr>
                <w:sz w:val="20"/>
                <w:szCs w:val="20"/>
                <w:color w:val="auto"/>
              </w:rPr>
            </w:pPr>
            <w:r>
              <w:rPr>
                <w:rFonts w:ascii="Arial" w:cs="Arial" w:eastAsia="Arial" w:hAnsi="Arial"/>
                <w:sz w:val="18"/>
                <w:szCs w:val="18"/>
                <w:color w:val="auto"/>
              </w:rPr>
              <w:t>Labor</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5,309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5,783</w:t>
            </w:r>
          </w:p>
        </w:tc>
      </w:tr>
      <w:tr>
        <w:trPr>
          <w:trHeight w:val="216"/>
        </w:trPr>
        <w:tc>
          <w:tcPr>
            <w:tcW w:w="8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Occupancy</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1,983</w:t>
            </w:r>
          </w:p>
        </w:tc>
      </w:tr>
      <w:tr>
        <w:trPr>
          <w:trHeight w:val="230"/>
        </w:trPr>
        <w:tc>
          <w:tcPr>
            <w:tcW w:w="8400" w:type="dxa"/>
            <w:vAlign w:val="bottom"/>
            <w:gridSpan w:val="2"/>
          </w:tcPr>
          <w:p>
            <w:pPr>
              <w:ind w:left="460"/>
              <w:spacing w:after="0"/>
              <w:rPr>
                <w:sz w:val="20"/>
                <w:szCs w:val="20"/>
                <w:color w:val="auto"/>
              </w:rPr>
            </w:pPr>
            <w:r>
              <w:rPr>
                <w:rFonts w:ascii="Arial" w:cs="Arial" w:eastAsia="Arial" w:hAnsi="Arial"/>
                <w:sz w:val="18"/>
                <w:szCs w:val="18"/>
                <w:color w:val="auto"/>
              </w:rPr>
              <w:t>Other operating costs</w:t>
            </w:r>
          </w:p>
        </w:tc>
        <w:tc>
          <w:tcPr>
            <w:tcW w:w="16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1,511</w:t>
            </w:r>
          </w:p>
        </w:tc>
      </w:tr>
      <w:tr>
        <w:trPr>
          <w:trHeight w:val="210"/>
        </w:trPr>
        <w:tc>
          <w:tcPr>
            <w:tcW w:w="84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cost of sales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8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60" w:type="dxa"/>
            <w:vAlign w:val="bottom"/>
            <w:shd w:val="clear" w:color="auto" w:fill="CCEEFF"/>
          </w:tcPr>
          <w:p>
            <w:pPr>
              <w:spacing w:after="0"/>
              <w:rPr>
                <w:sz w:val="19"/>
                <w:szCs w:val="19"/>
                <w:color w:val="auto"/>
              </w:rPr>
            </w:pPr>
          </w:p>
        </w:tc>
      </w:tr>
      <w:tr>
        <w:trPr>
          <w:trHeight w:val="210"/>
        </w:trPr>
        <w:tc>
          <w:tcPr>
            <w:tcW w:w="8400" w:type="dxa"/>
            <w:vAlign w:val="bottom"/>
            <w:gridSpan w:val="2"/>
          </w:tcPr>
          <w:p>
            <w:pPr>
              <w:ind w:left="100"/>
              <w:spacing w:after="0"/>
              <w:rPr>
                <w:sz w:val="20"/>
                <w:szCs w:val="20"/>
                <w:color w:val="auto"/>
              </w:rPr>
            </w:pPr>
            <w:r>
              <w:rPr>
                <w:rFonts w:ascii="Arial" w:cs="Arial" w:eastAsia="Arial" w:hAnsi="Arial"/>
                <w:sz w:val="18"/>
                <w:szCs w:val="18"/>
                <w:color w:val="auto"/>
              </w:rPr>
              <w:t>Gross profit as a % of total revenue</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16"/>
        </w:trPr>
        <w:tc>
          <w:tcPr>
            <w:tcW w:w="8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0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Amortization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Merger and acquisition and integration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Plus: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6"/>
          <w:szCs w:val="16"/>
          <w:color w:val="auto"/>
        </w:rPr>
        <w:t>Merger and acquisition, integration and one-time costs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Adjusted EBITDA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w:t>
            </w:r>
          </w:p>
        </w:tc>
        <w:tc>
          <w:tcPr>
            <w:tcW w:w="6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w:t>
            </w:r>
          </w:p>
        </w:tc>
        <w:tc>
          <w:tcPr>
            <w:tcW w:w="60" w:type="dxa"/>
            <w:vAlign w:val="bottom"/>
          </w:tcPr>
          <w:p>
            <w:pPr>
              <w:spacing w:after="0"/>
              <w:rPr>
                <w:sz w:val="20"/>
                <w:szCs w:val="20"/>
                <w:color w:val="auto"/>
              </w:rPr>
            </w:pPr>
          </w:p>
        </w:tc>
      </w:tr>
      <w:tr>
        <w:trPr>
          <w:trHeight w:val="224"/>
        </w:trPr>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19"/>
                <w:szCs w:val="19"/>
                <w:color w:val="auto"/>
              </w:rPr>
            </w:pPr>
          </w:p>
        </w:tc>
      </w:tr>
      <w:tr>
        <w:trPr>
          <w:trHeight w:val="417"/>
        </w:trPr>
        <w:tc>
          <w:tcPr>
            <w:tcW w:w="4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w:t>
            </w:r>
          </w:p>
        </w:tc>
        <w:tc>
          <w:tcPr>
            <w:tcW w:w="60" w:type="dxa"/>
            <w:vAlign w:val="bottom"/>
          </w:tcPr>
          <w:p>
            <w:pPr>
              <w:spacing w:after="0"/>
              <w:rPr>
                <w:sz w:val="20"/>
                <w:szCs w:val="20"/>
                <w:color w:val="auto"/>
              </w:rPr>
            </w:pPr>
          </w:p>
        </w:tc>
      </w:tr>
      <w:tr>
        <w:trPr>
          <w:trHeight w:val="224"/>
        </w:trPr>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60" w:type="dxa"/>
            <w:vAlign w:val="bottom"/>
          </w:tcPr>
          <w:p>
            <w:pPr>
              <w:spacing w:after="0"/>
              <w:rPr>
                <w:sz w:val="19"/>
                <w:szCs w:val="19"/>
                <w:color w:val="auto"/>
              </w:rPr>
            </w:pPr>
          </w:p>
        </w:tc>
      </w:tr>
      <w:tr>
        <w:trPr>
          <w:trHeight w:val="445"/>
        </w:trPr>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(2,371)</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(1,992)</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2,919</w:t>
            </w:r>
          </w:p>
        </w:tc>
        <w:tc>
          <w:tcPr>
            <w:tcW w:w="6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0"/>
                <w:szCs w:val="20"/>
                <w:color w:val="auto"/>
              </w:rPr>
            </w:pPr>
          </w:p>
        </w:tc>
      </w:tr>
      <w:tr>
        <w:trPr>
          <w:trHeight w:val="210"/>
        </w:trPr>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8"/>
                <w:szCs w:val="18"/>
                <w:color w:val="auto"/>
              </w:rPr>
            </w:pPr>
          </w:p>
        </w:tc>
      </w:tr>
    </w:tbl>
    <w:p>
      <w:pPr>
        <w:sectPr>
          <w:pgSz w:w="11900" w:h="16838" w:orient="portrait"/>
          <w:cols w:equalWidth="0" w:num="2">
            <w:col w:w="7680" w:space="720"/>
            <w:col w:w="3020"/>
          </w:cols>
          <w:pgMar w:left="240" w:top="904" w:right="239" w:bottom="1440" w:gutter="0" w:footer="0" w:header="0"/>
          <w:type w:val="continuous"/>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t>The following table provides a reconciliation of operating loss for its three operating segments and corporate to Adjusted EBITDA income (loss) for the three months ended June 30,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8"/>
          </w:tcPr>
          <w:p>
            <w:pPr>
              <w:jc w:val="right"/>
              <w:ind w:right="1280"/>
              <w:spacing w:after="0"/>
              <w:rPr>
                <w:sz w:val="20"/>
                <w:szCs w:val="20"/>
                <w:color w:val="auto"/>
              </w:rPr>
            </w:pPr>
            <w:r>
              <w:rPr>
                <w:rFonts w:ascii="Arial" w:cs="Arial" w:eastAsia="Arial" w:hAnsi="Arial"/>
                <w:sz w:val="18"/>
                <w:szCs w:val="18"/>
                <w:color w:val="422B22"/>
              </w:rPr>
              <w:t>Three Months Ended June 30, 2017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line="195" w:lineRule="exact"/>
              <w:rPr>
                <w:sz w:val="20"/>
                <w:szCs w:val="20"/>
                <w:color w:val="auto"/>
              </w:rPr>
            </w:pPr>
            <w:r>
              <w:rPr>
                <w:rFonts w:ascii="Arial" w:cs="Arial" w:eastAsia="Arial" w:hAnsi="Arial"/>
                <w:sz w:val="18"/>
                <w:szCs w:val="18"/>
                <w:color w:val="422B22"/>
              </w:rPr>
              <w:t>Intellectual</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422B22"/>
              </w:rPr>
              <w:t>Wellness</w:t>
            </w: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422B22"/>
              </w:rPr>
              <w:t>Technology</w:t>
            </w:r>
          </w:p>
        </w:tc>
        <w:tc>
          <w:tcPr>
            <w:tcW w:w="16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color w:val="422B22"/>
              </w:rPr>
              <w:t>Property</w:t>
            </w:r>
          </w:p>
        </w:tc>
        <w:tc>
          <w:tcPr>
            <w:tcW w:w="1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422B22"/>
                <w:w w:val="97"/>
              </w:rPr>
              <w:t>Corporate</w:t>
            </w: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422B22"/>
              </w:rPr>
              <w:t>Total</w:t>
            </w: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422B22"/>
              </w:rPr>
              <w:t>Operating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422B22"/>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(1,992)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(742)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(126)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(2,270)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422B22"/>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422B22"/>
              </w:rPr>
              <w:t>(5,130)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422B22"/>
              </w:rPr>
              <w:t>Plus: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422B22"/>
              </w:rPr>
              <w:t>Depreciation and amortization</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422B22"/>
              </w:rPr>
              <w:t>2,919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422B22"/>
              </w:rPr>
              <w:t>162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422B22"/>
              </w:rPr>
              <w:t>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422B22"/>
              </w:rPr>
              <w:t>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422B22"/>
              </w:rPr>
              <w:t>3,094</w:t>
            </w:r>
          </w:p>
        </w:tc>
      </w:tr>
      <w:tr>
        <w:trPr>
          <w:trHeight w:val="216"/>
        </w:trPr>
        <w:tc>
          <w:tcPr>
            <w:tcW w:w="3660" w:type="dxa"/>
            <w:vAlign w:val="bottom"/>
            <w:gridSpan w:val="2"/>
          </w:tcPr>
          <w:p>
            <w:pPr>
              <w:ind w:left="180"/>
              <w:spacing w:after="0"/>
              <w:rPr>
                <w:sz w:val="20"/>
                <w:szCs w:val="20"/>
                <w:color w:val="auto"/>
              </w:rPr>
            </w:pPr>
            <w:r>
              <w:rPr>
                <w:rFonts w:ascii="Arial" w:cs="Arial" w:eastAsia="Arial" w:hAnsi="Arial"/>
                <w:sz w:val="18"/>
                <w:szCs w:val="18"/>
                <w:color w:val="422B22"/>
              </w:rPr>
              <w:t>Stock-based compensation</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422B22"/>
              </w:rPr>
              <w:t>—</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422B22"/>
              </w:rPr>
              <w:t>—</w:t>
            </w: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422B22"/>
              </w:rPr>
              <w:t>—</w:t>
            </w:r>
          </w:p>
        </w:tc>
        <w:tc>
          <w:tcPr>
            <w:tcW w:w="1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422B22"/>
              </w:rPr>
              <w:t>732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422B22"/>
              </w:rPr>
              <w:t>732</w:t>
            </w:r>
          </w:p>
        </w:tc>
      </w:tr>
      <w:tr>
        <w:trPr>
          <w:trHeight w:val="202"/>
        </w:trPr>
        <w:tc>
          <w:tcPr>
            <w:tcW w:w="36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422B22"/>
                <w:w w:val="98"/>
              </w:rPr>
              <w:t>Merger and acquisition, integration and one-</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422B22"/>
              </w:rPr>
              <w:t>time costs</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422B22"/>
              </w:rPr>
              <w:t>200</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422B22"/>
              </w:rPr>
              <w:t>—</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422B22"/>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422B22"/>
              </w:rPr>
              <w:t>310</w:t>
            </w:r>
          </w:p>
        </w:tc>
      </w:tr>
      <w:tr>
        <w:trPr>
          <w:trHeight w:val="224"/>
        </w:trPr>
        <w:tc>
          <w:tcPr>
            <w:tcW w:w="3660" w:type="dxa"/>
            <w:vAlign w:val="bottom"/>
            <w:gridSpan w:val="2"/>
          </w:tcPr>
          <w:p>
            <w:pPr>
              <w:spacing w:after="0"/>
              <w:rPr>
                <w:sz w:val="20"/>
                <w:szCs w:val="20"/>
                <w:color w:val="auto"/>
              </w:rPr>
            </w:pPr>
            <w:r>
              <w:rPr>
                <w:rFonts w:ascii="Arial" w:cs="Arial" w:eastAsia="Arial" w:hAnsi="Arial"/>
                <w:sz w:val="18"/>
                <w:szCs w:val="18"/>
                <w:color w:val="422B22"/>
              </w:rPr>
              <w:t>Adjusted EBITDA income (loss)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422B22"/>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1,127</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(580)</w:t>
            </w:r>
          </w:p>
        </w:tc>
        <w:tc>
          <w:tcPr>
            <w:tcW w:w="3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(120)</w:t>
            </w: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(1,421)</w:t>
            </w:r>
          </w:p>
        </w:tc>
        <w:tc>
          <w:tcPr>
            <w:tcW w:w="3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422B22"/>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422B22"/>
              </w:rPr>
              <w:t>(994)</w:t>
            </w:r>
          </w:p>
        </w:tc>
        <w:tc>
          <w:tcPr>
            <w:tcW w:w="10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FORM Holdings Corp. (NASDAQ:FH)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with 52 locations across 23 major airports. Group Mobile is a provider of rugged hardware and software solutions, including laptops, tablets, and mobile printers, as well as installation and deployment services. FLI Charge designs, develops, licenses, manufactures and markets wireless conductive power and charging solutions. InfoMedia is a leading provider of customer relationship management and monetization technologies to mobile carriers and device manufacturers. FORM's intellectual property division is engaged in the monetization of patents related to content and ad delivery, remote monitoring and mobile technologies. To learn more about Form Holdings Corp., visit: </w:t>
      </w:r>
      <w:r>
        <w:rPr>
          <w:rFonts w:ascii="Arial" w:cs="Arial" w:eastAsia="Arial" w:hAnsi="Arial"/>
          <w:sz w:val="16"/>
          <w:szCs w:val="16"/>
          <w:u w:val="single" w:color="auto"/>
          <w:color w:val="0000FF"/>
        </w:rPr>
        <w:t>www.FormHoldings.com</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FORM Holdings as of today's date, and are not guarantees of the future performance of the company, and actual results may vary materially from the results and expectations discussed. Additional information concerning these and other risks is contained in FORM’s most recently filed Annual Report on Form 10-K, Quarterly Report on Form 10-Q, recent Current Reports on Form 8-K and other SEC filings. All subsequent written and oral forward-looking statements concerning FORM, or other matters and attributable to FORM or any person acting on its behalf are expressly qualified in their entirety by the cautionary statements above. FORM does not undertake any obligation to publicly update any of these forward-looking statements to reflect events or circumstances that may arise after the date hereof.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Jeff.Sonnek@icrinc.com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2019-12-07T07:01:40Z</dcterms:created>
  <dcterms:modified xsi:type="dcterms:W3CDTF">2019-12-07T07:01:40Z</dcterms:modified>
</cp:coreProperties>
</file>