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December 5, 2011 (December 1, 2011)</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34"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00" w:space="720"/>
            <w:col w:w="2720" w:space="720"/>
            <w:col w:w="2460"/>
          </w:cols>
          <w:pgMar w:left="240" w:top="225" w:right="239" w:bottom="1440" w:gutter="0" w:footer="0" w:header="0"/>
          <w:type w:val="continuous"/>
        </w:sectPr>
      </w:pPr>
    </w:p>
    <w:p>
      <w:pPr>
        <w:spacing w:after="0" w:line="34"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225"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December 1, 2011, Vringo, Inc.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subscription agreements with certain accredited investors pursuant to which the Company sold approximately 817,303 shares of common stock at $1.04 per share, a 20% discount to the closing price of the Company’s common stock on November 30, 2011(the “</w:t>
      </w:r>
      <w:r>
        <w:rPr>
          <w:rFonts w:ascii="Arial" w:cs="Arial" w:eastAsia="Arial" w:hAnsi="Arial"/>
          <w:sz w:val="16"/>
          <w:szCs w:val="16"/>
          <w:b w:val="1"/>
          <w:bCs w:val="1"/>
          <w:color w:val="auto"/>
        </w:rPr>
        <w:t>Financing</w:t>
      </w:r>
      <w:r>
        <w:rPr>
          <w:rFonts w:ascii="Arial" w:cs="Arial" w:eastAsia="Arial" w:hAnsi="Arial"/>
          <w:sz w:val="16"/>
          <w:szCs w:val="16"/>
          <w:color w:val="auto"/>
        </w:rPr>
        <w:t>”). The Company received gross proceeds of $850,000 in the Financing. Upon the closing of the Financing, the Company’s outstanding convertible notes in the aggregate principal amount of $2,500,000 automatically converted into approximately 2,659,570 shares of common stock (the “</w:t>
      </w:r>
      <w:r>
        <w:rPr>
          <w:rFonts w:ascii="Arial" w:cs="Arial" w:eastAsia="Arial" w:hAnsi="Arial"/>
          <w:sz w:val="16"/>
          <w:szCs w:val="16"/>
          <w:b w:val="1"/>
          <w:bCs w:val="1"/>
          <w:color w:val="auto"/>
        </w:rPr>
        <w:t>Conversion</w:t>
      </w:r>
      <w:r>
        <w:rPr>
          <w:rFonts w:ascii="Arial" w:cs="Arial" w:eastAsia="Arial" w:hAnsi="Arial"/>
          <w:sz w:val="16"/>
          <w:szCs w:val="16"/>
          <w:color w:val="auto"/>
        </w:rPr>
        <w:t>”) at $0.94 per share, a 10% discount to the purchase price in the Financing (the “</w:t>
      </w:r>
      <w:r>
        <w:rPr>
          <w:rFonts w:ascii="Arial" w:cs="Arial" w:eastAsia="Arial" w:hAnsi="Arial"/>
          <w:sz w:val="16"/>
          <w:szCs w:val="16"/>
          <w:b w:val="1"/>
          <w:bCs w:val="1"/>
          <w:color w:val="auto"/>
        </w:rPr>
        <w:t>Conversion Price</w:t>
      </w:r>
      <w:r>
        <w:rPr>
          <w:rFonts w:ascii="Arial" w:cs="Arial" w:eastAsia="Arial" w:hAnsi="Arial"/>
          <w:sz w:val="16"/>
          <w:szCs w:val="16"/>
          <w:color w:val="auto"/>
        </w:rPr>
        <w:t>”).</w:t>
      </w:r>
    </w:p>
    <w:p>
      <w:pPr>
        <w:spacing w:after="0" w:line="18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foregoing issuances triggered anti-dilution provisions in certain of the Company’s outstanding warrants. As a result, the exercise price of these warrants decreased to the Conversion Price and the number of shares issuable under certain warrants increased. Specifically, the exercise prices of the Company’s outstanding warrants to purchase 864,332 shares of common stock at an exercise price of $2.75 per share, warrants to purchase 55,664 shares of common stock at an exercise price of $3.795 and warrants to purchase 1,728,664 shares of common stock at an exercise price of $5.06 per share have been reduced to the Conversion Price. In addition, the Company is required to issue additional warrants to purchase approximately 1,771,482 shares at the Conversion Price.</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Financing, the Company agreed to file a registration statement with the Securities and Exchange Commission by December 31, 2011 to register the shares issued in the Financing and upon the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right="100" w:firstLine="540"/>
        <w:spacing w:after="0" w:line="264" w:lineRule="auto"/>
        <w:rPr>
          <w:sz w:val="20"/>
          <w:szCs w:val="20"/>
          <w:color w:val="auto"/>
        </w:rPr>
      </w:pPr>
      <w:r>
        <w:rPr>
          <w:rFonts w:ascii="Arial" w:cs="Arial" w:eastAsia="Arial" w:hAnsi="Arial"/>
          <w:sz w:val="18"/>
          <w:szCs w:val="18"/>
          <w:color w:val="auto"/>
        </w:rPr>
        <w:t>The information contained in Item 1.01 above is incorporated herein by reference. The Shares were offered and sold to accredited investors pursuant to an exemption from the registration requirements under Section 4(2) of the Securities Act of 1933, as amended, and Rule 506 of Regulation D promulgated thereunder.</w:t>
      </w:r>
    </w:p>
    <w:p>
      <w:pPr>
        <w:spacing w:after="0" w:line="208" w:lineRule="exact"/>
        <w:rPr>
          <w:sz w:val="20"/>
          <w:szCs w:val="20"/>
          <w:color w:val="auto"/>
        </w:rPr>
      </w:pPr>
    </w:p>
    <w:p>
      <w:pPr>
        <w:ind w:right="380" w:firstLine="540"/>
        <w:spacing w:after="0" w:line="264" w:lineRule="auto"/>
        <w:rPr>
          <w:sz w:val="20"/>
          <w:szCs w:val="20"/>
          <w:color w:val="auto"/>
        </w:rPr>
      </w:pPr>
      <w:r>
        <w:rPr>
          <w:rFonts w:ascii="Arial" w:cs="Arial" w:eastAsia="Arial" w:hAnsi="Arial"/>
          <w:sz w:val="18"/>
          <w:szCs w:val="18"/>
          <w:color w:val="auto"/>
        </w:rPr>
        <w:t>On December 1, 2011, the Company issued 181,159 shares of common stock to a service provider for services rendered. The shares were issued pursuant to an exemption from the registration requirements under Section 4(2) of the Securities Act of 1933, as amended, and Rule 506 of Regulation D promulgated thereunder.</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20" w:firstLine="765"/>
        <w:spacing w:after="0" w:line="259" w:lineRule="auto"/>
        <w:rPr>
          <w:sz w:val="20"/>
          <w:szCs w:val="20"/>
          <w:color w:val="auto"/>
        </w:rPr>
      </w:pPr>
      <w:r>
        <w:rPr>
          <w:rFonts w:ascii="Arial" w:cs="Arial" w:eastAsia="Arial" w:hAnsi="Arial"/>
          <w:sz w:val="18"/>
          <w:szCs w:val="18"/>
          <w:color w:val="auto"/>
        </w:rPr>
        <w:t>On December 1, 2011, the Company held a special meeting of stockholders to approve the issuance of shares of its common stock that, in the aggregate, exceeded 19.99% of the Company’s outstanding shares of common stock in connection with a financing transaction under the rules and regulations of the NYSE Amex, including the shares issued in the Financing and upon the Conversion. The final voting results, as certified by the inspector of election in its report dated December 1, 2011,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FOR</w:t>
            </w:r>
          </w:p>
        </w:tc>
        <w:tc>
          <w:tcPr>
            <w:tcW w:w="540" w:type="dxa"/>
            <w:vAlign w:val="bottom"/>
          </w:tcPr>
          <w:p>
            <w:pPr>
              <w:spacing w:after="0"/>
              <w:rPr>
                <w:sz w:val="20"/>
                <w:szCs w:val="20"/>
                <w:color w:val="auto"/>
              </w:rPr>
            </w:pPr>
          </w:p>
        </w:tc>
        <w:tc>
          <w:tcPr>
            <w:tcW w:w="2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AGAINST</w:t>
            </w:r>
          </w:p>
        </w:tc>
        <w:tc>
          <w:tcPr>
            <w:tcW w:w="540" w:type="dxa"/>
            <w:vAlign w:val="bottom"/>
          </w:tcPr>
          <w:p>
            <w:pPr>
              <w:spacing w:after="0"/>
              <w:rPr>
                <w:sz w:val="20"/>
                <w:szCs w:val="20"/>
                <w:color w:val="auto"/>
              </w:rPr>
            </w:pPr>
          </w:p>
        </w:tc>
        <w:tc>
          <w:tcPr>
            <w:tcW w:w="23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ABSTAIN</w:t>
            </w:r>
          </w:p>
        </w:tc>
        <w:tc>
          <w:tcPr>
            <w:tcW w:w="540" w:type="dxa"/>
            <w:vAlign w:val="bottom"/>
          </w:tcPr>
          <w:p>
            <w:pPr>
              <w:spacing w:after="0"/>
              <w:rPr>
                <w:sz w:val="20"/>
                <w:szCs w:val="20"/>
                <w:color w:val="auto"/>
              </w:rPr>
            </w:pPr>
          </w:p>
        </w:tc>
        <w:tc>
          <w:tcPr>
            <w:tcW w:w="2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BROKER NON-VOTES</w:t>
            </w:r>
          </w:p>
        </w:tc>
        <w:tc>
          <w:tcPr>
            <w:tcW w:w="280" w:type="dxa"/>
            <w:vAlign w:val="bottom"/>
          </w:tcPr>
          <w:p>
            <w:pPr>
              <w:spacing w:after="0"/>
              <w:rPr>
                <w:sz w:val="20"/>
                <w:szCs w:val="20"/>
                <w:color w:val="auto"/>
              </w:rPr>
            </w:pPr>
          </w:p>
        </w:tc>
      </w:tr>
      <w:tr>
        <w:trPr>
          <w:trHeight w:val="216"/>
        </w:trPr>
        <w:tc>
          <w:tcPr>
            <w:tcW w:w="238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3,231,350</w:t>
            </w:r>
          </w:p>
        </w:tc>
        <w:tc>
          <w:tcPr>
            <w:tcW w:w="29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89,535</w:t>
            </w:r>
          </w:p>
        </w:tc>
        <w:tc>
          <w:tcPr>
            <w:tcW w:w="29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32,750</w:t>
            </w:r>
          </w:p>
        </w:tc>
        <w:tc>
          <w:tcPr>
            <w:tcW w:w="2920" w:type="dxa"/>
            <w:vAlign w:val="bottom"/>
            <w:gridSpan w:val="2"/>
            <w:shd w:val="clear" w:color="auto" w:fill="CCFFCC"/>
          </w:tcPr>
          <w:p>
            <w:pPr>
              <w:jc w:val="right"/>
              <w:ind w:right="93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r>
      <w:tr>
        <w:trPr>
          <w:trHeight w:val="631"/>
        </w:trPr>
        <w:tc>
          <w:tcPr>
            <w:tcW w:w="2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0" w:firstLine="540"/>
        <w:spacing w:after="0" w:line="277" w:lineRule="auto"/>
        <w:rPr>
          <w:sz w:val="20"/>
          <w:szCs w:val="20"/>
          <w:color w:val="auto"/>
        </w:rPr>
      </w:pPr>
      <w:r>
        <w:rPr>
          <w:rFonts w:ascii="Arial" w:cs="Arial" w:eastAsia="Arial" w:hAnsi="Arial"/>
          <w:sz w:val="18"/>
          <w:szCs w:val="18"/>
          <w:color w:val="auto"/>
        </w:rPr>
        <w:t>On December 5, 2011, the Company issued a press release announcing the closing of the Financing and the Conversion. A copy of this press release is attached hereto as Exhibit 99.1.</w:t>
      </w:r>
    </w:p>
    <w:p>
      <w:pPr>
        <w:spacing w:after="0" w:line="197" w:lineRule="exact"/>
        <w:rPr>
          <w:sz w:val="20"/>
          <w:szCs w:val="20"/>
          <w:color w:val="auto"/>
        </w:rPr>
      </w:pPr>
    </w:p>
    <w:p>
      <w:pPr>
        <w:ind w:right="20" w:firstLine="540"/>
        <w:spacing w:after="0" w:line="286" w:lineRule="auto"/>
        <w:rPr>
          <w:sz w:val="20"/>
          <w:szCs w:val="20"/>
          <w:color w:val="auto"/>
        </w:rPr>
      </w:pPr>
      <w:r>
        <w:rPr>
          <w:rFonts w:ascii="Arial" w:cs="Arial" w:eastAsia="Arial" w:hAnsi="Arial"/>
          <w:sz w:val="17"/>
          <w:szCs w:val="17"/>
          <w:color w:val="auto"/>
        </w:rPr>
        <w:t>The information set forth in this Item 7.01 and Exhibit 99.1 is intended to be furnished and shall not be deemed “filed” for purposes of Section 18 of the Securities Exchange Act of 1934, as amended, or otherwise subject to the liabilities of that section, nor shall it be deemed incorporated by reference in any filing under the Securities Act or the Exchange Act, except as expressly set forth by specific reference in such filing.</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0"/>
                <w:szCs w:val="20"/>
                <w:color w:val="auto"/>
              </w:rPr>
            </w:pPr>
          </w:p>
        </w:tc>
        <w:tc>
          <w:tcPr>
            <w:tcW w:w="996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issued by the Company on December 5, 2011</w:t>
            </w:r>
          </w:p>
        </w:tc>
      </w:tr>
      <w:tr>
        <w:trPr>
          <w:trHeight w:val="860"/>
        </w:trPr>
        <w:tc>
          <w:tcPr>
            <w:tcW w:w="1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5, 2011</w:t>
      </w:r>
      <w:r>
        <w:rPr>
          <w:sz w:val="20"/>
          <w:szCs w:val="20"/>
          <w:color w:val="auto"/>
        </w:rPr>
        <w:tab/>
      </w:r>
      <w:r>
        <w:rPr>
          <w:rFonts w:ascii="Arial" w:cs="Arial" w:eastAsia="Arial" w:hAnsi="Arial"/>
          <w:sz w:val="17"/>
          <w:szCs w:val="17"/>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jc w:val="center"/>
        <w:ind w:left="260" w:right="242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3244850</wp:posOffset>
            </wp:positionH>
            <wp:positionV relativeFrom="page">
              <wp:posOffset>88900</wp:posOffset>
            </wp:positionV>
            <wp:extent cx="107188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71880" cy="471805"/>
                    </a:xfrm>
                    <a:prstGeom prst="rect">
                      <a:avLst/>
                    </a:prstGeom>
                    <a:noFill/>
                  </pic:spPr>
                </pic:pic>
              </a:graphicData>
            </a:graphic>
          </wp:anchor>
        </w:drawing>
        <w:t>Vringo Announces Completion of $3.35 Million Round of Financing Raise Represents $850,000 of New Funds and Conversion of $2.5 Million of Notes Previously Issued in Bridge Financing Led by Benchmark Capital and DAG Ventures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NEW YORK, Dec. 5, 2011 /PRNewswire/ -- Vringo, Inc. (NYSE Amex: VRNG), a provider of software platforms for mobile social and video applications, today announced that it has closed a round of financing totaling approximately $3.35 million, consisting of gross proceeds of $850,000 in new funds from the issuance of 817,303 shares of common stock, and the conversion into common stock of $2.5 million of convertible notes previously issued in a bridge financing led by prominent venture capital firms Benchmark Capital and DAG Ventures in July 2011.</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thrilled to announce the closing of this financing, including the conversion of the bridge notes previously issued in the financing led by Benchmark and DAG," said Jon Medved, Chief Executive Officer of Vringo. "We have strengthened our cash position, eliminated all of our debt and are continuing to build our future business pipeline. We believe our innovative social mobile applications, early lead in the market and strengthened balance sheet will allow us to make further advancements into the fast-growing mobile social market."</w:t>
      </w:r>
    </w:p>
    <w:p>
      <w:pPr>
        <w:spacing w:after="0" w:line="21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Andrew Perlman, Vringo's President, said, "The proceeds of this financing will significantly improve our capital structure as well as enable us to maintain our strategic vision of mobile social applications such as Facetones™ becoming more mainstream. We have reduced our expenses while continuing to expand our revenues. This additional funding will allow us to grow our business and launch additional software platforms with partners around the world."</w:t>
      </w:r>
    </w:p>
    <w:p>
      <w:pPr>
        <w:spacing w:after="0" w:line="17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issuance price for the new funds was $1.04 per share, a 20% discount to the closing price of the Company's common stock on November 30, 2011. Upon closing of this new $850,000 million financing, the convertible notes previously issued in the $2.5 million bridge financing led by Benchmark Capital and DAG Ventures were automatically converted into common stock at a 10% discount to the issuance price for the new funds.</w:t>
      </w:r>
    </w:p>
    <w:p>
      <w:pPr>
        <w:spacing w:after="0" w:line="19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Benchmark Capital and DAG Ventures are leading venture capital firms that have been early investors in leading technology companies such as eBay (EBAY), Twitter, Zipcar (ZIP), AdMob (acquired by Google), Plaxo (acquired by Comcast), Chegg, Segway, and Yelp.</w:t>
      </w:r>
    </w:p>
    <w:p>
      <w:pPr>
        <w:spacing w:after="0" w:line="1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net proceeds received by Vringo from the private placement will be used for sales and marketing expansion, working capital and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5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Vringo (NYSE Amex: VRNG) is a provider of software platforms for mobile social and mobile video services.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product creates an automated video slideshow using friends' photos from social media web sites, which is played each time a user makes or receives a mobile call.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5" w:name="page6"/>
    <w:bookmarkEnd w:id="5"/>
    <w:p>
      <w:pPr>
        <w:ind w:right="260"/>
        <w:spacing w:after="0" w:line="277" w:lineRule="auto"/>
        <w:rPr>
          <w:sz w:val="20"/>
          <w:szCs w:val="20"/>
          <w:color w:val="auto"/>
        </w:rPr>
      </w:pPr>
      <w:r>
        <w:rPr>
          <w:rFonts w:ascii="Arial" w:cs="Arial" w:eastAsia="Arial" w:hAnsi="Arial"/>
          <w:sz w:val="18"/>
          <w:szCs w:val="18"/>
          <w:color w:val="auto"/>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u w:val="single" w:color="auto"/>
          <w:color w:val="0000FF"/>
        </w:rPr>
        <w:t>Investor Portal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White Paper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Overview Video</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Facetones Video</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 VP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646-794-4226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cliff@vringo.com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Godfrey, Director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agodfrey@vringo.com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Skype: </w:t>
      </w:r>
      <w:r>
        <w:rPr>
          <w:rFonts w:ascii="Arial" w:cs="Arial" w:eastAsia="Arial" w:hAnsi="Arial"/>
          <w:sz w:val="18"/>
          <w:szCs w:val="18"/>
          <w:u w:val="single" w:color="auto"/>
          <w:color w:val="0000FF"/>
        </w:rPr>
        <w:t>agodfrey_vringo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Twitter: </w:t>
      </w:r>
      <w:r>
        <w:rPr>
          <w:rFonts w:ascii="Arial" w:cs="Arial" w:eastAsia="Arial" w:hAnsi="Arial"/>
          <w:sz w:val="18"/>
          <w:szCs w:val="18"/>
          <w:u w:val="single" w:color="auto"/>
          <w:color w:val="0000FF"/>
        </w:rPr>
        <w:t>@vringo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info@trilogy-capital.com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2019-12-11T05:27:19Z</dcterms:created>
  <dcterms:modified xsi:type="dcterms:W3CDTF">2019-12-11T05:27:19Z</dcterms:modified>
</cp:coreProperties>
</file>