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60"/>
        <w:spacing w:after="0"/>
        <w:rPr>
          <w:sz w:val="20"/>
          <w:szCs w:val="20"/>
          <w:color w:val="auto"/>
        </w:rPr>
      </w:pPr>
      <w:r>
        <w:rPr>
          <w:rFonts w:ascii="Arial" w:cs="Arial" w:eastAsia="Arial" w:hAnsi="Arial"/>
          <w:sz w:val="18"/>
          <w:szCs w:val="18"/>
          <w:b w:val="1"/>
          <w:bCs w:val="1"/>
          <w:color w:val="auto"/>
        </w:rPr>
        <w:t>As filed with the Securities and Exchange Commission on December 22, 2011</w:t>
      </w:r>
    </w:p>
    <w:p>
      <w:pPr>
        <w:spacing w:after="0" w:line="25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240665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228600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228600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Vringo, Inc.</w:t>
      </w:r>
    </w:p>
    <w:p>
      <w:pPr>
        <w:spacing w:after="0" w:line="19"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227965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tbl>
      <w:tblPr>
        <w:tblLayout w:type="fixed"/>
        <w:tblInd w:w="420" w:type="dxa"/>
        <w:tblCellMar>
          <w:top w:w="0" w:type="dxa"/>
          <w:left w:w="0" w:type="dxa"/>
          <w:bottom w:w="0" w:type="dxa"/>
          <w:right w:w="0" w:type="dxa"/>
        </w:tblCellMar>
      </w:tblPr>
      <w:tr>
        <w:trPr>
          <w:trHeight w:val="220"/>
        </w:trPr>
        <w:tc>
          <w:tcPr>
            <w:tcW w:w="4220" w:type="dxa"/>
            <w:vAlign w:val="bottom"/>
          </w:tcPr>
          <w:p>
            <w:pPr>
              <w:jc w:val="center"/>
              <w:ind w:right="197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center"/>
              <w:ind w:left="197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4220" w:type="dxa"/>
            <w:vAlign w:val="bottom"/>
          </w:tcPr>
          <w:p>
            <w:pPr>
              <w:jc w:val="center"/>
              <w:ind w:right="1970"/>
              <w:spacing w:after="0"/>
              <w:rPr>
                <w:sz w:val="20"/>
                <w:szCs w:val="20"/>
                <w:color w:val="auto"/>
              </w:rPr>
            </w:pPr>
            <w:r>
              <w:rPr>
                <w:rFonts w:ascii="Arial" w:cs="Arial" w:eastAsia="Arial" w:hAnsi="Arial"/>
                <w:sz w:val="18"/>
                <w:szCs w:val="18"/>
                <w:color w:val="auto"/>
                <w:w w:val="92"/>
              </w:rPr>
              <w:t>(State or other jurisdiction of</w:t>
            </w:r>
          </w:p>
        </w:tc>
        <w:tc>
          <w:tcPr>
            <w:tcW w:w="3740" w:type="dxa"/>
            <w:vAlign w:val="bottom"/>
          </w:tcPr>
          <w:p>
            <w:pPr>
              <w:jc w:val="center"/>
              <w:ind w:left="19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1970"/>
              <w:spacing w:after="0"/>
              <w:rPr>
                <w:sz w:val="20"/>
                <w:szCs w:val="20"/>
                <w:color w:val="auto"/>
              </w:rPr>
            </w:pPr>
            <w:r>
              <w:rPr>
                <w:rFonts w:ascii="Arial" w:cs="Arial" w:eastAsia="Arial" w:hAnsi="Arial"/>
                <w:sz w:val="18"/>
                <w:szCs w:val="18"/>
                <w:color w:val="auto"/>
                <w:w w:val="92"/>
              </w:rPr>
              <w:t>incorporation or organization)</w:t>
            </w:r>
          </w:p>
        </w:tc>
        <w:tc>
          <w:tcPr>
            <w:tcW w:w="3740" w:type="dxa"/>
            <w:vAlign w:val="bottom"/>
          </w:tcPr>
          <w:p>
            <w:pPr>
              <w:jc w:val="center"/>
              <w:ind w:left="1970"/>
              <w:spacing w:after="0"/>
              <w:rPr>
                <w:sz w:val="20"/>
                <w:szCs w:val="20"/>
                <w:color w:val="auto"/>
              </w:rPr>
            </w:pPr>
            <w:r>
              <w:rPr>
                <w:rFonts w:ascii="Arial" w:cs="Arial" w:eastAsia="Arial" w:hAnsi="Arial"/>
                <w:sz w:val="18"/>
                <w:szCs w:val="18"/>
                <w:color w:val="auto"/>
                <w:w w:val="95"/>
              </w:rPr>
              <w:t>Identification Number)</w:t>
            </w:r>
          </w:p>
        </w:tc>
      </w:tr>
    </w:tbl>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W. 28th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228600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Jonathan Medved</w:t>
      </w:r>
    </w:p>
    <w:p>
      <w:pPr>
        <w:spacing w:after="0" w:line="27"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44 W. 28th Street</w:t>
      </w:r>
    </w:p>
    <w:p>
      <w:pPr>
        <w:spacing w:after="0" w:line="9"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228600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Barry I. Grossman, Esq.</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David Selengut, Esq.</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Ellenoff Grossman &amp; Schole LLP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150 East 42nd Street, 11th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(212) 370-1300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228600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ind w:left="1920"/>
        <w:spacing w:after="0"/>
        <w:rPr>
          <w:sz w:val="20"/>
          <w:szCs w:val="20"/>
          <w:color w:val="auto"/>
        </w:rPr>
      </w:pPr>
      <w:r>
        <w:rPr>
          <w:rFonts w:ascii="Arial" w:cs="Arial" w:eastAsia="Arial" w:hAnsi="Arial"/>
          <w:sz w:val="18"/>
          <w:szCs w:val="18"/>
          <w:color w:val="auto"/>
        </w:rPr>
        <w:t>From time to time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415290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72" w:right="239" w:bottom="1440" w:gutter="0" w:footer="0" w:header="0"/>
        </w:sectPr>
      </w:pPr>
    </w:p>
    <w:bookmarkStart w:id="1" w:name="page2"/>
    <w:bookmarkEnd w:id="1"/>
    <w:p>
      <w:pPr>
        <w:ind w:right="500" w:firstLine="324"/>
        <w:spacing w:after="0" w:line="233"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0" w:lineRule="exact"/>
        <w:rPr>
          <w:sz w:val="20"/>
          <w:szCs w:val="20"/>
          <w:color w:val="auto"/>
        </w:rPr>
      </w:pPr>
    </w:p>
    <w:p>
      <w:pPr>
        <w:ind w:right="180" w:firstLine="324"/>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0"/>
          <w:szCs w:val="20"/>
          <w:color w:val="auto"/>
        </w:rPr>
      </w:pPr>
    </w:p>
    <w:p>
      <w:pPr>
        <w:ind w:right="10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of 1933,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30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of 1933,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(Check one):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32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720" w:type="dxa"/>
            <w:vAlign w:val="bottom"/>
            <w:gridSpan w:val="3"/>
          </w:tcPr>
          <w:p>
            <w:pPr>
              <w:ind w:left="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w w:val="92"/>
              </w:rPr>
              <w:t>Non-accelerated filer</w:t>
            </w:r>
          </w:p>
        </w:tc>
        <w:tc>
          <w:tcPr>
            <w:tcW w:w="6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spacing w:after="0"/>
              <w:rPr>
                <w:sz w:val="21"/>
                <w:szCs w:val="21"/>
                <w:color w:val="auto"/>
              </w:rPr>
            </w:pPr>
          </w:p>
        </w:tc>
        <w:tc>
          <w:tcPr>
            <w:tcW w:w="2200" w:type="dxa"/>
            <w:vAlign w:val="bottom"/>
            <w:gridSpan w:val="3"/>
          </w:tcPr>
          <w:p>
            <w:pPr>
              <w:ind w:left="200"/>
              <w:spacing w:after="0"/>
              <w:rPr>
                <w:sz w:val="20"/>
                <w:szCs w:val="20"/>
                <w:color w:val="auto"/>
              </w:rPr>
            </w:pPr>
            <w:r>
              <w:rPr>
                <w:rFonts w:ascii="Arial" w:cs="Arial" w:eastAsia="Arial" w:hAnsi="Arial"/>
                <w:sz w:val="18"/>
                <w:szCs w:val="18"/>
                <w:color w:val="auto"/>
                <w:w w:val="92"/>
              </w:rPr>
              <w:t>Smaller reporting company</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20" w:type="dxa"/>
            <w:vAlign w:val="bottom"/>
            <w:gridSpan w:val="9"/>
          </w:tcPr>
          <w:p>
            <w:pPr>
              <w:jc w:val="right"/>
              <w:ind w:right="1240"/>
              <w:spacing w:after="0"/>
              <w:rPr>
                <w:sz w:val="20"/>
                <w:szCs w:val="20"/>
                <w:color w:val="auto"/>
              </w:rPr>
            </w:pPr>
            <w:r>
              <w:rPr>
                <w:rFonts w:ascii="Arial" w:cs="Arial" w:eastAsia="Arial" w:hAnsi="Arial"/>
                <w:sz w:val="18"/>
                <w:szCs w:val="18"/>
                <w:color w:val="auto"/>
              </w:rPr>
              <w:t>(Do not check if a smaller reporting company)</w:t>
            </w: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34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CALCULATION OF REGISTRATION FEE</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260" w:type="dxa"/>
            <w:vAlign w:val="bottom"/>
          </w:tcPr>
          <w:p>
            <w:pPr>
              <w:jc w:val="center"/>
              <w:ind w:left="770"/>
              <w:spacing w:after="0"/>
              <w:rPr>
                <w:sz w:val="20"/>
                <w:szCs w:val="20"/>
                <w:color w:val="auto"/>
              </w:rPr>
            </w:pPr>
            <w:r>
              <w:rPr>
                <w:rFonts w:ascii="Arial" w:cs="Arial" w:eastAsia="Arial" w:hAnsi="Arial"/>
                <w:sz w:val="18"/>
                <w:szCs w:val="18"/>
                <w:b w:val="1"/>
                <w:bCs w:val="1"/>
                <w:color w:val="auto"/>
                <w:w w:val="89"/>
              </w:rPr>
              <w:t>Title of Each Class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Proposed Maximum</w:t>
            </w: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Proposed Maximum</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jc w:val="center"/>
              <w:ind w:left="770"/>
              <w:spacing w:after="0"/>
              <w:rPr>
                <w:sz w:val="20"/>
                <w:szCs w:val="20"/>
                <w:color w:val="auto"/>
              </w:rPr>
            </w:pPr>
            <w:r>
              <w:rPr>
                <w:rFonts w:ascii="Arial" w:cs="Arial" w:eastAsia="Arial" w:hAnsi="Arial"/>
                <w:sz w:val="18"/>
                <w:szCs w:val="18"/>
                <w:b w:val="1"/>
                <w:bCs w:val="1"/>
                <w:color w:val="auto"/>
                <w:w w:val="87"/>
              </w:rPr>
              <w:t>of Securities to be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Amount to be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Offering Price</w:t>
            </w: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Aggregate Offering</w:t>
            </w:r>
          </w:p>
        </w:tc>
        <w:tc>
          <w:tcPr>
            <w:tcW w:w="1360" w:type="dxa"/>
            <w:vAlign w:val="bottom"/>
            <w:gridSpan w:val="3"/>
          </w:tcPr>
          <w:p>
            <w:pPr>
              <w:ind w:left="220"/>
              <w:spacing w:after="0"/>
              <w:rPr>
                <w:sz w:val="20"/>
                <w:szCs w:val="20"/>
                <w:color w:val="auto"/>
              </w:rPr>
            </w:pPr>
            <w:r>
              <w:rPr>
                <w:rFonts w:ascii="Arial" w:cs="Arial" w:eastAsia="Arial" w:hAnsi="Arial"/>
                <w:sz w:val="18"/>
                <w:szCs w:val="18"/>
                <w:b w:val="1"/>
                <w:bCs w:val="1"/>
                <w:color w:val="auto"/>
              </w:rPr>
              <w:t>Amount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jc w:val="center"/>
              <w:ind w:left="750"/>
              <w:spacing w:after="0"/>
              <w:rPr>
                <w:sz w:val="20"/>
                <w:szCs w:val="20"/>
                <w:color w:val="auto"/>
              </w:rPr>
            </w:pPr>
            <w:r>
              <w:rPr>
                <w:rFonts w:ascii="Arial" w:cs="Arial" w:eastAsia="Arial" w:hAnsi="Arial"/>
                <w:sz w:val="18"/>
                <w:szCs w:val="18"/>
                <w:b w:val="1"/>
                <w:bCs w:val="1"/>
                <w:color w:val="auto"/>
                <w:w w:val="88"/>
              </w:rPr>
              <w:t>Registered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Registered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Per Share</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4"/>
              </w:rPr>
              <w:t>Registration Fee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w w:val="93"/>
              </w:rPr>
              <w:t>Common Stock, $0.01 Par Value Per Share</w:t>
            </w:r>
          </w:p>
        </w:tc>
        <w:tc>
          <w:tcPr>
            <w:tcW w:w="8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760" w:type="dxa"/>
            <w:vAlign w:val="bottom"/>
            <w:shd w:val="clear" w:color="auto" w:fill="CCFFCC"/>
          </w:tcPr>
          <w:p>
            <w:pPr>
              <w:jc w:val="center"/>
              <w:ind w:left="230"/>
              <w:spacing w:after="0" w:line="216" w:lineRule="exact"/>
              <w:rPr>
                <w:sz w:val="20"/>
                <w:szCs w:val="20"/>
                <w:color w:val="auto"/>
              </w:rPr>
            </w:pPr>
            <w:r>
              <w:rPr>
                <w:rFonts w:ascii="Arial" w:cs="Arial" w:eastAsia="Arial" w:hAnsi="Arial"/>
                <w:sz w:val="18"/>
                <w:szCs w:val="18"/>
                <w:color w:val="auto"/>
                <w:w w:val="86"/>
              </w:rPr>
              <w:t>4,113,912 Shares</w:t>
            </w:r>
            <w:r>
              <w:rPr>
                <w:rFonts w:ascii="Arial" w:cs="Arial" w:eastAsia="Arial" w:hAnsi="Arial"/>
                <w:sz w:val="25"/>
                <w:szCs w:val="25"/>
                <w:color w:val="auto"/>
                <w:w w:val="86"/>
                <w:vertAlign w:val="superscript"/>
              </w:rPr>
              <w:t>(1)</w:t>
            </w:r>
          </w:p>
        </w:tc>
        <w:tc>
          <w:tcPr>
            <w:tcW w:w="3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0" w:type="dxa"/>
            <w:vAlign w:val="bottom"/>
            <w:shd w:val="clear" w:color="auto" w:fill="CCFFCC"/>
          </w:tcPr>
          <w:p>
            <w:pPr>
              <w:jc w:val="right"/>
              <w:ind w:right="10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FFCC"/>
          </w:tcPr>
          <w:p>
            <w:pPr>
              <w:ind w:left="40"/>
              <w:spacing w:after="0" w:line="216" w:lineRule="exact"/>
              <w:rPr>
                <w:sz w:val="20"/>
                <w:szCs w:val="20"/>
                <w:color w:val="auto"/>
              </w:rPr>
            </w:pPr>
            <w:r>
              <w:rPr>
                <w:rFonts w:ascii="Arial" w:cs="Arial" w:eastAsia="Arial" w:hAnsi="Arial"/>
                <w:sz w:val="18"/>
                <w:szCs w:val="18"/>
                <w:color w:val="auto"/>
                <w:w w:val="99"/>
              </w:rPr>
              <w:t xml:space="preserve">1.21 </w:t>
            </w:r>
            <w:r>
              <w:rPr>
                <w:rFonts w:ascii="Arial" w:cs="Arial" w:eastAsia="Arial" w:hAnsi="Arial"/>
                <w:sz w:val="25"/>
                <w:szCs w:val="25"/>
                <w:b w:val="1"/>
                <w:bCs w:val="1"/>
                <w:color w:val="auto"/>
                <w:w w:val="99"/>
                <w:vertAlign w:val="superscript"/>
              </w:rPr>
              <w:t>(2)</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4,977,833.52</w:t>
            </w:r>
          </w:p>
        </w:tc>
        <w:tc>
          <w:tcPr>
            <w:tcW w:w="7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0"/>
              </w:rPr>
              <w:t>577.93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40" w:hanging="332"/>
        <w:spacing w:after="0" w:line="279"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registration statement is being used to register for resale 4,113,912 shares of common stock, including (i) 3,448,329 shares issued to investors in a private placement which closed on December 1, 2011, referred to as the “Private Placement”, and (ii) 55,664 shares issuable upon conversion of warrants granted to certain persons. This registration statement shall also cover an indeterminate number of additional shares that may become issuable by virtue of any stock split, dividend or other distribution, recapitalization or similar event in accordance with Rule 416.</w:t>
      </w:r>
    </w:p>
    <w:p>
      <w:pPr>
        <w:spacing w:after="0" w:line="198" w:lineRule="exact"/>
        <w:rPr>
          <w:rFonts w:ascii="Arial" w:cs="Arial" w:eastAsia="Arial" w:hAnsi="Arial"/>
          <w:sz w:val="17"/>
          <w:szCs w:val="17"/>
          <w:color w:val="auto"/>
        </w:rPr>
      </w:pPr>
    </w:p>
    <w:p>
      <w:pPr>
        <w:ind w:left="340" w:right="22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and based, pursuant to Rule 457(c), on the average of the high and low prices of the Registrant’s common stock as reported by the NYSE Amex on December 21, 2011, which date is within five business days prior to the initial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2" w:name="page3"/>
    <w:bookmarkEnd w:id="2"/>
    <w:p>
      <w:pPr>
        <w:ind w:firstLine="54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 w:name="page4"/>
    <w:bookmarkEnd w:id="3"/>
    <w:p>
      <w:pPr>
        <w:ind w:right="20"/>
        <w:spacing w:after="0" w:line="264" w:lineRule="auto"/>
        <w:rPr>
          <w:sz w:val="20"/>
          <w:szCs w:val="20"/>
          <w:color w:val="auto"/>
        </w:rPr>
      </w:pPr>
      <w:r>
        <w:rPr>
          <w:rFonts w:ascii="Arial" w:cs="Arial" w:eastAsia="Arial" w:hAnsi="Arial"/>
          <w:sz w:val="18"/>
          <w:szCs w:val="18"/>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0000"/>
        </w:rPr>
        <w:t>SUBJECT TO COMPLETION, DATED DECEMBER 22,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4,113,912 Shares of</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172085</wp:posOffset>
            </wp:positionV>
            <wp:extent cx="805815"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0581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This prospectus relates to the sale of an aggregate of 4,113,912 shares of our common stock, $0.01 par value per share, by the selling security holders identified in this prospectus, including up to 55,664 shares issuable upon exercise of certain warrants held by such selling security holders, including their transferees, pledgees, donees or successors.</w:t>
      </w:r>
    </w:p>
    <w:p>
      <w:pPr>
        <w:spacing w:after="0" w:line="181" w:lineRule="exact"/>
        <w:rPr>
          <w:sz w:val="20"/>
          <w:szCs w:val="20"/>
          <w:color w:val="auto"/>
        </w:rPr>
      </w:pPr>
    </w:p>
    <w:p>
      <w:pPr>
        <w:jc w:val="both"/>
        <w:ind w:right="360" w:firstLine="486"/>
        <w:spacing w:after="0" w:line="264" w:lineRule="auto"/>
        <w:rPr>
          <w:sz w:val="20"/>
          <w:szCs w:val="20"/>
          <w:color w:val="auto"/>
        </w:rPr>
      </w:pPr>
      <w:r>
        <w:rPr>
          <w:rFonts w:ascii="Arial" w:cs="Arial" w:eastAsia="Arial" w:hAnsi="Arial"/>
          <w:sz w:val="18"/>
          <w:szCs w:val="18"/>
          <w:color w:val="auto"/>
        </w:rPr>
        <w:t>The selling security holders may sell their shares of our common stock from time to time at market prices prevailing at the time of sale, at prices related to the prevailing market price, or at negotiated prices. We will not receive any proceeds from the sale of common stock by the holders of the IPO warrants or the selling security holders, other than the exercise price of the warrants.</w:t>
      </w:r>
    </w:p>
    <w:p>
      <w:pPr>
        <w:spacing w:after="0" w:line="181"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No underwriter or other person has been engaged to facilitate the sale of shares of our common stock in this offering. We are paying the cost of registering the shares of our common stock covered by this prospectus as well as various related expenses. The selling security holders are responsible for all selling commissions, transfer taxes and other costs related to the offer and sale of their shares of our common stock.</w:t>
      </w:r>
    </w:p>
    <w:p>
      <w:pPr>
        <w:spacing w:after="0" w:line="16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Our common stock is traded on the NYSE Amex under the symbol “VRNG.” On December 21, 2011, the closing sale price of our common stock on the NYSE Amex was $1.14 per share.</w:t>
      </w:r>
    </w:p>
    <w:p>
      <w:pPr>
        <w:spacing w:after="0" w:line="200" w:lineRule="exact"/>
        <w:rPr>
          <w:sz w:val="20"/>
          <w:szCs w:val="20"/>
          <w:color w:val="auto"/>
        </w:rPr>
      </w:pP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Investment in our common stock involves risks. See “Risk Factors” on page 3 of this prospectus.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date of this prospectus is ,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50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1050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216"/>
        </w:trPr>
        <w:tc>
          <w:tcPr>
            <w:tcW w:w="20" w:type="dxa"/>
            <w:vAlign w:val="bottom"/>
          </w:tcPr>
          <w:p>
            <w:pPr>
              <w:spacing w:after="0"/>
              <w:rPr>
                <w:sz w:val="18"/>
                <w:szCs w:val="18"/>
                <w:color w:val="auto"/>
              </w:rPr>
            </w:pPr>
          </w:p>
        </w:tc>
        <w:tc>
          <w:tcPr>
            <w:tcW w:w="10500" w:type="dxa"/>
            <w:vAlign w:val="bottom"/>
            <w:shd w:val="clear" w:color="auto" w:fill="C0FFC0"/>
          </w:tcPr>
          <w:p>
            <w:pPr>
              <w:spacing w:after="0"/>
              <w:rPr>
                <w:sz w:val="20"/>
                <w:szCs w:val="20"/>
                <w:color w:val="auto"/>
              </w:rPr>
            </w:pPr>
            <w:r>
              <w:rPr>
                <w:rFonts w:ascii="Arial" w:cs="Arial" w:eastAsia="Arial" w:hAnsi="Arial"/>
                <w:sz w:val="18"/>
                <w:szCs w:val="18"/>
                <w:color w:val="auto"/>
              </w:rPr>
              <w:t>SUMMARY</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RISK FACTORS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10500" w:type="dxa"/>
            <w:vAlign w:val="bottom"/>
            <w:shd w:val="clear" w:color="auto" w:fill="C0FFC0"/>
          </w:tcPr>
          <w:p>
            <w:pPr>
              <w:spacing w:after="0"/>
              <w:rPr>
                <w:sz w:val="20"/>
                <w:szCs w:val="20"/>
                <w:color w:val="auto"/>
              </w:rPr>
            </w:pPr>
            <w:r>
              <w:rPr>
                <w:rFonts w:ascii="Arial" w:cs="Arial" w:eastAsia="Arial" w:hAnsi="Arial"/>
                <w:sz w:val="18"/>
                <w:szCs w:val="18"/>
                <w:color w:val="auto"/>
              </w:rPr>
              <w:t>FORWARD-LOOKING STATEMENTS</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USE OF PROCEEDS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20" w:type="dxa"/>
            <w:vAlign w:val="bottom"/>
          </w:tcPr>
          <w:p>
            <w:pPr>
              <w:spacing w:after="0"/>
              <w:rPr>
                <w:sz w:val="18"/>
                <w:szCs w:val="18"/>
                <w:color w:val="auto"/>
              </w:rPr>
            </w:pPr>
          </w:p>
        </w:tc>
        <w:tc>
          <w:tcPr>
            <w:tcW w:w="10500" w:type="dxa"/>
            <w:vAlign w:val="bottom"/>
            <w:shd w:val="clear" w:color="auto" w:fill="C0FFC0"/>
          </w:tcPr>
          <w:p>
            <w:pPr>
              <w:spacing w:after="0"/>
              <w:rPr>
                <w:sz w:val="20"/>
                <w:szCs w:val="20"/>
                <w:color w:val="auto"/>
              </w:rPr>
            </w:pPr>
            <w:r>
              <w:rPr>
                <w:rFonts w:ascii="Arial" w:cs="Arial" w:eastAsia="Arial" w:hAnsi="Arial"/>
                <w:sz w:val="18"/>
                <w:szCs w:val="18"/>
                <w:color w:val="auto"/>
              </w:rPr>
              <w:t>SELLING SECURITY HOLDERS</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PLAN OF DISTRIBUTION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20" w:type="dxa"/>
            <w:vAlign w:val="bottom"/>
          </w:tcPr>
          <w:p>
            <w:pPr>
              <w:spacing w:after="0"/>
              <w:rPr>
                <w:sz w:val="18"/>
                <w:szCs w:val="18"/>
                <w:color w:val="auto"/>
              </w:rPr>
            </w:pPr>
          </w:p>
        </w:tc>
        <w:tc>
          <w:tcPr>
            <w:tcW w:w="10500" w:type="dxa"/>
            <w:vAlign w:val="bottom"/>
            <w:shd w:val="clear" w:color="auto" w:fill="C0FFC0"/>
          </w:tcPr>
          <w:p>
            <w:pPr>
              <w:spacing w:after="0"/>
              <w:rPr>
                <w:sz w:val="20"/>
                <w:szCs w:val="20"/>
                <w:color w:val="auto"/>
              </w:rPr>
            </w:pPr>
            <w:r>
              <w:rPr>
                <w:rFonts w:ascii="Arial" w:cs="Arial" w:eastAsia="Arial" w:hAnsi="Arial"/>
                <w:sz w:val="18"/>
                <w:szCs w:val="18"/>
                <w:color w:val="auto"/>
              </w:rPr>
              <w:t>LEGAL MATTERS</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EXPERTS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20" w:type="dxa"/>
            <w:vAlign w:val="bottom"/>
          </w:tcPr>
          <w:p>
            <w:pPr>
              <w:spacing w:after="0"/>
              <w:rPr>
                <w:sz w:val="18"/>
                <w:szCs w:val="18"/>
                <w:color w:val="auto"/>
              </w:rPr>
            </w:pPr>
          </w:p>
        </w:tc>
        <w:tc>
          <w:tcPr>
            <w:tcW w:w="10500" w:type="dxa"/>
            <w:vAlign w:val="bottom"/>
            <w:shd w:val="clear" w:color="auto" w:fill="C0FFC0"/>
          </w:tcPr>
          <w:p>
            <w:pPr>
              <w:spacing w:after="0"/>
              <w:rPr>
                <w:sz w:val="20"/>
                <w:szCs w:val="20"/>
                <w:color w:val="auto"/>
              </w:rPr>
            </w:pPr>
            <w:r>
              <w:rPr>
                <w:rFonts w:ascii="Arial" w:cs="Arial" w:eastAsia="Arial" w:hAnsi="Arial"/>
                <w:sz w:val="18"/>
                <w:szCs w:val="18"/>
                <w:color w:val="auto"/>
              </w:rPr>
              <w:t>WHERE YOU CAN FIND ADDITIONAL INFORMATION</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17</w:t>
            </w:r>
          </w:p>
        </w:tc>
      </w:tr>
      <w:tr>
        <w:trPr>
          <w:trHeight w:val="230"/>
        </w:trPr>
        <w:tc>
          <w:tcPr>
            <w:tcW w:w="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We incorporate by reference important information into this prospectus. You may obtain the information incorporated by reference without charge by following the instructions under “Where You Can Find Additional Information.” You should carefully read this prospectus as well as additional information described under “Incorporation of Certain Information by Reference,” before deciding to invest in shares of our common stock. All references in this prospectus to “Vringo,” “the Company,” “we,” “us” or “our” mean Vringo, Inc., unless we state otherwise or the context otherwise requires.</w:t>
      </w:r>
    </w:p>
    <w:p>
      <w:pPr>
        <w:spacing w:after="0" w:line="154"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together with any applicable prospectus supplement. We have not authorized anyone to provide you with different information. We are not making an offer to sell these securities in any jurisdiction where the offer is not permitted. The information contained in this prospectus, any applicable prospectus supplement and the documents incorporated by reference herein and therein are accurate only as of their respective dates, regardless of the time of delivery of this prospectus or the time of any sale of our common stock. Our business, financial condition, results of operations and prospects may have changed since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allows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We believe that our services represent the next stage in the evolution of the mobile content and mobile social applications market. We anticipate that the mobile content and service market will begin to migrate from standard audio ringtones and content to high-quality video services, with social networking capability and integration with web systems. We also believe that social network information and updates will be shared regularly when friends regularly communicate by voice and by text. Our video ringtone solutions and other mobile social and video applications, which encompasses a suite of mobile and PC-based tools, enables users to create, download and share video and other social content with ease as part of the normal communication process, and provides our business partners with a consumer-friendly and easy-to-integrate monetization platform.</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21" w:lineRule="exact"/>
        <w:rPr>
          <w:sz w:val="20"/>
          <w:szCs w:val="20"/>
          <w:color w:val="auto"/>
        </w:rPr>
      </w:pPr>
    </w:p>
    <w:p>
      <w:pPr>
        <w:ind w:left="980" w:right="300" w:hanging="324"/>
        <w:spacing w:after="0" w:line="282" w:lineRule="auto"/>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Vringo Video Ringtones - </w:t>
      </w:r>
      <w:r>
        <w:rPr>
          <w:rFonts w:ascii="Arial" w:cs="Arial" w:eastAsia="Arial" w:hAnsi="Arial"/>
          <w:sz w:val="18"/>
          <w:szCs w:val="18"/>
          <w:color w:val="auto"/>
        </w:rPr>
        <w:t>our original product platform that allows users to create, download and share mobile entertainment content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video ringtones for mobile phones;</w:t>
      </w:r>
    </w:p>
    <w:p>
      <w:pPr>
        <w:spacing w:after="0" w:line="188" w:lineRule="exact"/>
        <w:rPr>
          <w:rFonts w:ascii="Arial" w:cs="Arial" w:eastAsia="Arial" w:hAnsi="Arial"/>
          <w:sz w:val="18"/>
          <w:szCs w:val="18"/>
          <w:b w:val="1"/>
          <w:bCs w:val="1"/>
          <w:color w:val="auto"/>
        </w:rPr>
      </w:pPr>
    </w:p>
    <w:p>
      <w:pPr>
        <w:ind w:left="980" w:hanging="324"/>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52" w:lineRule="exact"/>
        <w:rPr>
          <w:rFonts w:ascii="Arial" w:cs="Arial" w:eastAsia="Arial" w:hAnsi="Arial"/>
          <w:sz w:val="18"/>
          <w:szCs w:val="18"/>
          <w:b w:val="1"/>
          <w:bCs w:val="1"/>
          <w:color w:val="auto"/>
        </w:rPr>
      </w:pPr>
    </w:p>
    <w:p>
      <w:pPr>
        <w:ind w:left="980" w:right="160" w:hanging="324"/>
        <w:spacing w:after="0" w:line="282" w:lineRule="auto"/>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 with</w:t>
      </w:r>
      <w:r>
        <w:rPr>
          <w:rFonts w:ascii="Arial" w:cs="Arial" w:eastAsia="Arial" w:hAnsi="Arial"/>
          <w:sz w:val="18"/>
          <w:szCs w:val="18"/>
          <w:b w:val="1"/>
          <w:bCs w:val="1"/>
          <w:color w:val="auto"/>
        </w:rPr>
        <w:t xml:space="preserve"> </w:t>
      </w:r>
      <w:r>
        <w:rPr>
          <w:rFonts w:ascii="Arial" w:cs="Arial" w:eastAsia="Arial" w:hAnsi="Arial"/>
          <w:sz w:val="18"/>
          <w:szCs w:val="18"/>
          <w:color w:val="auto"/>
        </w:rPr>
        <w:t>music artists and brands; and</w:t>
      </w:r>
    </w:p>
    <w:p>
      <w:pPr>
        <w:spacing w:after="0" w:line="188" w:lineRule="exact"/>
        <w:rPr>
          <w:rFonts w:ascii="Arial" w:cs="Arial" w:eastAsia="Arial" w:hAnsi="Arial"/>
          <w:sz w:val="18"/>
          <w:szCs w:val="18"/>
          <w:b w:val="1"/>
          <w:bCs w:val="1"/>
          <w:color w:val="auto"/>
        </w:rPr>
      </w:pPr>
    </w:p>
    <w:p>
      <w:pPr>
        <w:ind w:left="980" w:right="160" w:hanging="324"/>
        <w:spacing w:after="0" w:line="282" w:lineRule="auto"/>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reality television series and stars and vote</w:t>
      </w:r>
      <w:r>
        <w:rPr>
          <w:rFonts w:ascii="Arial" w:cs="Arial" w:eastAsia="Arial" w:hAnsi="Arial"/>
          <w:sz w:val="18"/>
          <w:szCs w:val="18"/>
          <w:b w:val="1"/>
          <w:bCs w:val="1"/>
          <w:color w:val="auto"/>
        </w:rPr>
        <w:t xml:space="preserve"> </w:t>
      </w:r>
      <w:r>
        <w:rPr>
          <w:rFonts w:ascii="Arial" w:cs="Arial" w:eastAsia="Arial" w:hAnsi="Arial"/>
          <w:sz w:val="18"/>
          <w:szCs w:val="18"/>
          <w:color w:val="auto"/>
        </w:rPr>
        <w:t>for contestants.</w:t>
      </w:r>
    </w:p>
    <w:p>
      <w:pPr>
        <w:spacing w:after="0" w:line="166"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Over the past year, Vringo developed the three new product platforms in addition to our core Video Ringtone platform. To develop these new platforms, we have leveraged our existing technology, intellectual property and our extensive experience with mobile video, personalization and social applications. In the third quarter of 2011, these new platforms approached almost 28% of the company’s revenues, and we believe that these new platforms will represent a major component of our business going forward.</w:t>
      </w:r>
    </w:p>
    <w:p>
      <w:pPr>
        <w:spacing w:after="0" w:line="18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were incorporated in January 2006 and are still a development stage company. Since inception through the close of the third quarter 2011, we have generated only $787 thousand in revenues, which includes: $497 thousand from revenue-share subscription services, $109 thousand from one-time setup fees, $98 thousand from Facetones™, $45 thousand from Fan Loyalty application formats, and $30 thousand from Video ReMix platform. For the three and nine month periods ended September 30, 2011 and for the cumulative period from inception until September 30, 2011, we incurred net losses of $2.0 million, $4.7 million and $34.7 million, respectively. Our deficit in stockholders' equity as of September 30, 2011 was $3.4 million. The continuation of our business is dependent upon us raising additional financing. We believe that current cash levels will be sufficient to support our activities into the second quarter of 2012. The issuance of additional equity securities by us could result in a substantial dilution to our current stockholders. All of our audited consolidated financial statements since inception have contained a going concern reference by our auditors, which means that our auditors have substantial doubt about our ability to continue as a going concern.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6" w:name="page7"/>
    <w:bookmarkEnd w:id="6"/>
    <w:p>
      <w:pPr>
        <w:ind w:right="40" w:firstLine="486"/>
        <w:spacing w:after="0" w:line="288" w:lineRule="auto"/>
        <w:rPr>
          <w:sz w:val="20"/>
          <w:szCs w:val="20"/>
          <w:color w:val="auto"/>
        </w:rPr>
      </w:pPr>
      <w:r>
        <w:rPr>
          <w:rFonts w:ascii="Arial" w:cs="Arial" w:eastAsia="Arial" w:hAnsi="Arial"/>
          <w:sz w:val="16"/>
          <w:szCs w:val="16"/>
          <w:color w:val="auto"/>
        </w:rPr>
        <w:t>Our video ringtone platform was our initial product focus since inception. We believe that our comprehensive video ringtone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Our solution, furthermore, provides our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12,000 video ringtones that we provide for our users in various territories. Certain portions of this library are geographically restricted. We also have developed substantial tools for users to create their own video ringtones and for mobile carriers and other partners to include their own content and deliver it exclusively to their customers. Our VringForward™ video ringtone technology allows users to enjoy a rich social experience by sharing video ringtones from our library or which they created.</w:t>
      </w:r>
    </w:p>
    <w:p>
      <w:pPr>
        <w:spacing w:after="0" w:line="196" w:lineRule="exact"/>
        <w:rPr>
          <w:sz w:val="20"/>
          <w:szCs w:val="20"/>
          <w:color w:val="auto"/>
        </w:rPr>
      </w:pPr>
    </w:p>
    <w:p>
      <w:pPr>
        <w:ind w:firstLine="540"/>
        <w:spacing w:after="0" w:line="293" w:lineRule="auto"/>
        <w:rPr>
          <w:sz w:val="20"/>
          <w:szCs w:val="20"/>
          <w:color w:val="auto"/>
        </w:rPr>
      </w:pPr>
      <w:r>
        <w:rPr>
          <w:rFonts w:ascii="Arial" w:cs="Arial" w:eastAsia="Arial" w:hAnsi="Arial"/>
          <w:sz w:val="16"/>
          <w:szCs w:val="16"/>
          <w:color w:val="auto"/>
        </w:rPr>
        <w:t>Until the end of 2009, our video ringtone service was offered to consumers for free. We have been moving to a paid service model together with mobile carriers and other partners around the world. The initial revenue model for our video ringtone service offered through the carriers is generally a subscription-based model where users pay a monthly fee for access to our service and additional fees for premium content. Our free version is still available in markets where we have not entered into commercial arrangements with carriers or other partners. We have built our video ringtone platform with a flexible back-end and front-end that is easy to integrate with the back-end systems of mobile carriers and easy to co-brand with mobile carriers. To date, we have filed 24 patent applications for our platform, two of which have been issued to date, and we continue to create new intellectual property.</w:t>
      </w:r>
    </w:p>
    <w:p>
      <w:pPr>
        <w:spacing w:after="0" w:line="165" w:lineRule="exact"/>
        <w:rPr>
          <w:sz w:val="20"/>
          <w:szCs w:val="20"/>
          <w:color w:val="auto"/>
        </w:rPr>
      </w:pPr>
    </w:p>
    <w:p>
      <w:pPr>
        <w:jc w:val="both"/>
        <w:ind w:right="100" w:firstLine="486"/>
        <w:spacing w:after="0" w:line="312" w:lineRule="auto"/>
        <w:rPr>
          <w:sz w:val="20"/>
          <w:szCs w:val="20"/>
          <w:color w:val="auto"/>
        </w:rPr>
      </w:pPr>
      <w:r>
        <w:rPr>
          <w:rFonts w:ascii="Arial" w:cs="Arial" w:eastAsia="Arial" w:hAnsi="Arial"/>
          <w:sz w:val="16"/>
          <w:szCs w:val="16"/>
          <w:color w:val="auto"/>
        </w:rPr>
        <w:t xml:space="preserve">We were incorporated as a Delaware corporation in January 2006. Our principal executive offices are located in New York, New York and we have a subsidiary, Vringo (Israel) Ltd., located in Beit Shemesh, Israel. Our executive offices are located at 44 W. 28th Street, New York, New York 10001 and our telephone number at this location is (646) 525-4319. Our website address is </w:t>
      </w:r>
      <w:r>
        <w:rPr>
          <w:rFonts w:ascii="Arial" w:cs="Arial" w:eastAsia="Arial" w:hAnsi="Arial"/>
          <w:sz w:val="16"/>
          <w:szCs w:val="16"/>
          <w:i w:val="1"/>
          <w:iCs w:val="1"/>
          <w:color w:val="auto"/>
        </w:rPr>
        <w:t>www.vringo.com</w:t>
      </w:r>
      <w:r>
        <w:rPr>
          <w:rFonts w:ascii="Arial" w:cs="Arial" w:eastAsia="Arial" w:hAnsi="Arial"/>
          <w:sz w:val="16"/>
          <w:szCs w:val="16"/>
          <w:color w:val="auto"/>
        </w:rPr>
        <w:t>. The information on our website is not part of this prospectus.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right="40" w:firstLine="486"/>
        <w:spacing w:after="0" w:line="312" w:lineRule="auto"/>
        <w:rPr>
          <w:sz w:val="20"/>
          <w:szCs w:val="20"/>
          <w:color w:val="auto"/>
        </w:rPr>
      </w:pPr>
      <w:r>
        <w:rPr>
          <w:rFonts w:ascii="Arial" w:cs="Arial" w:eastAsia="Arial" w:hAnsi="Arial"/>
          <w:sz w:val="16"/>
          <w:szCs w:val="16"/>
          <w:color w:val="auto"/>
        </w:rPr>
        <w:t>This prospectus relates to the resale of 4,113,912 shares of common stock, including 3,448,329 shares issued to investors in a private placement which closed in December 2011, or the Private Placement, by the selling security holders identified in this prospectus, including their transferees, pledgees, donees or successors. A description of the Private Placement is set forth in the Current Report on Form 8-K which we filed with the SEC on December 5, 2011.</w:t>
      </w:r>
    </w:p>
    <w:p>
      <w:pPr>
        <w:spacing w:after="0" w:line="174"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We have registered the offer and sale of these shares to satisfy registration rights we have granted to various investors, including to investors in the Private Placement. We will not receive any proceeds from the sale of common stock by the selling security holders, other than as a result of the exercise of warrants held by the selling security holders for cash.</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 The risks and uncertainties we describe are not the only ones facing us. Additional risks not presently known to us or that we currently deem immaterial may also impair our business,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 of September 30, 2011, we had a cash balance of $1.7 million and $1.2 million negative net working capital. The Company has incurred significant losses since its inception and expects that it will continue to operate at a net loss in the foreseeable future. For the three and nine month periods ended September 30, 2011 and for the cumulative period from inception until September 30, 2011, the Company incurred net losses of $2.0 million, $4.7 million and $34.7 million, respectively. The Company's deficit in stockholders' equity as of September 30, 2011 was $3.4 million.</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expect our net losses and negative cash flow to continue for the foreseeable future, as we continue to grow our user base through carrier partnerships, continue to ensure we have broad handset reach, enhance our viral and social tools, maintain and grow our product and technology portfolio, build a strong revenue base of recurring monthly subscription revenue, find new forms of distribution, and explore monetization through advertising and revenue through content sales.</w:t>
      </w:r>
    </w:p>
    <w:p>
      <w:pPr>
        <w:spacing w:after="0" w:line="183"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We are a development stage company with no significant source of income and our independent auditors have expressed doubt about our ability to continue our activities as a going concern and the continuation of our business is dependent on us raising additional capital.</w:t>
      </w:r>
    </w:p>
    <w:p>
      <w:pPr>
        <w:spacing w:after="0" w:line="14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auditors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continuation of our business is dependent upon us raising additional financing. We believe that current cash levels will be sufficient to support our activity into the second quarter of 2012. The issuance of additional equity securities by us could result in a substantial dilution to our current stockholders. Obtaining commercial loans, assuming those loans would be available, will increase our liabilities and future cash commitments. If we should fail to continue as a going concern, you may lose the value of your investment in our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expected future growth will place a significant strain on our management, systems and resources.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business was formed in January 2006 and has grown quickly. In order to execute our business strategy, we will need to continue to experience growth, which will place a significant strain on our systems, processes, resources, management and other infrastructure and support mechanisms. To manage the anticipated growth of our operations, we will be required to:</w:t>
      </w:r>
    </w:p>
    <w:p>
      <w:pPr>
        <w:spacing w:after="0" w:line="181"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 existing and implement new operational, financial and management information controls, reporting systems and procedures;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ind w:left="820" w:right="88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relationships with additional vendors and strategic partners and maintain existing relationships (including possible growth by acquisition); and</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 train, manage and retain additional personnel.</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To the extent we are unable to assemble the personnel, controls, systems, procedures and relationships necessary to manage our future growth, if any, management resources may be diverted, and our opportunity for success may be limited.</w:t>
      </w:r>
    </w:p>
    <w:p>
      <w:pPr>
        <w:spacing w:after="0" w:line="166"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identify or consummate any additional acquisitions.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intend to consider acquisition opportunities to enable us to grow. However, there is no assurance that any such opportunities may arise, or that any we will be able to consummate any opportunities we identify. Furthermore, we may not have, and may be unable to obtain, sufficient financing for certain opportunities. If we are unable to identify or consummate additional acquisitions, we may be unable to grow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25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application is compatible with various mobile operating systems including the Symbian, Sony Ericsson, Java, Windows Mobile, Android and Blackberry operating systems. While Windows Mobile, Blackberry and Android do not support video ringtones natively, our development team has enabled our application to work on many devices which utilize these operating systems. Since these operating systems do not support video ringtones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9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6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ind w:right="140"/>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Facetones™ application depends upon our continued access to Facebook® photos.</w:t>
      </w:r>
    </w:p>
    <w:p>
      <w:pPr>
        <w:spacing w:after="0" w:line="256"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Our business model has recently shifted towards our Facetones™ application, which creates automated video slideshow using friends' photos from social media web sites, such as Facebook®, the world's leading social media site. In the event Facebook® prohibits or restricts the ability of our application to access photos on its site, our business, financial condition, operating results and projected growth could be harmed.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trademark application for our Facetones™ trademark application is not granted, our revenue from this application may be adversely affected.</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submitted a trademark application for our Facetones™ application to the U.S. Patent and Trademark Office (USPTO). Facebook® was recently granted an extension from the USPTO to oppose the trademark application. If Facebook® or any other party successfully opposes our Facetones™ trademark application, or if our trademark application is rejected for any other reason, we will need to re-brand our application, which may have a negative impact on our revenue from this application.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identify, hire and retain qualified personnel would adversely affect our business.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continued success will depend, to a significant extent, upon the performance and contributions of our senior management and upon our ability to attract, motivate and retain highly qualified management personnel and employees. We depend on our key senior management to effectively manage our business in a highly competitive environment. If one or more of our key officers forms a competing company, we may experience interruptions in product development, delays in bringing products to market, difficulties in our relationships with customers and loss of additional personnel, which could significantly harm our business, financial condition, operating results and projected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Consumer avoidance of services which collect, store or use personally-identifiable data could adversely affect our business.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Consumer sentiment regarding privacy issues is constantly evolving. Such consumer sentiment may affect the buying public’s interest in our current or future service offerings. In some areas, consumer groups and individual consumers have already begun to vigorously lobby against, or otherwise express significant concern over, the collection, storage and/or use of personally-identifiable information. Accordingly, privacy concerns of consumers may influence mobile carriers to refrain from offering products that could harm the overall mobile telephone industry. Moreover, strong consumer attitudes often precipitate new regulations like the ones described above. If we fail to successfully monitor and consider the privacy concerns of consumers, our business and prospects would be harmed.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assurance that our financial controls and safeguards are sufficient for a public company.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Section 404 of the Sarbanes-Oxley Act of 2002 and the related rules and regulations of the SEC, or the Sarbanes-Oxley Act, we will be required, beginning with our fiscal year ending December 31, 2011, to include in our annual report our assessment of the effectiveness of our internal control over financial reporting as of the end of the fiscal year ending December 31, 2011. We expect to incur additional expenses and expend management’s time as a result of performing the system and process evaluation, testing and remediation required in order to comply with the management certification and auditor attestation requirements. For our fiscal year ended December 31, 2010, we identified a material weakness relating to our internal controls primarily as a result of our failing to maintain sufficient policies in connection with financial reporting and segregation of duties. While we are in the process of remediating these weaknesses, there is no assurance that we will be able to remediate these weaknesses or that we will not identify any additional weaknesses in our internal controls.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possibility of extensive delays in the patent issuance process could effectively reduce the term during which a marketed product is protected by patents.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2" w:name="page13"/>
    <w:bookmarkEnd w:id="12"/>
    <w:p>
      <w:pPr>
        <w:ind w:right="20"/>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216" w:lineRule="exact"/>
        <w:rPr>
          <w:sz w:val="20"/>
          <w:szCs w:val="20"/>
          <w:color w:val="auto"/>
        </w:rPr>
      </w:pPr>
    </w:p>
    <w:p>
      <w:pPr>
        <w:ind w:right="320" w:firstLine="45"/>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6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7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exercise of a substantial number of warrants and options by our security holders may have an adverse effect on the market price of our common stock.</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Should our outstanding warrants be exercised, there will be an additional 9,116,943 shares of common stock eligible for trading in the public market. In addition, we have outstanding options to purchase 2,228,250 shares of common stock to our management, employees, directors and consultants. Certain options which are outstanding have exercise prices that are below, and in some cases significantly below, recent market price.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September 30, 2011, is $3.12 per share.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ind w:right="80"/>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have 9,953,850 shares of common stock issued and outstanding, excluding shares of common stock issuable upon exercise of warrants or options. As shares saleable under Rule 144 are sold, the market price of our stock could drop significantly if the holders of restricted shares sell them or are perceived by the market as intending to sell them. This decline in our stock price could occur even if our business is otherwise performing well.</w:t>
      </w:r>
    </w:p>
    <w:p>
      <w:pPr>
        <w:spacing w:after="0" w:line="16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If we are unable to make progress with respect to our plan to regain compliance with the minimum stockholders’ equity requirements imposed by the NYSE Amex within the required timeframes, our common stock could be delisted from trading, which could limit investors’ ability to make transactions in our common stock and subject us to additional trading restrictions.</w:t>
      </w:r>
    </w:p>
    <w:p>
      <w:pPr>
        <w:spacing w:after="0" w:line="1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common stock and warrants are listed on the NYSE Amex, a national securities exchange, which imposes continued listing requirements with respect to listed shares. In May 2011, we received a letter from the NYSE Amex, stating that we are not in compliance with Section 1003(a)(iv) of the NYSE Amex Company Guide because we have sustained losses which are so substantial in relation to its overall operations or our existing financial resources, or our financial condition has become so impaired that it appears questionable, in the opinion of the NYSE Amex, as to whether we will be able to continue operations and/or meet its obligations as they mature.</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23, 2011, we submitted a plan to the NYSE Amex addressing how we intend to regain compliance with the continued listing standards by September 30, 2011. Based on the information in our compliance plan and related discussions with exchange staff, the NYSE Amex determined that we had made a reasonable demonstration of our ability to regain compliance with Section 1003(a)(iv) of the NYSE Amex Company Guide by September 30, 2011 (subsequently extended to December 31, 2011) and that it would continue the listing of our common stock subject to conditions. The conditions include providing updates to the NYSE Amex staff as appropriate or upon request, but no later than at each quarter completion concurrent with our filing with the Securities and Exchange Commission. If we do not show progress consistent with our compliance plan, or we do not meet the continued listing standards by December 31, 2011, the NYSE Amex could initiate delisting proceedings. While the NYSE has not initiated delisting proceedings, there is no assurance that it will not do so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If the NYSE Amex delists our securities from trading, we could face significant consequences, including:</w:t>
      </w:r>
    </w:p>
    <w:p>
      <w:pPr>
        <w:spacing w:after="0" w:line="225" w:lineRule="exact"/>
        <w:rPr>
          <w:sz w:val="20"/>
          <w:szCs w:val="20"/>
          <w:color w:val="auto"/>
        </w:rPr>
      </w:pPr>
    </w:p>
    <w:p>
      <w:pPr>
        <w:ind w:left="660" w:hanging="1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252" w:lineRule="exact"/>
        <w:rPr>
          <w:rFonts w:ascii="Arial" w:cs="Arial" w:eastAsia="Arial" w:hAnsi="Arial"/>
          <w:sz w:val="18"/>
          <w:szCs w:val="18"/>
          <w:color w:val="auto"/>
        </w:rPr>
      </w:pPr>
    </w:p>
    <w:p>
      <w:pPr>
        <w:ind w:left="660" w:hanging="1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52" w:lineRule="exact"/>
        <w:rPr>
          <w:rFonts w:ascii="Arial" w:cs="Arial" w:eastAsia="Arial" w:hAnsi="Arial"/>
          <w:sz w:val="18"/>
          <w:szCs w:val="18"/>
          <w:color w:val="auto"/>
        </w:rPr>
      </w:pPr>
    </w:p>
    <w:p>
      <w:pPr>
        <w:ind w:left="660" w:right="20" w:hanging="1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197" w:lineRule="exact"/>
        <w:rPr>
          <w:rFonts w:ascii="Arial" w:cs="Arial" w:eastAsia="Arial" w:hAnsi="Arial"/>
          <w:sz w:val="18"/>
          <w:szCs w:val="18"/>
          <w:color w:val="auto"/>
        </w:rPr>
      </w:pPr>
    </w:p>
    <w:p>
      <w:pPr>
        <w:ind w:left="660" w:hanging="1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252" w:lineRule="exact"/>
        <w:rPr>
          <w:rFonts w:ascii="Arial" w:cs="Arial" w:eastAsia="Arial" w:hAnsi="Arial"/>
          <w:sz w:val="18"/>
          <w:szCs w:val="18"/>
          <w:color w:val="auto"/>
        </w:rPr>
      </w:pPr>
    </w:p>
    <w:p>
      <w:pPr>
        <w:ind w:left="660" w:hanging="1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14" w:name="page15"/>
    <w:bookmarkEnd w:id="14"/>
    <w:p>
      <w:pPr>
        <w:ind w:right="180"/>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research and development facility is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enforce covenants not-to-compete under current Israeli law that might result in added competition for our products.</w:t>
      </w:r>
    </w:p>
    <w:p>
      <w:pPr>
        <w:spacing w:after="0" w:line="24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operations could be disrupted as a result of the obligation of certain of our personnel residing in Israel to perform military service.</w:t>
      </w:r>
    </w:p>
    <w:p>
      <w:pPr>
        <w:spacing w:after="0" w:line="2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Some of our executive officers and key employees reside in Israel and may be required to perform annual military reserve duty. Currently, all adult permanent residents of Israel under the age of 50, depending on military rank, unless exempt, are obligated to perform up to an average of 18-28 days of military reserve duty annually and are subject to being called to active duty at any time under emergency circumstances. Our operations could be disrupted by the absence for a significant period of one or more of our officers or key employees due to military service. Any such disruption could adversely affect our business, results of operations and financial condition.</w:t>
      </w:r>
    </w:p>
    <w:p>
      <w:pPr>
        <w:spacing w:after="0" w:line="184"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Because we expect a substantial portion of our revenues will be generated in dollars and euros, while a significant portion of our expenses is incurred in Israeli currency, our revenue may be reduced due to inflation in Israel and currency exchange rate fluctuations.</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a substantial portion of our revenues will be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18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This prospectus and the documents incorporated herein by reference contain forward-looking statements within the meaning of the Private Securities Litigation Reform Act of 1995.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 some cases, you can identify forward-looking statements by the use of words such as “may,” “could,” “expect,” “intend,” “plan,” “seek,” “anticipate,” “believe,” “estimate,” “predict,” “potential,” “continue,” or the negative of these terms or other comparable terminology. You should not place undue reliance on forward-looking statements, since they involve known and unknown risks, uncertainties and other factors which are, in some cases, beyond our control and which could materially affect actual results, levels of activity, performance or achievements. These risks, uncertainties and other factors include, but are not limited to, those referenced under “Risk Factors” above and in any applicable prospectus supplement and any documents incorporated by reference herein or therein.</w:t>
      </w:r>
    </w:p>
    <w:p>
      <w:pPr>
        <w:spacing w:after="0" w:line="167" w:lineRule="exact"/>
        <w:rPr>
          <w:sz w:val="20"/>
          <w:szCs w:val="20"/>
          <w:color w:val="auto"/>
        </w:rPr>
      </w:pPr>
    </w:p>
    <w:p>
      <w:pPr>
        <w:jc w:val="both"/>
        <w:ind w:right="40" w:firstLine="486"/>
        <w:spacing w:after="0" w:line="297" w:lineRule="auto"/>
        <w:rPr>
          <w:sz w:val="20"/>
          <w:szCs w:val="20"/>
          <w:color w:val="auto"/>
        </w:rPr>
      </w:pPr>
      <w:r>
        <w:rPr>
          <w:rFonts w:ascii="Arial" w:cs="Arial" w:eastAsia="Arial" w:hAnsi="Arial"/>
          <w:sz w:val="16"/>
          <w:szCs w:val="16"/>
          <w:color w:val="auto"/>
        </w:rPr>
        <w:t>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business, financial condition or results of operations. Except as required by law, we undertake no obligation to publicly revise our forward-looking statements to reflect events or circumstances that arise after the date of this prospectus or any applicable prospectus supplement or the respective dates of documents incorporated herein or therein that include forward-looking statements.</w:t>
      </w: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We will not receive any of the proceeds from the sale of the common stock by the selling security holders named in this prospectus. All proceeds from the sale of the common stock will be paid directly to the selling security holders. We may receive proceeds from the exercise of the warrants held by the selling security holders. If all of the warrants exercisable for shares of common stock being registered in this offering are exercised, we could receive net proceeds of up to approximately $52,000, unless such warrants are exercise on a cashless basis. The holders of the warrants are not obligated to exercise the warrants and we cannot assure that the holders of the warrants will choose to exercise all or any of the warrants. We intend to use the estimated net proceeds received upon exercise of the warrants, if any, for working capital and general corporate purposes.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 HOLDERS</w:t>
      </w:r>
    </w:p>
    <w:p>
      <w:pPr>
        <w:spacing w:after="0" w:line="256"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An aggregate of up to 4,113,912 shares may be offered by certain security holders who received shares of common stock as a result of the Private Placement. In connection with the Private Placement, we agreed to register the resale of the shares of our common stock issued in the Private Placement. This prospectus covers the resale of such shares.</w:t>
      </w:r>
    </w:p>
    <w:p>
      <w:pPr>
        <w:spacing w:after="0" w:line="18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following table sets forth certain information regarding the selling security holders and the shares of our common stock beneficially owned by them and issuable to the selling security holders upon a cash exercise of the warrants, which information is available to us as of December 20, 2011. The selling security holders may offer the shares under this prospectus from time to time and may elect to sell some, all or none of the shares set forth next to their name. As a result, we cannot estimate the number of shares of our common stock that a selling security holder will beneficially own after termination of sales under this prospectus. However, for the purposes of the table below, we have assumed that, after completion of the offering, none of the shares covered by this prospectus will be held by the selling security holders. In addition, a selling security holder may have sold, transferred or otherwise disposed of all or a portion of that holder’s shares of our common stock since the date on which they provided information for this table. We have not made independent inquiries about this. We are relying on written commitments from the selling security holders to notify us of any changes in their beneficial ownership after the date they originally provided this information.</w:t>
      </w:r>
    </w:p>
    <w:p>
      <w:pPr>
        <w:spacing w:after="0" w:line="182" w:lineRule="exact"/>
        <w:rPr>
          <w:sz w:val="20"/>
          <w:szCs w:val="20"/>
          <w:color w:val="auto"/>
        </w:rPr>
      </w:pPr>
    </w:p>
    <w:p>
      <w:pPr>
        <w:jc w:val="both"/>
        <w:ind w:right="80" w:firstLine="486"/>
        <w:spacing w:after="0" w:line="312" w:lineRule="auto"/>
        <w:rPr>
          <w:sz w:val="20"/>
          <w:szCs w:val="20"/>
          <w:color w:val="auto"/>
        </w:rPr>
      </w:pPr>
      <w:r>
        <w:rPr>
          <w:rFonts w:ascii="Arial" w:cs="Arial" w:eastAsia="Arial" w:hAnsi="Arial"/>
          <w:sz w:val="16"/>
          <w:szCs w:val="16"/>
          <w:color w:val="auto"/>
        </w:rPr>
        <w:t>No material relationships exist between any of the selling security holders and us nor have any such material relationships existed within the past three years, except that (i) Maxim Group LLC served as our placement agent for a financing in December 2009 and as the representative of the underwriters in our initial public offering in June 2010 and (ii) Iroquois Capital Management LLC , together with its affiliates, is a 5% beneficial stockholder.</w:t>
      </w:r>
    </w:p>
    <w:p>
      <w:pPr>
        <w:spacing w:after="0" w:line="147"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For the purposes of the following table, the number of shares of our common stock beneficially owned, has been determined in accordance with Rule 13d-3 under the Securities Exchange Act of 1934, as amended, and such information is not necessarily indicative of beneficial ownership for any other purpose. Under Rule 13d-3, beneficial ownership includes any shares as to which a selling security holder has sole or shared voting power or investment power and also any shares which that selling security holder has the right to acquire within 60 days of the date of this prospectus through the exercise of any stock option, restricted stock unit, warrant or other rights.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3"/>
              </w:rPr>
              <w:t>Common Stock Beneficially Owned</w:t>
            </w:r>
          </w:p>
        </w:tc>
      </w:t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After Offering</w:t>
            </w:r>
          </w:p>
        </w:tc>
      </w:tr>
      <w:tr>
        <w:trPr>
          <w:trHeight w:val="198"/>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Number of Shares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of Common Stock</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Being</w:t>
            </w:r>
          </w:p>
        </w:tc>
        <w:tc>
          <w:tcPr>
            <w:tcW w:w="1700" w:type="dxa"/>
            <w:vAlign w:val="bottom"/>
            <w:gridSpan w:val="3"/>
          </w:tcPr>
          <w:p>
            <w:pPr>
              <w:ind w:left="100"/>
              <w:spacing w:after="0"/>
              <w:rPr>
                <w:sz w:val="20"/>
                <w:szCs w:val="20"/>
                <w:color w:val="auto"/>
              </w:rPr>
            </w:pPr>
            <w:r>
              <w:rPr>
                <w:rFonts w:ascii="Arial" w:cs="Arial" w:eastAsia="Arial" w:hAnsi="Arial"/>
                <w:sz w:val="18"/>
                <w:szCs w:val="18"/>
                <w:b w:val="1"/>
                <w:bCs w:val="1"/>
                <w:color w:val="auto"/>
              </w:rPr>
              <w:t>Number of Shares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22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Selling Securityholder</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Owned (1)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Percent of Shares</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Benchmark Israel II, L.P. (2)</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961,806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961,806</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DAG Ventures IV-QP, L.P. (3)</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869,878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869,878</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DAG Ventures IV, L.P. (3)</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91,928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91,928</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Alpha Capital Anstalt (4)</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1,076,264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389,246</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687,018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18 Partners, LLC (5)</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687,275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363,275</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324,000</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Ellenoff Grossman &amp; Schole LLP (6)</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208,159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208,159</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MPC Nominees Pty Limited (7)</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240,384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240,384</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Iroquois Capital Management LLC +(8)</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1,373,077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241,173</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1,139,304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Kingsbrook Opportunities Master Fund LP (9)</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276,901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96,153</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180,748</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Next View Capital LP (10)</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192,307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192,307</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Rockmore Investment Master Fund Ltd. (11)</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259,723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130,908</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128,815</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Brio Capital L.P. (12)</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224,968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96,153</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128,815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KB/V LLC (13)</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199,402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70,587</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128,815</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Ellis International Ltd. (14)</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225,186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53,435</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171,751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Matthew Miller</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53,429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53,429</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Maxim Group LLC ^ (15)</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55,664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55,664</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right="4880" w:firstLine="8"/>
        <w:spacing w:after="0" w:line="277" w:lineRule="auto"/>
        <w:tabs>
          <w:tab w:leader="none" w:pos="191"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indicated by +, no selling security holder is an officer, director, affiliate or 5% security holder.</w:t>
      </w:r>
    </w:p>
    <w:p>
      <w:pPr>
        <w:spacing w:after="0" w:line="170" w:lineRule="exact"/>
        <w:rPr>
          <w:sz w:val="20"/>
          <w:szCs w:val="20"/>
          <w:color w:val="auto"/>
        </w:rPr>
      </w:pPr>
    </w:p>
    <w:p>
      <w:pPr>
        <w:ind w:right="5060" w:firstLine="8"/>
        <w:spacing w:after="0" w:line="277" w:lineRule="auto"/>
        <w:tabs>
          <w:tab w:leader="none" w:pos="17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indicated by a ^, no selling securityholder is a broker dealer or an affiliate of a broker-dealer.</w:t>
      </w:r>
    </w:p>
    <w:p>
      <w:pPr>
        <w:spacing w:after="0" w:line="17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9,953,850 shares of common stock outstanding on December 20, 2011</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Michael Eisenberg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John J. Cadeddu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Arie Rabinowitz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Jaime Peisach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Barry Grossman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Geoffrey Levy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Joshua Silverman and Richard Abbe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Ari Storch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Stewart Flink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Bruce Bernstein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Shaye Hirsh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Ari Storch, Adam Chill and Scott Wallace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Mendy Sheen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Michael Rabinowitz has voting and investment control over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8" w:name="page19"/>
    <w:bookmarkEnd w:id="18"/>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We are registering the shares of our common stock previously issued to the selling security holders and shares of common issuable upon exercise of warrants previously issued to the selling security holders to permit the resale of these shares of common stock by their respective holders from time to time after the date of this prospectus. We will not receive any of the proceeds from the sale by the selling security holders of the shares of our common stock. We will bear all fees and expenses incident to our obligation to register the shares of our common stock.</w:t>
      </w:r>
    </w:p>
    <w:p>
      <w:pPr>
        <w:spacing w:after="0" w:line="17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selling security holders, which as used herein includes transferees, pledgees, donees or other successors selling shares of common stock or interests in shares of common stock received after the date of this prospectus from a selling security 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selling security holders may use any one or more of the following methods when disposing of shares or interests therein:</w:t>
      </w:r>
    </w:p>
    <w:p>
      <w:pPr>
        <w:spacing w:after="0" w:line="225"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607" w:right="379" w:bottom="1440" w:gutter="0" w:footer="0" w:header="0"/>
        </w:sectPr>
      </w:pPr>
    </w:p>
    <w:bookmarkStart w:id="19" w:name="page20"/>
    <w:bookmarkEnd w:id="19"/>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broker-dealers may agree with the selling security holders to sell a specified number of such shares at a stipulated price per share;</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 xml:space="preserve">The selling security 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 holders to include the pledgee, transferee or other successors in interest as selling security holders under this prospectus. The selling security holders also may transfer the shares of common stock in other circumstances, in which case the transferees, pledgees or other successors in interest will be the selling beneficial owners for purposes of this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transfer the following information (or such other information as may be required by the federal securities laws from time to time) with respect to each such selling beneficial owner must be added to the prospectus by way of a prospectus supplement or post-effective amendment, as appropriate: (1) the name of the selling beneficial owner; (2) any material relationship the selling beneficial owner has had within the past three years with us or any of our predecessors or affiliates; (3) the amount of securities of the class owned by such security beneficial owner before the offering; (4) the amount to be offered for the security beneficial owner’s account; and (5) the amount and (if one percent or more) the percentage of the class to be owned by such security beneficial owner after the offering is complete.</w:t>
      </w:r>
    </w:p>
    <w:p>
      <w:pPr>
        <w:spacing w:after="0" w:line="200"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In connection with the sale of our common stock or interests therein, the selling security holders may enter into hedging transactions with broker-dealers or other financial institutions, which may in turn engage in short sales of the common stock in the course of hedging the positions they assume. The selling security holders may also sell shares of our common stock short and deliver these securities to close out their short positions, or loan or pledge the common stock to broker-dealers that in turn may sell these securities. The selling security 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aggregate proceeds to the selling security holders from the sale of the common stock offered by them will be the purchase price of the common stock less discounts or commissions, if any. Each of the selling security 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0" w:name="page21"/>
    <w:bookmarkEnd w:id="20"/>
    <w:p>
      <w:pPr>
        <w:ind w:firstLine="486"/>
        <w:spacing w:after="0" w:line="277" w:lineRule="auto"/>
        <w:rPr>
          <w:sz w:val="20"/>
          <w:szCs w:val="20"/>
          <w:color w:val="auto"/>
        </w:rPr>
      </w:pPr>
      <w:r>
        <w:rPr>
          <w:rFonts w:ascii="Arial" w:cs="Arial" w:eastAsia="Arial" w:hAnsi="Arial"/>
          <w:sz w:val="18"/>
          <w:szCs w:val="18"/>
          <w:color w:val="auto"/>
        </w:rPr>
        <w:t>The selling security holders also may resell all or a portion of the shares in open market transactions in reliance upon Rule 144 under the Securities Act of 1933, provided that they meet the criteria and conform to the requirements of that rule.</w:t>
      </w:r>
    </w:p>
    <w:p>
      <w:pPr>
        <w:spacing w:after="0" w:line="170"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The selling security 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security 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jc w:val="both"/>
        <w:ind w:right="160" w:firstLine="486"/>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security 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4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maximum amount of compensation to be received by any FINRA member or independent broker-dealer for the sale of any securities registered under this prospectus will not be greater than 8.0% of the gross proceeds from the sale of such securities.</w:t>
      </w:r>
    </w:p>
    <w:p>
      <w:pPr>
        <w:spacing w:after="0" w:line="17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have advised the selling security holders that the anti-manipulation rules of Regulation M under the Exchange Act may apply to sales of shares in the market and to the activities of the selling security holders and their affiliates. In addition, we will make copies of this prospectus (as it may be supplemented or amended from time to time) available to the selling security holders for the purpose of satisfying the prospectus delivery requirements of the Securities Act. The selling security holders may indemnify any broker-dealer that participates in transactions involving the sale of the shares against certain liabilities, including liabilities arising under the Securities Act.</w:t>
      </w:r>
    </w:p>
    <w:p>
      <w:pPr>
        <w:spacing w:after="0" w:line="215" w:lineRule="exact"/>
        <w:rPr>
          <w:sz w:val="20"/>
          <w:szCs w:val="20"/>
          <w:color w:val="auto"/>
        </w:rPr>
      </w:pPr>
    </w:p>
    <w:p>
      <w:pPr>
        <w:ind w:right="400" w:firstLine="537"/>
        <w:spacing w:after="0" w:line="277" w:lineRule="auto"/>
        <w:rPr>
          <w:sz w:val="20"/>
          <w:szCs w:val="20"/>
          <w:color w:val="auto"/>
        </w:rPr>
      </w:pPr>
      <w:r>
        <w:rPr>
          <w:rFonts w:ascii="Arial" w:cs="Arial" w:eastAsia="Arial" w:hAnsi="Arial"/>
          <w:sz w:val="18"/>
          <w:szCs w:val="18"/>
          <w:color w:val="auto"/>
        </w:rPr>
        <w:t>We have agreed to indemnify the selling security 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We have agreed with the selling security 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pursuant to Rule 144 of the Securities Act.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our knowledge, no selling security holder is a broker-dealer or an affiliate of a broker-dealer, except for Maxim Group LLC.</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validity of the shares of our common stock being offered by this prospectus has been passed upon for us by Ellenoff Grossman &amp; Schole LLP, New York, New York.</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20" w:firstLine="528"/>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2010 and 2009 and for each of the years in the two-year period ended December 31, 2010 and for the cumulative period from January 9, 2006 (inception) through December 31, 2010 have been incorporated by reference herein in reliance upon the report of Somekh Chaikin, a member firm of KPMG International, an independent registered public accounting firm, incorporated by reference herein, and upon the authority of said firm as experts in accounting and auditing.</w:t>
      </w:r>
    </w:p>
    <w:p>
      <w:pPr>
        <w:spacing w:after="0" w:line="17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audit report covering the December 31, 2010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 Certain information in the registration statement has been omitted from this prospectus in accordance with the rules of the SEC. We are a public company and file proxy statements, annual, quarterly and current reports and other information with the SEC. The registration statement, such reports and other information can be inspected and copied at the Public Reference Room of the SEC located at 100 F Street, N.E., Washington D.C. 20549. Copies of such materials, including copies of all or any portion of the registration statement, can be obtained from the Public Reference Room of the SEC at prescribed rates. You can call the SEC at 1-800-SEC-0330 to obtain information on the operation of the Public Reference Room. Such materials may also be accessed electronically by means of the SEC’s home page on the Internet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filings we will make with the SEC under Sections 13(a), 13(c), 14, or 15(d) of the Exchange Act after the date of this prospectus until the termination of the offering of the shares covered by this prospectus (other than information furnished under Item 2.02 or Item 7.01 of Form 8-K):</w:t>
      </w:r>
    </w:p>
    <w:p>
      <w:pPr>
        <w:spacing w:after="0" w:line="193"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2010, filed on March 31, 2011;</w:t>
      </w:r>
    </w:p>
    <w:p>
      <w:pPr>
        <w:spacing w:after="0" w:line="23" w:lineRule="exact"/>
        <w:rPr>
          <w:rFonts w:ascii="Arial" w:cs="Arial" w:eastAsia="Arial" w:hAnsi="Arial"/>
          <w:sz w:val="18"/>
          <w:szCs w:val="18"/>
          <w:color w:val="auto"/>
        </w:rPr>
      </w:pPr>
    </w:p>
    <w:p>
      <w:pPr>
        <w:ind w:left="980" w:right="160" w:hanging="486"/>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2011 (filed on May 16, 2011), June 30, 2011, (filed on August 15, 2011 and as amended on September 7, 2011) and September 30, 2011 (filed on November 14, 2011);</w:t>
      </w:r>
    </w:p>
    <w:p>
      <w:pPr>
        <w:ind w:left="980" w:right="720" w:hanging="486"/>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Currents Reports on Form 8-K, filed on March 8, 2011, May 31, 2011, June 10, 2011, June 14, 2011, June 21, 2011, July 27, 2011, September 6, 2011, September 27, 2011, October 5, 2011, November 10, 2011 and December 5, 2011;</w:t>
      </w: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definitive proxy statement relating to our 2011 Annual Meeting of Stockholders, filed on May 25, 2011;</w:t>
      </w:r>
    </w:p>
    <w:p>
      <w:pPr>
        <w:spacing w:after="0" w:line="9" w:lineRule="exact"/>
        <w:rPr>
          <w:rFonts w:ascii="Arial" w:cs="Arial" w:eastAsia="Arial" w:hAnsi="Arial"/>
          <w:sz w:val="18"/>
          <w:szCs w:val="18"/>
          <w:color w:val="auto"/>
        </w:rPr>
      </w:pPr>
    </w:p>
    <w:p>
      <w:pPr>
        <w:ind w:left="980" w:right="20" w:hanging="486"/>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common stock in our Registration Statement on Form S-1, filed on January 29, 2011, including any amendment or reports filed for the purpose of updating this description; and</w:t>
      </w:r>
    </w:p>
    <w:p>
      <w:pPr>
        <w:ind w:left="980" w:hanging="486"/>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filings we make with the SEC pursuant to the Exchange Act after the date of this prospectus and before termination of this offering.</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22" w:name="page23"/>
    <w:bookmarkEnd w:id="22"/>
    <w:p>
      <w:pPr>
        <w:ind w:firstLine="486"/>
        <w:spacing w:after="0" w:line="264"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including exhibits to these documents. You should direct any requests for documents to Secretary, Vringo, Inc., 44 W. 28th Street, New York, New York 10001 or call (646) 525-4319.</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23" w:name="page24"/>
    <w:bookmarkEnd w:id="23"/>
    <w:p>
      <w:pPr>
        <w:ind w:left="38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t>4,113,912 Shares</w:t>
      </w:r>
    </w:p>
    <w:p>
      <w:pPr>
        <w:spacing w:after="0" w:line="248"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709295</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186690</wp:posOffset>
            </wp:positionV>
            <wp:extent cx="805815" cy="31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0581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223520</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753110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053"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80" w:type="dxa"/>
            <w:vAlign w:val="bottom"/>
          </w:tcPr>
          <w:p>
            <w:pPr>
              <w:jc w:val="center"/>
              <w:ind w:left="2310"/>
              <w:spacing w:after="0"/>
              <w:rPr>
                <w:sz w:val="20"/>
                <w:szCs w:val="20"/>
                <w:color w:val="auto"/>
              </w:rPr>
            </w:pPr>
            <w:r>
              <w:rPr>
                <w:rFonts w:ascii="Arial" w:cs="Arial" w:eastAsia="Arial" w:hAnsi="Arial"/>
                <w:sz w:val="18"/>
                <w:szCs w:val="18"/>
                <w:b w:val="1"/>
                <w:bCs w:val="1"/>
                <w:color w:val="auto"/>
              </w:rPr>
              <w:t>PART II</w:t>
            </w: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80" w:type="dxa"/>
            <w:vAlign w:val="bottom"/>
          </w:tcPr>
          <w:p>
            <w:pPr>
              <w:jc w:val="center"/>
              <w:ind w:left="2310"/>
              <w:spacing w:after="0"/>
              <w:rPr>
                <w:sz w:val="20"/>
                <w:szCs w:val="20"/>
                <w:color w:val="auto"/>
              </w:rPr>
            </w:pPr>
            <w:r>
              <w:rPr>
                <w:rFonts w:ascii="Arial" w:cs="Arial" w:eastAsia="Arial" w:hAnsi="Arial"/>
                <w:sz w:val="18"/>
                <w:szCs w:val="18"/>
                <w:b w:val="1"/>
                <w:bCs w:val="1"/>
                <w:color w:val="auto"/>
              </w:rPr>
              <w:t>INFORMATION NOT REQUIRED IN PROSPECTUS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ITEM 14. OTHER EXPENSES OF ISSUANCE AND DISTRIBUTION.</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80" w:type="dxa"/>
            <w:vAlign w:val="bottom"/>
          </w:tcPr>
          <w:p>
            <w:pPr>
              <w:ind w:left="480"/>
              <w:spacing w:after="0"/>
              <w:rPr>
                <w:sz w:val="20"/>
                <w:szCs w:val="20"/>
                <w:color w:val="auto"/>
              </w:rPr>
            </w:pPr>
            <w:r>
              <w:rPr>
                <w:rFonts w:ascii="Arial" w:cs="Arial" w:eastAsia="Arial" w:hAnsi="Arial"/>
                <w:sz w:val="18"/>
                <w:szCs w:val="18"/>
                <w:color w:val="auto"/>
              </w:rPr>
              <w:t>The expenses payable by us in connection with this offering are as follows: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9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FFCC"/>
          </w:tcPr>
          <w:p>
            <w:pPr>
              <w:spacing w:after="0"/>
              <w:rPr>
                <w:sz w:val="20"/>
                <w:szCs w:val="20"/>
                <w:color w:val="auto"/>
              </w:rPr>
            </w:pPr>
            <w:r>
              <w:rPr>
                <w:rFonts w:ascii="Arial" w:cs="Arial" w:eastAsia="Arial" w:hAnsi="Arial"/>
                <w:sz w:val="18"/>
                <w:szCs w:val="18"/>
                <w:color w:val="auto"/>
              </w:rPr>
              <w:t>SEC registration fee</w:t>
            </w:r>
          </w:p>
        </w:tc>
        <w:tc>
          <w:tcPr>
            <w:tcW w:w="15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FFCC"/>
          </w:tcPr>
          <w:p>
            <w:pPr>
              <w:spacing w:after="0"/>
              <w:rPr>
                <w:sz w:val="20"/>
                <w:szCs w:val="20"/>
                <w:color w:val="auto"/>
              </w:rPr>
            </w:pPr>
            <w:r>
              <w:rPr>
                <w:rFonts w:ascii="Arial" w:cs="Arial" w:eastAsia="Arial" w:hAnsi="Arial"/>
                <w:sz w:val="18"/>
                <w:szCs w:val="18"/>
                <w:color w:val="auto"/>
              </w:rPr>
              <w:t>Printing fees</w:t>
            </w:r>
          </w:p>
        </w:tc>
        <w:tc>
          <w:tcPr>
            <w:tcW w:w="15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Miscellaneous</w:t>
            </w:r>
          </w:p>
        </w:tc>
        <w:tc>
          <w:tcPr>
            <w:tcW w:w="15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ITEM 15. INDEMNIFICATION OF DIRECTORS AND OFFICERS.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firstLine="486"/>
        <w:spacing w:after="0" w:line="342" w:lineRule="auto"/>
        <w:rPr>
          <w:sz w:val="20"/>
          <w:szCs w:val="20"/>
          <w:color w:val="auto"/>
        </w:rPr>
      </w:pPr>
      <w:r>
        <w:rPr>
          <w:rFonts w:ascii="Arial" w:cs="Arial" w:eastAsia="Arial" w:hAnsi="Arial"/>
          <w:sz w:val="16"/>
          <w:szCs w:val="16"/>
          <w:color w:val="auto"/>
        </w:rPr>
        <w:t>The amended and restated certificate of incorporation of the Company provides that all directors, officers, employees and agents of the registrant shall be entitled to be indemnified by the Company to the fullest extent permitted by Section 145 of the Delaware General Corporation Law (“DGCL”).</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Article EIGHTH of the Company’s amended and restated certificate of incorporation provides:</w:t>
      </w:r>
    </w:p>
    <w:p>
      <w:pPr>
        <w:spacing w:after="0" w:line="22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9"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Pursuant to the Company’s bylaws, the directors and officers of the Company shall, to the fullest extent permitted by the DGCL, also have the right to receive from the Company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the Company of an undertaking, by or on behalf of such director or officer, to repay all amounts so advanced if it shall ultimately be determined that such director or officer is not entitled to be indemnified for such expenses. The Company is not required to provide indemnification or advance expenses in connection with</w:t>
      </w:r>
    </w:p>
    <w:p>
      <w:pPr>
        <w:spacing w:after="0" w:line="5" w:lineRule="exact"/>
        <w:rPr>
          <w:sz w:val="20"/>
          <w:szCs w:val="20"/>
          <w:color w:val="auto"/>
        </w:rPr>
      </w:pPr>
    </w:p>
    <w:p>
      <w:pPr>
        <w:ind w:right="40" w:firstLine="8"/>
        <w:spacing w:after="0" w:line="254"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proceeding initiated by a director or officer of the Company unless such proceeding was authorized by the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5" w:name="page26"/>
    <w:bookmarkEnd w:id="25"/>
    <w:p>
      <w:pPr>
        <w:ind w:right="40" w:firstLine="486"/>
        <w:spacing w:after="0" w:line="264" w:lineRule="auto"/>
        <w:rPr>
          <w:sz w:val="20"/>
          <w:szCs w:val="20"/>
          <w:color w:val="auto"/>
        </w:rPr>
      </w:pPr>
      <w:r>
        <w:rPr>
          <w:rFonts w:ascii="Arial" w:cs="Arial" w:eastAsia="Arial" w:hAnsi="Arial"/>
          <w:sz w:val="18"/>
          <w:szCs w:val="18"/>
          <w:color w:val="auto"/>
        </w:rPr>
        <w:t>Pursuant to the Company’s certificate of incorporation, the Company may also maintain a directors’ and officers’ insurance policy which insures the Company and any of its directors, officers, employees, agents or other entities, against expense, liability or loss asserted against such persons in such capacity whether or not the Company would have the power to indemnify such person under the DGCL.</w:t>
      </w:r>
    </w:p>
    <w:p>
      <w:pPr>
        <w:spacing w:after="0" w:line="18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the court of appropriate jurisdiction the question whether such indemnification by the Company is against public policy as expressed in the Securities Act and will be governed by the final adjudication of such issue.</w:t>
      </w:r>
    </w:p>
    <w:p>
      <w:pPr>
        <w:spacing w:after="0" w:line="178"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have an insurance policy covering our officers and directors with respect to certain liabilities, including liabilities arising under the Securities Act of 1933, as amended, or the Securities Act,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17"/>
                <w:szCs w:val="17"/>
                <w:color w:val="auto"/>
              </w:rPr>
            </w:pPr>
          </w:p>
        </w:tc>
        <w:tc>
          <w:tcPr>
            <w:tcW w:w="10260" w:type="dxa"/>
            <w:vAlign w:val="bottom"/>
          </w:tcPr>
          <w:p>
            <w:pPr>
              <w:spacing w:after="0"/>
              <w:rPr>
                <w:sz w:val="17"/>
                <w:szCs w:val="17"/>
                <w:color w:val="auto"/>
              </w:rPr>
            </w:pPr>
          </w:p>
        </w:tc>
      </w:tr>
      <w:tr>
        <w:trPr>
          <w:trHeight w:val="241"/>
        </w:trPr>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No.</w:t>
            </w:r>
          </w:p>
        </w:tc>
        <w:tc>
          <w:tcPr>
            <w:tcW w:w="240" w:type="dxa"/>
            <w:vAlign w:val="bottom"/>
          </w:tcPr>
          <w:p>
            <w:pPr>
              <w:spacing w:after="0"/>
              <w:rPr>
                <w:sz w:val="20"/>
                <w:szCs w:val="20"/>
                <w:color w:val="auto"/>
              </w:rPr>
            </w:pPr>
          </w:p>
        </w:tc>
        <w:tc>
          <w:tcPr>
            <w:tcW w:w="10260" w:type="dxa"/>
            <w:vAlign w:val="bottom"/>
            <w:tcBorders>
              <w:bottom w:val="single" w:sz="8" w:color="auto"/>
            </w:tcBorders>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Amended and Restated Certificate of Incorporation (incorporated by reference our Registration Statement on Form S-1 filed on May 18,</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Amended and Restated Bylaws (incorporated by reference from our Registration Statement on Form S-1 filed on January 29,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Ellenoff Grossman &amp; Schole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ind w:left="-20" w:right="120" w:firstLine="980"/>
        <w:spacing w:after="0" w:line="293" w:lineRule="auto"/>
        <w:tabs>
          <w:tab w:leader="none" w:pos="121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20" w:right="360" w:firstLine="980"/>
        <w:spacing w:after="0" w:line="277" w:lineRule="auto"/>
        <w:tabs>
          <w:tab w:leader="none" w:pos="12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Provided however, that:</w:t>
      </w:r>
    </w:p>
    <w:p>
      <w:pPr>
        <w:spacing w:after="0" w:line="252" w:lineRule="exact"/>
        <w:rPr>
          <w:sz w:val="20"/>
          <w:szCs w:val="20"/>
          <w:color w:val="auto"/>
        </w:rPr>
      </w:pPr>
    </w:p>
    <w:p>
      <w:pPr>
        <w:jc w:val="both"/>
        <w:ind w:left="-20" w:right="100" w:firstLine="980"/>
        <w:spacing w:after="0" w:line="286" w:lineRule="auto"/>
        <w:tabs>
          <w:tab w:leader="none" w:pos="1247" w:val="left"/>
        </w:tabs>
        <w:numPr>
          <w:ilvl w:val="1"/>
          <w:numId w:val="15"/>
        </w:numPr>
        <w:rPr>
          <w:rFonts w:ascii="Arial" w:cs="Arial" w:eastAsia="Arial" w:hAnsi="Arial"/>
          <w:sz w:val="17"/>
          <w:szCs w:val="17"/>
          <w:color w:val="auto"/>
        </w:rPr>
      </w:pPr>
      <w:r>
        <w:rPr>
          <w:rFonts w:ascii="Arial" w:cs="Arial" w:eastAsia="Arial" w:hAnsi="Arial"/>
          <w:sz w:val="17"/>
          <w:szCs w:val="17"/>
          <w:color w:val="auto"/>
        </w:rPr>
        <w:t>Paragraphs (1)(i) and (1)(ii)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and</w:t>
      </w:r>
    </w:p>
    <w:p>
      <w:pPr>
        <w:spacing w:after="0" w:line="192" w:lineRule="exact"/>
        <w:rPr>
          <w:rFonts w:ascii="Arial" w:cs="Arial" w:eastAsia="Arial" w:hAnsi="Arial"/>
          <w:sz w:val="17"/>
          <w:szCs w:val="17"/>
          <w:color w:val="auto"/>
        </w:rPr>
      </w:pPr>
    </w:p>
    <w:p>
      <w:pPr>
        <w:ind w:left="-20" w:firstLine="1025"/>
        <w:spacing w:after="0" w:line="259" w:lineRule="auto"/>
        <w:tabs>
          <w:tab w:leader="none" w:pos="1282" w:val="left"/>
        </w:tabs>
        <w:numPr>
          <w:ilvl w:val="2"/>
          <w:numId w:val="15"/>
        </w:numPr>
        <w:rPr>
          <w:rFonts w:ascii="Arial" w:cs="Arial" w:eastAsia="Arial" w:hAnsi="Arial"/>
          <w:sz w:val="18"/>
          <w:szCs w:val="18"/>
          <w:color w:val="auto"/>
        </w:rPr>
      </w:pPr>
      <w:r>
        <w:rPr>
          <w:rFonts w:ascii="Arial" w:cs="Arial" w:eastAsia="Arial" w:hAnsi="Arial"/>
          <w:sz w:val="18"/>
          <w:szCs w:val="18"/>
          <w:color w:val="auto"/>
        </w:rPr>
        <w:t>Paragraphs (1)(i), (1)(ii) and (1)(iii) do not apply if the registration statement is on Form S-3 or Form F-3 and the information required to be included in a post-effective amendment by those paragraphs is contained in reports filed with or furnished to the Commission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6" w:lineRule="exact"/>
        <w:rPr>
          <w:rFonts w:ascii="Arial" w:cs="Arial" w:eastAsia="Arial" w:hAnsi="Arial"/>
          <w:sz w:val="18"/>
          <w:szCs w:val="18"/>
          <w:color w:val="auto"/>
        </w:rPr>
      </w:pPr>
    </w:p>
    <w:p>
      <w:pPr>
        <w:jc w:val="both"/>
        <w:ind w:left="-20" w:right="520" w:firstLine="494"/>
        <w:spacing w:after="0" w:line="264" w:lineRule="auto"/>
        <w:tabs>
          <w:tab w:leader="none" w:pos="7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20" w:right="100" w:firstLine="494"/>
        <w:spacing w:after="0" w:line="277" w:lineRule="auto"/>
        <w:tabs>
          <w:tab w:leader="none" w:pos="7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20" w:hanging="24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52" w:lineRule="exact"/>
        <w:rPr>
          <w:rFonts w:ascii="Arial" w:cs="Arial" w:eastAsia="Arial" w:hAnsi="Arial"/>
          <w:sz w:val="18"/>
          <w:szCs w:val="18"/>
          <w:color w:val="auto"/>
        </w:rPr>
      </w:pPr>
    </w:p>
    <w:p>
      <w:pPr>
        <w:ind w:left="-20" w:right="180" w:firstLine="980"/>
        <w:spacing w:after="0" w:line="277" w:lineRule="auto"/>
        <w:tabs>
          <w:tab w:leader="none" w:pos="12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424(b)(3)shall be deemed to be part of the registration statement as of the date the filed prospectus was deemed part of and included in the registration statement; and</w:t>
      </w:r>
    </w:p>
    <w:p>
      <w:pPr>
        <w:spacing w:after="0" w:line="197" w:lineRule="exact"/>
        <w:rPr>
          <w:rFonts w:ascii="Arial" w:cs="Arial" w:eastAsia="Arial" w:hAnsi="Arial"/>
          <w:sz w:val="18"/>
          <w:szCs w:val="18"/>
          <w:color w:val="auto"/>
        </w:rPr>
      </w:pPr>
    </w:p>
    <w:p>
      <w:pPr>
        <w:ind w:left="-20" w:right="20" w:firstLine="980"/>
        <w:spacing w:after="0" w:line="288" w:lineRule="auto"/>
        <w:tabs>
          <w:tab w:leader="none" w:pos="1282" w:val="left"/>
        </w:tabs>
        <w:numPr>
          <w:ilvl w:val="1"/>
          <w:numId w:val="16"/>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a prospectus that is part of this registration statement or made in a document incorporated or deemed incorporated by reference into the registration statement or prospectus that is part of this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9" w:lineRule="exact"/>
        <w:rPr>
          <w:rFonts w:ascii="Arial" w:cs="Arial" w:eastAsia="Arial" w:hAnsi="Arial"/>
          <w:sz w:val="16"/>
          <w:szCs w:val="16"/>
          <w:color w:val="auto"/>
        </w:rPr>
      </w:pPr>
    </w:p>
    <w:p>
      <w:pPr>
        <w:ind w:left="-20" w:right="40" w:firstLine="494"/>
        <w:spacing w:after="0" w:line="302" w:lineRule="auto"/>
        <w:tabs>
          <w:tab w:leader="none" w:pos="721"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That, for purposes of determining any liability under the Securities Act, each filing of the registrant’s annual report pursuant to Section 13(a) or Section 15(d) of the Exchange Act of 1934, as amended, or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611" w:right="259" w:bottom="1440" w:gutter="0" w:footer="0" w:header="0"/>
        </w:sectPr>
      </w:pPr>
    </w:p>
    <w:bookmarkStart w:id="27" w:name="page28"/>
    <w:bookmarkEnd w:id="27"/>
    <w:p>
      <w:pPr>
        <w:ind w:firstLine="54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880" w:firstLine="486"/>
        <w:spacing w:after="0" w:line="25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New York, State of New York, on December 22, 2011.</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11" w:lineRule="exact"/>
        <w:rPr>
          <w:sz w:val="20"/>
          <w:szCs w:val="20"/>
          <w:color w:val="auto"/>
        </w:rPr>
      </w:pPr>
    </w:p>
    <w:p>
      <w:pPr>
        <w:ind w:left="6860"/>
        <w:spacing w:after="0"/>
        <w:tabs>
          <w:tab w:leader="none" w:pos="768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w:t>
      </w:r>
      <w:r>
        <w:rPr>
          <w:sz w:val="20"/>
          <w:szCs w:val="20"/>
          <w:color w:val="auto"/>
        </w:rPr>
        <w:tab/>
      </w:r>
      <w:r>
        <w:rPr>
          <w:rFonts w:ascii="Arial" w:cs="Arial" w:eastAsia="Arial" w:hAnsi="Arial"/>
          <w:sz w:val="15"/>
          <w:szCs w:val="15"/>
          <w:b w:val="1"/>
          <w:bCs w:val="1"/>
          <w:i w:val="1"/>
          <w:iCs w:val="1"/>
          <w:color w:val="auto"/>
        </w:rPr>
        <w:t>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Jonathan Medved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(Principal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5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the undersigned officers and directors of Vringo, Inc., hereby severally constitute and appoint Jonathan Medved and Andrew Perlman and each or any one of them,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20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/s/ Jonathan Medved</w:t>
            </w:r>
          </w:p>
        </w:tc>
        <w:tc>
          <w:tcPr>
            <w:tcW w:w="2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December 22,</w:t>
            </w:r>
          </w:p>
        </w:tc>
      </w:tr>
      <w:tr>
        <w:trPr>
          <w:trHeight w:val="223"/>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Jonathan Medved</w:t>
            </w:r>
          </w:p>
        </w:tc>
        <w:tc>
          <w:tcPr>
            <w:tcW w:w="22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5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2011</w:t>
            </w:r>
          </w:p>
        </w:tc>
      </w:tr>
      <w:tr>
        <w:trPr>
          <w:trHeight w:val="439"/>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Ellen Cohl</w:t>
            </w:r>
          </w:p>
        </w:tc>
        <w:tc>
          <w:tcPr>
            <w:tcW w:w="2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Chief Financial Officer (principal</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December 22,</w:t>
            </w:r>
          </w:p>
        </w:tc>
      </w:tr>
      <w:tr>
        <w:trPr>
          <w:trHeight w:val="223"/>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Ellen Cohl</w:t>
            </w:r>
          </w:p>
        </w:tc>
        <w:tc>
          <w:tcPr>
            <w:tcW w:w="22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2"/>
              </w:rPr>
              <w:t>financial and accounting officer)</w:t>
            </w:r>
          </w:p>
        </w:tc>
        <w:tc>
          <w:tcPr>
            <w:tcW w:w="25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2011</w:t>
            </w:r>
          </w:p>
        </w:tc>
      </w:tr>
      <w:tr>
        <w:trPr>
          <w:trHeight w:val="439"/>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Seth M. Siegel</w:t>
            </w:r>
          </w:p>
        </w:tc>
        <w:tc>
          <w:tcPr>
            <w:tcW w:w="2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December 22,</w:t>
            </w:r>
          </w:p>
        </w:tc>
      </w:tr>
      <w:tr>
        <w:trPr>
          <w:trHeight w:val="223"/>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Seth M. Siegel</w:t>
            </w:r>
          </w:p>
        </w:tc>
        <w:tc>
          <w:tcPr>
            <w:tcW w:w="2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5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2011</w:t>
            </w:r>
          </w:p>
        </w:tc>
      </w:tr>
      <w:tr>
        <w:trPr>
          <w:trHeight w:val="439"/>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/s/ Andrew Perlman</w:t>
            </w:r>
          </w:p>
        </w:tc>
        <w:tc>
          <w:tcPr>
            <w:tcW w:w="2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President and 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December 22,</w:t>
            </w:r>
          </w:p>
        </w:tc>
      </w:tr>
      <w:tr>
        <w:trPr>
          <w:trHeight w:val="223"/>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Andrew Perlman</w:t>
            </w:r>
          </w:p>
        </w:tc>
        <w:tc>
          <w:tcPr>
            <w:tcW w:w="2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5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2011</w:t>
            </w:r>
          </w:p>
        </w:tc>
      </w:tr>
      <w:tr>
        <w:trPr>
          <w:trHeight w:val="439"/>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Edo Segal</w:t>
            </w:r>
          </w:p>
        </w:tc>
        <w:tc>
          <w:tcPr>
            <w:tcW w:w="2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December 22,</w:t>
            </w:r>
          </w:p>
        </w:tc>
      </w:tr>
      <w:tr>
        <w:trPr>
          <w:trHeight w:val="223"/>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Edo Segal</w:t>
            </w:r>
          </w:p>
        </w:tc>
        <w:tc>
          <w:tcPr>
            <w:tcW w:w="2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5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2011</w:t>
            </w:r>
          </w:p>
        </w:tc>
      </w:tr>
      <w:tr>
        <w:trPr>
          <w:trHeight w:val="439"/>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Philip Serlin</w:t>
            </w:r>
          </w:p>
        </w:tc>
        <w:tc>
          <w:tcPr>
            <w:tcW w:w="2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December 22,</w:t>
            </w:r>
          </w:p>
        </w:tc>
      </w:tr>
      <w:tr>
        <w:trPr>
          <w:trHeight w:val="223"/>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Philp Serlin</w:t>
            </w:r>
          </w:p>
        </w:tc>
        <w:tc>
          <w:tcPr>
            <w:tcW w:w="2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5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2011</w:t>
            </w:r>
          </w:p>
        </w:tc>
      </w:tr>
      <w:tr>
        <w:trPr>
          <w:trHeight w:val="439"/>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/s/ John Engelman</w:t>
            </w:r>
          </w:p>
        </w:tc>
        <w:tc>
          <w:tcPr>
            <w:tcW w:w="2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December 22,</w:t>
            </w:r>
          </w:p>
        </w:tc>
      </w:tr>
      <w:tr>
        <w:trPr>
          <w:trHeight w:val="223"/>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John Engelman</w:t>
            </w:r>
          </w:p>
        </w:tc>
        <w:tc>
          <w:tcPr>
            <w:tcW w:w="2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5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2011</w:t>
            </w:r>
          </w:p>
        </w:tc>
      </w:tr>
      <w:tr>
        <w:trPr>
          <w:trHeight w:val="439"/>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/s/</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Geoffrey M. Skolnik</w:t>
            </w:r>
          </w:p>
        </w:tc>
        <w:tc>
          <w:tcPr>
            <w:tcW w:w="2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December 22,</w:t>
            </w:r>
          </w:p>
        </w:tc>
      </w:tr>
      <w:tr>
        <w:trPr>
          <w:trHeight w:val="223"/>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Geoffrey M. Skolnik</w:t>
            </w:r>
          </w:p>
        </w:tc>
        <w:tc>
          <w:tcPr>
            <w:tcW w:w="2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5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2011</w:t>
            </w:r>
          </w:p>
        </w:tc>
      </w:tr>
      <w:tr>
        <w:trPr>
          <w:trHeight w:val="726"/>
        </w:trPr>
        <w:tc>
          <w:tcPr>
            <w:tcW w:w="22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40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241"/>
        </w:trPr>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No.</w:t>
            </w:r>
          </w:p>
        </w:tc>
        <w:tc>
          <w:tcPr>
            <w:tcW w:w="240" w:type="dxa"/>
            <w:vAlign w:val="bottom"/>
          </w:tcPr>
          <w:p>
            <w:pPr>
              <w:spacing w:after="0"/>
              <w:rPr>
                <w:sz w:val="20"/>
                <w:szCs w:val="20"/>
                <w:color w:val="auto"/>
              </w:rPr>
            </w:pPr>
          </w:p>
        </w:tc>
        <w:tc>
          <w:tcPr>
            <w:tcW w:w="10260" w:type="dxa"/>
            <w:vAlign w:val="bottom"/>
            <w:tcBorders>
              <w:bottom w:val="single" w:sz="8" w:color="auto"/>
            </w:tcBorders>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Amended and Restated Certificate of Incorporation (incorporated by reference our Registration Statement on Form S-1 filed on May 18,</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Amended and Restated Bylaws (incorporated by reference from our Registration Statement on Form S-1 filed on January 29,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Ellenoff Grossman &amp; Schole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726"/>
        </w:trPr>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ELLENOFF GROSSMAN &amp; SCHOLE LLP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ATTORNEYS AT LAW</w:t>
      </w:r>
    </w:p>
    <w:p>
      <w:pPr>
        <w:jc w:val="center"/>
        <w:spacing w:after="0" w:line="189" w:lineRule="auto"/>
        <w:rPr>
          <w:sz w:val="20"/>
          <w:szCs w:val="20"/>
          <w:color w:val="auto"/>
        </w:rPr>
      </w:pPr>
      <w:r>
        <w:rPr>
          <w:rFonts w:ascii="Arial" w:cs="Arial" w:eastAsia="Arial" w:hAnsi="Arial"/>
          <w:sz w:val="18"/>
          <w:szCs w:val="18"/>
          <w:color w:val="auto"/>
        </w:rPr>
        <w:t>150 EAST 42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 11</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jc w:val="center"/>
        <w:spacing w:after="0"/>
        <w:rPr>
          <w:sz w:val="20"/>
          <w:szCs w:val="20"/>
          <w:color w:val="auto"/>
        </w:rPr>
      </w:pPr>
      <w:r>
        <w:rPr>
          <w:rFonts w:ascii="Arial" w:cs="Arial" w:eastAsia="Arial" w:hAnsi="Arial"/>
          <w:sz w:val="18"/>
          <w:szCs w:val="18"/>
          <w:color w:val="auto"/>
        </w:rPr>
        <w:t>NEW YORK, NEW YORK 10017</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(212) 370-1300 FACSIMILE: (212) 370-7889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www.egsllp.com</w:t>
      </w:r>
    </w:p>
    <w:p>
      <w:pPr>
        <w:spacing w:after="0" w:line="238"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December 22,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ELECTRONIC TRANSMISSION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W. 28th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10001</w:t>
      </w:r>
    </w:p>
    <w:p>
      <w:pPr>
        <w:spacing w:after="0" w:line="238"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familiar with the Registration Statement on Form S-3 (the “Registration Statement”) to which this opinion is an exhibit, which Registration Statement is being filed by Vringo, Inc., a Delaware corporation (the “Company”), with the Securities and Exchange Commission (the “SEC”) under the Securities Act of 1933, as amended (the “Securities Act”). The Registration Statement relates to the public offering by certain selling stockholders of the Company named in the Registration Statement (the “Selling Stockholders”) of a total of 4,113,912 shares (the "Shares") of common stock of the Company, par value $0.01 per share, for their respective accounts.</w:t>
      </w:r>
    </w:p>
    <w:p>
      <w:pPr>
        <w:spacing w:after="0" w:line="21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 expressed below. In such examination, we have assumed, without independent verification, the genuineness of all signatures (whether original or photocopied), the authenticity of all documents submitted to us as originals and the conformity to authentic original documents of all documents submitted to us as certified copies or photocopied.</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the foregoing and in reliance thereon, we are of the opinion that (i) the 4,058,248 Shares outstanding to be sold by the Selling Stockholders are validly issued, fully paid and non-assessable and (ii) with respect to the 55,664 Shares issuable upon exercise of warrants (the "Warrant Shares") to be sold by the Selling Stockholders, such Warrant Shares, when paid for by the applicable Selling Stockholders and issued by the Company in accordance with the terms of the warrants, will be duly authorized, validly issued, fully paid and non-assessable.</w:t>
      </w:r>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opinions set forth in this letter are limited solely to the federal laws of the United States of America and the Delaware General Corporation Law (including the statutory provisions, all applicable provisions of the Delaware Constitution and reported judicial decisions interpreting the foregoing), and we express no opinion as to the laws of any other jurisdiction.</w:t>
      </w:r>
    </w:p>
    <w:p>
      <w:pPr>
        <w:spacing w:after="0" w:line="2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hereby consent to the filing of this opinion as Exhibit 5.1 to the Registration Statement and to the reference to our firm under "Legal Matters" in the related prospectus. In giving the foregoing consent, we do not hereby admit that we are in the category of persons whose consent is required under Section 7 of the Securities Act or the rules and regulations of the SEC.</w:t>
      </w:r>
    </w:p>
    <w:p>
      <w:pPr>
        <w:spacing w:after="0" w:line="20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ELLENOFF GROSSMAN &amp; SCHOLE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Vringo, Inc. (a Development Stage Company)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use of our report incorporated by reference herein and to the reference to our firm under the heading “Experts” in the prospectus.</w:t>
      </w:r>
    </w:p>
    <w:p>
      <w:pPr>
        <w:spacing w:after="0" w:line="26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report dated March 31, 2011 contains an explanatory paragraph that states that Vringo, Inc. has suffered recurring losses from operations and has a deficit in stockholders’ equity that raise substantial doubt about its ability to continue as a going concern. The consolidated financial statements do not include any adjustments that might result from the outcome of this uncertainty.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Roman"/>
      <w:start w:val="1"/>
    </w:lvl>
  </w:abstractNum>
  <w:abstractNum w:abstractNumId="12">
    <w:nsid w:val="7FDCC233"/>
    <w:multiLevelType w:val="hybridMultilevel"/>
    <w:lvl w:ilvl="0">
      <w:lvlJc w:val="left"/>
      <w:lvlText w:val="(%1)"/>
      <w:numFmt w:val="decimal"/>
      <w:start w:val="1"/>
    </w:lvl>
    <w:lvl w:ilvl="1">
      <w:lvlJc w:val="left"/>
      <w:lvlText w:val="(%2)"/>
      <w:numFmt w:val="lowerRoman"/>
      <w:start w:val="1"/>
    </w:lvl>
  </w:abstractNum>
  <w:abstractNum w:abstractNumId="13">
    <w:nsid w:val="1BEFD79F"/>
    <w:multiLevelType w:val="hybridMultilevel"/>
    <w:lvl w:ilvl="0">
      <w:lvlJc w:val="left"/>
      <w:lvlText w:val="(%1)"/>
      <w:numFmt w:val="lowerRoman"/>
      <w:start w:val="2"/>
    </w:lvl>
  </w:abstractNum>
  <w:abstractNum w:abstractNumId="14">
    <w:nsid w:val="41A7C4C9"/>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
    </w:lvl>
  </w:abstractNum>
  <w:abstractNum w:abstractNumId="15">
    <w:nsid w:val="6B68079A"/>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2019-12-11T05:58:13Z</dcterms:created>
  <dcterms:modified xsi:type="dcterms:W3CDTF">2019-12-11T05:58:13Z</dcterms:modified>
</cp:coreProperties>
</file>