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06/30/2014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5,209</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20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3.4142</w:t>
            </w:r>
            <w:r>
              <w:rPr>
                <w:rFonts w:ascii="Arial" w:cs="Arial" w:eastAsia="Arial" w:hAnsi="Arial"/>
                <w:sz w:val="22"/>
                <w:szCs w:val="22"/>
                <w:color w:val="008000"/>
                <w:w w:val="99"/>
                <w:vertAlign w:val="superscript"/>
              </w:rPr>
              <w:t>(1)</w:t>
            </w:r>
            <w:r>
              <w:rPr>
                <w:rFonts w:ascii="Arial" w:cs="Arial" w:eastAsia="Arial" w:hAnsi="Arial"/>
                <w:sz w:val="18"/>
                <w:szCs w:val="18"/>
                <w:color w:val="auto"/>
                <w:w w:val="99"/>
              </w:rPr>
              <w:t xml:space="preserve">    </w:t>
            </w:r>
            <w:r>
              <w:rPr>
                <w:rFonts w:ascii="Arial" w:cs="Arial" w:eastAsia="Arial" w:hAnsi="Arial"/>
                <w:sz w:val="18"/>
                <w:szCs w:val="18"/>
                <w:color w:val="0000FF"/>
                <w:w w:val="99"/>
              </w:rPr>
              <w:t>2,758,786</w:t>
            </w:r>
            <w:r>
              <w:rPr>
                <w:rFonts w:ascii="Arial" w:cs="Arial" w:eastAsia="Arial" w:hAnsi="Arial"/>
                <w:sz w:val="22"/>
                <w:szCs w:val="22"/>
                <w:color w:val="008000"/>
                <w:w w:val="99"/>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2,344,509</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40" w:type="dxa"/>
            <w:vAlign w:val="bottom"/>
            <w:gridSpan w:val="9"/>
          </w:tcPr>
          <w:p>
            <w:pPr>
              <w:ind w:left="1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25,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85,939 shares of common stock are represented by unvested restricted stock units.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8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333,333 vested and unvested options and 85,939 vested and unvested restricted stock units. In addition, the reporting person owns (either directly or indirectly) 5,017,356 shares of common stock and 2,052,419 warrants. The total number of securities listed is 7,489,047.</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07/02/2014</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2019-12-17T06:59:45Z</dcterms:created>
  <dcterms:modified xsi:type="dcterms:W3CDTF">2019-12-17T06:59:45Z</dcterms:modified>
</cp:coreProperties>
</file>