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45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456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Perlman Andrew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Executive Officer</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3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33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114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7"/>
                <w:szCs w:val="17"/>
                <w:color w:val="0000FF"/>
              </w:rPr>
              <w:t>02/11/2013</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175,000</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874,978</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80" w:type="dxa"/>
            <w:vAlign w:val="bottom"/>
            <w:gridSpan w:val="11"/>
          </w:tcPr>
          <w:p>
            <w:pPr>
              <w:jc w:val="center"/>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98"/>
              </w:rPr>
              <w:t>3A. Deemed</w:t>
            </w: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3.18</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02/11/2013</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625,000</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02/11/2023</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625,000</w:t>
            </w:r>
          </w:p>
        </w:tc>
        <w:tc>
          <w:tcPr>
            <w:tcW w:w="4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625,000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One-twelfth (1/12) of the number of restricted stock units granted shall vest at the end of each calendar quarter over three (3) years, however the first and second tranches (for the first and second quarters of 2013) shall both vest on the last day of the second (2nd) quarter of 2013.</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765,625 shares of common stock that are represented by unvested restricted stock units.</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One-twelfth (1/12) of the number of options granted shall vest on the last day of each calendar quarter over three (3) years, with the first tranche of options vesting at the end of the first quarter of 2013.</w:t>
      </w:r>
    </w:p>
    <w:p>
      <w:pPr>
        <w:spacing w:after="0" w:line="7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Andrew D. Perlman</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02/13/2013</w:t>
            </w:r>
          </w:p>
        </w:tc>
      </w:tr>
      <w:tr>
        <w:trPr>
          <w:trHeight w:val="20"/>
        </w:trPr>
        <w:tc>
          <w:tcPr>
            <w:tcW w:w="1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06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2019-12-17T07:05:23Z</dcterms:created>
  <dcterms:modified xsi:type="dcterms:W3CDTF">2019-12-17T07:05:23Z</dcterms:modified>
</cp:coreProperties>
</file>