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2, 2020</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001-34785</w:t>
            </w:r>
          </w:p>
        </w:tc>
        <w:tc>
          <w:tcPr>
            <w:tcW w:w="172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(State or other jurisdiction</w:t>
            </w:r>
          </w:p>
        </w:tc>
        <w:tc>
          <w:tcPr>
            <w:tcW w:w="56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(Commission</w:t>
            </w:r>
          </w:p>
        </w:tc>
        <w:tc>
          <w:tcPr>
            <w:tcW w:w="172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File Number)</w:t>
            </w:r>
          </w:p>
        </w:tc>
        <w:tc>
          <w:tcPr>
            <w:tcW w:w="172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200" w:type="dxa"/>
            <w:vAlign w:val="bottom"/>
          </w:tcPr>
          <w:p>
            <w:pPr>
              <w:spacing w:after="0"/>
              <w:rPr>
                <w:sz w:val="24"/>
                <w:szCs w:val="24"/>
                <w:color w:val="auto"/>
              </w:rPr>
            </w:pP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254 West 31</w:t>
            </w:r>
            <w:r>
              <w:rPr>
                <w:rFonts w:ascii="Arial" w:cs="Arial" w:eastAsia="Arial" w:hAnsi="Arial"/>
                <w:sz w:val="30"/>
                <w:szCs w:val="30"/>
                <w:b w:val="1"/>
                <w:bCs w:val="1"/>
                <w:color w:val="auto"/>
                <w:w w:val="86"/>
                <w:vertAlign w:val="superscript"/>
              </w:rPr>
              <w:t>st</w:t>
            </w:r>
            <w:r>
              <w:rPr>
                <w:rFonts w:ascii="Arial" w:cs="Arial" w:eastAsia="Arial" w:hAnsi="Arial"/>
                <w:sz w:val="18"/>
                <w:szCs w:val="18"/>
                <w:b w:val="1"/>
                <w:bCs w:val="1"/>
                <w:color w:val="auto"/>
                <w:w w:val="86"/>
              </w:rPr>
              <w:t xml:space="preserve"> Street, 11</w:t>
            </w:r>
            <w:r>
              <w:rPr>
                <w:rFonts w:ascii="Arial" w:cs="Arial" w:eastAsia="Arial" w:hAnsi="Arial"/>
                <w:sz w:val="30"/>
                <w:szCs w:val="30"/>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172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56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New York, New York 10001</w:t>
            </w:r>
          </w:p>
        </w:tc>
        <w:tc>
          <w:tcPr>
            <w:tcW w:w="172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2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00" w:type="dxa"/>
            <w:vAlign w:val="bottom"/>
          </w:tcPr>
          <w:p>
            <w:pPr>
              <w:ind w:left="120"/>
              <w:spacing w:after="0"/>
              <w:rPr>
                <w:sz w:val="20"/>
                <w:szCs w:val="20"/>
                <w:color w:val="auto"/>
              </w:rPr>
            </w:pPr>
            <w:r>
              <w:rPr>
                <w:rFonts w:ascii="Arial" w:cs="Arial" w:eastAsia="Arial" w:hAnsi="Arial"/>
                <w:sz w:val="18"/>
                <w:szCs w:val="18"/>
                <w:b w:val="1"/>
                <w:bCs w:val="1"/>
                <w:color w:val="auto"/>
                <w:w w:val="94"/>
              </w:rPr>
              <w:t>Registrant’s telephone number, including area code: (646) 525-4319</w:t>
            </w:r>
          </w:p>
        </w:tc>
        <w:tc>
          <w:tcPr>
            <w:tcW w:w="1720" w:type="dxa"/>
            <w:vAlign w:val="bottom"/>
          </w:tcPr>
          <w:p>
            <w:pPr>
              <w:spacing w:after="0"/>
              <w:rPr>
                <w:sz w:val="24"/>
                <w:szCs w:val="24"/>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70"/>
        </w:trPr>
        <w:tc>
          <w:tcPr>
            <w:tcW w:w="36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410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6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Name of each exchange on which registered</w:t>
            </w:r>
          </w:p>
        </w:tc>
      </w:tr>
      <w:tr>
        <w:trPr>
          <w:trHeight w:val="236"/>
        </w:trPr>
        <w:tc>
          <w:tcPr>
            <w:tcW w:w="36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w:t>
            </w: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36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w:t>
            </w:r>
          </w:p>
        </w:tc>
      </w:tr>
      <w:tr>
        <w:trPr>
          <w:trHeight w:val="230"/>
        </w:trPr>
        <w:tc>
          <w:tcPr>
            <w:tcW w:w="36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par value $0.01 per share</w:t>
            </w:r>
          </w:p>
        </w:tc>
        <w:tc>
          <w:tcPr>
            <w:tcW w:w="4100" w:type="dxa"/>
            <w:vAlign w:val="bottom"/>
            <w:tcBorders>
              <w:right w:val="single" w:sz="8" w:color="auto"/>
            </w:tcBorders>
          </w:tcPr>
          <w:p>
            <w:pPr>
              <w:spacing w:after="0"/>
              <w:rPr>
                <w:sz w:val="20"/>
                <w:szCs w:val="20"/>
                <w:color w:val="auto"/>
              </w:rPr>
            </w:pPr>
          </w:p>
        </w:tc>
        <w:tc>
          <w:tcPr>
            <w:tcW w:w="3640" w:type="dxa"/>
            <w:vAlign w:val="bottom"/>
            <w:tcBorders>
              <w:right w:val="single" w:sz="8" w:color="auto"/>
            </w:tcBorders>
          </w:tcPr>
          <w:p>
            <w:pPr>
              <w:spacing w:after="0"/>
              <w:rPr>
                <w:sz w:val="20"/>
                <w:szCs w:val="20"/>
                <w:color w:val="auto"/>
              </w:rPr>
            </w:pPr>
          </w:p>
        </w:tc>
      </w:tr>
      <w:tr>
        <w:trPr>
          <w:trHeight w:val="41"/>
        </w:trPr>
        <w:tc>
          <w:tcPr>
            <w:tcW w:w="3680" w:type="dxa"/>
            <w:vAlign w:val="bottom"/>
            <w:tcBorders>
              <w:left w:val="single" w:sz="8" w:color="auto"/>
              <w:bottom w:val="single" w:sz="8" w:color="auto"/>
              <w:right w:val="single" w:sz="8" w:color="auto"/>
            </w:tcBorders>
          </w:tcPr>
          <w:p>
            <w:pPr>
              <w:spacing w:after="0"/>
              <w:rPr>
                <w:sz w:val="3"/>
                <w:szCs w:val="3"/>
                <w:color w:val="auto"/>
              </w:rPr>
            </w:pPr>
          </w:p>
        </w:tc>
        <w:tc>
          <w:tcPr>
            <w:tcW w:w="410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or Listing.</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On January 2, 2020, XpresSpa Group, Inc. (the "Company") received a notification letter from The Nasdaq Stock Market ("Nasdaq") informing the Company that for the last 30 consecutive business days, the bid price of the Company’s securities had closed below $1.00 per share, which is the minimum required closing bid price for continued listing on The Nasdaq Capital Market pursuant to Listing Rule 5550(a)(2).</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notice has no immediate effect on the Company's Nasdaq listing; the Company has 180 calendar days, or until June 30, 2020, to regain compliance. To regain compliance, the closing bid price of the Company’s securities must be at least $1.00 per share for a minimum of ten consecutive business days. If the Company does not regain compliance by June 30, 2020, the Company may be eligible for additional time to regain compliance or if the Company is otherwise not eligible, the Company may request a hearing before a Hearings Panel.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688" w:right="37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7080" w:type="dxa"/>
            <w:vAlign w:val="bottom"/>
            <w:gridSpan w:val="2"/>
          </w:tcPr>
          <w:p>
            <w:pPr>
              <w:ind w:left="274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4340" w:type="dxa"/>
            <w:vAlign w:val="bottom"/>
          </w:tcPr>
          <w:p>
            <w:pPr>
              <w:spacing w:after="0"/>
              <w:rPr>
                <w:sz w:val="20"/>
                <w:szCs w:val="20"/>
                <w:color w:val="auto"/>
              </w:rPr>
            </w:pPr>
            <w:r>
              <w:rPr>
                <w:rFonts w:ascii="Arial" w:cs="Arial" w:eastAsia="Arial" w:hAnsi="Arial"/>
                <w:sz w:val="18"/>
                <w:szCs w:val="18"/>
                <w:color w:val="auto"/>
              </w:rPr>
              <w:t>Date: January 3, 2020</w:t>
            </w:r>
          </w:p>
        </w:tc>
        <w:tc>
          <w:tcPr>
            <w:tcW w:w="7080" w:type="dxa"/>
            <w:vAlign w:val="bottom"/>
            <w:gridSpan w:val="2"/>
          </w:tcPr>
          <w:p>
            <w:pPr>
              <w:ind w:left="2740"/>
              <w:spacing w:after="0"/>
              <w:rPr>
                <w:sz w:val="20"/>
                <w:szCs w:val="20"/>
                <w:color w:val="auto"/>
              </w:rPr>
            </w:pPr>
            <w:r>
              <w:rPr>
                <w:rFonts w:ascii="Arial" w:cs="Arial" w:eastAsia="Arial" w:hAnsi="Arial"/>
                <w:sz w:val="18"/>
                <w:szCs w:val="18"/>
                <w:color w:val="auto"/>
              </w:rPr>
              <w:t>By: /s/ Douglas Satzman</w:t>
            </w:r>
          </w:p>
        </w:tc>
      </w:tr>
      <w:tr>
        <w:trPr>
          <w:trHeight w:val="195"/>
        </w:trPr>
        <w:tc>
          <w:tcPr>
            <w:tcW w:w="43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43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702"/>
        </w:trPr>
        <w:tc>
          <w:tcPr>
            <w:tcW w:w="43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7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2020-01-03T16:03:11Z</dcterms:created>
  <dcterms:modified xsi:type="dcterms:W3CDTF">2020-01-03T16:03:11Z</dcterms:modified>
</cp:coreProperties>
</file>