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Vringo,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4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Number: 333-180609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Vringo, Inc.</w:t>
      </w:r>
    </w:p>
    <w:p>
      <w:pPr>
        <w:spacing w:after="0" w:line="9"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Exchange Act File Number: 001-34785</w:t>
      </w:r>
    </w:p>
    <w:p>
      <w:pPr>
        <w:spacing w:after="0" w:line="200" w:lineRule="exact"/>
        <w:rPr>
          <w:sz w:val="24"/>
          <w:szCs w:val="24"/>
          <w:color w:val="auto"/>
        </w:rPr>
      </w:pPr>
    </w:p>
    <w:p>
      <w:pPr>
        <w:spacing w:after="0" w:line="250"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Set forth below is the presentation made by counsel to I/P Engine, Inc., a wholly-owned subsidiary of Innovate/Protect, Inc., at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on June 4, 2012 in connection with the lawsuit captioned </w:t>
      </w:r>
      <w:r>
        <w:rPr>
          <w:rFonts w:ascii="Arial" w:cs="Arial" w:eastAsia="Arial" w:hAnsi="Arial"/>
          <w:sz w:val="18"/>
          <w:szCs w:val="18"/>
          <w:i w:val="1"/>
          <w:iCs w:val="1"/>
          <w:color w:val="auto"/>
        </w:rPr>
        <w:t>I/P Engine, Inc. v. AOL Inc. et al.</w:t>
      </w:r>
      <w:r>
        <w:rPr>
          <w:rFonts w:ascii="Arial" w:cs="Arial" w:eastAsia="Arial" w:hAnsi="Arial"/>
          <w:sz w:val="18"/>
          <w:szCs w:val="18"/>
          <w:color w:val="auto"/>
        </w:rPr>
        <w:t>, Civ. Action No. 2:11-cv-512, filed in United States District Court for the Eastern District of Virginia, Norfolk Division on September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860540" cy="5145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5145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Vringo, or Innovate/Protect or the solicitation of any vote or approval. In connection with the proposed transaction, Vringo filed a Registration Statement on Form S-4 with the SEC on April 6, 2012, subsequently amended on May 17, 2012 and June 1, 2012, which includes a preliminary proxy statement/prospectus of Vringo. These materials are not yet final and will be further amended. The proxy statement/prospectus contains important information about Vringo, Innovate/Protect, the transaction and related matters. Vringo will mail or otherwise deliver the proxy statement/prospectus to its stockholders and the stockholders of Innovate/Protect once it is final.</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Investors and security holders of Vringo and Innovate/Protect are urged to read carefully the proxy statement/prospectus relating to the merger (including any amendments or supplements thereto) in its entirety when it is available, because it will contain important information about Vringo, Innovate/Protect and the proposed transaction.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 of the proxy statement/prospectus for the proposed merger (when it is available) by contacting Vringo, Inc., Attn.: Cliff Weinstein, VP Corporate Development, at 44 W.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10001, or by e-mail at cliff@vringo.com.</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Investors and security holders of Innovate/Protect will also be able to obtain free copies of the proxy statement/prospectus for the merger by contacting</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Innovate/Protect, Attn.: Chief Operating Officer, 380 Madison Avenue, 22nd Floor, New York, NY 10017, or by e-mail at info@innovateprotect.com.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2019-12-09T18:35:31Z</dcterms:created>
  <dcterms:modified xsi:type="dcterms:W3CDTF">2019-12-09T18:35:31Z</dcterms:modified>
</cp:coreProperties>
</file>