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27,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27, 2020, XpresSpa Group, Inc., a Delaware corporation (the “Company”), entered into a Securities Purchase Agreement (the “Purchase Agreement”) with certain purchasers named therein (the “Purchasers”), pursuant to which the Company agreed to issue and sell, in a registered direct offering, (i) 7,895,000 shares of the Company’s common stock, par value $0.01 per share (the “Common Stock”) at an offering price of $0.20 per share and</w:t>
      </w:r>
    </w:p>
    <w:p>
      <w:pPr>
        <w:spacing w:after="0" w:line="2" w:lineRule="exact"/>
        <w:rPr>
          <w:sz w:val="20"/>
          <w:szCs w:val="20"/>
          <w:color w:val="auto"/>
        </w:rPr>
      </w:pPr>
    </w:p>
    <w:p>
      <w:pPr>
        <w:jc w:val="both"/>
        <w:ind w:firstLine="8"/>
        <w:spacing w:after="0" w:line="273" w:lineRule="auto"/>
        <w:tabs>
          <w:tab w:leader="none" w:pos="272"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aggregate of 2,105,000 pre-funded warrants exercisable for shares of Common Stock (the “Pre-Funded Warrants”) at an offering price of $0.19 per Pre-Funded Warrant (the offering of the shares of Common Stock and the Pre-Funded Warrants, the “Offering”). The closing of the Offering is expected to occur on or about March 30, 2020, subject to customary closing conditions. The Company expects to receive gross proceeds of approximately $2.0 million in connection with the Offering, before deducting financial advisory consultant fees and related offering expenses.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Pre-Funded Warrants are being sold to the Purchasers to the extent that a Purchaser’s subscription of shares of Common Stock in the Offering would otherwise result in the Purchaser, together with its affiliates and certain related parties, beneficially owning more than 4.99% (or, in certain cases, 9.99%) of the Company’s outstanding Common Stock immediately following the consummation of the Offering, in lieu of shares of Common Stock. Each Pre-Funded Warrant represents the right to purchase one share of Common Stock at an exercise price of $0.01 per share. The Pre-Funded Warrants are exercisable immediately and may be exercised at any time until the Pre-Funded Warrants are exercised in full.</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Purchase Agreement contains customary representations and warranties and agreements of the Company and the Purchasers and customary indemnification rights and obligations of the parties.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a letter agreement, dated March 19, 2020 (the “Letter Agreement”), the Company engaged Palladium Capital Advisors, LLC (“Palladium”) as advisory financial consultant. The Company agreed to pay to Palladium a cash fee of 8% of the aggregate gross proceeds raised in the Offering.</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foregoing summaries of the Letter Agreement, the Purchase Agreement and the Pre-Funded Warrants do not purport to be complete and are subject to, and qualified in their entirety by, such documents attached as Exhibits 1.1, 10.1 and 4.1, respectively, to this Current Report on Form 8-K, which are incorporated herein by reference.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27, 2020, the Company issued a press release in connection with the Offering, which is attached as Exhibit 99.1 hereto and incorporated by reference herein.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in Offering are being offered by the Company pursuant to a registration statement on Form S-3 (File No. 333- 232764), which was filed with the Securities and Exchange Commission (the “Commission”) on July 22, 2019 and was declared effective by the Commission on July 30, 2019 (the “Registration Statement”). A copy of the opinion of Mintz, Levin, Cohn, Ferris, Glovsky &amp; Popeo, P.C. relating to the legality of the issuance and sale of the securities in the Offering is attached to this report as Exhibit 5.1. This Current Report on Form 8-K shall not constitute an offer to sell or the solicitation of an offer to buy securities, nor shall there be any sale of securities in any state in which such offer, solicitation or sale would be unlawful prior to registration or qualification under the securities laws of any such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27, 2020, the Company had outstanding 44,950,030 shares of Common Stock. After giving effect to the issuance of the shares of Common Stock in the Offering, and assuming no exercise of the Pre-Funded Warrants, the Company would have outstanding 52,846,030 shares of Common Stock. This does not give effect to the issuance of any shares of Common Stock pursuant to convertible securities which have been exercised or converted but not yet issued as of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Current Report on Form 8-K (the “Form 8-K”) and the press release attached hereto include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this Form 8-K and the press release attached hereto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2018 filed with the SEC on April 1, 2019, as amended on April 30, 2019, and the Company’s Quarterly Report on Form 10-Q for the three months ended September 30, 2019, filed with the SEC on November 14, 2019. The Company expressly disclaims any obligation to publicly update any forward-looking statements contained herein, whether as a result of new information, future events or otherwise,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4">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tcBorders>
              <w:bottom w:val="single" w:sz="8" w:color="0000EE"/>
            </w:tcBorders>
            <w:gridSpan w:val="7"/>
          </w:tcPr>
          <w:p>
            <w:pPr>
              <w:spacing w:after="0"/>
              <w:rPr>
                <w:rFonts w:ascii="Arial" w:cs="Arial" w:eastAsia="Arial" w:hAnsi="Arial"/>
                <w:sz w:val="18"/>
                <w:szCs w:val="18"/>
                <w:color w:val="0000EE"/>
                <w:w w:val="93"/>
              </w:rPr>
            </w:pPr>
            <w:hyperlink r:id="rId14">
              <w:r>
                <w:rPr>
                  <w:rFonts w:ascii="Arial" w:cs="Arial" w:eastAsia="Arial" w:hAnsi="Arial"/>
                  <w:sz w:val="18"/>
                  <w:szCs w:val="18"/>
                  <w:color w:val="0000EE"/>
                  <w:w w:val="93"/>
                </w:rPr>
                <w:t>Letter Agreement, dated March 19, 2020, by and between the Company and Palladium Capital Advisors, LLC (incorporated by reference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r:id="rId14">
              <w:r>
                <w:rPr>
                  <w:rFonts w:ascii="Arial" w:cs="Arial" w:eastAsia="Arial" w:hAnsi="Arial"/>
                  <w:sz w:val="18"/>
                  <w:szCs w:val="18"/>
                  <w:color w:val="0000EE"/>
                </w:rPr>
                <w:t>Exhibit 1.1 to a Current Report on Form 8-K filed on March 19, 2020).</w:t>
              </w:r>
            </w:hyperlink>
          </w:p>
        </w:tc>
      </w:tr>
      <w:tr>
        <w:trPr>
          <w:trHeight w:val="412"/>
        </w:trPr>
        <w:tc>
          <w:tcPr>
            <w:tcW w:w="240" w:type="dxa"/>
            <w:vAlign w:val="bottom"/>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00" w:type="dxa"/>
            <w:vAlign w:val="bottom"/>
            <w:tcBorders>
              <w:top w:val="single" w:sz="8" w:color="0000EE"/>
            </w:tcBorders>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Form of Pre-Funded Warrant.</w:t>
              </w:r>
            </w:hyperlink>
          </w:p>
        </w:tc>
        <w:tc>
          <w:tcPr>
            <w:tcW w:w="5220" w:type="dxa"/>
            <w:vAlign w:val="bottom"/>
            <w:gridSpan w:val="3"/>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Borders>
              <w:bottom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5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 xml:space="preserve">Opinion of </w:t>
              </w:r>
              <w:r>
                <w:rPr>
                  <w:rFonts w:ascii="Arial" w:cs="Arial" w:eastAsia="Arial" w:hAnsi="Arial"/>
                  <w:sz w:val="18"/>
                  <w:szCs w:val="18"/>
                  <w:color w:val="0000EE"/>
                  <w:highlight w:val="white"/>
                  <w:w w:val="92"/>
                </w:rPr>
                <w:t>Mintz, Levin, Cohn, Ferris, Glovsky &amp; Popeo, P.C.</w:t>
              </w:r>
            </w:hyperlink>
          </w:p>
        </w:tc>
        <w:tc>
          <w:tcPr>
            <w:tcW w:w="5800" w:type="dxa"/>
            <w:vAlign w:val="bottom"/>
            <w:gridSpan w:val="4"/>
          </w:tcPr>
          <w:p>
            <w:pPr>
              <w:spacing w:after="0"/>
              <w:rPr>
                <w:sz w:val="24"/>
                <w:szCs w:val="24"/>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0320" w:type="dxa"/>
            <w:vAlign w:val="bottom"/>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Securities Purchase Agreement, dated March 27, 2020, by and between the Company and the purchasers party thereto.</w:t>
              </w:r>
            </w:hyperlink>
          </w:p>
        </w:tc>
      </w:tr>
      <w:tr>
        <w:trPr>
          <w:trHeight w:val="412"/>
        </w:trPr>
        <w:tc>
          <w:tcPr>
            <w:tcW w:w="320" w:type="dxa"/>
            <w:vAlign w:val="bottom"/>
            <w:tcBorders>
              <w:top w:val="single" w:sz="8" w:color="0000EE"/>
            </w:tcBorders>
            <w:gridSpan w:val="2"/>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8520" w:type="dxa"/>
            <w:vAlign w:val="bottom"/>
            <w:tcBorders>
              <w:top w:val="single" w:sz="8" w:color="0000EE"/>
            </w:tcBorders>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 xml:space="preserve">Consent of </w:t>
              </w:r>
              <w:r>
                <w:rPr>
                  <w:rFonts w:ascii="Arial" w:cs="Arial" w:eastAsia="Arial" w:hAnsi="Arial"/>
                  <w:sz w:val="18"/>
                  <w:szCs w:val="18"/>
                  <w:color w:val="0000EE"/>
                  <w:highlight w:val="white"/>
                </w:rPr>
                <w:t>Mintz, Levin, Cohn, Ferris, Glovsky &amp; Popeo, P.C. (included in Exhibit 5.1).</w:t>
              </w:r>
            </w:hyperlink>
          </w:p>
        </w:tc>
        <w:tc>
          <w:tcPr>
            <w:tcW w:w="1800" w:type="dxa"/>
            <w:vAlign w:val="bottom"/>
          </w:tcPr>
          <w:p>
            <w:pPr>
              <w:spacing w:after="0"/>
              <w:rPr>
                <w:sz w:val="24"/>
                <w:szCs w:val="24"/>
                <w:color w:val="auto"/>
              </w:rPr>
            </w:pPr>
          </w:p>
        </w:tc>
      </w:tr>
      <w:tr>
        <w:trPr>
          <w:trHeight w:val="412"/>
        </w:trPr>
        <w:tc>
          <w:tcPr>
            <w:tcW w:w="320" w:type="dxa"/>
            <w:vAlign w:val="bottom"/>
            <w:tcBorders>
              <w:top w:val="single" w:sz="8" w:color="0000EE"/>
            </w:tcBorders>
            <w:gridSpan w:val="2"/>
          </w:tcPr>
          <w:p>
            <w:pPr>
              <w:spacing w:after="0"/>
              <w:rPr>
                <w:rFonts w:ascii="Arial" w:cs="Arial" w:eastAsia="Arial" w:hAnsi="Arial"/>
                <w:sz w:val="18"/>
                <w:szCs w:val="18"/>
                <w:color w:val="0000EE"/>
                <w:w w:val="85"/>
              </w:rPr>
            </w:pPr>
            <w:hyperlink w:anchor="page6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6360" w:type="dxa"/>
            <w:vAlign w:val="bottom"/>
            <w:tcBorders>
              <w:top w:val="single" w:sz="8" w:color="0000EE"/>
            </w:tcBorders>
            <w:gridSpan w:val="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Press Release regarding the Offering, dated March 27, 2020.</w:t>
              </w:r>
            </w:hyperlink>
          </w:p>
        </w:tc>
        <w:tc>
          <w:tcPr>
            <w:tcW w:w="3960" w:type="dxa"/>
            <w:vAlign w:val="bottom"/>
            <w:gridSpan w:val="2"/>
          </w:tcPr>
          <w:p>
            <w:pPr>
              <w:spacing w:after="0"/>
              <w:rPr>
                <w:sz w:val="24"/>
                <w:szCs w:val="24"/>
                <w:color w:val="auto"/>
              </w:rPr>
            </w:pPr>
          </w:p>
        </w:tc>
      </w:tr>
      <w:tr>
        <w:trPr>
          <w:trHeight w:val="695"/>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20" w:type="dxa"/>
            <w:vAlign w:val="bottom"/>
            <w:tcBorders>
              <w:top w:val="single" w:sz="8" w:color="0000EE"/>
              <w:bottom w:val="single" w:sz="8" w:color="auto"/>
            </w:tcBorders>
          </w:tcPr>
          <w:p>
            <w:pPr>
              <w:spacing w:after="0"/>
              <w:rPr>
                <w:sz w:val="24"/>
                <w:szCs w:val="24"/>
                <w:color w:val="auto"/>
              </w:rPr>
            </w:pPr>
          </w:p>
        </w:tc>
        <w:tc>
          <w:tcPr>
            <w:tcW w:w="224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March 30, 2020</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Douglas Satzman</w:t>
            </w: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ind w:left="10240"/>
        <w:spacing w:after="0"/>
        <w:rPr>
          <w:sz w:val="20"/>
          <w:szCs w:val="20"/>
          <w:color w:val="auto"/>
        </w:rPr>
      </w:pPr>
      <w:r>
        <w:rPr>
          <w:rFonts w:ascii="Arial" w:cs="Arial" w:eastAsia="Arial" w:hAnsi="Arial"/>
          <w:sz w:val="19"/>
          <w:szCs w:val="19"/>
          <w:b w:val="1"/>
          <w:bCs w:val="1"/>
          <w:color w:val="auto"/>
        </w:rPr>
        <w:t>Exhibit 4.1</w:t>
      </w: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w:t>
      </w:r>
      <w:r>
        <w:rPr>
          <w:rFonts w:ascii="Arial" w:cs="Arial" w:eastAsia="Arial" w:hAnsi="Arial"/>
          <w:sz w:val="18"/>
          <w:szCs w:val="18"/>
          <w:b w:val="1"/>
          <w:bCs w:val="1"/>
          <w:color w:val="auto"/>
        </w:rPr>
        <w:t>-</w:t>
      </w:r>
      <w:r>
        <w:rPr>
          <w:rFonts w:ascii="Arial" w:cs="Arial" w:eastAsia="Arial" w:hAnsi="Arial"/>
          <w:sz w:val="12"/>
          <w:szCs w:val="12"/>
          <w:b w:val="1"/>
          <w:bCs w:val="1"/>
          <w:color w:val="auto"/>
        </w:rPr>
        <w:t>FUNDED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2020-[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March [ ], 2020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________________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the terms set forth below, to purchase from the Company, at the Exercise Price (as defined below) then in effect, at any time or times on or after the Issuance Date, and until the date on which this Warrant is exercised in full (the “</w:t>
      </w:r>
      <w:r>
        <w:rPr>
          <w:rFonts w:ascii="Arial" w:cs="Arial" w:eastAsia="Arial" w:hAnsi="Arial"/>
          <w:sz w:val="16"/>
          <w:szCs w:val="16"/>
          <w:b w:val="1"/>
          <w:bCs w:val="1"/>
          <w:color w:val="auto"/>
        </w:rPr>
        <w:t>Termination Date</w:t>
      </w:r>
      <w:r>
        <w:rPr>
          <w:rFonts w:ascii="Arial" w:cs="Arial" w:eastAsia="Arial" w:hAnsi="Arial"/>
          <w:sz w:val="16"/>
          <w:szCs w:val="16"/>
          <w:color w:val="auto"/>
        </w:rPr>
        <w:t>”), [ ] ([ ])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the Purchase Agreement (as defined below). This Warrant is the Warrant to purchase Common Stock issued pursuant to that certain Securities Purchase Agreement, dated as of March 27, 2020 (“</w:t>
      </w:r>
      <w:r>
        <w:rPr>
          <w:rFonts w:ascii="Arial" w:cs="Arial" w:eastAsia="Arial" w:hAnsi="Arial"/>
          <w:sz w:val="16"/>
          <w:szCs w:val="16"/>
          <w:b w:val="1"/>
          <w:bCs w:val="1"/>
          <w:color w:val="auto"/>
        </w:rPr>
        <w:t>Purchase Agreement</w:t>
      </w:r>
      <w:r>
        <w:rPr>
          <w:rFonts w:ascii="Arial" w:cs="Arial" w:eastAsia="Arial" w:hAnsi="Arial"/>
          <w:sz w:val="16"/>
          <w:szCs w:val="16"/>
          <w:color w:val="auto"/>
        </w:rPr>
        <w:t>”) by and between the Company and the purchasers party thereto.</w:t>
      </w:r>
    </w:p>
    <w:p>
      <w:pPr>
        <w:spacing w:after="0" w:line="164" w:lineRule="exact"/>
        <w:rPr>
          <w:sz w:val="20"/>
          <w:szCs w:val="20"/>
          <w:color w:val="auto"/>
        </w:rPr>
      </w:pPr>
    </w:p>
    <w:p>
      <w:pPr>
        <w:ind w:left="1760" w:hanging="456"/>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4" w:lineRule="auto"/>
        <w:tabs>
          <w:tab w:leader="none" w:pos="2472"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Issuance Date and prior to the Termination Date, in whole or in part, by (i) delivery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by wire transfer of immediately available funds or (B) if the provisions of Section 1(d) are applicable, by notifying the Company that this Warrant is being exercised pursuant to a Cashless Exercise (as defined in Section 1(d)). The Holder shall not be required to deliver the original Warrant in order to effect an exercise hereunder. Execution and delivery of the Exercise Notice with respect to less than all of the Warrant Shares shall have the same effect as cancellation of the original Warrant and issuance of a new Warrant evidencing the right to</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purchase the remaining number of Warrant Shares. On or before the 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Company has received the Exercise Notice, the Company shall transmit by electronic mail an acknowledgment of confirmation of receipt of the Exercise Notice to the Holder. On or</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before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on which the Company has received the Exercise Notice, so long as the Holder delivers the Aggregate Exercise Price (or notice of a Cashless Exercise) on or prior to the second (2nd)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the DTC Fast Automated Securities Transfer Program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(such date of delivery being the “</w:t>
      </w:r>
      <w:r>
        <w:rPr>
          <w:rFonts w:ascii="Arial" w:cs="Arial" w:eastAsia="Arial" w:hAnsi="Arial"/>
          <w:sz w:val="16"/>
          <w:szCs w:val="16"/>
          <w:b w:val="1"/>
          <w:bCs w:val="1"/>
          <w:color w:val="auto"/>
        </w:rPr>
        <w:t>Exercise Date</w:t>
      </w:r>
      <w:r>
        <w:rPr>
          <w:rFonts w:ascii="Arial" w:cs="Arial" w:eastAsia="Arial" w:hAnsi="Arial"/>
          <w:sz w:val="16"/>
          <w:szCs w:val="16"/>
          <w:color w:val="auto"/>
        </w:rPr>
        <w:t xml:space="preserv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up to the nearest whole number. The Company shall pay any and all taxes which may be payable with respect to the issuance and delivery of Warrant Shares upon exercise of this Warrant; </w:t>
      </w:r>
      <w:r>
        <w:rPr>
          <w:rFonts w:ascii="Arial" w:cs="Arial" w:eastAsia="Arial" w:hAnsi="Arial"/>
          <w:sz w:val="16"/>
          <w:szCs w:val="16"/>
          <w:u w:val="single" w:color="auto"/>
          <w:color w:val="2F2F2F"/>
        </w:rPr>
        <w:t>pr</w:t>
      </w:r>
      <w:r>
        <w:rPr>
          <w:rFonts w:ascii="Arial" w:cs="Arial" w:eastAsia="Arial" w:hAnsi="Arial"/>
          <w:sz w:val="16"/>
          <w:szCs w:val="16"/>
          <w:u w:val="single" w:color="auto"/>
          <w:color w:val="auto"/>
        </w:rPr>
        <w:t>ovided</w:t>
      </w:r>
      <w:r>
        <w:rPr>
          <w:rFonts w:ascii="Arial" w:cs="Arial" w:eastAsia="Arial" w:hAnsi="Arial"/>
          <w:sz w:val="16"/>
          <w:szCs w:val="16"/>
          <w:color w:val="auto"/>
        </w:rPr>
        <w:t xml:space="preserve">,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such Person other than the Holder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b w:val="1"/>
          <w:bCs w:val="1"/>
          <w:color w:val="auto"/>
        </w:rPr>
        <w:t>The Holder and any assignee, by acceptance of this Warrant, acknowledge</w:t>
      </w:r>
      <w:r>
        <w:rPr>
          <w:rFonts w:ascii="Arial" w:cs="Arial" w:eastAsia="Arial" w:hAnsi="Arial"/>
          <w:sz w:val="16"/>
          <w:szCs w:val="16"/>
          <w:color w:val="auto"/>
        </w:rPr>
        <w:t xml:space="preserve"> </w:t>
      </w:r>
      <w:r>
        <w:rPr>
          <w:rFonts w:ascii="Arial" w:cs="Arial" w:eastAsia="Arial" w:hAnsi="Arial"/>
          <w:sz w:val="16"/>
          <w:szCs w:val="16"/>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606" w:gutter="0" w:footer="0" w:header="0"/>
        </w:sectPr>
      </w:pPr>
    </w:p>
    <w:bookmarkStart w:id="5" w:name="page6"/>
    <w:bookmarkEnd w:id="5"/>
    <w:p>
      <w:pPr>
        <w:ind w:left="2480" w:hanging="528"/>
        <w:spacing w:after="0"/>
        <w:tabs>
          <w:tab w:leader="none" w:pos="24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For purposes of this Warrant, “</w:t>
      </w:r>
      <w:r>
        <w:rPr>
          <w:rFonts w:ascii="Arial" w:cs="Arial" w:eastAsia="Arial" w:hAnsi="Arial"/>
          <w:sz w:val="16"/>
          <w:szCs w:val="16"/>
          <w:b w:val="1"/>
          <w:bCs w:val="1"/>
          <w:color w:val="auto"/>
        </w:rPr>
        <w:t>Exercise Price</w:t>
      </w:r>
      <w:r>
        <w:rPr>
          <w:rFonts w:ascii="Arial" w:cs="Arial" w:eastAsia="Arial" w:hAnsi="Arial"/>
          <w:sz w:val="16"/>
          <w:szCs w:val="16"/>
          <w:color w:val="auto"/>
        </w:rPr>
        <w:t>” means $0.01, subject to adjustment as provided herein.</w:t>
      </w:r>
    </w:p>
    <w:p>
      <w:pPr>
        <w:spacing w:after="0" w:line="252" w:lineRule="exact"/>
        <w:rPr>
          <w:rFonts w:ascii="Arial" w:cs="Arial" w:eastAsia="Arial" w:hAnsi="Arial"/>
          <w:sz w:val="16"/>
          <w:szCs w:val="16"/>
          <w:color w:val="auto"/>
        </w:rPr>
      </w:pPr>
    </w:p>
    <w:p>
      <w:pPr>
        <w:jc w:val="both"/>
        <w:ind w:firstLine="1952"/>
        <w:spacing w:after="0" w:line="283" w:lineRule="auto"/>
        <w:tabs>
          <w:tab w:leader="none" w:pos="248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(I) the Company shall fail for any reason or for no reason on or prior to the Share Delivery Date either (a) if the Transfer Agent is not participating in the DTC Fast Automated Securities Transfer Program and the Warrant Shares are eligible to be issued without a restrictive legend, to issue to the Holder a certificate without any restrictive legend for the number of shares of Common Stock to which the Holder is entitled and register such shares of Common Stock on the Company’s share register or (b) if the Transfer Agent is participating in the DTC Fast Automated Securities Transfer Program and the Warrant Shares are eligible to be issued without a restrictive legend, to credit the Holder’s balance account with DTC, for such number of shares of Common Stock to which the Holder is entitled upon the Holder’s exercise of this Warrant and the Warrant Shares are not eligible to be issued without a restrictive legend, to issue and dispatch by overnight courier to the address as specified in the Exercise Notice for delivery on or before the Share Delivery Date a certificate, registered in the Company’s share register in the name of the Holder or its designee, for the number of Warrant Shares to which the Holder is entitled pursuant to such exercise, (the event described in clause (I) above referred to herein as an “</w:t>
      </w:r>
      <w:r>
        <w:rPr>
          <w:rFonts w:ascii="Arial" w:cs="Arial" w:eastAsia="Arial" w:hAnsi="Arial"/>
          <w:sz w:val="16"/>
          <w:szCs w:val="16"/>
          <w:b w:val="1"/>
          <w:bCs w:val="1"/>
          <w:color w:val="auto"/>
        </w:rPr>
        <w:t>Exercise Failure</w:t>
      </w:r>
      <w:r>
        <w:rPr>
          <w:rFonts w:ascii="Arial" w:cs="Arial" w:eastAsia="Arial" w:hAnsi="Arial"/>
          <w:sz w:val="16"/>
          <w:szCs w:val="16"/>
          <w:color w:val="auto"/>
        </w:rPr>
        <w:t>”) occurs, then, in addition to all other remedies available to the Holder, (X) the Company shall pay in cash to the Holder on each day after the Share Delivery Date and during such Exercise Failure an amount equal to 1.0% of the product of (A) the number of shares of Common Stock not issued to the Holder on or prior to the Share Delivery Date and to which the Holder is entitled, and (B) the higher of (i) the then in effect Exercise Price of this Warrant or (ii) the closing price of the Common Stock on the date of the applicable Exercise Notice,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an Exercise Failure occurs, and if on or after the Share Delivery Date the Holder purchases (in an open market transaction or otherwise) shares of Common Stock to deliver in satisfaction of a sale through a broker by the Holder of shares of Common Stock issuable upon such exercise that the Holder anticipated receiving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within three (3) Trading Days after the Holder’s request and in the Holder’s discretion, either (i) pay cash to the Holder in an amount equal to the Holder’s total purchase price (including brokerage commissions and other reasonable out of pocket expenses related to the Buy-In, if any) for the shares of Common Stock so purchased (such number of shares not to exceed the number of Warrant Shares failed to be delivered)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the sale price of the Common Stock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952"/>
        <w:spacing w:after="0" w:line="257" w:lineRule="auto"/>
        <w:tabs>
          <w:tab w:leader="none" w:pos="246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any time there is no effective registration statement registering, or no current prospectus available for, the resale of the Warrant Shares by the Holder, then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the number of Warrant Shares as is computed using the following formula:</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X=Y(A-B)÷A</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Y = the total number of Warrant Shares for which the Holder has elected to exercise this Warrant pursuant to Section 1(a).</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Closing Bid Price of the Company’s Common Stock as of the applicable Exercise Date.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Exercise Price in effect under this Warrant as of the applicable Exercise Date.</w:t>
      </w:r>
    </w:p>
    <w:p>
      <w:pPr>
        <w:spacing w:after="0" w:line="225" w:lineRule="exact"/>
        <w:rPr>
          <w:sz w:val="20"/>
          <w:szCs w:val="20"/>
          <w:color w:val="auto"/>
        </w:rPr>
      </w:pPr>
    </w:p>
    <w:p>
      <w:pPr>
        <w:jc w:val="both"/>
        <w:ind w:firstLine="1952"/>
        <w:spacing w:after="0" w:line="263" w:lineRule="auto"/>
        <w:tabs>
          <w:tab w:leader="none" w:pos="245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12.</w:t>
      </w:r>
    </w:p>
    <w:p>
      <w:pPr>
        <w:spacing w:after="0" w:line="183" w:lineRule="exact"/>
        <w:rPr>
          <w:rFonts w:ascii="Arial" w:cs="Arial" w:eastAsia="Arial" w:hAnsi="Arial"/>
          <w:sz w:val="18"/>
          <w:szCs w:val="18"/>
          <w:color w:val="auto"/>
        </w:rPr>
      </w:pPr>
    </w:p>
    <w:p>
      <w:pPr>
        <w:jc w:val="both"/>
        <w:ind w:firstLine="1952"/>
        <w:spacing w:after="0" w:line="283" w:lineRule="auto"/>
        <w:tabs>
          <w:tab w:leader="none" w:pos="2519"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(3) any other written notice by the Company or the Transfer Agent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be deemed null and void and shall be cancelled ab initio, and the Holder shall not have the power to vote or to transfer the Excess Shares. As</w:t>
      </w:r>
      <w:r>
        <w:rPr>
          <w:rFonts w:ascii="Arial" w:cs="Arial" w:eastAsia="Arial" w:hAnsi="Arial"/>
          <w:sz w:val="16"/>
          <w:szCs w:val="16"/>
          <w:b w:val="1"/>
          <w:bCs w:val="1"/>
          <w:color w:val="auto"/>
        </w:rPr>
        <w:t xml:space="preserve"> </w:t>
      </w:r>
      <w:r>
        <w:rPr>
          <w:rFonts w:ascii="Arial" w:cs="Arial" w:eastAsia="Arial" w:hAnsi="Arial"/>
          <w:sz w:val="16"/>
          <w:szCs w:val="16"/>
          <w:color w:val="auto"/>
        </w:rPr>
        <w:t>soon as reasonably practicable after the issuance of the Excess Shares has been deemed null and void, the Company shall return to the Holder the exercise price paid by the Holder for the Excess Shares.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1952"/>
        <w:spacing w:after="0" w:line="284" w:lineRule="auto"/>
        <w:tabs>
          <w:tab w:leader="none" w:pos="2604"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Common Stock to approve the increase in the number of authorized shares of Common Stock without soliciting its stockholders, the Company may satisfy this obligation by obtaining such consent and submitting for filing with the SEC an Information Statement on Schedule 14C. In the event that upon any exercise of this Warrant, the Company does not have sufficient authorized shares to deliver in satisfaction of such exercise, then unless the Holder elects to void such attempted exercise, the Holder may require the Company to pay to the Holder within three (3) Trading Days of the applicable exercise, cash in an amount equal to the product of (i) the quotient determined by dividing (x) the number of Warrant Shares that the Company is unable to deliver pursuant to this Section 1(g), by (y) the total number of Warrant Shares issuable upon exercise of this Warrant (without regard to any limitations or restrictions on exercise of this Warrant) and (ii) the Black Scholes Value; provided, that (x) references to “the day immediately following the public announcement of the applicable Fundamental Transaction” in the definition of “Black Scholes Value” shall instead refer to “the date the Holder exercises this Warrant and the Company cannot deliver the required number of Warrant Shares because of an Authorized Share Failure” and (y) clause (iii) of the definition of “Black Scholes Value” shall instead refer to “the underlying price per share used in such calculation shall be the highest Weighted Average Price during the period beginning on the date of the applicable date of exercise and the date that the Company makes the applicable cash payment.”</w:t>
      </w:r>
    </w:p>
    <w:p>
      <w:pPr>
        <w:spacing w:after="0" w:line="176" w:lineRule="exact"/>
        <w:rPr>
          <w:rFonts w:ascii="Arial" w:cs="Arial" w:eastAsia="Arial" w:hAnsi="Arial"/>
          <w:sz w:val="16"/>
          <w:szCs w:val="16"/>
          <w:color w:val="auto"/>
        </w:rPr>
      </w:pPr>
    </w:p>
    <w:p>
      <w:pPr>
        <w:ind w:firstLine="1304"/>
        <w:spacing w:after="0" w:line="277" w:lineRule="auto"/>
        <w:tabs>
          <w:tab w:leader="none" w:pos="192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70" w:lineRule="exact"/>
        <w:rPr>
          <w:rFonts w:ascii="Arial" w:cs="Arial" w:eastAsia="Arial" w:hAnsi="Arial"/>
          <w:sz w:val="18"/>
          <w:szCs w:val="18"/>
          <w:color w:val="auto"/>
        </w:rPr>
      </w:pPr>
    </w:p>
    <w:p>
      <w:pPr>
        <w:ind w:left="2460" w:hanging="508"/>
        <w:spacing w:after="0"/>
        <w:tabs>
          <w:tab w:leader="none" w:pos="246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72" w:lineRule="auto"/>
        <w:tabs>
          <w:tab w:leader="none" w:pos="2523"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2(b) shall become effective at the close of business on the date the subdivision or combination becomes effective.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1304"/>
        <w:spacing w:after="0" w:line="287" w:lineRule="auto"/>
        <w:tabs>
          <w:tab w:leader="none" w:pos="184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and the Company shall reserve the Holder’s pro rata share of the Distribution pending complete exercise of this Warrant,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w:t>
      </w:r>
    </w:p>
    <w:p>
      <w:pPr>
        <w:spacing w:after="0" w:line="167" w:lineRule="exact"/>
        <w:rPr>
          <w:rFonts w:ascii="Arial" w:cs="Arial" w:eastAsia="Arial" w:hAnsi="Arial"/>
          <w:sz w:val="16"/>
          <w:szCs w:val="16"/>
          <w:color w:val="auto"/>
        </w:rPr>
      </w:pPr>
    </w:p>
    <w:p>
      <w:pPr>
        <w:ind w:left="1760" w:hanging="456"/>
        <w:spacing w:after="0"/>
        <w:tabs>
          <w:tab w:leader="none" w:pos="17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7" w:lineRule="auto"/>
        <w:tabs>
          <w:tab w:leader="none" w:pos="2458"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all of the record holders of any class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and the Company shall reserve the Holder’s pro rata share of the Purchase Rights pending complete exercise of this Warrant,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1952"/>
        <w:spacing w:after="0" w:line="287" w:lineRule="auto"/>
        <w:tabs>
          <w:tab w:leader="none" w:pos="2469"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w:t>
      </w:r>
    </w:p>
    <w:p>
      <w:pPr>
        <w:spacing w:after="0" w:line="2" w:lineRule="exact"/>
        <w:rPr>
          <w:rFonts w:ascii="Arial" w:cs="Arial" w:eastAsia="Arial" w:hAnsi="Arial"/>
          <w:sz w:val="16"/>
          <w:szCs w:val="16"/>
          <w:color w:val="auto"/>
        </w:rPr>
      </w:pPr>
    </w:p>
    <w:p>
      <w:pPr>
        <w:jc w:val="both"/>
        <w:ind w:firstLine="8"/>
        <w:spacing w:after="0" w:line="282" w:lineRule="auto"/>
        <w:tabs>
          <w:tab w:leader="none" w:pos="33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b w:val="1"/>
          <w:bCs w:val="1"/>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b w:val="1"/>
          <w:bCs w:val="1"/>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until the first anniversary of the Issuance Date, the Black Scholes Value of the remaining unexercised portion of this Warrant on the date of the consummation of such Fundamental Transaction shall be capped at the initial Exercise Price of this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if the Fundamental Transaction is not within the Company’s control, including not approved by the Company’s Board of Directors or the consideration is not in all stock of the Successor Entity, Holder shall have the option to require the Company or any Successor Entity to purchase its Warrant for the Black Scholes Value of the unexercised portion of this Warrant as of the date of consummation of such Fundamental Transaction using the same type or form of consideration (and in the same proportion)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The Company shall cause any successor entity in a Fundamental Transaction in which the Company is not the survivor (the “</w:t>
      </w:r>
      <w:r>
        <w:rPr>
          <w:rFonts w:ascii="Arial" w:cs="Arial" w:eastAsia="Arial" w:hAnsi="Arial"/>
          <w:sz w:val="16"/>
          <w:szCs w:val="16"/>
          <w:b w:val="1"/>
          <w:bCs w:val="1"/>
          <w:color w:val="auto"/>
        </w:rPr>
        <w:t>Successor Entity</w:t>
      </w:r>
      <w:r>
        <w:rPr>
          <w:rFonts w:ascii="Arial" w:cs="Arial" w:eastAsia="Arial" w:hAnsi="Arial"/>
          <w:sz w:val="16"/>
          <w:szCs w:val="16"/>
          <w:color w:val="auto"/>
        </w:rPr>
        <w:t>”) to assume in writing all of the obligations of the Company under this Warrant and the Purchase Agreement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Purchase Agreement referring to the “Company” shall refer instead to the Successor Entity), and may exercise every right and power of the Company and shall assume all of the obligations of the Company under this Warrant and the Purchase Agreement with the same effect as if such Successor Entity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1304"/>
        <w:spacing w:after="0" w:line="269" w:lineRule="auto"/>
        <w:tabs>
          <w:tab w:leader="none" w:pos="1759"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w:t>
      </w:r>
    </w:p>
    <w:p>
      <w:pPr>
        <w:spacing w:after="0" w:line="185" w:lineRule="exact"/>
        <w:rPr>
          <w:rFonts w:ascii="Arial" w:cs="Arial" w:eastAsia="Arial" w:hAnsi="Arial"/>
          <w:sz w:val="17"/>
          <w:szCs w:val="17"/>
          <w:color w:val="auto"/>
        </w:rPr>
      </w:pPr>
    </w:p>
    <w:p>
      <w:pPr>
        <w:jc w:val="both"/>
        <w:ind w:firstLine="1304"/>
        <w:spacing w:after="0" w:line="288" w:lineRule="auto"/>
        <w:tabs>
          <w:tab w:leader="none" w:pos="178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68" w:lineRule="exact"/>
        <w:rPr>
          <w:rFonts w:ascii="Arial" w:cs="Arial" w:eastAsia="Arial" w:hAnsi="Arial"/>
          <w:sz w:val="16"/>
          <w:szCs w:val="16"/>
          <w:color w:val="auto"/>
        </w:rPr>
      </w:pPr>
    </w:p>
    <w:p>
      <w:pPr>
        <w:ind w:left="1760" w:hanging="456"/>
        <w:spacing w:after="0"/>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7" w:lineRule="auto"/>
        <w:tabs>
          <w:tab w:leader="none" w:pos="2647"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7" w:lineRule="exact"/>
        <w:rPr>
          <w:rFonts w:ascii="Arial" w:cs="Arial" w:eastAsia="Arial" w:hAnsi="Arial"/>
          <w:sz w:val="18"/>
          <w:szCs w:val="18"/>
          <w:color w:val="auto"/>
        </w:rPr>
      </w:pPr>
    </w:p>
    <w:p>
      <w:pPr>
        <w:jc w:val="both"/>
        <w:ind w:firstLine="1952"/>
        <w:spacing w:after="0" w:line="301" w:lineRule="auto"/>
        <w:tabs>
          <w:tab w:leader="none" w:pos="2496"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57" w:lineRule="exact"/>
        <w:rPr>
          <w:rFonts w:ascii="Arial" w:cs="Arial" w:eastAsia="Arial" w:hAnsi="Arial"/>
          <w:sz w:val="16"/>
          <w:szCs w:val="16"/>
          <w:color w:val="auto"/>
        </w:rPr>
      </w:pPr>
    </w:p>
    <w:p>
      <w:pPr>
        <w:jc w:val="both"/>
        <w:ind w:firstLine="1952"/>
        <w:spacing w:after="0" w:line="301" w:lineRule="auto"/>
        <w:tabs>
          <w:tab w:leader="none" w:pos="2607"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 for fractional Warrant Shares shall be given.</w:t>
      </w:r>
    </w:p>
    <w:p>
      <w:pPr>
        <w:spacing w:after="0" w:line="157" w:lineRule="exact"/>
        <w:rPr>
          <w:rFonts w:ascii="Arial" w:cs="Arial" w:eastAsia="Arial" w:hAnsi="Arial"/>
          <w:sz w:val="16"/>
          <w:szCs w:val="16"/>
          <w:color w:val="auto"/>
        </w:rPr>
      </w:pPr>
    </w:p>
    <w:p>
      <w:pPr>
        <w:jc w:val="both"/>
        <w:ind w:firstLine="1952"/>
        <w:spacing w:after="0" w:line="293" w:lineRule="auto"/>
        <w:tabs>
          <w:tab w:leader="none" w:pos="259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1304"/>
        <w:spacing w:after="0" w:line="272" w:lineRule="auto"/>
        <w:tabs>
          <w:tab w:leader="none" w:pos="1854"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or (c) on the date sent by e-mail of a PDF document (with confirmation of transmission) if sent during normal business hours of the recipient on a Business Day, and on the next Business Day if sent after normal business hours of the recipient on a non-Business Day, whichever shall first occur. The addresses for such communications shall be: (i) if to Borrower, to: XpresSpa Group, Inc., 254 West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11th Floor, Attn: Douglas Satzman, CEO, email: notices@xpresspagroup.com, with a copy by</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email only to: Mintz, Levin, Cohn, Ferris, Glovsky and Popeo, P.C., Chrysler Center, 666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Avenue, New York, NY 10017, Attn: Kenneth R. Koch, Esq., email: krkoch@mintz.com, and (ii) if to the Holder, to the contact and at the address as set forth on signature pages hereto.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five (5)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such information shall be made known to the public prior to or in conjunction with such notice being provided to the Holder.</w:t>
      </w:r>
    </w:p>
    <w:p>
      <w:pPr>
        <w:spacing w:after="0" w:line="178" w:lineRule="exact"/>
        <w:rPr>
          <w:sz w:val="20"/>
          <w:szCs w:val="20"/>
          <w:color w:val="auto"/>
        </w:rPr>
      </w:pPr>
    </w:p>
    <w:p>
      <w:pPr>
        <w:jc w:val="both"/>
        <w:ind w:firstLine="1304"/>
        <w:spacing w:after="0" w:line="259"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 and with respect to any amendment, the amendment is in writing and signed by the Company, except that the Holder may waive the Company’s performance hereunder or provide consent as to only the Holder.</w:t>
      </w:r>
    </w:p>
    <w:p>
      <w:pPr>
        <w:spacing w:after="0" w:line="186" w:lineRule="exact"/>
        <w:rPr>
          <w:rFonts w:ascii="Arial" w:cs="Arial" w:eastAsia="Arial" w:hAnsi="Arial"/>
          <w:sz w:val="18"/>
          <w:szCs w:val="18"/>
          <w:color w:val="auto"/>
        </w:rPr>
      </w:pPr>
    </w:p>
    <w:p>
      <w:pPr>
        <w:jc w:val="both"/>
        <w:ind w:firstLine="1304"/>
        <w:spacing w:after="0" w:line="283" w:lineRule="auto"/>
        <w:tabs>
          <w:tab w:leader="none" w:pos="20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 WAIVES ANY RIGHT IT MAY HAVE, AND AGREES NOT TO REQUEST, A JURY</w:t>
      </w:r>
    </w:p>
    <w:p>
      <w:pPr>
        <w:spacing w:after="0" w:line="1"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TRIAL FOR THE ADJUDICATION OF ANY DISPUTE HEREUNDER OR IN CONNECTION WITH OR ARISING OUT OF THIS WARRANT OR ANY TRANSACTION CONTEMPLATED HEREBY.</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1304"/>
        <w:spacing w:after="0" w:line="263" w:lineRule="auto"/>
        <w:tabs>
          <w:tab w:leader="none" w:pos="189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189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85" w:lineRule="exact"/>
        <w:rPr>
          <w:rFonts w:ascii="Arial" w:cs="Arial" w:eastAsia="Arial" w:hAnsi="Arial"/>
          <w:sz w:val="17"/>
          <w:szCs w:val="17"/>
          <w:color w:val="auto"/>
        </w:rPr>
      </w:pPr>
    </w:p>
    <w:p>
      <w:pPr>
        <w:jc w:val="both"/>
        <w:ind w:firstLine="1304"/>
        <w:spacing w:after="0" w:line="272" w:lineRule="auto"/>
        <w:tabs>
          <w:tab w:leader="none" w:pos="186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Acknowledgement Agreement,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1960" w:hanging="656"/>
        <w:spacing w:after="0"/>
        <w:tabs>
          <w:tab w:leader="none" w:pos="196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Warrant and the Warrant Shares may be offered for sale, sold, transferred, pledged or assigned without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the Company.</w:t>
      </w:r>
    </w:p>
    <w:p>
      <w:pPr>
        <w:spacing w:after="0" w:line="210" w:lineRule="exact"/>
        <w:rPr>
          <w:rFonts w:ascii="Arial" w:cs="Arial" w:eastAsia="Arial" w:hAnsi="Arial"/>
          <w:sz w:val="16"/>
          <w:szCs w:val="16"/>
          <w:color w:val="auto"/>
        </w:rPr>
      </w:pPr>
    </w:p>
    <w:p>
      <w:pPr>
        <w:jc w:val="both"/>
        <w:ind w:firstLine="1304"/>
        <w:spacing w:after="0" w:line="271" w:lineRule="auto"/>
        <w:tabs>
          <w:tab w:leader="none" w:pos="1836"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1304"/>
        <w:spacing w:after="0" w:line="254" w:lineRule="auto"/>
        <w:tabs>
          <w:tab w:leader="none" w:pos="187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within four (4) Business Days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94" w:lineRule="exact"/>
        <w:rPr>
          <w:rFonts w:ascii="Arial" w:cs="Arial" w:eastAsia="Arial" w:hAnsi="Arial"/>
          <w:sz w:val="18"/>
          <w:szCs w:val="18"/>
          <w:color w:val="auto"/>
        </w:rPr>
      </w:pPr>
    </w:p>
    <w:p>
      <w:pPr>
        <w:ind w:right="20" w:firstLine="1304"/>
        <w:spacing w:after="0" w:line="342" w:lineRule="auto"/>
        <w:tabs>
          <w:tab w:leader="none" w:pos="187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LIMITATIONS OF RIGHTS</w:t>
      </w:r>
      <w:r>
        <w:rPr>
          <w:rFonts w:ascii="Arial" w:cs="Arial" w:eastAsia="Arial" w:hAnsi="Arial"/>
          <w:sz w:val="16"/>
          <w:szCs w:val="16"/>
          <w:color w:val="auto"/>
        </w:rPr>
        <w:t>. The rights granted to the Holder pursuant to Sections 2(a) and 4(b) of this Warrant are personal to the original Holders of this Warrant and shall automatically be cancelled and of no further effect upon any transfer of this Warrant by sale or otherwise.</w:t>
      </w:r>
    </w:p>
    <w:p>
      <w:pPr>
        <w:spacing w:after="0" w:line="123" w:lineRule="exact"/>
        <w:rPr>
          <w:rFonts w:ascii="Arial" w:cs="Arial" w:eastAsia="Arial" w:hAnsi="Arial"/>
          <w:sz w:val="16"/>
          <w:szCs w:val="16"/>
          <w:color w:val="auto"/>
        </w:rPr>
      </w:pPr>
    </w:p>
    <w:p>
      <w:pPr>
        <w:ind w:left="1840" w:hanging="536"/>
        <w:spacing w:after="0"/>
        <w:tabs>
          <w:tab w:leader="none" w:pos="18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left="2460" w:hanging="508"/>
        <w:spacing w:after="0"/>
        <w:tabs>
          <w:tab w:leader="none" w:pos="2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firstLine="1952"/>
        <w:spacing w:after="0" w:line="282" w:lineRule="auto"/>
        <w:tabs>
          <w:tab w:leader="none" w:pos="24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1933 Act.</w:t>
      </w:r>
    </w:p>
    <w:p>
      <w:pPr>
        <w:spacing w:after="0" w:line="161" w:lineRule="exact"/>
        <w:rPr>
          <w:rFonts w:ascii="Arial" w:cs="Arial" w:eastAsia="Arial" w:hAnsi="Arial"/>
          <w:sz w:val="18"/>
          <w:szCs w:val="18"/>
          <w:color w:val="auto"/>
        </w:rPr>
      </w:pPr>
    </w:p>
    <w:p>
      <w:pPr>
        <w:jc w:val="both"/>
        <w:ind w:firstLine="1952"/>
        <w:spacing w:after="0" w:line="274" w:lineRule="auto"/>
        <w:tabs>
          <w:tab w:leader="none" w:pos="2486"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Attribution Parties</w:t>
      </w:r>
      <w:r>
        <w:rPr>
          <w:rFonts w:ascii="Arial" w:cs="Arial" w:eastAsia="Arial" w:hAnsi="Arial"/>
          <w:sz w:val="17"/>
          <w:szCs w:val="17"/>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1952"/>
        <w:spacing w:after="0" w:line="271" w:lineRule="auto"/>
        <w:tabs>
          <w:tab w:leader="none" w:pos="24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means the value of this Warrant based on the Black-Scholes Option Pricing Model obtained from the “OV” function on Bloomberg determined as of the day immediately following the public announcement of the applicable Fundamental Transaction, or, if the Fundamental Transaction is not publicly announced, the date the Fundamental Transaction is consummated, for pricing purposes and reflecting (i) a risk-free interest rate corresponding to the U.S. Treasury rate for a period equal to the remaining term of this Warrant as of such date of request, (ii) an expected volatility equal to the greater of 100% and the 100 day volatility obtained from the HVT function on Bloomberg as of the day immediately following the public announcement of the applicable Fundamental Transaction, or, if the Fundamental Transaction is not publicly announced, the date the Fundamental Transaction is consummated, (iii) the underlying price per share used in such calculation shall be the sum of the price per share being offered in cash, if any, plus the value of any non-cash consideration, if any, being offered in the Fundamental Transaction, (iv) a zero cost of borrow and (v) a 360 day annualization factor.</w:t>
      </w:r>
    </w:p>
    <w:p>
      <w:pPr>
        <w:spacing w:after="0" w:line="173" w:lineRule="exact"/>
        <w:rPr>
          <w:rFonts w:ascii="Arial" w:cs="Arial" w:eastAsia="Arial" w:hAnsi="Arial"/>
          <w:sz w:val="17"/>
          <w:szCs w:val="17"/>
          <w:color w:val="auto"/>
        </w:rPr>
      </w:pPr>
    </w:p>
    <w:p>
      <w:pPr>
        <w:ind w:left="2460" w:hanging="508"/>
        <w:spacing w:after="0"/>
        <w:tabs>
          <w:tab w:leader="none" w:pos="2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firstLine="1952"/>
        <w:spacing w:after="0" w:line="347" w:lineRule="auto"/>
        <w:tabs>
          <w:tab w:leader="none" w:pos="24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4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1952"/>
        <w:spacing w:after="0" w:line="312" w:lineRule="auto"/>
        <w:tabs>
          <w:tab w:leader="none" w:pos="259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jc w:val="both"/>
        <w:ind w:firstLine="1952"/>
        <w:spacing w:after="0" w:line="289" w:lineRule="auto"/>
        <w:tabs>
          <w:tab w:leader="none" w:pos="24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 Equivalents</w:t>
      </w:r>
      <w:r>
        <w:rPr>
          <w:rFonts w:ascii="Arial" w:cs="Arial" w:eastAsia="Arial" w:hAnsi="Arial"/>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57" w:lineRule="exact"/>
        <w:rPr>
          <w:rFonts w:ascii="Arial" w:cs="Arial" w:eastAsia="Arial" w:hAnsi="Arial"/>
          <w:sz w:val="17"/>
          <w:szCs w:val="17"/>
          <w:color w:val="auto"/>
        </w:rPr>
      </w:pPr>
    </w:p>
    <w:p>
      <w:pPr>
        <w:ind w:firstLine="1952"/>
        <w:spacing w:after="0" w:line="282" w:lineRule="auto"/>
        <w:tabs>
          <w:tab w:leader="none" w:pos="25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firstLine="1952"/>
        <w:spacing w:after="0" w:line="282" w:lineRule="auto"/>
        <w:tabs>
          <w:tab w:leader="none" w:pos="25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Principal Market, the NYSE American, The Nasdaq Capital Market, The Nasdaq Global Market, The Nasdaq Global Select Market, or The New York Stock Exchange, Inc.</w:t>
      </w:r>
    </w:p>
    <w:p>
      <w:pPr>
        <w:spacing w:after="0" w:line="161" w:lineRule="exact"/>
        <w:rPr>
          <w:rFonts w:ascii="Arial" w:cs="Arial" w:eastAsia="Arial" w:hAnsi="Arial"/>
          <w:sz w:val="18"/>
          <w:szCs w:val="18"/>
          <w:color w:val="auto"/>
        </w:rPr>
      </w:pPr>
    </w:p>
    <w:p>
      <w:pPr>
        <w:ind w:left="2440" w:hanging="488"/>
        <w:spacing w:after="0"/>
        <w:tabs>
          <w:tab w:leader="none" w:pos="2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date on which this Warrant is exercised in full.</w:t>
      </w:r>
    </w:p>
    <w:p>
      <w:pPr>
        <w:spacing w:after="0" w:line="225" w:lineRule="exact"/>
        <w:rPr>
          <w:rFonts w:ascii="Arial" w:cs="Arial" w:eastAsia="Arial" w:hAnsi="Arial"/>
          <w:sz w:val="18"/>
          <w:szCs w:val="18"/>
          <w:color w:val="auto"/>
        </w:rPr>
      </w:pPr>
    </w:p>
    <w:p>
      <w:pPr>
        <w:ind w:left="2520" w:hanging="568"/>
        <w:spacing w:after="0"/>
        <w:tabs>
          <w:tab w:leader="none" w:pos="2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a “group” as that term is used in Section 13(d) of the 1934 Act and as defined in Rule 13d-5 thereunder.</w:t>
      </w:r>
    </w:p>
    <w:p>
      <w:pPr>
        <w:spacing w:after="0" w:line="248" w:lineRule="exact"/>
        <w:rPr>
          <w:rFonts w:ascii="Arial" w:cs="Arial" w:eastAsia="Arial" w:hAnsi="Arial"/>
          <w:sz w:val="16"/>
          <w:szCs w:val="16"/>
          <w:color w:val="auto"/>
        </w:rPr>
      </w:pPr>
    </w:p>
    <w:p>
      <w:pPr>
        <w:ind w:left="2580" w:hanging="628"/>
        <w:spacing w:after="0"/>
        <w:tabs>
          <w:tab w:leader="none" w:pos="2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06" w:lineRule="exact"/>
        <w:rPr>
          <w:rFonts w:ascii="Arial" w:cs="Arial" w:eastAsia="Arial" w:hAnsi="Arial"/>
          <w:sz w:val="16"/>
          <w:szCs w:val="16"/>
          <w:color w:val="auto"/>
        </w:rPr>
      </w:pPr>
    </w:p>
    <w:p>
      <w:pPr>
        <w:jc w:val="both"/>
        <w:ind w:firstLine="1952"/>
        <w:spacing w:after="0" w:line="258" w:lineRule="auto"/>
        <w:tabs>
          <w:tab w:leader="none" w:pos="25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firstLine="1952"/>
        <w:spacing w:after="0" w:line="282" w:lineRule="auto"/>
        <w:tabs>
          <w:tab w:leader="none" w:pos="2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left="2480" w:hanging="528"/>
        <w:spacing w:after="0"/>
        <w:tabs>
          <w:tab w:leader="none" w:pos="2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206" w:lineRule="exact"/>
        <w:rPr>
          <w:rFonts w:ascii="Arial" w:cs="Arial" w:eastAsia="Arial" w:hAnsi="Arial"/>
          <w:sz w:val="16"/>
          <w:szCs w:val="16"/>
          <w:color w:val="auto"/>
        </w:rPr>
      </w:pPr>
    </w:p>
    <w:p>
      <w:pPr>
        <w:jc w:val="both"/>
        <w:ind w:firstLine="1952"/>
        <w:spacing w:after="0" w:line="255" w:lineRule="auto"/>
        <w:tabs>
          <w:tab w:leader="none" w:pos="25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entity at any date, any direct or indirect Person, limited or general partnership, limited liability company, trust, estate, association, joint venture or other business entity of which (A) more than 50% of (i) the outstanding capital stock having (in the absence of contingencies) ordinary voting power to elect a majority of the board of directors or other managing body of such entity,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entity, or (B) is under the actual control of the Company.</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952"/>
        <w:spacing w:after="0" w:line="266" w:lineRule="auto"/>
        <w:tabs>
          <w:tab w:leader="none" w:pos="24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56" w:lineRule="auto"/>
        <w:tabs>
          <w:tab w:leader="none" w:pos="24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87" w:lineRule="exact"/>
        <w:rPr>
          <w:rFonts w:ascii="Arial" w:cs="Arial" w:eastAsia="Arial" w:hAnsi="Arial"/>
          <w:sz w:val="18"/>
          <w:szCs w:val="18"/>
          <w:color w:val="auto"/>
        </w:rPr>
      </w:pPr>
    </w:p>
    <w:p>
      <w:pPr>
        <w:jc w:val="both"/>
        <w:ind w:firstLine="1952"/>
        <w:spacing w:after="0" w:line="268" w:lineRule="auto"/>
        <w:tabs>
          <w:tab w:leader="none" w:pos="255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XpresSpa Group,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No. ____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____________ a “</w:t>
      </w:r>
      <w:r>
        <w:rPr>
          <w:rFonts w:ascii="Arial" w:cs="Arial" w:eastAsia="Arial" w:hAnsi="Arial"/>
          <w:sz w:val="16"/>
          <w:szCs w:val="16"/>
          <w:u w:val="single" w:color="auto"/>
          <w:color w:val="auto"/>
        </w:rPr>
        <w:t>Cash Exercise”</w:t>
      </w:r>
      <w:r>
        <w:rPr>
          <w:rFonts w:ascii="Arial" w:cs="Arial" w:eastAsia="Arial" w:hAnsi="Arial"/>
          <w:sz w:val="16"/>
          <w:szCs w:val="16"/>
          <w:color w:val="auto"/>
        </w:rPr>
        <w:t xml:space="preserve"> with respect to _________________ Warrant Shares; and/or</w:t>
      </w: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____________ a “</w:t>
      </w:r>
      <w:r>
        <w:rPr>
          <w:rFonts w:ascii="Arial" w:cs="Arial" w:eastAsia="Arial" w:hAnsi="Arial"/>
          <w:sz w:val="17"/>
          <w:szCs w:val="17"/>
          <w:u w:val="single" w:color="auto"/>
          <w:color w:val="auto"/>
        </w:rPr>
        <w:t>Cashless Exercise”</w:t>
      </w:r>
      <w:r>
        <w:rPr>
          <w:rFonts w:ascii="Arial" w:cs="Arial" w:eastAsia="Arial" w:hAnsi="Arial"/>
          <w:sz w:val="17"/>
          <w:szCs w:val="17"/>
          <w:color w:val="auto"/>
        </w:rPr>
        <w:t xml:space="preserve"> with respect to _________________ Warrant Shares.</w:t>
      </w:r>
    </w:p>
    <w:p>
      <w:pPr>
        <w:spacing w:after="0" w:line="237" w:lineRule="exact"/>
        <w:rPr>
          <w:sz w:val="20"/>
          <w:szCs w:val="20"/>
          <w:color w:val="auto"/>
        </w:rPr>
      </w:pPr>
    </w:p>
    <w:p>
      <w:pPr>
        <w:jc w:val="both"/>
        <w:ind w:firstLine="656"/>
        <w:spacing w:after="0" w:line="263" w:lineRule="auto"/>
        <w:tabs>
          <w:tab w:leader="none" w:pos="8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12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DTC Number:</w:t>
            </w:r>
          </w:p>
        </w:tc>
        <w:tc>
          <w:tcPr>
            <w:tcW w:w="3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Account Name:</w:t>
            </w: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Account Number:</w:t>
            </w: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1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2800" w:type="dxa"/>
            <w:vAlign w:val="bottom"/>
          </w:tcPr>
          <w:p>
            <w:pPr>
              <w:spacing w:after="0"/>
              <w:rPr>
                <w:sz w:val="18"/>
                <w:szCs w:val="18"/>
                <w:color w:val="auto"/>
              </w:rPr>
            </w:pPr>
          </w:p>
        </w:tc>
        <w:tc>
          <w:tcPr>
            <w:tcW w:w="3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520" w:type="dxa"/>
            <w:vAlign w:val="bottom"/>
            <w:gridSpan w:val="2"/>
            <w:vMerge w:val="continue"/>
          </w:tcPr>
          <w:p>
            <w:pPr>
              <w:spacing w:after="0"/>
              <w:rPr>
                <w:sz w:val="24"/>
                <w:szCs w:val="24"/>
                <w:color w:val="auto"/>
              </w:rPr>
            </w:pP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520" w:type="dxa"/>
            <w:vAlign w:val="bottom"/>
            <w:tcBorders>
              <w:bottom w:val="single" w:sz="8" w:color="auto"/>
            </w:tcBorders>
            <w:gridSpan w:val="2"/>
          </w:tcPr>
          <w:p>
            <w:pPr>
              <w:spacing w:after="0"/>
              <w:rPr>
                <w:sz w:val="24"/>
                <w:szCs w:val="24"/>
                <w:color w:val="auto"/>
              </w:rPr>
            </w:pP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Name of Registered Holder</w:t>
            </w:r>
          </w:p>
        </w:tc>
        <w:tc>
          <w:tcPr>
            <w:tcW w:w="28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8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22"/>
                <w:szCs w:val="22"/>
                <w:color w:val="auto"/>
              </w:rPr>
              <w:t>14</w:t>
            </w: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hereby acknowledges this Exercise Notice and hereby directs American Stock Transfer &amp; Trust Company, LLC to issue the above indicated number of shares of Common Stock in accordance with the Exercise Notice.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-121920</wp:posOffset>
            </wp:positionV>
            <wp:extent cx="694055" cy="891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94055" cy="89154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212 935 3000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15 West 38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acted as counsel to XpresSpa Group,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Prospectus Supplement, dated March 27, 2020, to a Prospectus, dated July 30, 2019 (the “</w:t>
      </w:r>
      <w:r>
        <w:rPr>
          <w:rFonts w:ascii="Arial" w:cs="Arial" w:eastAsia="Arial" w:hAnsi="Arial"/>
          <w:sz w:val="17"/>
          <w:szCs w:val="17"/>
          <w:u w:val="single" w:color="auto"/>
          <w:color w:val="auto"/>
        </w:rPr>
        <w:t>Prospectus and Prospectus Supplement</w:t>
      </w:r>
      <w:r>
        <w:rPr>
          <w:rFonts w:ascii="Arial" w:cs="Arial" w:eastAsia="Arial" w:hAnsi="Arial"/>
          <w:sz w:val="17"/>
          <w:szCs w:val="17"/>
          <w:color w:val="auto"/>
        </w:rPr>
        <w:t>”), filed pursuant to a Registration Statement on Form S-3, Registration No. 333-232764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and filed by the Company with the Commission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Prospectus Supplement relates to the sale of an aggregate of (i) 7,895,000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(ii) pre-funded warrants (the “</w:t>
      </w:r>
      <w:r>
        <w:rPr>
          <w:rFonts w:ascii="Arial" w:cs="Arial" w:eastAsia="Arial" w:hAnsi="Arial"/>
          <w:sz w:val="17"/>
          <w:szCs w:val="17"/>
          <w:u w:val="single" w:color="auto"/>
          <w:color w:val="auto"/>
        </w:rPr>
        <w:t>Pre-Funded Warrants</w:t>
      </w:r>
      <w:r>
        <w:rPr>
          <w:rFonts w:ascii="Arial" w:cs="Arial" w:eastAsia="Arial" w:hAnsi="Arial"/>
          <w:sz w:val="17"/>
          <w:szCs w:val="17"/>
          <w:color w:val="auto"/>
        </w:rPr>
        <w:t>”) to purchase up to 2,105,000 shares of Common Stock (the “</w:t>
      </w:r>
      <w:r>
        <w:rPr>
          <w:rFonts w:ascii="Arial" w:cs="Arial" w:eastAsia="Arial" w:hAnsi="Arial"/>
          <w:sz w:val="17"/>
          <w:szCs w:val="17"/>
          <w:u w:val="single" w:color="auto"/>
          <w:color w:val="auto"/>
        </w:rPr>
        <w:t>Warrant Shares</w:t>
      </w:r>
      <w:r>
        <w:rPr>
          <w:rFonts w:ascii="Arial" w:cs="Arial" w:eastAsia="Arial" w:hAnsi="Arial"/>
          <w:sz w:val="17"/>
          <w:szCs w:val="17"/>
          <w:color w:val="auto"/>
        </w:rPr>
        <w:t>” and, collectively with the Shares and the Pre-Funded Warrants, the “</w:t>
      </w:r>
      <w:r>
        <w:rPr>
          <w:rFonts w:ascii="Arial" w:cs="Arial" w:eastAsia="Arial" w:hAnsi="Arial"/>
          <w:sz w:val="17"/>
          <w:szCs w:val="17"/>
          <w:u w:val="single" w:color="auto"/>
          <w:color w:val="auto"/>
        </w:rPr>
        <w:t>Securities</w:t>
      </w:r>
      <w:r>
        <w:rPr>
          <w:rFonts w:ascii="Arial" w:cs="Arial" w:eastAsia="Arial" w:hAnsi="Arial"/>
          <w:sz w:val="17"/>
          <w:szCs w:val="17"/>
          <w:color w:val="auto"/>
        </w:rPr>
        <w:t>”), pursuant to a Securities Purchase Agreement, dated March 27, 2020, between the Company and the purchasers named therein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this opinion, we have (i) examined and relied upon: (A) the Registration Statement, the Prospectus and the Prospectus Supplement, (B) the form of the Pre-Funded Warrants to be filed as an exhibit to the Registration Statement, (C) the Company’s Amended and Restated Certificate of Incorporation and Amended and Restated Bylaws, as currently in effect and (D)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7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opinion is limited to the General Corporation Law of the State of Delaware and, as to the Pre-Funded Warrants constituting valid and binding obligations of the Company, the laws of the State of New York, and we express no opinion with respect to the laws of any other jurisdiction. No opinion is expressed herein with respect to the qualification of the Shares under the securities or blue sky laws of any state or any foreign jurisdiction.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regard to our opinion concerning the Pre-Funded Warrants constituting valid and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656"/>
        <w:spacing w:after="0" w:line="311" w:lineRule="auto"/>
        <w:tabs>
          <w:tab w:leader="none" w:pos="87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148" w:lineRule="exact"/>
        <w:rPr>
          <w:rFonts w:ascii="Arial" w:cs="Arial" w:eastAsia="Arial" w:hAnsi="Arial"/>
          <w:sz w:val="16"/>
          <w:szCs w:val="16"/>
          <w:color w:val="auto"/>
        </w:rPr>
      </w:pPr>
    </w:p>
    <w:p>
      <w:pPr>
        <w:ind w:right="20" w:firstLine="656"/>
        <w:spacing w:after="0" w:line="277" w:lineRule="auto"/>
        <w:tabs>
          <w:tab w:leader="none" w:pos="9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opinion is subject to the qualification that the availability of specific performance, an injunction or other equitable remedies is subject to the discretion of the court before which the request is brought.</w:t>
      </w:r>
    </w:p>
    <w:p>
      <w:pPr>
        <w:spacing w:after="0" w:line="170" w:lineRule="exact"/>
        <w:rPr>
          <w:rFonts w:ascii="Arial" w:cs="Arial" w:eastAsia="Arial" w:hAnsi="Arial"/>
          <w:sz w:val="18"/>
          <w:szCs w:val="18"/>
          <w:color w:val="auto"/>
        </w:rPr>
      </w:pPr>
    </w:p>
    <w:p>
      <w:pPr>
        <w:jc w:val="both"/>
        <w:ind w:firstLine="656"/>
        <w:spacing w:after="0" w:line="293" w:lineRule="auto"/>
        <w:tabs>
          <w:tab w:leader="none" w:pos="972"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express no opinion as to any provision of the Pre-Funded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or (f) provides that provisions of the Pre-Funded Warrants are severable to the extent an essential part of the agreed exchange is determined to be invalid and unenforceable.</w:t>
      </w:r>
    </w:p>
    <w:p>
      <w:pPr>
        <w:spacing w:after="0" w:line="164" w:lineRule="exact"/>
        <w:rPr>
          <w:rFonts w:ascii="Arial" w:cs="Arial" w:eastAsia="Arial" w:hAnsi="Arial"/>
          <w:sz w:val="16"/>
          <w:szCs w:val="16"/>
          <w:color w:val="auto"/>
        </w:rPr>
      </w:pPr>
    </w:p>
    <w:p>
      <w:pPr>
        <w:ind w:firstLine="656"/>
        <w:spacing w:after="0" w:line="277" w:lineRule="auto"/>
        <w:tabs>
          <w:tab w:leader="none" w:pos="9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express no opinion as to whether a state court outside of the State of New York or a federal court of the United States would give effect to the choice of New York law provided for in the Pre-Funded Warrants.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respect to the Warrant Shares, we express no opinion to the extent that, notwithstanding its current reservation of shares of Common Stock, future issuances of securities, including the Warrant Shares, of the Company and/or adjustments to outstanding securities, including the Pre-Funded Warrants, of the Company may cause the Pre-Funded Warrants to be exercisable for more shares of Common Stock than the number that remain authorized but unissued. Further, we have assumed the Exercise Price (as defined in the Pre-Funded Warrants) will not be adjusted to an amount below the par value per share of the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the basis of the foregoing, and in reliance thereon, we are of the opinion that (i) the Shares, when sold and issued in accordance with the Registration Statement, the Prospectus and the Prospectus Supplement, will be validly issued, fully paid and nonassessable, (ii) provided that the Pre-Funded Warrants have been duly executed and delivered by the Company and duly delivered to the purchasers thereof against payment therefor, the Pre-Funded Warrants, when sold and issued as contemplated in the Registration Statement, the Prospectus and the Prospectus Supplement, will be valid and binding obligations of the Company, and (iii) the Warrant Shares, when issued and paid for in accordance with the terms of the Pre-Funded Warrants, will be validly issued, fully paid and non-assessable.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hereby consent to the filing of this opinion as an exhibit to a Current Report on Form 8-K in accordance with the requirements of Item 601(b)</w:t>
      </w:r>
    </w:p>
    <w:p>
      <w:pPr>
        <w:spacing w:after="0" w:line="46" w:lineRule="exact"/>
        <w:rPr>
          <w:sz w:val="20"/>
          <w:szCs w:val="20"/>
          <w:color w:val="auto"/>
        </w:rPr>
      </w:pPr>
    </w:p>
    <w:p>
      <w:pPr>
        <w:jc w:val="both"/>
        <w:ind w:firstLine="8"/>
        <w:spacing w:after="0" w:line="255" w:lineRule="auto"/>
        <w:tabs>
          <w:tab w:leader="none" w:pos="2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Mintz, Levin, Cohn, Ferris, Glovsky and Popeo,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10260"/>
        <w:spacing w:after="0"/>
        <w:rPr>
          <w:sz w:val="20"/>
          <w:szCs w:val="20"/>
          <w:color w:val="auto"/>
        </w:rPr>
      </w:pPr>
      <w:r>
        <w:rPr>
          <w:rFonts w:ascii="Arial" w:cs="Arial" w:eastAsia="Arial" w:hAnsi="Arial"/>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March 27, 2020, between XpresSpa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subject to the terms and conditions set forth in this Agreement and pursuant to (i) an effective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Company desires to issue and sell to each Purchaser, and each Purchaser, severally and not jointly, desires to purchase from the Company, securities of the Company as more fully described in this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closing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closing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Mintz, Levin, Cohn, Ferris, Glovsky and Popeo, P.C., Chrysler Center, 666 3rd Avenue, New York, NY 10017, Attn: Kenneth R. Koch, Esq., email: krkoch@mintz.com.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and options to officers, directors, employees or consultants of the Company after the Closing Date pursuant to plans approved by the shareholders of the Company and which issuances are approved by a majority of the independent members of a committee of the board of directors (provided, if to consultants, not in excess of 100,000 shares of common stock or common stock equivalents in any 30 day period, subject to adjustment for reverse and forward stock splits and the like, provided, further that such securities are restricted for transfer for at least a period of 180 days following the Closing Date), (b) securities upon the exercise or exchange of or conversion of any Securities issued hereunder and/or other securities exercisable or exchangeable for or convertible into shares of Common Stock issued and outstanding on the date of this Agreement, provided that such securities and any term thereof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provided that any such issuance shall only be to a Person (or to the equity holders of a Person) which is, itself or through its subsidiaries, an operating company or an owner of an asset in a business synergistic with the business of the Company and shall be intended to provide to the Company substantial additional benefits in addition to the investment of funds, but shall not include a transaction in which the Company is issuing securities primarily for the purpose of raising capital or to an entity whose primary business is investing in securities; provided that such securities are issued as “restricted securities” (as defined in Rule 144) and carry no registration rights that require or permit the filing of any registration statement in connection therewith from the date hereof until 180 days after the Closing Date, (d) securities as payment for investment banking services provided to the Company (provided not in excess of 250,000 shares of common stock or common stock equivalents in any 12-month period, subject to adjustment for reverse and forward stock splits and the like. provided, further that such securities are restricted for transfer for at least a period of 180 days following the Closing Date), (e) shares of Common Stock issued to third party vendors as payment for goods or services (provided, if to consultants, not in excess of 250,000 shares of common stock or common stock equivalents in any 30 day period, subject to adjustment for reverse and forward stock splits and the like, provided, further that such securities are restricted for transfer for at least a period of 180 days following the Closing Date), (f) shares of Common Stock issued to the Company’s Airport Concession Disadvantaged Business Enterprise partners, (g) Common Stock issued as payment of interest pursuant to that certain Credit Agreement dated as of April 22, 2015, as subsequently amended, by and between XpresSpa Holdings, LLC and B3D, LLC (the “B3D Credit Agreement”) and (h) securities issued as payment of interest pursuant to that certain unsecured convertible note dated as July 8, 2019 by and between the Company and Calm.com, Inc., provided that such securities are issued as “restricted securities” (as defined in Rule 144) and carry no registration rights that require or permit the filing of any registration statement in connection therewith from the date hereof until 180 days after the Closing Date.</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 w:name="page26"/>
    <w:bookmarkEnd w:id="2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Advisor</w:t>
      </w:r>
      <w:r>
        <w:rPr>
          <w:rFonts w:ascii="Arial" w:cs="Arial" w:eastAsia="Arial" w:hAnsi="Arial"/>
          <w:sz w:val="18"/>
          <w:szCs w:val="18"/>
          <w:color w:val="auto"/>
        </w:rPr>
        <w:t>” means Palladium Capital Advisors LLC.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Company and its consolidated Subsidiaries or (y) are being contested in good faith by appropriate proceedings, which proceedings have the effect of preventing for the foreseeable future the forfeiture or sale of the property or asset subject to such Liens, and (c) Liens existing on the date hereof, (d)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(e) Liens to the extent arising solely from the filing of protective Uniform Commercial Code financing statements in respect of equipment leased to the Company or any Subsidiary in the ordinary course of its business under true, as opposed to finance, leases, only up to the value of such leased equipment, (f) Liens securing the performance of bids, trade contracts, leases, statutory obligations, surety and appeal bonds, performance bonds, and other obligations of like nature, in each case in the ordinary course of business, (g) any interest or title of a lessor of real property secured by a lessor’s interest in such real property under any lease, (h)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$0.20,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Warrants</w:t>
      </w:r>
      <w:r>
        <w:rPr>
          <w:rFonts w:ascii="Arial" w:cs="Arial" w:eastAsia="Arial" w:hAnsi="Arial"/>
          <w:sz w:val="18"/>
          <w:szCs w:val="18"/>
          <w:color w:val="auto"/>
        </w:rPr>
        <w:t xml:space="preserve">” means, collectively, the Common Stock purchase warrants delivered to the Purchasers at the Closing in accordance with Section 2.2(a) hereof, which Pre-Funded Warrants shall be exercisable immediately after their issuance,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 Shares</w:t>
      </w:r>
      <w:r>
        <w:rPr>
          <w:rFonts w:ascii="Arial" w:cs="Arial" w:eastAsia="Arial" w:hAnsi="Arial"/>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333-232764 which registers the sale of the Securities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7" w:name="page28"/>
    <w:bookmarkEnd w:id="27"/>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Pre-Funded Warrants and the Pre-Funded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and Pre-Funded Warrants purchased hereunder at the Closing as specified below such Purchaser’s name on the signature page of this Agreement and next to the heading “Subscription Amount,” in United States dollars and in immediately available funds.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Pre-Funded Warrants,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located at 6201 15th Avenue, Brooklyn, NY 11219 and any successor transfer agent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4.11(b).</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8" w:name="page29"/>
    <w:bookmarkEnd w:id="28"/>
    <w:tbl>
      <w:tblPr>
        <w:tblLayout w:type="fixed"/>
        <w:tblInd w:w="66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b w:val="1"/>
                <w:bCs w:val="1"/>
                <w:color w:val="auto"/>
              </w:rPr>
              <w:t>ARTICLE II.</w:t>
            </w:r>
          </w:p>
        </w:tc>
      </w:tr>
      <w:tr>
        <w:trPr>
          <w:trHeight w:val="230"/>
        </w:trPr>
        <w:tc>
          <w:tcPr>
            <w:tcW w:w="540" w:type="dxa"/>
            <w:vAlign w:val="bottom"/>
          </w:tcPr>
          <w:p>
            <w:pPr>
              <w:spacing w:after="0"/>
              <w:rPr>
                <w:sz w:val="20"/>
                <w:szCs w:val="20"/>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color w:val="auto"/>
                <w:w w:val="96"/>
              </w:rPr>
              <w:t>PURCHASE AND SALE</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2.1</w:t>
            </w:r>
          </w:p>
        </w:tc>
        <w:tc>
          <w:tcPr>
            <w:tcW w:w="10040" w:type="dxa"/>
            <w:vAlign w:val="bottom"/>
          </w:tcPr>
          <w:p>
            <w:pPr>
              <w:ind w:left="320"/>
              <w:spacing w:after="0"/>
              <w:rPr>
                <w:sz w:val="20"/>
                <w:szCs w:val="20"/>
                <w:color w:val="auto"/>
              </w:rPr>
            </w:pPr>
            <w:r>
              <w:rPr>
                <w:rFonts w:ascii="Arial" w:cs="Arial" w:eastAsia="Arial" w:hAnsi="Arial"/>
                <w:sz w:val="18"/>
                <w:szCs w:val="18"/>
                <w:u w:val="single" w:color="auto"/>
                <w:color w:val="auto"/>
                <w:w w:val="90"/>
              </w:rPr>
              <w:t>Closing.</w:t>
            </w:r>
            <w:r>
              <w:rPr>
                <w:rFonts w:ascii="Arial" w:cs="Arial" w:eastAsia="Arial" w:hAnsi="Arial"/>
                <w:sz w:val="18"/>
                <w:szCs w:val="18"/>
                <w:color w:val="auto"/>
                <w:w w:val="90"/>
              </w:rPr>
              <w:t xml:space="preserve"> On the Closing Date, upon the terms and subject to the conditions set forth herein, substantially concurrent with the execution</w:t>
            </w:r>
          </w:p>
        </w:tc>
      </w:tr>
    </w:tbl>
    <w:p>
      <w:pPr>
        <w:jc w:val="both"/>
        <w:spacing w:after="0" w:line="252" w:lineRule="auto"/>
        <w:rPr>
          <w:sz w:val="20"/>
          <w:szCs w:val="20"/>
          <w:color w:val="auto"/>
        </w:rPr>
      </w:pPr>
      <w:r>
        <w:rPr>
          <w:rFonts w:ascii="Arial" w:cs="Arial" w:eastAsia="Arial" w:hAnsi="Arial"/>
          <w:sz w:val="18"/>
          <w:szCs w:val="18"/>
          <w:color w:val="auto"/>
        </w:rPr>
        <w:t>and delivery of this Agreement by the parties hereto, the Company agrees to sell, and the Purchasers, severally and not jointly, agree to purchase, an aggregate of up to $2,000,000 of Shares and Pre-Funded Warrants. Each Purchaser’s Subscription Amount as set forth on the signature page hereto executed by such Purchaser shall be delivered to the Company in immediately available funds, and the Company shall deliver to each Purchaser its respective Shares and a Pre-Funded Warrant (if applicable), as determined pursuant to Section 2.2(a), and the Company and each Purchaser shall deliver the other items set forth in Section 2.2 deliverable at the Closing. Upon satisfaction of the covenants and conditions set forth in Sections 2.2 and 2.3, the Closing shall occur at such location as the parties shall mutually agree.</w:t>
      </w:r>
    </w:p>
    <w:p>
      <w:pPr>
        <w:spacing w:after="0" w:line="19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2180" w:hanging="876"/>
        <w:spacing w:after="0"/>
        <w:tabs>
          <w:tab w:leader="none" w:pos="2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or prior to the Closing Date, the Company shall deliver or cause to be delivered to each Purchaser the following:</w:t>
      </w:r>
    </w:p>
    <w:p>
      <w:pPr>
        <w:spacing w:after="0" w:line="236" w:lineRule="exact"/>
        <w:rPr>
          <w:rFonts w:ascii="Arial" w:cs="Arial" w:eastAsia="Arial" w:hAnsi="Arial"/>
          <w:sz w:val="17"/>
          <w:szCs w:val="17"/>
          <w:color w:val="auto"/>
        </w:rPr>
      </w:pPr>
    </w:p>
    <w:p>
      <w:pPr>
        <w:ind w:left="2760" w:hanging="808"/>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1300" w:firstLine="652"/>
        <w:spacing w:after="0" w:line="277" w:lineRule="auto"/>
        <w:tabs>
          <w:tab w:leader="none" w:pos="27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subject to the last sentence of Section 2.1, the Company shall have provided each Purchaser with the Company’s wire instructions, on Company letterhead and executed by the Chief Executive Officer or Chief Financial Officer;</w:t>
      </w:r>
    </w:p>
    <w:p>
      <w:pPr>
        <w:spacing w:after="0" w:line="170" w:lineRule="exact"/>
        <w:rPr>
          <w:rFonts w:ascii="Arial" w:cs="Arial" w:eastAsia="Arial" w:hAnsi="Arial"/>
          <w:sz w:val="18"/>
          <w:szCs w:val="18"/>
          <w:color w:val="auto"/>
        </w:rPr>
      </w:pPr>
    </w:p>
    <w:p>
      <w:pPr>
        <w:jc w:val="both"/>
        <w:ind w:left="1300" w:firstLine="652"/>
        <w:spacing w:after="0" w:line="259" w:lineRule="auto"/>
        <w:tabs>
          <w:tab w:leader="none" w:pos="2753"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8"/>
          <w:szCs w:val="18"/>
          <w:u w:val="single" w:color="auto"/>
          <w:color w:val="auto"/>
        </w:rPr>
        <w:t>DWAC</w:t>
      </w:r>
      <w:r>
        <w:rPr>
          <w:rFonts w:ascii="Arial" w:cs="Arial" w:eastAsia="Arial" w:hAnsi="Arial"/>
          <w:sz w:val="18"/>
          <w:szCs w:val="18"/>
          <w:color w:val="auto"/>
        </w:rPr>
        <w:t>”) Shares equal to such Purchaser’s Subscription Amount divided by the Per Share Purchase Price, registered in the name of such Purchaser;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40" w:firstLine="652"/>
        <w:spacing w:after="0" w:line="308" w:lineRule="auto"/>
        <w:tabs>
          <w:tab w:leader="none" w:pos="2114"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applicable, a Pre-Funded Warrant registered in the name of such Purchaser to purchase up to a number of shares of Common Stock set forth in the Pre-Funded Warrants, with an exercise price equal to $0.01, subject to adjustment therein;</w:t>
      </w:r>
    </w:p>
    <w:p>
      <w:pPr>
        <w:spacing w:after="0" w:line="146" w:lineRule="exact"/>
        <w:rPr>
          <w:rFonts w:ascii="Arial" w:cs="Arial" w:eastAsia="Arial" w:hAnsi="Arial"/>
          <w:sz w:val="17"/>
          <w:szCs w:val="17"/>
          <w:color w:val="auto"/>
        </w:rPr>
      </w:pPr>
    </w:p>
    <w:p>
      <w:pPr>
        <w:ind w:left="2080" w:hanging="788"/>
        <w:spacing w:after="0"/>
        <w:tabs>
          <w:tab w:leader="none" w:pos="2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1700" w:hanging="1056"/>
        <w:spacing w:after="0"/>
        <w:tabs>
          <w:tab w:leader="none" w:pos="1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or prior to the Closing Date, each Purchaser shall deliver or cause to be delivered to the Company, as applicable,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10" w:lineRule="exact"/>
        <w:rPr>
          <w:rFonts w:ascii="Arial" w:cs="Arial" w:eastAsia="Arial" w:hAnsi="Arial"/>
          <w:sz w:val="16"/>
          <w:szCs w:val="16"/>
          <w:color w:val="auto"/>
        </w:rPr>
      </w:pPr>
    </w:p>
    <w:p>
      <w:pPr>
        <w:ind w:left="2100" w:hanging="808"/>
        <w:spacing w:after="0"/>
        <w:tabs>
          <w:tab w:leader="none" w:pos="2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640" w:firstLine="652"/>
        <w:spacing w:after="0" w:line="277" w:lineRule="auto"/>
        <w:tabs>
          <w:tab w:leader="none" w:pos="22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w:t>
      </w:r>
    </w:p>
    <w:p>
      <w:pPr>
        <w:spacing w:after="0" w:line="17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1160" w:hanging="516"/>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640" w:firstLine="652"/>
        <w:spacing w:after="0" w:line="286" w:lineRule="auto"/>
        <w:tabs>
          <w:tab w:leader="none" w:pos="2281"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65" w:lineRule="exact"/>
        <w:rPr>
          <w:rFonts w:ascii="Arial" w:cs="Arial" w:eastAsia="Arial" w:hAnsi="Arial"/>
          <w:sz w:val="17"/>
          <w:szCs w:val="17"/>
          <w:color w:val="auto"/>
        </w:rPr>
      </w:pPr>
    </w:p>
    <w:p>
      <w:pPr>
        <w:ind w:left="640" w:firstLine="652"/>
        <w:spacing w:after="0" w:line="277" w:lineRule="auto"/>
        <w:tabs>
          <w:tab w:leader="none" w:pos="24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under the Transaction Documents required to be performed at or prior to the Closing Date shall have been performed; and</w:t>
      </w:r>
    </w:p>
    <w:p>
      <w:pPr>
        <w:spacing w:after="0" w:line="170" w:lineRule="exact"/>
        <w:rPr>
          <w:rFonts w:ascii="Arial" w:cs="Arial" w:eastAsia="Arial" w:hAnsi="Arial"/>
          <w:sz w:val="18"/>
          <w:szCs w:val="18"/>
          <w:color w:val="auto"/>
        </w:rPr>
      </w:pPr>
    </w:p>
    <w:p>
      <w:pPr>
        <w:ind w:left="2140" w:hanging="848"/>
        <w:spacing w:after="0"/>
        <w:tabs>
          <w:tab w:leader="none" w:pos="2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1540" w:hanging="896"/>
        <w:spacing w:after="0"/>
        <w:tabs>
          <w:tab w:leader="none" w:pos="1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being met:</w:t>
      </w:r>
    </w:p>
    <w:p>
      <w:pPr>
        <w:spacing w:after="0" w:line="210" w:lineRule="exact"/>
        <w:rPr>
          <w:rFonts w:ascii="Arial" w:cs="Arial" w:eastAsia="Arial" w:hAnsi="Arial"/>
          <w:sz w:val="16"/>
          <w:szCs w:val="16"/>
          <w:color w:val="auto"/>
        </w:rPr>
      </w:pPr>
    </w:p>
    <w:p>
      <w:pPr>
        <w:jc w:val="both"/>
        <w:ind w:left="640" w:firstLine="652"/>
        <w:spacing w:after="0" w:line="286" w:lineRule="auto"/>
        <w:tabs>
          <w:tab w:leader="none" w:pos="2313"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0" w:name="page31"/>
    <w:bookmarkEnd w:id="30"/>
    <w:p>
      <w:pPr>
        <w:ind w:left="1300" w:firstLine="652"/>
        <w:spacing w:after="0" w:line="277" w:lineRule="auto"/>
        <w:tabs>
          <w:tab w:leader="none" w:pos="31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under the Transaction Documents required to be performed at or prior to the Closing Date shall have been performed;</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999" w:val="left"/>
        </w:tabs>
        <w:numPr>
          <w:ilvl w:val="0"/>
          <w:numId w:val="28"/>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000" w:type="dxa"/>
            <w:vAlign w:val="bottom"/>
          </w:tcPr>
          <w:p>
            <w:pPr>
              <w:jc w:val="center"/>
              <w:ind w:right="1150"/>
              <w:spacing w:after="0"/>
              <w:rPr>
                <w:sz w:val="20"/>
                <w:szCs w:val="20"/>
                <w:color w:val="auto"/>
              </w:rPr>
            </w:pPr>
            <w:r>
              <w:rPr>
                <w:rFonts w:ascii="Arial" w:cs="Arial" w:eastAsia="Arial" w:hAnsi="Arial"/>
                <w:sz w:val="18"/>
                <w:szCs w:val="18"/>
                <w:b w:val="1"/>
                <w:bCs w:val="1"/>
                <w:color w:val="auto"/>
              </w:rPr>
              <w:t>ARTICLE III.</w:t>
            </w:r>
          </w:p>
        </w:tc>
      </w:tr>
      <w:tr>
        <w:trPr>
          <w:trHeight w:val="230"/>
        </w:trPr>
        <w:tc>
          <w:tcPr>
            <w:tcW w:w="580" w:type="dxa"/>
            <w:vAlign w:val="bottom"/>
          </w:tcPr>
          <w:p>
            <w:pPr>
              <w:spacing w:after="0"/>
              <w:rPr>
                <w:sz w:val="20"/>
                <w:szCs w:val="20"/>
                <w:color w:val="auto"/>
              </w:rPr>
            </w:pPr>
          </w:p>
        </w:tc>
        <w:tc>
          <w:tcPr>
            <w:tcW w:w="10000" w:type="dxa"/>
            <w:vAlign w:val="bottom"/>
          </w:tcPr>
          <w:p>
            <w:pPr>
              <w:jc w:val="center"/>
              <w:ind w:right="1150"/>
              <w:spacing w:after="0"/>
              <w:rPr>
                <w:sz w:val="20"/>
                <w:szCs w:val="20"/>
                <w:color w:val="auto"/>
              </w:rPr>
            </w:pPr>
            <w:r>
              <w:rPr>
                <w:rFonts w:ascii="Arial" w:cs="Arial" w:eastAsia="Arial" w:hAnsi="Arial"/>
                <w:sz w:val="18"/>
                <w:szCs w:val="18"/>
                <w:color w:val="auto"/>
                <w:w w:val="95"/>
              </w:rPr>
              <w:t>REPRESENTATIONS AND WARRANTIES</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3.1</w:t>
            </w:r>
          </w:p>
        </w:tc>
        <w:tc>
          <w:tcPr>
            <w:tcW w:w="10000" w:type="dxa"/>
            <w:vAlign w:val="bottom"/>
          </w:tcPr>
          <w:p>
            <w:pPr>
              <w:ind w:left="380"/>
              <w:spacing w:after="0"/>
              <w:rPr>
                <w:sz w:val="20"/>
                <w:szCs w:val="20"/>
                <w:color w:val="auto"/>
              </w:rPr>
            </w:pPr>
            <w:r>
              <w:rPr>
                <w:rFonts w:ascii="Arial" w:cs="Arial" w:eastAsia="Arial" w:hAnsi="Arial"/>
                <w:sz w:val="18"/>
                <w:szCs w:val="18"/>
                <w:u w:val="single" w:color="auto"/>
                <w:color w:val="auto"/>
                <w:w w:val="91"/>
              </w:rPr>
              <w:t>Representations and Warranties of the Company</w:t>
            </w:r>
            <w:r>
              <w:rPr>
                <w:rFonts w:ascii="Arial" w:cs="Arial" w:eastAsia="Arial" w:hAnsi="Arial"/>
                <w:sz w:val="18"/>
                <w:szCs w:val="18"/>
                <w:color w:val="auto"/>
                <w:w w:val="91"/>
              </w:rPr>
              <w:t>. Except as set forth in the SEC Reports (other than with respect to Sections 3.1(b),</w:t>
            </w:r>
          </w:p>
        </w:tc>
      </w:tr>
    </w:tbl>
    <w:p>
      <w:pPr>
        <w:jc w:val="both"/>
        <w:spacing w:after="0" w:line="255" w:lineRule="auto"/>
        <w:rPr>
          <w:sz w:val="20"/>
          <w:szCs w:val="20"/>
          <w:color w:val="auto"/>
        </w:rPr>
      </w:pPr>
      <w:r>
        <w:rPr>
          <w:rFonts w:ascii="Arial" w:cs="Arial" w:eastAsia="Arial" w:hAnsi="Arial"/>
          <w:sz w:val="18"/>
          <w:szCs w:val="18"/>
          <w:color w:val="auto"/>
        </w:rPr>
        <w:t>3.1(c), 3.1(d), 3.1(e) and 3.1(g)) or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90" w:lineRule="exact"/>
        <w:rPr>
          <w:sz w:val="20"/>
          <w:szCs w:val="20"/>
          <w:color w:val="auto"/>
        </w:rPr>
      </w:pPr>
    </w:p>
    <w:p>
      <w:pPr>
        <w:jc w:val="both"/>
        <w:ind w:left="660" w:firstLine="644"/>
        <w:spacing w:after="0" w:line="259" w:lineRule="auto"/>
        <w:tabs>
          <w:tab w:leader="none" w:pos="220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or a majority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27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and each of the Subsidiaries is an entity duly incorporated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left="-460" w:firstLine="644"/>
        <w:spacing w:after="0" w:line="287" w:lineRule="auto"/>
        <w:tabs>
          <w:tab w:leader="none" w:pos="111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1" w:lineRule="exact"/>
        <w:rPr>
          <w:rFonts w:ascii="Arial" w:cs="Arial" w:eastAsia="Arial" w:hAnsi="Arial"/>
          <w:sz w:val="16"/>
          <w:szCs w:val="16"/>
          <w:color w:val="auto"/>
        </w:rPr>
      </w:pPr>
    </w:p>
    <w:p>
      <w:pPr>
        <w:jc w:val="both"/>
        <w:ind w:left="-460" w:firstLine="644"/>
        <w:spacing w:after="0" w:line="268" w:lineRule="auto"/>
        <w:tabs>
          <w:tab w:leader="none" w:pos="1369"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xml:space="preserve">.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except as set forth on </w:t>
      </w:r>
      <w:r>
        <w:rPr>
          <w:rFonts w:ascii="Arial" w:cs="Arial" w:eastAsia="Arial" w:hAnsi="Arial"/>
          <w:sz w:val="17"/>
          <w:szCs w:val="17"/>
          <w:u w:val="single" w:color="auto"/>
          <w:color w:val="auto"/>
        </w:rPr>
        <w:t>Schedule 3.1(d)</w:t>
      </w:r>
      <w:r>
        <w:rPr>
          <w:rFonts w:ascii="Arial" w:cs="Arial" w:eastAsia="Arial" w:hAnsi="Arial"/>
          <w:sz w:val="17"/>
          <w:szCs w:val="17"/>
          <w:color w:val="auto"/>
        </w:rPr>
        <w:t>,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a material adverse effect on the legality, validity or enforceability of any Transaction Document, B) a material adverse effect on the results of operations, assets, business, prospects or condition (financial or otherwise) of the Company and the Subsidiaries, taken as a whole, or (C) a material adverse effect on the Company’s ability to perform in any material respect on a timely basis its obligations under any Transaction Document (any of (A), (B) or (C),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jc w:val="both"/>
        <w:ind w:left="-460" w:firstLine="644"/>
        <w:spacing w:after="0" w:line="293" w:lineRule="auto"/>
        <w:tabs>
          <w:tab w:leader="none" w:pos="110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Filings, Consents and Approvals</w:t>
      </w:r>
      <w:r>
        <w:rPr>
          <w:rFonts w:ascii="Arial" w:cs="Arial" w:eastAsia="Arial" w:hAnsi="Arial"/>
          <w:sz w:val="16"/>
          <w:szCs w:val="16"/>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Pre-Funded Warrant Shares for trading thereon in the time and manner required thereby, and (iv) such filings as are required to be made under applicable state securities laws (collectively, the “</w:t>
      </w:r>
      <w:r>
        <w:rPr>
          <w:rFonts w:ascii="Arial" w:cs="Arial" w:eastAsia="Arial" w:hAnsi="Arial"/>
          <w:sz w:val="16"/>
          <w:szCs w:val="16"/>
          <w:u w:val="single" w:color="auto"/>
          <w:color w:val="auto"/>
        </w:rPr>
        <w:t>Required Approvals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460" w:firstLine="644"/>
        <w:spacing w:after="0" w:line="284" w:lineRule="auto"/>
        <w:tabs>
          <w:tab w:leader="none" w:pos="110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Pre-Funded Warrant Shares, when issued in accordance with the terms of the Pre-Funded Warrants, will be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July 30, 2019,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 w:name="page34"/>
    <w:bookmarkEnd w:id="33"/>
    <w:p>
      <w:pPr>
        <w:jc w:val="both"/>
        <w:ind w:left="-460" w:firstLine="644"/>
        <w:spacing w:after="0" w:line="284" w:lineRule="auto"/>
        <w:tabs>
          <w:tab w:leader="none" w:pos="120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as of the date hereof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which Schedule 3.1(g) shall also include the number of shares of Common Stock owned beneficially, and of record, by Affiliates of the Company as of the date hereof. The Company has not issued any capital stock since its most recently filed periodic report under the Exchange Act, other than (i) pursuant to the exercise of employee stock options under the Company’s stock option plans, (ii) the issuance of shares of Common Stock to employees pursuant to the Company’s employee stock purchase plans, (iii) pursuant to the conversion and/or exercise of Common Stock Equivalents outstanding as of the date of the most recently filed periodic report under the Exchange Act and (iv) as the payment of interest with respect to outstanding indebtedness.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Except as contemplated by </w:t>
      </w:r>
      <w:r>
        <w:rPr>
          <w:rFonts w:ascii="Arial" w:cs="Arial" w:eastAsia="Arial" w:hAnsi="Arial"/>
          <w:sz w:val="16"/>
          <w:szCs w:val="16"/>
          <w:u w:val="single" w:color="auto"/>
          <w:color w:val="auto"/>
        </w:rPr>
        <w:t>Section 3.1(e)</w:t>
      </w:r>
      <w:r>
        <w:rPr>
          <w:rFonts w:ascii="Arial" w:cs="Arial" w:eastAsia="Arial" w:hAnsi="Arial"/>
          <w:sz w:val="16"/>
          <w:szCs w:val="16"/>
          <w:color w:val="auto"/>
        </w:rPr>
        <w:t>,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94" w:lineRule="exact"/>
        <w:rPr>
          <w:rFonts w:ascii="Arial" w:cs="Arial" w:eastAsia="Arial" w:hAnsi="Arial"/>
          <w:sz w:val="16"/>
          <w:szCs w:val="16"/>
          <w:color w:val="auto"/>
        </w:rPr>
      </w:pPr>
    </w:p>
    <w:p>
      <w:pPr>
        <w:jc w:val="both"/>
        <w:ind w:left="-460" w:firstLine="644"/>
        <w:spacing w:after="0" w:line="285" w:lineRule="auto"/>
        <w:tabs>
          <w:tab w:leader="none" w:pos="120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 w:name="page35"/>
    <w:bookmarkEnd w:id="34"/>
    <w:p>
      <w:pPr>
        <w:jc w:val="both"/>
        <w:ind w:left="4" w:firstLine="644"/>
        <w:spacing w:after="0" w:line="285" w:lineRule="auto"/>
        <w:tabs>
          <w:tab w:leader="none" w:pos="1613"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xml:space="preserve">. Since the date of the latest audited financial statements included within the SEC Reports, except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spacing w:after="0" w:line="1" w:lineRule="exact"/>
        <w:rPr>
          <w:rFonts w:ascii="Arial" w:cs="Arial" w:eastAsia="Arial" w:hAnsi="Arial"/>
          <w:sz w:val="16"/>
          <w:szCs w:val="16"/>
          <w:color w:val="auto"/>
        </w:rPr>
      </w:pPr>
    </w:p>
    <w:p>
      <w:pPr>
        <w:jc w:val="both"/>
        <w:ind w:left="4" w:hanging="4"/>
        <w:spacing w:after="0" w:line="251"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8"/>
          <w:szCs w:val="18"/>
          <w:u w:val="single" w:color="auto"/>
          <w:color w:val="auto"/>
        </w:rPr>
        <w:t>Schedule 3.1(i)</w:t>
      </w:r>
      <w:r>
        <w:rPr>
          <w:rFonts w:ascii="Arial" w:cs="Arial" w:eastAsia="Arial" w:hAnsi="Arial"/>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7" w:lineRule="exact"/>
        <w:rPr>
          <w:rFonts w:ascii="Arial" w:cs="Arial" w:eastAsia="Arial" w:hAnsi="Arial"/>
          <w:sz w:val="18"/>
          <w:szCs w:val="18"/>
          <w:color w:val="auto"/>
        </w:rPr>
      </w:pPr>
    </w:p>
    <w:p>
      <w:pPr>
        <w:jc w:val="both"/>
        <w:ind w:left="4" w:firstLine="644"/>
        <w:spacing w:after="0" w:line="288" w:lineRule="auto"/>
        <w:tabs>
          <w:tab w:leader="none" w:pos="1654"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xml:space="preserve">”) which (i) adversely affects or challenges the legality, validity or enforceability of any of the Transaction Documents or the Securities or (ii) except as set forth in </w:t>
      </w:r>
      <w:r>
        <w:rPr>
          <w:rFonts w:ascii="Arial" w:cs="Arial" w:eastAsia="Arial" w:hAnsi="Arial"/>
          <w:sz w:val="16"/>
          <w:szCs w:val="16"/>
          <w:u w:val="single" w:color="auto"/>
          <w:color w:val="auto"/>
        </w:rPr>
        <w:t>Schedule 3.1(j)</w:t>
      </w:r>
      <w:r>
        <w:rPr>
          <w:rFonts w:ascii="Arial" w:cs="Arial" w:eastAsia="Arial" w:hAnsi="Arial"/>
          <w:sz w:val="16"/>
          <w:szCs w:val="16"/>
          <w:color w:val="auto"/>
        </w:rPr>
        <w:t>,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3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5" w:name="page36"/>
    <w:bookmarkEnd w:id="35"/>
    <w:p>
      <w:pPr>
        <w:jc w:val="both"/>
        <w:ind w:left="-460" w:firstLine="644"/>
        <w:spacing w:after="0" w:line="287" w:lineRule="auto"/>
        <w:tabs>
          <w:tab w:leader="none" w:pos="134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xml:space="preserve">. No labor dispute exists or, to the knowledge of the Company, is imminent with respect to any of the employees of the Company, which could reasonably be expected to result in a Material Adverse Effect. Except as disclosed on </w:t>
      </w:r>
      <w:r>
        <w:rPr>
          <w:rFonts w:ascii="Arial" w:cs="Arial" w:eastAsia="Arial" w:hAnsi="Arial"/>
          <w:sz w:val="16"/>
          <w:szCs w:val="16"/>
          <w:u w:val="single" w:color="auto"/>
          <w:color w:val="auto"/>
        </w:rPr>
        <w:t>Section 3.1(k)</w:t>
      </w:r>
      <w:r>
        <w:rPr>
          <w:rFonts w:ascii="Arial" w:cs="Arial" w:eastAsia="Arial" w:hAnsi="Arial"/>
          <w:sz w:val="16"/>
          <w:szCs w:val="16"/>
          <w:color w:val="auto"/>
        </w:rPr>
        <w:t xml:space="preserve"> of the Disclosure Schedules,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1" w:lineRule="exact"/>
        <w:rPr>
          <w:rFonts w:ascii="Arial" w:cs="Arial" w:eastAsia="Arial" w:hAnsi="Arial"/>
          <w:sz w:val="16"/>
          <w:szCs w:val="16"/>
          <w:color w:val="auto"/>
        </w:rPr>
      </w:pPr>
    </w:p>
    <w:p>
      <w:pPr>
        <w:jc w:val="both"/>
        <w:ind w:left="-460" w:firstLine="644"/>
        <w:spacing w:after="0" w:line="270" w:lineRule="auto"/>
        <w:tabs>
          <w:tab w:leader="none" w:pos="1284"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xml:space="preserve">. To the Company’s knowledge, neither the Company nor any Subsidiary: (i) except as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3.1(l)(i)</w:t>
      </w:r>
      <w:r>
        <w:rPr>
          <w:rFonts w:ascii="Arial" w:cs="Arial" w:eastAsia="Arial" w:hAnsi="Arial"/>
          <w:sz w:val="17"/>
          <w:szCs w:val="17"/>
          <w:color w:val="auto"/>
        </w:rPr>
        <w:t xml:space="preserve"> of the Disclosure Schedules,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0" w:lineRule="exact"/>
        <w:rPr>
          <w:rFonts w:ascii="Arial" w:cs="Arial" w:eastAsia="Arial" w:hAnsi="Arial"/>
          <w:sz w:val="17"/>
          <w:szCs w:val="17"/>
          <w:color w:val="auto"/>
        </w:rPr>
      </w:pPr>
    </w:p>
    <w:p>
      <w:pPr>
        <w:jc w:val="both"/>
        <w:ind w:left="-460" w:firstLine="644"/>
        <w:spacing w:after="0" w:line="269" w:lineRule="auto"/>
        <w:tabs>
          <w:tab w:leader="none" w:pos="1127"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 w:name="page37"/>
    <w:bookmarkEnd w:id="36"/>
    <w:p>
      <w:pPr>
        <w:jc w:val="both"/>
        <w:ind w:left="-460" w:firstLine="644"/>
        <w:spacing w:after="0" w:line="301" w:lineRule="auto"/>
        <w:tabs>
          <w:tab w:leader="none" w:pos="127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7" w:lineRule="exact"/>
        <w:rPr>
          <w:rFonts w:ascii="Arial" w:cs="Arial" w:eastAsia="Arial" w:hAnsi="Arial"/>
          <w:sz w:val="16"/>
          <w:szCs w:val="16"/>
          <w:color w:val="auto"/>
        </w:rPr>
      </w:pPr>
    </w:p>
    <w:p>
      <w:pPr>
        <w:jc w:val="both"/>
        <w:ind w:left="-460" w:firstLine="644"/>
        <w:spacing w:after="0" w:line="291" w:lineRule="auto"/>
        <w:tabs>
          <w:tab w:leader="none" w:pos="108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all real property owned by them and good and marketable title in all personal property (if any) owned by them that is material to the business of the Company and the Subsidiaries, in each case free and clear of all Liens except for Permitted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66" w:lineRule="exact"/>
        <w:rPr>
          <w:rFonts w:ascii="Arial" w:cs="Arial" w:eastAsia="Arial" w:hAnsi="Arial"/>
          <w:sz w:val="16"/>
          <w:szCs w:val="16"/>
          <w:color w:val="auto"/>
        </w:rPr>
      </w:pPr>
    </w:p>
    <w:p>
      <w:pPr>
        <w:jc w:val="both"/>
        <w:ind w:left="-460" w:firstLine="644"/>
        <w:spacing w:after="0" w:line="287" w:lineRule="auto"/>
        <w:tabs>
          <w:tab w:leader="none" w:pos="141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 w:name="page38"/>
    <w:bookmarkEnd w:id="37"/>
    <w:p>
      <w:pPr>
        <w:jc w:val="both"/>
        <w:ind w:left="-460" w:firstLine="644"/>
        <w:spacing w:after="0" w:line="296" w:lineRule="auto"/>
        <w:tabs>
          <w:tab w:leader="none" w:pos="127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61" w:lineRule="exact"/>
        <w:rPr>
          <w:rFonts w:ascii="Arial" w:cs="Arial" w:eastAsia="Arial" w:hAnsi="Arial"/>
          <w:sz w:val="16"/>
          <w:szCs w:val="16"/>
          <w:color w:val="auto"/>
        </w:rPr>
      </w:pPr>
    </w:p>
    <w:p>
      <w:pPr>
        <w:jc w:val="both"/>
        <w:ind w:left="-460" w:firstLine="644"/>
        <w:spacing w:after="0" w:line="270" w:lineRule="auto"/>
        <w:tabs>
          <w:tab w:leader="none" w:pos="1182"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3.1(r)</w:t>
      </w:r>
      <w:r>
        <w:rPr>
          <w:rFonts w:ascii="Arial" w:cs="Arial" w:eastAsia="Arial" w:hAnsi="Arial"/>
          <w:sz w:val="17"/>
          <w:szCs w:val="17"/>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or any Subsidiary and (iii) other employee benefits, including stock option agreements under any stock option plan of the Company.</w:t>
      </w:r>
    </w:p>
    <w:p>
      <w:pPr>
        <w:spacing w:after="0" w:line="180" w:lineRule="exact"/>
        <w:rPr>
          <w:rFonts w:ascii="Arial" w:cs="Arial" w:eastAsia="Arial" w:hAnsi="Arial"/>
          <w:sz w:val="17"/>
          <w:szCs w:val="17"/>
          <w:color w:val="auto"/>
        </w:rPr>
      </w:pPr>
    </w:p>
    <w:p>
      <w:pPr>
        <w:jc w:val="both"/>
        <w:ind w:left="-460" w:firstLine="644"/>
        <w:spacing w:after="0" w:line="285" w:lineRule="auto"/>
        <w:tabs>
          <w:tab w:leader="none" w:pos="116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 w:name="page39"/>
    <w:bookmarkEnd w:id="38"/>
    <w:p>
      <w:pPr>
        <w:jc w:val="both"/>
        <w:ind w:left="-460" w:firstLine="644"/>
        <w:spacing w:after="0" w:line="296" w:lineRule="auto"/>
        <w:tabs>
          <w:tab w:leader="none" w:pos="136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Except as set forth in the Prospectus Supplement and on </w:t>
      </w:r>
      <w:r>
        <w:rPr>
          <w:rFonts w:ascii="Arial" w:cs="Arial" w:eastAsia="Arial" w:hAnsi="Arial"/>
          <w:sz w:val="16"/>
          <w:szCs w:val="16"/>
          <w:u w:val="single" w:color="auto"/>
          <w:color w:val="auto"/>
        </w:rPr>
        <w:t>Schedule 3.1(t)</w:t>
      </w:r>
      <w:r>
        <w:rPr>
          <w:rFonts w:ascii="Arial" w:cs="Arial" w:eastAsia="Arial" w:hAnsi="Arial"/>
          <w:sz w:val="16"/>
          <w:szCs w:val="16"/>
          <w:color w:val="auto"/>
        </w:rPr>
        <w:t xml:space="preserve"> of the Disclosure Schedules,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61" w:lineRule="exact"/>
        <w:rPr>
          <w:rFonts w:ascii="Arial" w:cs="Arial" w:eastAsia="Arial" w:hAnsi="Arial"/>
          <w:sz w:val="16"/>
          <w:szCs w:val="16"/>
          <w:color w:val="auto"/>
        </w:rPr>
      </w:pPr>
    </w:p>
    <w:p>
      <w:pPr>
        <w:jc w:val="both"/>
        <w:ind w:left="-460" w:firstLine="644"/>
        <w:spacing w:after="0" w:line="259" w:lineRule="auto"/>
        <w:tabs>
          <w:tab w:leader="none" w:pos="130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460" w:firstLine="644"/>
        <w:spacing w:after="0" w:line="277" w:lineRule="auto"/>
        <w:tabs>
          <w:tab w:leader="none" w:pos="124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left="-460" w:firstLine="644"/>
        <w:spacing w:after="0" w:line="289" w:lineRule="auto"/>
        <w:tabs>
          <w:tab w:leader="none" w:pos="106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year following the Closing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 w:name="page40"/>
    <w:bookmarkEnd w:id="39"/>
    <w:p>
      <w:pPr>
        <w:jc w:val="both"/>
        <w:ind w:left="-460" w:firstLine="644"/>
        <w:spacing w:after="0" w:line="255" w:lineRule="auto"/>
        <w:tabs>
          <w:tab w:leader="none" w:pos="123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92" w:lineRule="exact"/>
        <w:rPr>
          <w:rFonts w:ascii="Arial" w:cs="Arial" w:eastAsia="Arial" w:hAnsi="Arial"/>
          <w:sz w:val="18"/>
          <w:szCs w:val="18"/>
          <w:color w:val="auto"/>
        </w:rPr>
      </w:pPr>
    </w:p>
    <w:p>
      <w:pPr>
        <w:jc w:val="both"/>
        <w:ind w:left="-460" w:firstLine="644"/>
        <w:spacing w:after="0" w:line="268" w:lineRule="auto"/>
        <w:tabs>
          <w:tab w:leader="none" w:pos="1248"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6" w:lineRule="exact"/>
        <w:rPr>
          <w:rFonts w:ascii="Arial" w:cs="Arial" w:eastAsia="Arial" w:hAnsi="Arial"/>
          <w:sz w:val="17"/>
          <w:szCs w:val="17"/>
          <w:color w:val="auto"/>
        </w:rPr>
      </w:pPr>
    </w:p>
    <w:p>
      <w:pPr>
        <w:jc w:val="both"/>
        <w:ind w:left="-460" w:firstLine="644"/>
        <w:spacing w:after="0" w:line="275" w:lineRule="auto"/>
        <w:tabs>
          <w:tab w:leader="none" w:pos="122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No Integrated Offering</w:t>
      </w:r>
      <w:r>
        <w:rPr>
          <w:rFonts w:ascii="Arial" w:cs="Arial" w:eastAsia="Arial" w:hAnsi="Arial"/>
          <w:sz w:val="17"/>
          <w:szCs w:val="17"/>
          <w:color w:val="auto"/>
        </w:rPr>
        <w:t>. Assuming the accuracy of the Purchasers’ representations and warranties set forth in Section 3.2, neither the Company, nor, to the Company’s knowledge, any of its Affiliates, nor any Person acting on its or, to the Company’s knowledge,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0" w:name="page41"/>
    <w:bookmarkEnd w:id="40"/>
    <w:p>
      <w:pPr>
        <w:jc w:val="both"/>
        <w:ind w:left="-460" w:firstLine="644"/>
        <w:spacing w:after="0" w:line="285" w:lineRule="auto"/>
        <w:tabs>
          <w:tab w:leader="none" w:pos="122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(aa)</w:t>
      </w:r>
      <w:r>
        <w:rPr>
          <w:rFonts w:ascii="Arial" w:cs="Arial" w:eastAsia="Arial" w:hAnsi="Arial"/>
          <w:sz w:val="16"/>
          <w:szCs w:val="16"/>
          <w:color w:val="auto"/>
        </w:rPr>
        <w:t>, based on the consolidated financial condition of the Company as of the Closing Date, and the Company’s good faith estimate of the fair market value of its assets,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168" w:lineRule="exact"/>
        <w:rPr>
          <w:rFonts w:ascii="Arial" w:cs="Arial" w:eastAsia="Arial" w:hAnsi="Arial"/>
          <w:sz w:val="16"/>
          <w:szCs w:val="16"/>
          <w:color w:val="auto"/>
        </w:rPr>
      </w:pPr>
    </w:p>
    <w:p>
      <w:pPr>
        <w:jc w:val="both"/>
        <w:ind w:left="-460" w:firstLine="644"/>
        <w:spacing w:after="0" w:line="254" w:lineRule="auto"/>
        <w:tabs>
          <w:tab w:leader="none" w:pos="106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xml:space="preserve">. Except for matters that would not, individually or in the aggregate, have or reasonably be expected to result in a Material Adverse Effect, the Company and its Subsidiaries each (i) has made or filed all required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Except as set forth on </w:t>
      </w:r>
      <w:r>
        <w:rPr>
          <w:rFonts w:ascii="Arial" w:cs="Arial" w:eastAsia="Arial" w:hAnsi="Arial"/>
          <w:sz w:val="18"/>
          <w:szCs w:val="18"/>
          <w:u w:val="single" w:color="auto"/>
          <w:color w:val="auto"/>
        </w:rPr>
        <w:t>Schedule 3.1(aa)</w:t>
      </w:r>
      <w:r>
        <w:rPr>
          <w:rFonts w:ascii="Arial" w:cs="Arial" w:eastAsia="Arial" w:hAnsi="Arial"/>
          <w:sz w:val="18"/>
          <w:szCs w:val="18"/>
          <w:color w:val="auto"/>
        </w:rPr>
        <w:t>, there are no unpaid taxes in any material amount claimed to be due by the taxing authority of any jurisdiction, and the officers of the Company or of any Subsidiary know of no reasonable basis for any such claim.</w:t>
      </w:r>
    </w:p>
    <w:p>
      <w:pPr>
        <w:spacing w:after="0" w:line="191" w:lineRule="exact"/>
        <w:rPr>
          <w:rFonts w:ascii="Arial" w:cs="Arial" w:eastAsia="Arial" w:hAnsi="Arial"/>
          <w:sz w:val="18"/>
          <w:szCs w:val="18"/>
          <w:color w:val="auto"/>
        </w:rPr>
      </w:pPr>
    </w:p>
    <w:p>
      <w:pPr>
        <w:jc w:val="both"/>
        <w:ind w:left="-460" w:firstLine="644"/>
        <w:spacing w:after="0" w:line="273" w:lineRule="auto"/>
        <w:tabs>
          <w:tab w:leader="none" w:pos="1021"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1" w:name="page42"/>
    <w:bookmarkEnd w:id="41"/>
    <w:p>
      <w:pPr>
        <w:jc w:val="both"/>
        <w:ind w:left="4" w:firstLine="644"/>
        <w:spacing w:after="0" w:line="286" w:lineRule="auto"/>
        <w:tabs>
          <w:tab w:leader="none" w:pos="1662"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Accountants</w:t>
      </w:r>
      <w:r>
        <w:rPr>
          <w:rFonts w:ascii="Arial" w:cs="Arial" w:eastAsia="Arial" w:hAnsi="Arial"/>
          <w:sz w:val="17"/>
          <w:szCs w:val="17"/>
          <w:color w:val="auto"/>
        </w:rPr>
        <w:t>. The Company’s accounting firm is CohnReznick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2019.</w:t>
      </w:r>
    </w:p>
    <w:p>
      <w:pPr>
        <w:spacing w:after="0" w:line="165" w:lineRule="exact"/>
        <w:rPr>
          <w:rFonts w:ascii="Arial" w:cs="Arial" w:eastAsia="Arial" w:hAnsi="Arial"/>
          <w:sz w:val="17"/>
          <w:szCs w:val="17"/>
          <w:color w:val="auto"/>
        </w:rPr>
      </w:pPr>
    </w:p>
    <w:p>
      <w:pPr>
        <w:jc w:val="both"/>
        <w:ind w:left="4" w:firstLine="644"/>
        <w:spacing w:after="0" w:line="271" w:lineRule="auto"/>
        <w:tabs>
          <w:tab w:leader="none" w:pos="1633"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w:t>
      </w:r>
      <w:r>
        <w:rPr>
          <w:rFonts w:ascii="Arial" w:cs="Arial" w:eastAsia="Arial" w:hAnsi="Arial"/>
          <w:sz w:val="17"/>
          <w:szCs w:val="17"/>
          <w:color w:val="auto"/>
        </w:rPr>
        <w:t xml:space="preserve"> Securities.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8" w:lineRule="exact"/>
        <w:rPr>
          <w:rFonts w:ascii="Arial" w:cs="Arial" w:eastAsia="Arial" w:hAnsi="Arial"/>
          <w:sz w:val="17"/>
          <w:szCs w:val="17"/>
          <w:color w:val="auto"/>
        </w:rPr>
      </w:pPr>
    </w:p>
    <w:p>
      <w:pPr>
        <w:jc w:val="both"/>
        <w:ind w:left="4" w:firstLine="644"/>
        <w:spacing w:after="0" w:line="268" w:lineRule="auto"/>
        <w:tabs>
          <w:tab w:leader="none" w:pos="1626"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6" w:lineRule="exact"/>
        <w:rPr>
          <w:rFonts w:ascii="Arial" w:cs="Arial" w:eastAsia="Arial" w:hAnsi="Arial"/>
          <w:sz w:val="17"/>
          <w:szCs w:val="17"/>
          <w:color w:val="auto"/>
        </w:rPr>
      </w:pPr>
    </w:p>
    <w:p>
      <w:pPr>
        <w:jc w:val="both"/>
        <w:ind w:left="4" w:firstLine="644"/>
        <w:spacing w:after="0" w:line="287" w:lineRule="auto"/>
        <w:tabs>
          <w:tab w:leader="none" w:pos="150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2" w:lineRule="exact"/>
        <w:rPr>
          <w:rFonts w:ascii="Arial" w:cs="Arial" w:eastAsia="Arial" w:hAnsi="Arial"/>
          <w:sz w:val="16"/>
          <w:szCs w:val="16"/>
          <w:color w:val="auto"/>
        </w:rPr>
      </w:pPr>
    </w:p>
    <w:p>
      <w:pPr>
        <w:ind w:left="4" w:hanging="4"/>
        <w:spacing w:after="0" w:line="323" w:lineRule="auto"/>
        <w:tabs>
          <w:tab w:leader="none" w:pos="319" w:val="left"/>
        </w:tabs>
        <w:numPr>
          <w:ilvl w:val="0"/>
          <w:numId w:val="42"/>
        </w:numPr>
        <w:rPr>
          <w:rFonts w:ascii="Arial" w:cs="Arial" w:eastAsia="Arial" w:hAnsi="Arial"/>
          <w:sz w:val="16"/>
          <w:szCs w:val="16"/>
          <w:color w:val="auto"/>
        </w:rPr>
      </w:pPr>
      <w:r>
        <w:rPr>
          <w:rFonts w:ascii="Arial" w:cs="Arial" w:eastAsia="Arial" w:hAnsi="Arial"/>
          <w:sz w:val="16"/>
          <w:szCs w:val="16"/>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35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2" w:name="page43"/>
    <w:bookmarkEnd w:id="42"/>
    <w:p>
      <w:pPr>
        <w:ind w:left="980" w:hanging="79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jc w:val="both"/>
        <w:ind w:left="-460" w:firstLine="644"/>
        <w:spacing w:after="0" w:line="293" w:lineRule="auto"/>
        <w:tabs>
          <w:tab w:leader="none" w:pos="117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Stock Option Plans</w:t>
      </w:r>
      <w:r>
        <w:rPr>
          <w:rFonts w:ascii="Arial" w:cs="Arial" w:eastAsia="Arial" w:hAnsi="Arial"/>
          <w:sz w:val="16"/>
          <w:szCs w:val="16"/>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64" w:lineRule="exact"/>
        <w:rPr>
          <w:rFonts w:ascii="Arial" w:cs="Arial" w:eastAsia="Arial" w:hAnsi="Arial"/>
          <w:sz w:val="16"/>
          <w:szCs w:val="16"/>
          <w:color w:val="auto"/>
        </w:rPr>
      </w:pPr>
    </w:p>
    <w:p>
      <w:pPr>
        <w:jc w:val="both"/>
        <w:ind w:left="-460" w:firstLine="644"/>
        <w:spacing w:after="0" w:line="263" w:lineRule="auto"/>
        <w:tabs>
          <w:tab w:leader="none" w:pos="113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460" w:firstLine="644"/>
        <w:spacing w:after="0" w:line="342" w:lineRule="auto"/>
        <w:tabs>
          <w:tab w:leader="none" w:pos="1104"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23" w:lineRule="exact"/>
        <w:rPr>
          <w:rFonts w:ascii="Arial" w:cs="Arial" w:eastAsia="Arial" w:hAnsi="Arial"/>
          <w:sz w:val="16"/>
          <w:szCs w:val="16"/>
          <w:color w:val="auto"/>
        </w:rPr>
      </w:pPr>
    </w:p>
    <w:p>
      <w:pPr>
        <w:jc w:val="both"/>
        <w:ind w:left="-460" w:firstLine="644"/>
        <w:spacing w:after="0" w:line="273" w:lineRule="auto"/>
        <w:tabs>
          <w:tab w:leader="none" w:pos="1159"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7" w:lineRule="exact"/>
        <w:rPr>
          <w:rFonts w:ascii="Arial" w:cs="Arial" w:eastAsia="Arial" w:hAnsi="Arial"/>
          <w:sz w:val="17"/>
          <w:szCs w:val="17"/>
          <w:color w:val="auto"/>
        </w:rPr>
      </w:pPr>
    </w:p>
    <w:p>
      <w:pPr>
        <w:jc w:val="both"/>
        <w:ind w:left="-460" w:firstLine="644"/>
        <w:spacing w:after="0" w:line="296" w:lineRule="auto"/>
        <w:tabs>
          <w:tab w:leader="none" w:pos="85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3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3" w:name="page44"/>
    <w:bookmarkEnd w:id="43"/>
    <w:p>
      <w:pPr>
        <w:jc w:val="both"/>
        <w:ind w:left="660" w:firstLine="644"/>
        <w:spacing w:after="0" w:line="263" w:lineRule="auto"/>
        <w:tabs>
          <w:tab w:leader="none" w:pos="225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Other Covered Persons</w:t>
      </w:r>
      <w:r>
        <w:rPr>
          <w:rFonts w:ascii="Arial" w:cs="Arial" w:eastAsia="Arial" w:hAnsi="Arial"/>
          <w:sz w:val="18"/>
          <w:szCs w:val="18"/>
          <w:color w:val="auto"/>
        </w:rPr>
        <w:t>. Other than the Financial Advisor, the Company is not aware of any person (other than any Issuer Covered Person) that has been or will be paid (directly or indirectly) remuneration for solicitation of purchasers in connection with the sale of any Securities.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23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84" w:lineRule="exact"/>
        <w:rPr>
          <w:sz w:val="20"/>
          <w:szCs w:val="20"/>
          <w:color w:val="auto"/>
        </w:rPr>
      </w:pPr>
    </w:p>
    <w:p>
      <w:pPr>
        <w:jc w:val="both"/>
        <w:ind w:left="380" w:firstLine="924"/>
        <w:spacing w:after="0" w:line="269" w:lineRule="auto"/>
        <w:tabs>
          <w:tab w:leader="none" w:pos="2199"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left="380" w:firstLine="924"/>
        <w:spacing w:after="0" w:line="301" w:lineRule="auto"/>
        <w:tabs>
          <w:tab w:leader="none" w:pos="237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57" w:lineRule="exact"/>
        <w:rPr>
          <w:rFonts w:ascii="Arial" w:cs="Arial" w:eastAsia="Arial" w:hAnsi="Arial"/>
          <w:sz w:val="16"/>
          <w:szCs w:val="16"/>
          <w:color w:val="auto"/>
        </w:rPr>
      </w:pPr>
    </w:p>
    <w:p>
      <w:pPr>
        <w:jc w:val="both"/>
        <w:ind w:left="380" w:firstLine="924"/>
        <w:spacing w:after="0" w:line="263" w:lineRule="auto"/>
        <w:tabs>
          <w:tab w:leader="none" w:pos="22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Securities, it was, and as of the date hereof it is, either: (i) an “accredited investor” as defined in Rule 501(a)(1), (a)(2), (a)(3), (a)(7) or (a)(8) under the Securities Act or (ii) a “qualified institutional buyer” as defined in Rule 144A(a) under the Securities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924"/>
        <w:spacing w:after="0" w:line="259" w:lineRule="auto"/>
        <w:tabs>
          <w:tab w:leader="none" w:pos="211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924"/>
        <w:spacing w:after="0" w:line="287" w:lineRule="auto"/>
        <w:tabs>
          <w:tab w:leader="none" w:pos="191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Financial Advisor nor any Affiliate of the Financial Advisor has provided such Purchaser with any information or advice with respect to the Securities nor is such information or advice necessary or desired. Neither the Financial Advisor nor any Affiliate has made or makes any representation as to the Company or the quality of the Securities and the Financial Advisor and any Affiliate may have acquired non-public information with respect to the Company which such Purchaser agrees need not be provided to it. In connection with the issuance of the Securities to such Purchaser, neither the Financial Advisor nor any of its Affiliates has acted as a financial advisor or fiduciary to such Purchaser.</w:t>
      </w:r>
    </w:p>
    <w:p>
      <w:pPr>
        <w:spacing w:after="0" w:line="167" w:lineRule="exact"/>
        <w:rPr>
          <w:rFonts w:ascii="Arial" w:cs="Arial" w:eastAsia="Arial" w:hAnsi="Arial"/>
          <w:sz w:val="16"/>
          <w:szCs w:val="16"/>
          <w:color w:val="auto"/>
        </w:rPr>
      </w:pPr>
    </w:p>
    <w:p>
      <w:pPr>
        <w:jc w:val="both"/>
        <w:ind w:firstLine="924"/>
        <w:spacing w:after="0" w:line="286" w:lineRule="auto"/>
        <w:tabs>
          <w:tab w:leader="none" w:pos="183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r>
        <w:rPr>
          <w:rFonts w:ascii="Arial" w:cs="Arial" w:eastAsia="Arial" w:hAnsi="Arial"/>
          <w:sz w:val="16"/>
          <w:szCs w:val="16"/>
          <w:u w:val="single" w:color="auto"/>
          <w:color w:val="auto"/>
        </w:rPr>
        <w:t>.</w:t>
      </w:r>
    </w:p>
    <w:p>
      <w:pPr>
        <w:spacing w:after="0" w:line="39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700" w:top="908" w:right="339" w:bottom="1440" w:gutter="0" w:footer="0" w:header="0"/>
        </w:sectPr>
      </w:pPr>
    </w:p>
    <w:bookmarkStart w:id="45" w:name="page46"/>
    <w:bookmarkEnd w:id="45"/>
    <w:p>
      <w:pPr>
        <w:jc w:val="both"/>
        <w:ind w:left="380" w:firstLine="924"/>
        <w:spacing w:after="0" w:line="286" w:lineRule="auto"/>
        <w:tabs>
          <w:tab w:leader="none" w:pos="2223"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General Solicitation</w:t>
      </w:r>
      <w:r>
        <w:rPr>
          <w:rFonts w:ascii="Arial" w:cs="Arial" w:eastAsia="Arial" w:hAnsi="Arial"/>
          <w:sz w:val="17"/>
          <w:szCs w:val="17"/>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65" w:lineRule="exact"/>
        <w:rPr>
          <w:rFonts w:ascii="Arial" w:cs="Arial" w:eastAsia="Arial" w:hAnsi="Arial"/>
          <w:sz w:val="17"/>
          <w:szCs w:val="17"/>
          <w:color w:val="auto"/>
        </w:rPr>
      </w:pPr>
    </w:p>
    <w:p>
      <w:pPr>
        <w:jc w:val="both"/>
        <w:ind w:left="380" w:firstLine="924"/>
        <w:spacing w:after="0" w:line="269" w:lineRule="auto"/>
        <w:tabs>
          <w:tab w:leader="none" w:pos="239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performance under the other Transaction Documents and the consummation by such Purchaser of the transactions contemplated hereby and thereby or relating hereto or thereto do not and will not (i) result in a violation of such Purchaser’s charter documents, bylaws or other organizational documents, if applicable, (ii) conflict with nor constitute a default (or an event which with notice or lapse of time or both would become a default) under any agreement to which such Purchaser is a party, nor (iii) result in a violation of any law, rule, or regulation, or any order, judgment or decree of any court or governmental agency applicable to such Purchaser or its properties (except for such conflicts, defaults and violations as would not, individually or in the aggregate, have a material adverse effect on such Purchaser). Such Purchaser is not required to obtain any consent, authorization or order of, or make any filing or registration with, any court or governmental agency in order for it to execute, deliver or perform any of its obligations under this Agreement or perform under the other Transaction Documents nor to purchase the Securities in accordance with the terms hereof, provided that for purposes of the representation made in this sentence, such Purchaser is assuming and relying upon the accuracy of the relevant representations and agreements of the Company herein.</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740" w:type="dxa"/>
            <w:vAlign w:val="bottom"/>
          </w:tcPr>
          <w:p>
            <w:pPr>
              <w:jc w:val="center"/>
              <w:ind w:right="3370"/>
              <w:spacing w:after="0"/>
              <w:rPr>
                <w:sz w:val="20"/>
                <w:szCs w:val="20"/>
                <w:color w:val="auto"/>
              </w:rPr>
            </w:pPr>
            <w:r>
              <w:rPr>
                <w:rFonts w:ascii="Arial" w:cs="Arial" w:eastAsia="Arial" w:hAnsi="Arial"/>
                <w:sz w:val="18"/>
                <w:szCs w:val="18"/>
                <w:b w:val="1"/>
                <w:bCs w:val="1"/>
                <w:color w:val="auto"/>
              </w:rPr>
              <w:t>ARTICLE IV.</w:t>
            </w:r>
          </w:p>
        </w:tc>
      </w:tr>
      <w:tr>
        <w:trPr>
          <w:trHeight w:val="230"/>
        </w:trPr>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40" w:type="dxa"/>
            <w:vAlign w:val="bottom"/>
          </w:tcPr>
          <w:p>
            <w:pPr>
              <w:jc w:val="center"/>
              <w:ind w:right="3370"/>
              <w:spacing w:after="0"/>
              <w:rPr>
                <w:sz w:val="20"/>
                <w:szCs w:val="20"/>
                <w:color w:val="auto"/>
              </w:rPr>
            </w:pPr>
            <w:r>
              <w:rPr>
                <w:rFonts w:ascii="Arial" w:cs="Arial" w:eastAsia="Arial" w:hAnsi="Arial"/>
                <w:sz w:val="18"/>
                <w:szCs w:val="18"/>
                <w:color w:val="auto"/>
                <w:w w:val="94"/>
              </w:rPr>
              <w:t>OTHER AGREEMENTS OF THE PARTIES</w:t>
            </w:r>
          </w:p>
        </w:tc>
      </w:tr>
      <w:tr>
        <w:trPr>
          <w:trHeight w:val="391"/>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4.1</w:t>
            </w:r>
          </w:p>
        </w:tc>
        <w:tc>
          <w:tcPr>
            <w:tcW w:w="9700" w:type="dxa"/>
            <w:vAlign w:val="bottom"/>
            <w:gridSpan w:val="4"/>
          </w:tcPr>
          <w:p>
            <w:pPr>
              <w:spacing w:after="0"/>
              <w:rPr>
                <w:sz w:val="20"/>
                <w:szCs w:val="20"/>
                <w:color w:val="auto"/>
              </w:rPr>
            </w:pPr>
            <w:r>
              <w:rPr>
                <w:rFonts w:ascii="Arial" w:cs="Arial" w:eastAsia="Arial" w:hAnsi="Arial"/>
                <w:sz w:val="18"/>
                <w:szCs w:val="18"/>
                <w:color w:val="auto"/>
              </w:rPr>
              <w:t>[Reserved].</w:t>
            </w:r>
          </w:p>
        </w:tc>
      </w:tr>
      <w:tr>
        <w:trPr>
          <w:trHeight w:val="20"/>
        </w:trPr>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41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4.2</w:t>
            </w:r>
          </w:p>
        </w:tc>
        <w:tc>
          <w:tcPr>
            <w:tcW w:w="8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w w:val="92"/>
              </w:rPr>
              <w:t>Furnishing of Information. Until the earliest of the time that no Purchaser owns Securities, the Company covenants to timely file (or</w:t>
            </w: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648"/>
        <w:spacing w:after="0" w:line="27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Integration</w:t>
      </w:r>
      <w:r>
        <w:rPr>
          <w:rFonts w:ascii="Arial" w:cs="Arial" w:eastAsia="Arial" w:hAnsi="Arial"/>
          <w:sz w:val="17"/>
          <w:szCs w:val="17"/>
          <w:color w:val="auto"/>
        </w:rPr>
        <w:t>. The Company shall not sell, offer for sale or solicit offers to buy or otherwise negotiate in respect of any security (as defined in Section 2 of the Securities Act) that would be integrated with the offer or sale of the Securities in a manner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3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w:t>
      </w:r>
      <w:r>
        <w:rPr>
          <w:rFonts w:ascii="Arial" w:cs="Arial" w:eastAsia="Arial" w:hAnsi="Arial"/>
          <w:sz w:val="17"/>
          <w:szCs w:val="17"/>
          <w:u w:val="single" w:color="auto"/>
          <w:color w:val="auto"/>
        </w:rPr>
        <w:t>t</w:t>
      </w:r>
      <w:r>
        <w:rPr>
          <w:rFonts w:ascii="Arial" w:cs="Arial" w:eastAsia="Arial" w:hAnsi="Arial"/>
          <w:sz w:val="17"/>
          <w:szCs w:val="17"/>
          <w:color w:val="auto"/>
        </w:rPr>
        <w: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4.7</w:t>
      </w:r>
      <w:r>
        <w:rPr>
          <w:rFonts w:ascii="Arial" w:cs="Arial" w:eastAsia="Arial" w:hAnsi="Arial"/>
          <w:sz w:val="17"/>
          <w:szCs w:val="17"/>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648"/>
        <w:spacing w:after="0" w:line="283"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648"/>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best efforts to maintain the listing or quotation of the Common Stock on the Trading Market on which it is currently listed, and concurrently with the Closing, the Company shall apply to list or quote all of the Shares and Pre-Funded Warrant Shares on such Trading Market and promptly secure the listing of all of the Shares and Pre-Funded Warrant Shares on such Trading Market. The Company further agrees, if the Company applies to have the Common Stock traded on any other Trading Market, it will then include in such application all of the Share</w:t>
      </w:r>
      <w:r>
        <w:rPr>
          <w:rFonts w:ascii="Arial" w:cs="Arial" w:eastAsia="Arial" w:hAnsi="Arial"/>
          <w:sz w:val="16"/>
          <w:szCs w:val="16"/>
          <w:u w:val="single" w:color="auto"/>
          <w:color w:val="auto"/>
        </w:rPr>
        <w:t>s</w:t>
      </w:r>
      <w:r>
        <w:rPr>
          <w:rFonts w:ascii="Arial" w:cs="Arial" w:eastAsia="Arial" w:hAnsi="Arial"/>
          <w:sz w:val="16"/>
          <w:szCs w:val="16"/>
          <w:color w:val="auto"/>
        </w:rPr>
        <w:t xml:space="preserve">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spacing w:after="0"/>
        <w:tabs>
          <w:tab w:leader="none" w:pos="14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Equal Treatment of Purchasers</w:t>
      </w:r>
      <w:r>
        <w:rPr>
          <w:rFonts w:ascii="Arial" w:cs="Arial" w:eastAsia="Arial" w:hAnsi="Arial"/>
          <w:sz w:val="16"/>
          <w:szCs w:val="16"/>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648"/>
        <w:spacing w:after="0" w:line="285"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Exercise Procedures</w:t>
      </w:r>
      <w:r>
        <w:rPr>
          <w:rFonts w:ascii="Arial" w:cs="Arial" w:eastAsia="Arial" w:hAnsi="Arial"/>
          <w:sz w:val="17"/>
          <w:szCs w:val="17"/>
          <w:color w:val="auto"/>
        </w:rPr>
        <w:t>. The form of Notice of Exercise included in the Pre-Funded Warrants sets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Arial" w:cs="Arial" w:eastAsia="Arial" w:hAnsi="Arial"/>
          <w:sz w:val="18"/>
          <w:szCs w:val="18"/>
          <w:color w:val="auto"/>
        </w:rPr>
        <w:t>consummated on or 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p.m. (New York City time) on any Trading Day, (c)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Purchasers holding at least 70% in interest of the component of the affected Securities then outstanding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5.6</w:t>
            </w:r>
          </w:p>
        </w:tc>
        <w:tc>
          <w:tcPr>
            <w:tcW w:w="9720" w:type="dxa"/>
            <w:vAlign w:val="bottom"/>
            <w:gridSpan w:val="4"/>
          </w:tcPr>
          <w:p>
            <w:pPr>
              <w:spacing w:after="0"/>
              <w:rPr>
                <w:sz w:val="20"/>
                <w:szCs w:val="20"/>
                <w:color w:val="auto"/>
              </w:rPr>
            </w:pPr>
            <w:r>
              <w:rPr>
                <w:rFonts w:ascii="Arial" w:cs="Arial" w:eastAsia="Arial" w:hAnsi="Arial"/>
                <w:sz w:val="18"/>
                <w:szCs w:val="18"/>
                <w:color w:val="auto"/>
                <w:w w:val="90"/>
              </w:rPr>
              <w:t>Headings. The headings herein are for convenience only, do not constitute a part of this Agreement and shall not be deemed to limit or</w:t>
            </w:r>
          </w:p>
        </w:tc>
      </w:tr>
      <w:tr>
        <w:trPr>
          <w:trHeight w:val="20"/>
        </w:trPr>
        <w:tc>
          <w:tcPr>
            <w:tcW w:w="1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7"/>
        </w:trPr>
        <w:tc>
          <w:tcPr>
            <w:tcW w:w="11240" w:type="dxa"/>
            <w:vAlign w:val="bottom"/>
            <w:gridSpan w:val="5"/>
          </w:tcPr>
          <w:p>
            <w:pPr>
              <w:spacing w:after="0"/>
              <w:rPr>
                <w:sz w:val="20"/>
                <w:szCs w:val="20"/>
                <w:color w:val="auto"/>
              </w:rPr>
            </w:pPr>
            <w:r>
              <w:rPr>
                <w:rFonts w:ascii="Arial" w:cs="Arial" w:eastAsia="Arial" w:hAnsi="Arial"/>
                <w:sz w:val="18"/>
                <w:szCs w:val="18"/>
                <w:color w:val="auto"/>
              </w:rPr>
              <w:t>affect any of the provisions hereof.</w:t>
            </w:r>
          </w:p>
        </w:tc>
      </w:tr>
      <w:tr>
        <w:trPr>
          <w:trHeight w:val="391"/>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4"/>
                <w:szCs w:val="24"/>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3"/>
              </w:rPr>
              <w:t>Successors and Assigns. This Agreement shall be binding upon and inure to the benefit of the parties and their successors and</w:t>
            </w:r>
          </w:p>
        </w:tc>
      </w:tr>
      <w:tr>
        <w:trPr>
          <w:trHeight w:val="20"/>
        </w:trPr>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Financial Advisor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660"/>
        <w:spacing w:after="0"/>
        <w:tabs>
          <w:tab w:leader="none" w:pos="14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30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IN ANY ACTION, SUIT, OR PROCEEDING IN ANY JURISDICTION BROUGHT BY ANY</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9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Equitable Adjustment</w:t>
      </w:r>
      <w:r>
        <w:rPr>
          <w:rFonts w:ascii="Arial" w:cs="Arial" w:eastAsia="Arial" w:hAnsi="Arial"/>
          <w:sz w:val="18"/>
          <w:szCs w:val="18"/>
          <w:color w:val="auto"/>
        </w:rPr>
        <w:t>. Trading volume amounts, price/volume amounts, the amount of Pre-Funded Warrants, the amount of shares of Common Stock identified in this Agreement and similar figures in the Transaction Documents shall be equitably adjusted (but without duplication) to offset the effect of stock splits, similar events and as otherwise described in the Transaction Documents.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XPRESSPA GROUP, INC.</w:t>
            </w: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ADDRESS FOR NOTICE:</w:t>
            </w:r>
          </w:p>
        </w:tc>
      </w:tr>
      <w:tr>
        <w:trPr>
          <w:trHeight w:val="507"/>
        </w:trPr>
        <w:tc>
          <w:tcPr>
            <w:tcW w:w="5640" w:type="dxa"/>
            <w:vAlign w:val="bottom"/>
            <w:gridSpan w:val="2"/>
          </w:tcPr>
          <w:p>
            <w:pPr>
              <w:spacing w:after="0"/>
              <w:rPr>
                <w:sz w:val="20"/>
                <w:szCs w:val="20"/>
                <w:color w:val="auto"/>
              </w:rPr>
            </w:pPr>
            <w:r>
              <w:rPr>
                <w:rFonts w:ascii="Arial" w:cs="Arial" w:eastAsia="Arial" w:hAnsi="Arial"/>
                <w:sz w:val="18"/>
                <w:szCs w:val="18"/>
                <w:color w:val="auto"/>
              </w:rPr>
              <w:t>By:/s/ Douglas Satzman</w:t>
            </w:r>
          </w:p>
        </w:tc>
        <w:tc>
          <w:tcPr>
            <w:tcW w:w="10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224"/>
        </w:trPr>
        <w:tc>
          <w:tcPr>
            <w:tcW w:w="28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Douglas Satzman</w:t>
            </w: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w w:val="90"/>
              </w:rPr>
              <w:t>E-Mail:dsatzman@xpresspa.com</w:t>
            </w:r>
          </w:p>
        </w:tc>
      </w:tr>
      <w:tr>
        <w:trPr>
          <w:trHeight w:val="242"/>
        </w:trPr>
        <w:tc>
          <w:tcPr>
            <w:tcW w:w="280" w:type="dxa"/>
            <w:vAlign w:val="bottom"/>
          </w:tcPr>
          <w:p>
            <w:pPr>
              <w:spacing w:after="0"/>
              <w:rPr>
                <w:sz w:val="21"/>
                <w:szCs w:val="21"/>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CEO</w:t>
            </w: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Fax:</w:t>
            </w:r>
          </w:p>
        </w:tc>
      </w:tr>
      <w:tr>
        <w:trPr>
          <w:trHeight w:val="243"/>
        </w:trPr>
        <w:tc>
          <w:tcPr>
            <w:tcW w:w="564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20" w:type="dxa"/>
            <w:vAlign w:val="bottom"/>
          </w:tcPr>
          <w:p>
            <w:pPr>
              <w:spacing w:after="0"/>
              <w:rPr>
                <w:sz w:val="21"/>
                <w:szCs w:val="2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Name of Purchaser:</w:t>
            </w:r>
          </w:p>
        </w:tc>
        <w:tc>
          <w:tcPr>
            <w:tcW w:w="2240" w:type="dxa"/>
            <w:vAlign w:val="bottom"/>
            <w:tcBorders>
              <w:bottom w:val="single" w:sz="8" w:color="auto"/>
            </w:tcBorders>
            <w:gridSpan w:val="5"/>
          </w:tcPr>
          <w:p>
            <w:pPr>
              <w:jc w:val="center"/>
              <w:ind w:right="330"/>
              <w:spacing w:after="0"/>
              <w:rPr>
                <w:sz w:val="20"/>
                <w:szCs w:val="20"/>
                <w:color w:val="auto"/>
              </w:rPr>
            </w:pPr>
            <w:r>
              <w:rPr>
                <w:rFonts w:ascii="Arial" w:cs="Arial" w:eastAsia="Arial" w:hAnsi="Arial"/>
                <w:sz w:val="18"/>
                <w:szCs w:val="18"/>
                <w:color w:val="auto"/>
                <w:w w:val="92"/>
              </w:rPr>
              <w:t>Intracoastal Capital, LLC</w:t>
            </w:r>
          </w:p>
        </w:tc>
        <w:tc>
          <w:tcPr>
            <w:tcW w:w="7300" w:type="dxa"/>
            <w:vAlign w:val="bottom"/>
            <w:tcBorders>
              <w:bottom w:val="single" w:sz="8" w:color="auto"/>
            </w:tcBorders>
          </w:tcPr>
          <w:p>
            <w:pPr>
              <w:spacing w:after="0"/>
              <w:rPr>
                <w:sz w:val="20"/>
                <w:szCs w:val="20"/>
                <w:color w:val="auto"/>
              </w:rPr>
            </w:pPr>
          </w:p>
        </w:tc>
      </w:tr>
      <w:tr>
        <w:trPr>
          <w:trHeight w:val="209"/>
        </w:trPr>
        <w:tc>
          <w:tcPr>
            <w:tcW w:w="1700" w:type="dxa"/>
            <w:vAlign w:val="bottom"/>
            <w:gridSpan w:val="2"/>
          </w:tcPr>
          <w:p>
            <w:pPr>
              <w:spacing w:after="0"/>
              <w:rPr>
                <w:sz w:val="20"/>
                <w:szCs w:val="20"/>
                <w:color w:val="auto"/>
              </w:rPr>
            </w:pPr>
            <w:r>
              <w:rPr>
                <w:rFonts w:ascii="Arial" w:cs="Arial" w:eastAsia="Arial" w:hAnsi="Arial"/>
                <w:sz w:val="18"/>
                <w:szCs w:val="18"/>
                <w:i w:val="1"/>
                <w:iCs w:val="1"/>
                <w:color w:val="auto"/>
                <w:w w:val="89"/>
              </w:rPr>
              <w:t>Signature of Authorized</w:t>
            </w:r>
          </w:p>
        </w:tc>
        <w:tc>
          <w:tcPr>
            <w:tcW w:w="2240" w:type="dxa"/>
            <w:vAlign w:val="bottom"/>
            <w:gridSpan w:val="5"/>
          </w:tcPr>
          <w:p>
            <w:pPr>
              <w:jc w:val="center"/>
              <w:ind w:right="310"/>
              <w:spacing w:after="0"/>
              <w:rPr>
                <w:sz w:val="20"/>
                <w:szCs w:val="20"/>
                <w:color w:val="auto"/>
              </w:rPr>
            </w:pPr>
            <w:r>
              <w:rPr>
                <w:rFonts w:ascii="Arial" w:cs="Arial" w:eastAsia="Arial" w:hAnsi="Arial"/>
                <w:sz w:val="18"/>
                <w:szCs w:val="18"/>
                <w:i w:val="1"/>
                <w:iCs w:val="1"/>
                <w:color w:val="auto"/>
                <w:w w:val="91"/>
              </w:rPr>
              <w:t>Signatory of Purchaser</w:t>
            </w:r>
            <w:r>
              <w:rPr>
                <w:rFonts w:ascii="Arial" w:cs="Arial" w:eastAsia="Arial" w:hAnsi="Arial"/>
                <w:sz w:val="18"/>
                <w:szCs w:val="18"/>
                <w:color w:val="auto"/>
                <w:w w:val="91"/>
              </w:rPr>
              <w:t>:</w:t>
            </w:r>
          </w:p>
        </w:tc>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Keith A. Goodman</w:t>
            </w:r>
          </w:p>
        </w:tc>
      </w:tr>
      <w:tr>
        <w:trPr>
          <w:trHeight w:val="210"/>
        </w:trPr>
        <w:tc>
          <w:tcPr>
            <w:tcW w:w="2380" w:type="dxa"/>
            <w:vAlign w:val="bottom"/>
            <w:gridSpan w:val="4"/>
          </w:tcPr>
          <w:p>
            <w:pPr>
              <w:spacing w:after="0"/>
              <w:rPr>
                <w:sz w:val="20"/>
                <w:szCs w:val="20"/>
                <w:color w:val="auto"/>
              </w:rPr>
            </w:pPr>
            <w:r>
              <w:rPr>
                <w:rFonts w:ascii="Arial" w:cs="Arial" w:eastAsia="Arial" w:hAnsi="Arial"/>
                <w:sz w:val="18"/>
                <w:szCs w:val="18"/>
                <w:color w:val="auto"/>
                <w:w w:val="96"/>
              </w:rPr>
              <w:t>Name of Authorized Signatory:</w:t>
            </w:r>
          </w:p>
        </w:tc>
        <w:tc>
          <w:tcPr>
            <w:tcW w:w="440" w:type="dxa"/>
            <w:vAlign w:val="bottom"/>
          </w:tcPr>
          <w:p>
            <w:pPr>
              <w:spacing w:after="0"/>
              <w:rPr>
                <w:sz w:val="18"/>
                <w:szCs w:val="18"/>
                <w:color w:val="auto"/>
              </w:rPr>
            </w:pPr>
          </w:p>
        </w:tc>
        <w:tc>
          <w:tcPr>
            <w:tcW w:w="8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Keith A. Goodman</w:t>
            </w:r>
          </w:p>
        </w:tc>
      </w:tr>
      <w:tr>
        <w:trPr>
          <w:trHeight w:val="209"/>
        </w:trPr>
        <w:tc>
          <w:tcPr>
            <w:tcW w:w="2380" w:type="dxa"/>
            <w:vAlign w:val="bottom"/>
            <w:gridSpan w:val="4"/>
          </w:tcPr>
          <w:p>
            <w:pPr>
              <w:spacing w:after="0"/>
              <w:rPr>
                <w:sz w:val="20"/>
                <w:szCs w:val="20"/>
                <w:color w:val="auto"/>
              </w:rPr>
            </w:pPr>
            <w:r>
              <w:rPr>
                <w:rFonts w:ascii="Arial" w:cs="Arial" w:eastAsia="Arial" w:hAnsi="Arial"/>
                <w:sz w:val="18"/>
                <w:szCs w:val="18"/>
                <w:color w:val="auto"/>
              </w:rPr>
              <w:t>Title of Authorized Signatory:</w:t>
            </w:r>
          </w:p>
        </w:tc>
        <w:tc>
          <w:tcPr>
            <w:tcW w:w="440" w:type="dxa"/>
            <w:vAlign w:val="bottom"/>
          </w:tcPr>
          <w:p>
            <w:pPr>
              <w:spacing w:after="0"/>
              <w:rPr>
                <w:sz w:val="18"/>
                <w:szCs w:val="18"/>
                <w:color w:val="auto"/>
              </w:rPr>
            </w:pPr>
          </w:p>
        </w:tc>
        <w:tc>
          <w:tcPr>
            <w:tcW w:w="8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Authorized Signatory</w:t>
            </w:r>
          </w:p>
        </w:tc>
      </w:tr>
      <w:tr>
        <w:trPr>
          <w:trHeight w:val="209"/>
        </w:trPr>
        <w:tc>
          <w:tcPr>
            <w:tcW w:w="2820" w:type="dxa"/>
            <w:vAlign w:val="bottom"/>
            <w:gridSpan w:val="5"/>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KG@intracc.com</w:t>
            </w:r>
          </w:p>
        </w:tc>
      </w:tr>
      <w:tr>
        <w:trPr>
          <w:trHeight w:val="210"/>
        </w:trPr>
        <w:tc>
          <w:tcPr>
            <w:tcW w:w="3380" w:type="dxa"/>
            <w:vAlign w:val="bottom"/>
            <w:gridSpan w:val="6"/>
          </w:tcPr>
          <w:p>
            <w:pPr>
              <w:spacing w:after="0"/>
              <w:rPr>
                <w:sz w:val="20"/>
                <w:szCs w:val="20"/>
                <w:color w:val="auto"/>
              </w:rPr>
            </w:pPr>
            <w:r>
              <w:rPr>
                <w:rFonts w:ascii="Arial" w:cs="Arial" w:eastAsia="Arial" w:hAnsi="Arial"/>
                <w:sz w:val="18"/>
                <w:szCs w:val="18"/>
                <w:color w:val="auto"/>
                <w:w w:val="98"/>
              </w:rPr>
              <w:t>Facsimile Number of Authorized Signatory:</w:t>
            </w:r>
          </w:p>
        </w:tc>
        <w:tc>
          <w:tcPr>
            <w:tcW w:w="5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r>
      <w:tr>
        <w:trPr>
          <w:trHeight w:val="195"/>
        </w:trPr>
        <w:tc>
          <w:tcPr>
            <w:tcW w:w="2380" w:type="dxa"/>
            <w:vAlign w:val="bottom"/>
            <w:gridSpan w:val="4"/>
          </w:tcPr>
          <w:p>
            <w:pPr>
              <w:spacing w:after="0" w:line="195" w:lineRule="exact"/>
              <w:rPr>
                <w:sz w:val="20"/>
                <w:szCs w:val="20"/>
                <w:color w:val="auto"/>
              </w:rPr>
            </w:pPr>
            <w:r>
              <w:rPr>
                <w:rFonts w:ascii="Arial" w:cs="Arial" w:eastAsia="Arial" w:hAnsi="Arial"/>
                <w:sz w:val="18"/>
                <w:szCs w:val="18"/>
                <w:color w:val="auto"/>
                <w:w w:val="90"/>
              </w:rPr>
              <w:t>Address for Notice to Purchaser:</w:t>
            </w:r>
          </w:p>
        </w:tc>
        <w:tc>
          <w:tcPr>
            <w:tcW w:w="440" w:type="dxa"/>
            <w:vAlign w:val="bottom"/>
          </w:tcPr>
          <w:p>
            <w:pPr>
              <w:spacing w:after="0"/>
              <w:rPr>
                <w:sz w:val="16"/>
                <w:szCs w:val="16"/>
                <w:color w:val="auto"/>
              </w:rPr>
            </w:pPr>
          </w:p>
        </w:tc>
        <w:tc>
          <w:tcPr>
            <w:tcW w:w="8420" w:type="dxa"/>
            <w:vAlign w:val="bottom"/>
            <w:gridSpan w:val="3"/>
          </w:tcPr>
          <w:p>
            <w:pPr>
              <w:spacing w:after="0" w:line="195" w:lineRule="exact"/>
              <w:rPr>
                <w:sz w:val="20"/>
                <w:szCs w:val="20"/>
                <w:color w:val="auto"/>
              </w:rPr>
            </w:pPr>
            <w:r>
              <w:rPr>
                <w:rFonts w:ascii="Arial" w:cs="Arial" w:eastAsia="Arial" w:hAnsi="Arial"/>
                <w:sz w:val="18"/>
                <w:szCs w:val="18"/>
                <w:color w:val="auto"/>
              </w:rPr>
              <w:t>Intracoastal Capital LLC</w:t>
            </w:r>
          </w:p>
        </w:tc>
      </w:tr>
      <w:tr>
        <w:trPr>
          <w:trHeight w:val="216"/>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2211A Lakeside Drive</w:t>
            </w:r>
          </w:p>
        </w:tc>
      </w:tr>
      <w:tr>
        <w:trPr>
          <w:trHeight w:val="230"/>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Bannockbum, IL 60015</w:t>
            </w:r>
          </w:p>
        </w:tc>
      </w:tr>
      <w:tr>
        <w:trPr>
          <w:trHeight w:val="459"/>
        </w:trPr>
        <w:tc>
          <w:tcPr>
            <w:tcW w:w="1700" w:type="dxa"/>
            <w:vAlign w:val="bottom"/>
            <w:gridSpan w:val="2"/>
          </w:tcPr>
          <w:p>
            <w:pPr>
              <w:spacing w:after="0"/>
              <w:rPr>
                <w:sz w:val="20"/>
                <w:szCs w:val="20"/>
                <w:color w:val="auto"/>
              </w:rPr>
            </w:pPr>
            <w:r>
              <w:rPr>
                <w:rFonts w:ascii="Arial" w:cs="Arial" w:eastAsia="Arial" w:hAnsi="Arial"/>
                <w:sz w:val="18"/>
                <w:szCs w:val="18"/>
                <w:color w:val="auto"/>
                <w:w w:val="98"/>
              </w:rPr>
              <w:t>Subscription Amount:</w:t>
            </w:r>
          </w:p>
        </w:tc>
        <w:tc>
          <w:tcPr>
            <w:tcW w:w="1120" w:type="dxa"/>
            <w:vAlign w:val="bottom"/>
            <w:gridSpan w:val="3"/>
          </w:tcPr>
          <w:p>
            <w:pPr>
              <w:jc w:val="right"/>
              <w:ind w:right="127"/>
              <w:spacing w:after="0"/>
              <w:rPr>
                <w:sz w:val="20"/>
                <w:szCs w:val="20"/>
                <w:color w:val="auto"/>
              </w:rPr>
            </w:pPr>
            <w:r>
              <w:rPr>
                <w:rFonts w:ascii="Arial" w:cs="Arial" w:eastAsia="Arial" w:hAnsi="Arial"/>
                <w:sz w:val="18"/>
                <w:szCs w:val="18"/>
                <w:color w:val="auto"/>
              </w:rPr>
              <w:t>$90,000</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Shares:</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6"/>
              </w:rPr>
              <w:t>450,000</w:t>
            </w:r>
          </w:p>
        </w:tc>
        <w:tc>
          <w:tcPr>
            <w:tcW w:w="34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300" w:type="dxa"/>
            <w:vAlign w:val="bottom"/>
            <w:tcBorders>
              <w:top w:val="single" w:sz="8" w:color="auto"/>
              <w:bottom w:val="single" w:sz="8" w:color="auto"/>
            </w:tcBorders>
          </w:tcPr>
          <w:p>
            <w:pPr>
              <w:spacing w:after="0"/>
              <w:rPr>
                <w:sz w:val="24"/>
                <w:szCs w:val="24"/>
                <w:color w:val="auto"/>
              </w:rPr>
            </w:pPr>
          </w:p>
        </w:tc>
      </w:tr>
      <w:tr>
        <w:trPr>
          <w:trHeight w:val="453"/>
        </w:trPr>
        <w:tc>
          <w:tcPr>
            <w:tcW w:w="2380" w:type="dxa"/>
            <w:vAlign w:val="bottom"/>
            <w:gridSpan w:val="4"/>
          </w:tcPr>
          <w:p>
            <w:pPr>
              <w:spacing w:after="0"/>
              <w:rPr>
                <w:sz w:val="20"/>
                <w:szCs w:val="20"/>
                <w:color w:val="auto"/>
              </w:rPr>
            </w:pPr>
            <w:r>
              <w:rPr>
                <w:rFonts w:ascii="Arial" w:cs="Arial" w:eastAsia="Arial" w:hAnsi="Arial"/>
                <w:sz w:val="18"/>
                <w:szCs w:val="18"/>
                <w:color w:val="auto"/>
              </w:rPr>
              <w:t>Pre-Funded Warrant Shares:</w:t>
            </w: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0</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jc w:val="both"/>
        <w:ind w:right="20" w:firstLine="8"/>
        <w:spacing w:after="0" w:line="291" w:lineRule="auto"/>
        <w:tabs>
          <w:tab w:leader="none" w:pos="220" w:val="left"/>
        </w:tabs>
        <w:numPr>
          <w:ilvl w:val="0"/>
          <w:numId w:val="48"/>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L1 Capital Global Opportunities Master Fund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90"/>
        </w:trPr>
        <w:tc>
          <w:tcPr>
            <w:tcW w:w="3940" w:type="dxa"/>
            <w:vAlign w:val="bottom"/>
            <w:gridSpan w:val="6"/>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David Feldman</w:t>
            </w:r>
          </w:p>
        </w:tc>
      </w:tr>
      <w:tr>
        <w:trPr>
          <w:trHeight w:val="209"/>
        </w:trPr>
        <w:tc>
          <w:tcPr>
            <w:tcW w:w="2820" w:type="dxa"/>
            <w:vAlign w:val="bottom"/>
            <w:gridSpan w:val="4"/>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David Feldman</w:t>
            </w:r>
          </w:p>
        </w:tc>
        <w:tc>
          <w:tcPr>
            <w:tcW w:w="7300" w:type="dxa"/>
            <w:vAlign w:val="bottom"/>
            <w:tcBorders>
              <w:bottom w:val="single" w:sz="8" w:color="auto"/>
            </w:tcBorders>
          </w:tcPr>
          <w:p>
            <w:pPr>
              <w:spacing w:after="0"/>
              <w:rPr>
                <w:sz w:val="18"/>
                <w:szCs w:val="18"/>
                <w:color w:val="auto"/>
              </w:rPr>
            </w:pPr>
          </w:p>
        </w:tc>
      </w:tr>
      <w:tr>
        <w:trPr>
          <w:trHeight w:val="210"/>
        </w:trPr>
        <w:tc>
          <w:tcPr>
            <w:tcW w:w="2820" w:type="dxa"/>
            <w:vAlign w:val="bottom"/>
            <w:gridSpan w:val="4"/>
          </w:tcPr>
          <w:p>
            <w:pPr>
              <w:spacing w:after="0"/>
              <w:rPr>
                <w:sz w:val="20"/>
                <w:szCs w:val="20"/>
                <w:color w:val="auto"/>
              </w:rPr>
            </w:pPr>
            <w:r>
              <w:rPr>
                <w:rFonts w:ascii="Arial" w:cs="Arial" w:eastAsia="Arial" w:hAnsi="Arial"/>
                <w:sz w:val="18"/>
                <w:szCs w:val="18"/>
                <w:color w:val="auto"/>
              </w:rPr>
              <w:t>Title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Director</w:t>
            </w:r>
          </w:p>
        </w:tc>
        <w:tc>
          <w:tcPr>
            <w:tcW w:w="730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4"/>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dfeldman@l1capitalglobal.com</w:t>
            </w:r>
          </w:p>
        </w:tc>
      </w:tr>
      <w:tr>
        <w:trPr>
          <w:trHeight w:val="209"/>
        </w:trPr>
        <w:tc>
          <w:tcPr>
            <w:tcW w:w="3380" w:type="dxa"/>
            <w:vAlign w:val="bottom"/>
            <w:gridSpan w:val="5"/>
          </w:tcPr>
          <w:p>
            <w:pPr>
              <w:spacing w:after="0"/>
              <w:rPr>
                <w:sz w:val="20"/>
                <w:szCs w:val="20"/>
                <w:color w:val="auto"/>
              </w:rPr>
            </w:pPr>
            <w:r>
              <w:rPr>
                <w:rFonts w:ascii="Arial" w:cs="Arial" w:eastAsia="Arial" w:hAnsi="Arial"/>
                <w:sz w:val="18"/>
                <w:szCs w:val="18"/>
                <w:color w:val="auto"/>
                <w:w w:val="98"/>
              </w:rPr>
              <w:t>Facsimile Number of Authorized Signatory:</w:t>
            </w:r>
          </w:p>
        </w:tc>
        <w:tc>
          <w:tcPr>
            <w:tcW w:w="5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r>
      <w:tr>
        <w:trPr>
          <w:trHeight w:val="236"/>
        </w:trPr>
        <w:tc>
          <w:tcPr>
            <w:tcW w:w="2820" w:type="dxa"/>
            <w:vAlign w:val="bottom"/>
            <w:gridSpan w:val="4"/>
          </w:tcPr>
          <w:p>
            <w:pPr>
              <w:spacing w:after="0"/>
              <w:rPr>
                <w:sz w:val="20"/>
                <w:szCs w:val="20"/>
                <w:color w:val="auto"/>
              </w:rPr>
            </w:pPr>
            <w:r>
              <w:rPr>
                <w:rFonts w:ascii="Arial" w:cs="Arial" w:eastAsia="Arial" w:hAnsi="Arial"/>
                <w:sz w:val="18"/>
                <w:szCs w:val="18"/>
                <w:color w:val="auto"/>
              </w:rPr>
              <w:t>Address for Notice to Purchaser:</w:t>
            </w:r>
          </w:p>
        </w:tc>
        <w:tc>
          <w:tcPr>
            <w:tcW w:w="560" w:type="dxa"/>
            <w:vAlign w:val="bottom"/>
          </w:tcPr>
          <w:p>
            <w:pPr>
              <w:spacing w:after="0"/>
              <w:rPr>
                <w:sz w:val="20"/>
                <w:szCs w:val="20"/>
                <w:color w:val="auto"/>
              </w:rPr>
            </w:pPr>
            <w:r>
              <w:rPr>
                <w:rFonts w:ascii="Arial" w:cs="Arial" w:eastAsia="Arial" w:hAnsi="Arial"/>
                <w:sz w:val="18"/>
                <w:szCs w:val="18"/>
                <w:color w:val="auto"/>
                <w:w w:val="75"/>
              </w:rPr>
              <w:t>135 East</w:t>
            </w:r>
          </w:p>
        </w:tc>
        <w:tc>
          <w:tcPr>
            <w:tcW w:w="7860" w:type="dxa"/>
            <w:vAlign w:val="bottom"/>
            <w:gridSpan w:val="2"/>
          </w:tcPr>
          <w:p>
            <w:pPr>
              <w:ind w:left="100"/>
              <w:spacing w:after="0" w:line="236" w:lineRule="exact"/>
              <w:rPr>
                <w:sz w:val="20"/>
                <w:szCs w:val="20"/>
                <w:color w:val="auto"/>
              </w:rPr>
            </w:pPr>
            <w:r>
              <w:rPr>
                <w:rFonts w:ascii="Arial" w:cs="Arial" w:eastAsia="Arial" w:hAnsi="Arial"/>
                <w:sz w:val="17"/>
                <w:szCs w:val="17"/>
                <w:color w:val="auto"/>
              </w:rPr>
              <w:t>57</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 23</w:t>
            </w:r>
            <w:r>
              <w:rPr>
                <w:rFonts w:ascii="Arial" w:cs="Arial" w:eastAsia="Arial" w:hAnsi="Arial"/>
                <w:sz w:val="27"/>
                <w:szCs w:val="27"/>
                <w:color w:val="auto"/>
                <w:vertAlign w:val="superscript"/>
              </w:rPr>
              <w:t>rd</w:t>
            </w:r>
            <w:r>
              <w:rPr>
                <w:rFonts w:ascii="Arial" w:cs="Arial" w:eastAsia="Arial" w:hAnsi="Arial"/>
                <w:sz w:val="17"/>
                <w:szCs w:val="17"/>
                <w:color w:val="auto"/>
              </w:rPr>
              <w:t xml:space="preserve"> Floor</w:t>
            </w:r>
          </w:p>
        </w:tc>
      </w:tr>
      <w:tr>
        <w:trPr>
          <w:trHeight w:val="230"/>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New York, NY, 10022</w:t>
            </w:r>
          </w:p>
        </w:tc>
      </w:tr>
      <w:tr>
        <w:trPr>
          <w:trHeight w:val="459"/>
        </w:trPr>
        <w:tc>
          <w:tcPr>
            <w:tcW w:w="1700" w:type="dxa"/>
            <w:vAlign w:val="bottom"/>
            <w:gridSpan w:val="2"/>
          </w:tcPr>
          <w:p>
            <w:pPr>
              <w:spacing w:after="0"/>
              <w:rPr>
                <w:sz w:val="20"/>
                <w:szCs w:val="20"/>
                <w:color w:val="auto"/>
              </w:rPr>
            </w:pPr>
            <w:r>
              <w:rPr>
                <w:rFonts w:ascii="Arial" w:cs="Arial" w:eastAsia="Arial" w:hAnsi="Arial"/>
                <w:sz w:val="18"/>
                <w:szCs w:val="18"/>
                <w:color w:val="auto"/>
                <w:w w:val="98"/>
              </w:rPr>
              <w:t>Subscription Amount: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$410,000</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Shares:</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300" w:type="dxa"/>
            <w:vAlign w:val="bottom"/>
            <w:tcBorders>
              <w:top w:val="single" w:sz="8" w:color="auto"/>
              <w:bottom w:val="single" w:sz="8" w:color="auto"/>
            </w:tcBorders>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8" w:val="left"/>
        </w:tabs>
        <w:numPr>
          <w:ilvl w:val="0"/>
          <w:numId w:val="49"/>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Name of Purchaser:</w:t>
            </w:r>
          </w:p>
        </w:tc>
        <w:tc>
          <w:tcPr>
            <w:tcW w:w="16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w w:val="92"/>
              </w:rPr>
              <w:t>Alpha Capital Anstalt</w:t>
            </w:r>
          </w:p>
        </w:tc>
        <w:tc>
          <w:tcPr>
            <w:tcW w:w="56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spacing w:after="0"/>
              <w:rPr>
                <w:sz w:val="20"/>
                <w:szCs w:val="20"/>
                <w:color w:val="auto"/>
              </w:rPr>
            </w:pPr>
            <w:r>
              <w:rPr>
                <w:rFonts w:ascii="Arial" w:cs="Arial" w:eastAsia="Arial" w:hAnsi="Arial"/>
                <w:sz w:val="18"/>
                <w:szCs w:val="18"/>
                <w:i w:val="1"/>
                <w:iCs w:val="1"/>
                <w:color w:val="auto"/>
                <w:w w:val="89"/>
              </w:rPr>
              <w:t>Signature of Authorized</w:t>
            </w:r>
          </w:p>
        </w:tc>
        <w:tc>
          <w:tcPr>
            <w:tcW w:w="2240" w:type="dxa"/>
            <w:vAlign w:val="bottom"/>
            <w:gridSpan w:val="5"/>
          </w:tcPr>
          <w:p>
            <w:pPr>
              <w:ind w:left="60"/>
              <w:spacing w:after="0"/>
              <w:rPr>
                <w:sz w:val="20"/>
                <w:szCs w:val="20"/>
                <w:color w:val="auto"/>
              </w:rPr>
            </w:pPr>
            <w:r>
              <w:rPr>
                <w:rFonts w:ascii="Arial" w:cs="Arial" w:eastAsia="Arial" w:hAnsi="Arial"/>
                <w:sz w:val="18"/>
                <w:szCs w:val="18"/>
                <w:i w:val="1"/>
                <w:iCs w:val="1"/>
                <w:color w:val="auto"/>
              </w:rPr>
              <w:t>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Nicola Feuerstein</w:t>
            </w:r>
          </w:p>
        </w:tc>
        <w:tc>
          <w:tcPr>
            <w:tcW w:w="0" w:type="dxa"/>
            <w:vAlign w:val="bottom"/>
          </w:tcPr>
          <w:p>
            <w:pPr>
              <w:spacing w:after="0"/>
              <w:rPr>
                <w:sz w:val="1"/>
                <w:szCs w:val="1"/>
                <w:color w:val="auto"/>
              </w:rPr>
            </w:pPr>
          </w:p>
        </w:tc>
      </w:tr>
      <w:tr>
        <w:trPr>
          <w:trHeight w:val="209"/>
        </w:trPr>
        <w:tc>
          <w:tcPr>
            <w:tcW w:w="2500" w:type="dxa"/>
            <w:vAlign w:val="bottom"/>
            <w:gridSpan w:val="4"/>
          </w:tcPr>
          <w:p>
            <w:pPr>
              <w:spacing w:after="0"/>
              <w:rPr>
                <w:sz w:val="20"/>
                <w:szCs w:val="20"/>
                <w:color w:val="auto"/>
              </w:rPr>
            </w:pPr>
            <w:r>
              <w:rPr>
                <w:rFonts w:ascii="Arial" w:cs="Arial" w:eastAsia="Arial" w:hAnsi="Arial"/>
                <w:sz w:val="18"/>
                <w:szCs w:val="18"/>
                <w:color w:val="auto"/>
              </w:rPr>
              <w:t>Name of Authorized Signatory:</w:t>
            </w:r>
          </w:p>
        </w:tc>
        <w:tc>
          <w:tcPr>
            <w:tcW w:w="32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8"/>
              </w:rPr>
              <w:t>Nicola Feuerstein</w:t>
            </w:r>
          </w:p>
        </w:tc>
        <w:tc>
          <w:tcPr>
            <w:tcW w:w="7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gridSpan w:val="4"/>
          </w:tcPr>
          <w:p>
            <w:pPr>
              <w:spacing w:after="0"/>
              <w:rPr>
                <w:sz w:val="20"/>
                <w:szCs w:val="20"/>
                <w:color w:val="auto"/>
              </w:rPr>
            </w:pPr>
            <w:r>
              <w:rPr>
                <w:rFonts w:ascii="Arial" w:cs="Arial" w:eastAsia="Arial" w:hAnsi="Arial"/>
                <w:sz w:val="18"/>
                <w:szCs w:val="18"/>
                <w:color w:val="auto"/>
              </w:rPr>
              <w:t>Title of Authorized Signatory:</w:t>
            </w:r>
          </w:p>
        </w:tc>
        <w:tc>
          <w:tcPr>
            <w:tcW w:w="32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Secretary</w:t>
            </w:r>
          </w:p>
        </w:tc>
        <w:tc>
          <w:tcPr>
            <w:tcW w:w="7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gridSpan w:val="5"/>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feuerstein@alphacapital.li</w:t>
            </w:r>
          </w:p>
        </w:tc>
        <w:tc>
          <w:tcPr>
            <w:tcW w:w="0" w:type="dxa"/>
            <w:vAlign w:val="bottom"/>
          </w:tcPr>
          <w:p>
            <w:pPr>
              <w:spacing w:after="0"/>
              <w:rPr>
                <w:sz w:val="1"/>
                <w:szCs w:val="1"/>
                <w:color w:val="auto"/>
              </w:rPr>
            </w:pPr>
          </w:p>
        </w:tc>
      </w:tr>
      <w:tr>
        <w:trPr>
          <w:trHeight w:val="209"/>
        </w:trPr>
        <w:tc>
          <w:tcPr>
            <w:tcW w:w="3380" w:type="dxa"/>
            <w:vAlign w:val="bottom"/>
            <w:gridSpan w:val="6"/>
          </w:tcPr>
          <w:p>
            <w:pPr>
              <w:spacing w:after="0"/>
              <w:rPr>
                <w:sz w:val="20"/>
                <w:szCs w:val="20"/>
                <w:color w:val="auto"/>
              </w:rPr>
            </w:pPr>
            <w:r>
              <w:rPr>
                <w:rFonts w:ascii="Arial" w:cs="Arial" w:eastAsia="Arial" w:hAnsi="Arial"/>
                <w:sz w:val="18"/>
                <w:szCs w:val="18"/>
                <w:color w:val="auto"/>
                <w:w w:val="98"/>
              </w:rPr>
              <w:t>Facsimile Number of Authorized Signatory:</w:t>
            </w:r>
          </w:p>
        </w:tc>
        <w:tc>
          <w:tcPr>
            <w:tcW w:w="5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gridSpan w:val="4"/>
          </w:tcPr>
          <w:p>
            <w:pPr>
              <w:spacing w:after="0"/>
              <w:rPr>
                <w:sz w:val="20"/>
                <w:szCs w:val="20"/>
                <w:color w:val="auto"/>
              </w:rPr>
            </w:pPr>
            <w:r>
              <w:rPr>
                <w:rFonts w:ascii="Arial" w:cs="Arial" w:eastAsia="Arial" w:hAnsi="Arial"/>
                <w:sz w:val="18"/>
                <w:szCs w:val="18"/>
                <w:color w:val="auto"/>
                <w:w w:val="95"/>
              </w:rPr>
              <w:t>Address for Notice to Purchaser:</w:t>
            </w:r>
          </w:p>
        </w:tc>
        <w:tc>
          <w:tcPr>
            <w:tcW w:w="320" w:type="dxa"/>
            <w:vAlign w:val="bottom"/>
          </w:tcPr>
          <w:p>
            <w:pPr>
              <w:spacing w:after="0"/>
              <w:rPr>
                <w:sz w:val="18"/>
                <w:szCs w:val="18"/>
                <w:color w:val="auto"/>
              </w:rPr>
            </w:pPr>
          </w:p>
        </w:tc>
        <w:tc>
          <w:tcPr>
            <w:tcW w:w="8420" w:type="dxa"/>
            <w:vAlign w:val="bottom"/>
            <w:gridSpan w:val="3"/>
            <w:vMerge w:val="restart"/>
          </w:tcPr>
          <w:p>
            <w:pPr>
              <w:spacing w:after="0"/>
              <w:rPr>
                <w:sz w:val="20"/>
                <w:szCs w:val="20"/>
                <w:color w:val="auto"/>
              </w:rPr>
            </w:pPr>
            <w:r>
              <w:rPr>
                <w:rFonts w:ascii="Arial" w:cs="Arial" w:eastAsia="Arial" w:hAnsi="Arial"/>
                <w:sz w:val="18"/>
                <w:szCs w:val="18"/>
                <w:color w:val="auto"/>
              </w:rPr>
              <w:t>510 Madison Avenue</w:t>
            </w: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Suite 1400</w:t>
            </w: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0" w:type="dxa"/>
            <w:vAlign w:val="bottom"/>
          </w:tcPr>
          <w:p>
            <w:pPr>
              <w:spacing w:after="0"/>
              <w:rPr>
                <w:sz w:val="1"/>
                <w:szCs w:val="1"/>
                <w:color w:val="auto"/>
              </w:rPr>
            </w:pP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w w:val="98"/>
              </w:rPr>
              <w:t>Subscription Amount:</w:t>
            </w: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$750,000</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Shares: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1,645,000</w:t>
            </w:r>
          </w:p>
        </w:tc>
        <w:tc>
          <w:tcPr>
            <w:tcW w:w="34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3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500" w:type="dxa"/>
            <w:vAlign w:val="bottom"/>
            <w:gridSpan w:val="4"/>
          </w:tcPr>
          <w:p>
            <w:pPr>
              <w:spacing w:after="0"/>
              <w:rPr>
                <w:sz w:val="20"/>
                <w:szCs w:val="20"/>
                <w:color w:val="auto"/>
              </w:rPr>
            </w:pPr>
            <w:r>
              <w:rPr>
                <w:rFonts w:ascii="Arial" w:cs="Arial" w:eastAsia="Arial" w:hAnsi="Arial"/>
                <w:sz w:val="18"/>
                <w:szCs w:val="18"/>
                <w:color w:val="auto"/>
              </w:rPr>
              <w:t>Pre-Funded Warrant Shares:</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2,1050,000</w:t>
            </w:r>
          </w:p>
        </w:tc>
        <w:tc>
          <w:tcPr>
            <w:tcW w:w="56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8"/>
        <w:spacing w:after="0" w:line="291" w:lineRule="auto"/>
        <w:tabs>
          <w:tab w:leader="none" w:pos="220" w:val="left"/>
        </w:tabs>
        <w:numPr>
          <w:ilvl w:val="0"/>
          <w:numId w:val="50"/>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Name of Purchaser:</w:t>
            </w:r>
          </w:p>
        </w:tc>
        <w:tc>
          <w:tcPr>
            <w:tcW w:w="9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Anson Investments Master Fund LP</w:t>
            </w:r>
          </w:p>
        </w:tc>
      </w:tr>
      <w:tr>
        <w:trPr>
          <w:trHeight w:val="210"/>
        </w:trPr>
        <w:tc>
          <w:tcPr>
            <w:tcW w:w="1700" w:type="dxa"/>
            <w:vAlign w:val="bottom"/>
            <w:gridSpan w:val="2"/>
          </w:tcPr>
          <w:p>
            <w:pPr>
              <w:spacing w:after="0"/>
              <w:rPr>
                <w:sz w:val="20"/>
                <w:szCs w:val="20"/>
                <w:color w:val="auto"/>
              </w:rPr>
            </w:pPr>
            <w:r>
              <w:rPr>
                <w:rFonts w:ascii="Arial" w:cs="Arial" w:eastAsia="Arial" w:hAnsi="Arial"/>
                <w:sz w:val="18"/>
                <w:szCs w:val="18"/>
                <w:i w:val="1"/>
                <w:iCs w:val="1"/>
                <w:color w:val="auto"/>
                <w:w w:val="89"/>
              </w:rPr>
              <w:t>Signature of Authorized</w:t>
            </w:r>
          </w:p>
        </w:tc>
        <w:tc>
          <w:tcPr>
            <w:tcW w:w="2240" w:type="dxa"/>
            <w:vAlign w:val="bottom"/>
            <w:gridSpan w:val="4"/>
          </w:tcPr>
          <w:p>
            <w:pPr>
              <w:ind w:left="60"/>
              <w:spacing w:after="0"/>
              <w:rPr>
                <w:sz w:val="20"/>
                <w:szCs w:val="20"/>
                <w:color w:val="auto"/>
              </w:rPr>
            </w:pPr>
            <w:r>
              <w:rPr>
                <w:rFonts w:ascii="Arial" w:cs="Arial" w:eastAsia="Arial" w:hAnsi="Arial"/>
                <w:sz w:val="18"/>
                <w:szCs w:val="18"/>
                <w:i w:val="1"/>
                <w:iCs w:val="1"/>
                <w:color w:val="auto"/>
              </w:rPr>
              <w:t>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Amin Nathoo</w:t>
            </w:r>
          </w:p>
        </w:tc>
      </w:tr>
      <w:tr>
        <w:trPr>
          <w:trHeight w:val="209"/>
        </w:trPr>
        <w:tc>
          <w:tcPr>
            <w:tcW w:w="2820" w:type="dxa"/>
            <w:vAlign w:val="bottom"/>
            <w:gridSpan w:val="4"/>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Amin Nathoo</w:t>
            </w:r>
          </w:p>
        </w:tc>
        <w:tc>
          <w:tcPr>
            <w:tcW w:w="7300" w:type="dxa"/>
            <w:vAlign w:val="bottom"/>
            <w:tcBorders>
              <w:bottom w:val="single" w:sz="8" w:color="auto"/>
            </w:tcBorders>
          </w:tcPr>
          <w:p>
            <w:pPr>
              <w:spacing w:after="0"/>
              <w:rPr>
                <w:sz w:val="18"/>
                <w:szCs w:val="18"/>
                <w:color w:val="auto"/>
              </w:rPr>
            </w:pPr>
          </w:p>
        </w:tc>
      </w:tr>
      <w:tr>
        <w:trPr>
          <w:trHeight w:val="210"/>
        </w:trPr>
        <w:tc>
          <w:tcPr>
            <w:tcW w:w="2820" w:type="dxa"/>
            <w:vAlign w:val="bottom"/>
            <w:gridSpan w:val="4"/>
          </w:tcPr>
          <w:p>
            <w:pPr>
              <w:spacing w:after="0"/>
              <w:rPr>
                <w:sz w:val="20"/>
                <w:szCs w:val="20"/>
                <w:color w:val="auto"/>
              </w:rPr>
            </w:pPr>
            <w:r>
              <w:rPr>
                <w:rFonts w:ascii="Arial" w:cs="Arial" w:eastAsia="Arial" w:hAnsi="Arial"/>
                <w:sz w:val="18"/>
                <w:szCs w:val="18"/>
                <w:color w:val="auto"/>
              </w:rPr>
              <w:t>Title of Authorized Signatory:</w:t>
            </w:r>
          </w:p>
        </w:tc>
        <w:tc>
          <w:tcPr>
            <w:tcW w:w="8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Director of Anson Advisors Inc., co-investment advisor of the Purchaser</w:t>
            </w:r>
          </w:p>
        </w:tc>
      </w:tr>
      <w:tr>
        <w:trPr>
          <w:trHeight w:val="209"/>
        </w:trPr>
        <w:tc>
          <w:tcPr>
            <w:tcW w:w="2820" w:type="dxa"/>
            <w:vAlign w:val="bottom"/>
            <w:gridSpan w:val="4"/>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notices@ansonfunds.com</w:t>
            </w:r>
          </w:p>
        </w:tc>
      </w:tr>
      <w:tr>
        <w:trPr>
          <w:trHeight w:val="209"/>
        </w:trPr>
        <w:tc>
          <w:tcPr>
            <w:tcW w:w="3380" w:type="dxa"/>
            <w:vAlign w:val="bottom"/>
            <w:gridSpan w:val="5"/>
          </w:tcPr>
          <w:p>
            <w:pPr>
              <w:spacing w:after="0"/>
              <w:rPr>
                <w:sz w:val="20"/>
                <w:szCs w:val="20"/>
                <w:color w:val="auto"/>
              </w:rPr>
            </w:pPr>
            <w:r>
              <w:rPr>
                <w:rFonts w:ascii="Arial" w:cs="Arial" w:eastAsia="Arial" w:hAnsi="Arial"/>
                <w:sz w:val="18"/>
                <w:szCs w:val="18"/>
                <w:color w:val="auto"/>
                <w:w w:val="98"/>
              </w:rPr>
              <w:t>Facsimile Number of Authorized Signatory:</w:t>
            </w: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416-352-1880</w:t>
            </w:r>
          </w:p>
        </w:tc>
      </w:tr>
      <w:tr>
        <w:trPr>
          <w:trHeight w:val="195"/>
        </w:trPr>
        <w:tc>
          <w:tcPr>
            <w:tcW w:w="2820" w:type="dxa"/>
            <w:vAlign w:val="bottom"/>
            <w:gridSpan w:val="4"/>
          </w:tcPr>
          <w:p>
            <w:pPr>
              <w:spacing w:after="0" w:line="195" w:lineRule="exact"/>
              <w:rPr>
                <w:sz w:val="20"/>
                <w:szCs w:val="20"/>
                <w:color w:val="auto"/>
              </w:rPr>
            </w:pPr>
            <w:r>
              <w:rPr>
                <w:rFonts w:ascii="Arial" w:cs="Arial" w:eastAsia="Arial" w:hAnsi="Arial"/>
                <w:sz w:val="18"/>
                <w:szCs w:val="18"/>
                <w:color w:val="auto"/>
              </w:rPr>
              <w:t>Address for Notice to Purchaser:</w:t>
            </w:r>
          </w:p>
        </w:tc>
        <w:tc>
          <w:tcPr>
            <w:tcW w:w="8420" w:type="dxa"/>
            <w:vAlign w:val="bottom"/>
            <w:gridSpan w:val="3"/>
          </w:tcPr>
          <w:p>
            <w:pPr>
              <w:spacing w:after="0" w:line="195" w:lineRule="exact"/>
              <w:rPr>
                <w:sz w:val="20"/>
                <w:szCs w:val="20"/>
                <w:color w:val="auto"/>
              </w:rPr>
            </w:pPr>
            <w:r>
              <w:rPr>
                <w:rFonts w:ascii="Arial" w:cs="Arial" w:eastAsia="Arial" w:hAnsi="Arial"/>
                <w:sz w:val="18"/>
                <w:szCs w:val="18"/>
                <w:color w:val="auto"/>
              </w:rPr>
              <w:t>155 University Avenue, Suite 207</w:t>
            </w:r>
          </w:p>
        </w:tc>
      </w:tr>
      <w:tr>
        <w:trPr>
          <w:trHeight w:val="216"/>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Toronto, Ontario, Canada</w:t>
            </w:r>
          </w:p>
        </w:tc>
      </w:tr>
      <w:tr>
        <w:trPr>
          <w:trHeight w:val="216"/>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M5H 3B7</w:t>
            </w:r>
          </w:p>
        </w:tc>
        <w:tc>
          <w:tcPr>
            <w:tcW w:w="73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Attention: Amin Nathoo</w:t>
            </w:r>
          </w:p>
        </w:tc>
      </w:tr>
      <w:tr>
        <w:trPr>
          <w:trHeight w:val="230"/>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EIN Number: 98-0538788</w:t>
            </w: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w w:val="98"/>
              </w:rPr>
              <w:t>Subscription Amount:</w:t>
            </w:r>
          </w:p>
        </w:tc>
        <w:tc>
          <w:tcPr>
            <w:tcW w:w="1680" w:type="dxa"/>
            <w:vAlign w:val="bottom"/>
            <w:gridSpan w:val="3"/>
          </w:tcPr>
          <w:p>
            <w:pPr>
              <w:jc w:val="right"/>
              <w:ind w:right="470"/>
              <w:spacing w:after="0"/>
              <w:rPr>
                <w:sz w:val="20"/>
                <w:szCs w:val="20"/>
                <w:color w:val="auto"/>
              </w:rPr>
            </w:pPr>
            <w:r>
              <w:rPr>
                <w:rFonts w:ascii="Arial" w:cs="Arial" w:eastAsia="Arial" w:hAnsi="Arial"/>
                <w:sz w:val="18"/>
                <w:szCs w:val="18"/>
                <w:color w:val="auto"/>
              </w:rPr>
              <w:t>$750,000</w:t>
            </w:r>
          </w:p>
        </w:tc>
        <w:tc>
          <w:tcPr>
            <w:tcW w:w="56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Shares: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3,750,000</w:t>
            </w:r>
          </w:p>
        </w:tc>
        <w:tc>
          <w:tcPr>
            <w:tcW w:w="46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300" w:type="dxa"/>
            <w:vAlign w:val="bottom"/>
            <w:tcBorders>
              <w:top w:val="single" w:sz="8" w:color="auto"/>
              <w:bottom w:val="single" w:sz="8" w:color="auto"/>
            </w:tcBorders>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0" w:val="left"/>
        </w:tabs>
        <w:numPr>
          <w:ilvl w:val="0"/>
          <w:numId w:val="51"/>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Announces Pricing of $2,000,000 Registered Direct Offering Priced At-The-Market</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NEW YORK, March 27, 2020 </w:t>
      </w:r>
      <w:r>
        <w:rPr>
          <w:rFonts w:ascii="Arial" w:cs="Arial" w:eastAsia="Arial" w:hAnsi="Arial"/>
          <w:sz w:val="18"/>
          <w:szCs w:val="18"/>
          <w:color w:val="auto"/>
        </w:rPr>
        <w:t>– XpresSpa Group, Inc. (Nasdaq: XSPA) (“XpresSpa” or the “Company”), today announced that it has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purchase agreement with institutional investors to purchase approximately $2.0 million of its common shares (or pre-funded warrants to purchase common shares in lieu thereof) in a registered direct offering priced at-the-market under Nasdaq rules.</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terms of the securities purchase agreement, XpresSpa has agreed to sell approximately 10,000,000 common shares (or pre-funded warrants to purchase common shares in lieu thereof). The gross proceeds to the Company from the registered direct offering is expected to be approximately $2.0 million before deducting fees and other estimated offering expenses. The registered direct offering is expected to close on or about March 30, 2020, subject to the satisfaction of customary closing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Palladium Capital Advisors, LLC acted as a finder in connection with the offering.</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common shares and pre-funded warrants are being offered pursuant to a shelf registration statement on Form S-3 (File No. 333-232764) previously filed and declared effective by the Securities and Exchange Commission (SEC).</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This press release does not constitute an offer to sell or the solicitation of an offer to buy, nor will there be any sales of these securities in any jurisdiction in which such offer, solicitation or sale would be unlawful prior to registration or qualification under the securities laws of such jurisdiction.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XpresSpa Group, Inc. (Nasdaq: XSPA) is a health and wellness holding company. XpresSpa Group’s core asset, XpresSpa, is a leading airport retailer of spa services and related health and wellness products, with 51 locations in 25 airports globally. XpresSpa offers services that are tailored specifically to the busy travel customer. XpresSpa is committed to providing exceptional customer experiences with its innovative premium spa services, as well as luxury travel products and accessories. XpresSpa provides almost one million services to customers per year at its locations in the United States, Netherlands, and the United Arab Emirates. To learn more about XpresSpa Group, visit: </w:t>
      </w:r>
      <w:r>
        <w:rPr>
          <w:rFonts w:ascii="Arial" w:cs="Arial" w:eastAsia="Arial" w:hAnsi="Arial"/>
          <w:sz w:val="18"/>
          <w:szCs w:val="18"/>
          <w:u w:val="single" w:color="auto"/>
          <w:color w:val="auto"/>
        </w:rPr>
        <w:t>www.XpresSpaGroup.com</w:t>
      </w:r>
      <w:r>
        <w:rPr>
          <w:rFonts w:ascii="Arial" w:cs="Arial" w:eastAsia="Arial" w:hAnsi="Arial"/>
          <w:sz w:val="18"/>
          <w:szCs w:val="18"/>
          <w:color w:val="auto"/>
        </w:rPr>
        <w:t xml:space="preserve">. To learn more about XpresSpa, visit </w:t>
      </w:r>
      <w:r>
        <w:rPr>
          <w:rFonts w:ascii="Arial" w:cs="Arial" w:eastAsia="Arial" w:hAnsi="Arial"/>
          <w:sz w:val="18"/>
          <w:szCs w:val="18"/>
          <w:u w:val="single" w:color="auto"/>
          <w:color w:val="auto"/>
        </w:rPr>
        <w:t>www.XpresSpa.com</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These statements include, without limitation, statements related to our ability to close the offering and the gross proceeds from the offering.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lowerRoman"/>
      <w:start w:val="2"/>
    </w:lvl>
  </w:abstractNum>
  <w:abstractNum w:abstractNumId="2">
    <w:nsid w:val="54E49EB4"/>
    <w:multiLevelType w:val="hybridMultilevel"/>
    <w:lvl w:ilvl="0">
      <w:lvlJc w:val="left"/>
      <w:lvlText w:val="(%1)"/>
      <w:numFmt w:val="lowerLetter"/>
      <w:start w:val="4"/>
    </w:lvl>
  </w:abstractNum>
  <w:abstractNum w:abstractNumId="3">
    <w:nsid w:val="71F32454"/>
    <w:multiLevelType w:val="hybridMultilevel"/>
    <w:lvl w:ilvl="0">
      <w:lvlJc w:val="left"/>
      <w:lvlText w:val="%1."/>
      <w:numFmt w:val="decimal"/>
      <w:start w:val="1"/>
    </w:lvl>
    <w:lvl w:ilvl="1">
      <w:lvlJc w:val="left"/>
      <w:lvlText w:val="(%2)"/>
      <w:numFmt w:val="lowerLetter"/>
      <w:start w:val="1"/>
    </w:lvl>
  </w:abstractNum>
  <w:abstractNum w:abstractNumId="4">
    <w:nsid w:val="2CA88611"/>
    <w:multiLevelType w:val="hybridMultilevel"/>
    <w:lvl w:ilvl="0">
      <w:lvlJc w:val="left"/>
      <w:lvlText w:val="(%1)"/>
      <w:numFmt w:val="lowerLetter"/>
      <w:start w:val="2"/>
    </w:lvl>
  </w:abstractNum>
  <w:abstractNum w:abstractNumId="5">
    <w:nsid w:val="836C40E"/>
    <w:multiLevelType w:val="hybridMultilevel"/>
    <w:lvl w:ilvl="0">
      <w:lvlJc w:val="left"/>
      <w:lvlText w:val="(%1)"/>
      <w:numFmt w:val="lowerLetter"/>
      <w:start w:val="4"/>
    </w:lvl>
  </w:abstractNum>
  <w:abstractNum w:abstractNumId="6">
    <w:nsid w:val="2901D82"/>
    <w:multiLevelType w:val="hybridMultilevel"/>
    <w:lvl w:ilvl="0">
      <w:lvlJc w:val="left"/>
      <w:lvlText w:val="(%1)"/>
      <w:numFmt w:val="lowerLetter"/>
      <w:start w:val="5"/>
    </w:lvl>
  </w:abstractNum>
  <w:abstractNum w:abstractNumId="7">
    <w:nsid w:val="3A95F874"/>
    <w:multiLevelType w:val="hybridMultilevel"/>
    <w:lvl w:ilvl="0">
      <w:lvlJc w:val="left"/>
      <w:lvlText w:val="%1"/>
      <w:numFmt w:val="decimal"/>
      <w:start w:val="1"/>
    </w:lvl>
    <w:lvl w:ilvl="1">
      <w:lvlJc w:val="left"/>
      <w:lvlText w:val="(%2)"/>
      <w:numFmt w:val="lowerLetter"/>
      <w:start w:val="7"/>
    </w:lvl>
  </w:abstractNum>
  <w:abstractNum w:abstractNumId="8">
    <w:nsid w:val="8138641"/>
    <w:multiLevelType w:val="hybridMultilevel"/>
    <w:lvl w:ilvl="0">
      <w:lvlJc w:val="left"/>
      <w:lvlText w:val="%1."/>
      <w:numFmt w:val="decimal"/>
      <w:start w:val="2"/>
    </w:lvl>
    <w:lvl w:ilvl="1">
      <w:lvlJc w:val="left"/>
      <w:lvlText w:val="(%2)"/>
      <w:numFmt w:val="lowerLetter"/>
      <w:start w:val="1"/>
    </w:lvl>
  </w:abstractNum>
  <w:abstractNum w:abstractNumId="9">
    <w:nsid w:val="1E7FF521"/>
    <w:multiLevelType w:val="hybridMultilevel"/>
    <w:lvl w:ilvl="0">
      <w:lvlJc w:val="left"/>
      <w:lvlText w:val="%1."/>
      <w:numFmt w:val="decimal"/>
      <w:start w:val="3"/>
    </w:lvl>
    <w:lvl w:ilvl="1">
      <w:lvlJc w:val="left"/>
      <w:lvlText w:val="(%2)"/>
      <w:numFmt w:val="lowerLetter"/>
      <w:start w:val="1"/>
    </w:lvl>
  </w:abstractNum>
  <w:abstractNum w:abstractNumId="10">
    <w:nsid w:val="7C3DBD3D"/>
    <w:multiLevelType w:val="hybridMultilevel"/>
    <w:lvl w:ilvl="0">
      <w:lvlJc w:val="left"/>
      <w:lvlText w:val="%1"/>
      <w:numFmt w:val="lowerLetter"/>
      <w:start w:val="1"/>
    </w:lvl>
    <w:lvl w:ilvl="1">
      <w:lvlJc w:val="left"/>
      <w:lvlText w:val="(%2)"/>
      <w:numFmt w:val="lowerLetter"/>
      <w:start w:val="2"/>
    </w:lvl>
  </w:abstractNum>
  <w:abstractNum w:abstractNumId="11">
    <w:nsid w:val="737B8DDC"/>
    <w:multiLevelType w:val="hybridMultilevel"/>
    <w:lvl w:ilvl="0">
      <w:lvlJc w:val="left"/>
      <w:lvlText w:val="(%1)"/>
      <w:numFmt w:val="lowerLetter"/>
      <w:start w:val="61"/>
    </w:lvl>
    <w:lvl w:ilvl="1">
      <w:lvlJc w:val="left"/>
      <w:lvlText w:val="%2"/>
      <w:numFmt w:val="lowerLetter"/>
      <w:start w:val="1"/>
    </w:lvl>
  </w:abstractNum>
  <w:abstractNum w:abstractNumId="12">
    <w:nsid w:val="6CEAF087"/>
    <w:multiLevelType w:val="hybridMultilevel"/>
    <w:lvl w:ilvl="0">
      <w:lvlJc w:val="left"/>
      <w:lvlText w:val="%1."/>
      <w:numFmt w:val="decimal"/>
      <w:start w:val="5"/>
    </w:lvl>
    <w:lvl w:ilvl="1">
      <w:lvlJc w:val="left"/>
      <w:lvlText w:val="(%2)"/>
      <w:numFmt w:val="lowerLetter"/>
      <w:start w:val="1"/>
    </w:lvl>
  </w:abstractNum>
  <w:abstractNum w:abstractNumId="13">
    <w:nsid w:val="22221A70"/>
    <w:multiLevelType w:val="hybridMultilevel"/>
    <w:lvl w:ilvl="0">
      <w:lvlJc w:val="left"/>
      <w:lvlText w:val="%1."/>
      <w:numFmt w:val="decimal"/>
      <w:start w:val="8"/>
    </w:lvl>
  </w:abstractNum>
  <w:abstractNum w:abstractNumId="14">
    <w:nsid w:val="4516DDE9"/>
    <w:multiLevelType w:val="hybridMultilevel"/>
    <w:lvl w:ilvl="0">
      <w:lvlJc w:val="left"/>
      <w:lvlText w:val="%1."/>
      <w:numFmt w:val="decimal"/>
      <w:start w:val="9"/>
    </w:lvl>
  </w:abstractNum>
  <w:abstractNum w:abstractNumId="15">
    <w:nsid w:val="3006C83E"/>
    <w:multiLevelType w:val="hybridMultilevel"/>
    <w:lvl w:ilvl="0">
      <w:lvlJc w:val="left"/>
      <w:lvlText w:val="%1."/>
      <w:numFmt w:val="decimal"/>
      <w:start w:val="11"/>
    </w:lvl>
  </w:abstractNum>
  <w:abstractNum w:abstractNumId="16">
    <w:nsid w:val="614FD4A1"/>
    <w:multiLevelType w:val="hybridMultilevel"/>
    <w:lvl w:ilvl="0">
      <w:lvlJc w:val="left"/>
      <w:lvlText w:val="%1."/>
      <w:numFmt w:val="decimal"/>
      <w:start w:val="14"/>
    </w:lvl>
    <w:lvl w:ilvl="1">
      <w:lvlJc w:val="left"/>
      <w:lvlText w:val="(%2)"/>
      <w:numFmt w:val="lowerLetter"/>
      <w:start w:val="1"/>
    </w:lvl>
  </w:abstractNum>
  <w:abstractNum w:abstractNumId="17">
    <w:nsid w:val="419AC241"/>
    <w:multiLevelType w:val="hybridMultilevel"/>
    <w:lvl w:ilvl="0">
      <w:lvlJc w:val="left"/>
      <w:lvlText w:val="(%1)"/>
      <w:numFmt w:val="lowerLetter"/>
      <w:start w:val="4"/>
    </w:lvl>
  </w:abstractNum>
  <w:abstractNum w:abstractNumId="18">
    <w:nsid w:val="5577F8E1"/>
    <w:multiLevelType w:val="hybridMultilevel"/>
    <w:lvl w:ilvl="0">
      <w:lvlJc w:val="left"/>
      <w:lvlText w:val="(%1)"/>
      <w:numFmt w:val="lowerLetter"/>
      <w:start w:val="8"/>
    </w:lvl>
  </w:abstractNum>
  <w:abstractNum w:abstractNumId="19">
    <w:nsid w:val="440BADFC"/>
    <w:multiLevelType w:val="hybridMultilevel"/>
    <w:lvl w:ilvl="0">
      <w:lvlJc w:val="left"/>
      <w:lvlText w:val="(%1)"/>
      <w:numFmt w:val="lowerLetter"/>
      <w:start w:val="20"/>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1)"/>
      <w:numFmt w:val="lowerRoman"/>
      <w:start w:val="1"/>
    </w:lvl>
  </w:abstractNum>
  <w:abstractNum w:abstractNumId="22">
    <w:nsid w:val="77465F01"/>
    <w:multiLevelType w:val="hybridMultilevel"/>
    <w:lvl w:ilvl="0">
      <w:lvlJc w:val="left"/>
      <w:lvlText w:val="(%1)"/>
      <w:numFmt w:val="decimal"/>
      <w:start w:val="5"/>
    </w:lvl>
  </w:abstractNum>
  <w:abstractNum w:abstractNumId="23">
    <w:nsid w:val="7724C67E"/>
    <w:multiLevelType w:val="hybridMultilevel"/>
    <w:lvl w:ilvl="0">
      <w:lvlJc w:val="left"/>
      <w:lvlText w:val="(%1)"/>
      <w:numFmt w:val="lowerLetter"/>
      <w:start w:val="1"/>
    </w:lvl>
    <w:lvl w:ilvl="1">
      <w:lvlJc w:val="left"/>
      <w:lvlText w:val="(%2)"/>
      <w:numFmt w:val="lowerRoman"/>
      <w:start w:val="1"/>
    </w:lvl>
  </w:abstractNum>
  <w:abstractNum w:abstractNumId="24">
    <w:nsid w:val="5C482A97"/>
    <w:multiLevelType w:val="hybridMultilevel"/>
    <w:lvl w:ilvl="0">
      <w:lvlJc w:val="left"/>
      <w:lvlText w:val="%1"/>
      <w:numFmt w:val="lowerLetter"/>
      <w:start w:val="1"/>
    </w:lvl>
    <w:lvl w:ilvl="1">
      <w:lvlJc w:val="left"/>
      <w:lvlText w:val="(%2)"/>
      <w:numFmt w:val="lowerRoman"/>
      <w:start w:val="4"/>
    </w:lvl>
  </w:abstractNum>
  <w:abstractNum w:abstractNumId="25">
    <w:nsid w:val="2463B9EA"/>
    <w:multiLevelType w:val="hybridMultilevel"/>
    <w:lvl w:ilvl="0">
      <w:lvlJc w:val="left"/>
      <w:lvlText w:val="(%1)"/>
      <w:numFmt w:val="lowerLetter"/>
      <w:start w:val="2"/>
    </w:lvl>
    <w:lvl w:ilvl="1">
      <w:lvlJc w:val="left"/>
      <w:lvlText w:val="(%2)"/>
      <w:numFmt w:val="lowerRoman"/>
      <w:start w:val="1"/>
    </w:lvl>
  </w:abstractNum>
  <w:abstractNum w:abstractNumId="26">
    <w:nsid w:val="5E884ADC"/>
    <w:multiLevelType w:val="hybridMultilevel"/>
    <w:lvl w:ilvl="0">
      <w:lvlJc w:val="left"/>
      <w:lvlText w:val="(%1)"/>
      <w:numFmt w:val="lowerLetter"/>
      <w:start w:val="1"/>
    </w:lvl>
    <w:lvl w:ilvl="1">
      <w:lvlJc w:val="left"/>
      <w:lvlText w:val="(%2)"/>
      <w:numFmt w:val="lowerRoman"/>
      <w:start w:val="1"/>
    </w:lvl>
  </w:abstractNum>
  <w:abstractNum w:abstractNumId="27">
    <w:nsid w:val="51EAD36B"/>
    <w:multiLevelType w:val="hybridMultilevel"/>
    <w:lvl w:ilvl="0">
      <w:lvlJc w:val="left"/>
      <w:lvlText w:val="(%1)"/>
      <w:numFmt w:val="lowerRoman"/>
      <w:start w:val="2"/>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3"/>
    </w:lvl>
  </w:abstractNum>
  <w:abstractNum w:abstractNumId="30">
    <w:nsid w:val="153EA438"/>
    <w:multiLevelType w:val="hybridMultilevel"/>
    <w:lvl w:ilvl="0">
      <w:lvlJc w:val="left"/>
      <w:lvlText w:val="(%1)"/>
      <w:numFmt w:val="lowerLetter"/>
      <w:start w:val="5"/>
    </w:lvl>
  </w:abstractNum>
  <w:abstractNum w:abstractNumId="31">
    <w:nsid w:val="3855585C"/>
    <w:multiLevelType w:val="hybridMultilevel"/>
    <w:lvl w:ilvl="0">
      <w:lvlJc w:val="left"/>
      <w:lvlText w:val="(%1)"/>
      <w:numFmt w:val="lowerLetter"/>
      <w:start w:val="7"/>
    </w:lvl>
  </w:abstractNum>
  <w:abstractNum w:abstractNumId="32">
    <w:nsid w:val="70A64E2A"/>
    <w:multiLevelType w:val="hybridMultilevel"/>
    <w:lvl w:ilvl="0">
      <w:lvlJc w:val="left"/>
      <w:lvlText w:val="%1"/>
      <w:numFmt w:val="lowerLetter"/>
      <w:start w:val="1"/>
    </w:lvl>
    <w:lvl w:ilvl="1">
      <w:lvlJc w:val="left"/>
      <w:lvlText w:val="(%2)"/>
      <w:numFmt w:val="lowerLetter"/>
      <w:start w:val="9"/>
    </w:lvl>
  </w:abstractNum>
  <w:abstractNum w:abstractNumId="33">
    <w:nsid w:val="6A2342EC"/>
    <w:multiLevelType w:val="hybridMultilevel"/>
    <w:lvl w:ilvl="0">
      <w:lvlJc w:val="left"/>
      <w:lvlText w:val="(%1)"/>
      <w:numFmt w:val="lowerLetter"/>
      <w:start w:val="61"/>
    </w:lvl>
    <w:lvl w:ilvl="1">
      <w:lvlJc w:val="left"/>
      <w:lvlText w:val="(%2)"/>
      <w:numFmt w:val="lowerLetter"/>
      <w:start w:val="10"/>
    </w:lvl>
  </w:abstractNum>
  <w:abstractNum w:abstractNumId="34">
    <w:nsid w:val="2A487CB0"/>
    <w:multiLevelType w:val="hybridMultilevel"/>
    <w:lvl w:ilvl="0">
      <w:lvlJc w:val="left"/>
      <w:lvlText w:val="(%1)"/>
      <w:numFmt w:val="lowerLetter"/>
      <w:start w:val="11"/>
    </w:lvl>
  </w:abstractNum>
  <w:abstractNum w:abstractNumId="35">
    <w:nsid w:val="1D4ED43B"/>
    <w:multiLevelType w:val="hybridMultilevel"/>
    <w:lvl w:ilvl="0">
      <w:lvlJc w:val="left"/>
      <w:lvlText w:val="(%1)"/>
      <w:numFmt w:val="lowerLetter"/>
      <w:start w:val="14"/>
    </w:lvl>
  </w:abstractNum>
  <w:abstractNum w:abstractNumId="36">
    <w:nsid w:val="725A06FB"/>
    <w:multiLevelType w:val="hybridMultilevel"/>
    <w:lvl w:ilvl="0">
      <w:lvlJc w:val="left"/>
      <w:lvlText w:val="(%1)"/>
      <w:numFmt w:val="lowerLetter"/>
      <w:start w:val="17"/>
    </w:lvl>
  </w:abstractNum>
  <w:abstractNum w:abstractNumId="37">
    <w:nsid w:val="2CD89A32"/>
    <w:multiLevelType w:val="hybridMultilevel"/>
    <w:lvl w:ilvl="0">
      <w:lvlJc w:val="left"/>
      <w:lvlText w:val="(%1)"/>
      <w:numFmt w:val="lowerLetter"/>
      <w:start w:val="20"/>
    </w:lvl>
  </w:abstractNum>
  <w:abstractNum w:abstractNumId="38">
    <w:nsid w:val="57E4CCAF"/>
    <w:multiLevelType w:val="hybridMultilevel"/>
    <w:lvl w:ilvl="0">
      <w:lvlJc w:val="left"/>
      <w:lvlText w:val="(%1)"/>
      <w:numFmt w:val="lowerLetter"/>
      <w:start w:val="24"/>
    </w:lvl>
  </w:abstractNum>
  <w:abstractNum w:abstractNumId="39">
    <w:nsid w:val="7A6D8D3C"/>
    <w:multiLevelType w:val="hybridMultilevel"/>
    <w:lvl w:ilvl="0">
      <w:lvlJc w:val="left"/>
      <w:lvlText w:val="(%1)"/>
      <w:numFmt w:val="lowerLetter"/>
      <w:start w:val="27"/>
    </w:lvl>
  </w:abstractNum>
  <w:abstractNum w:abstractNumId="40">
    <w:nsid w:val="4B588F54"/>
    <w:multiLevelType w:val="hybridMultilevel"/>
    <w:lvl w:ilvl="0">
      <w:lvlJc w:val="left"/>
      <w:lvlText w:val="%1"/>
      <w:numFmt w:val="lowerLetter"/>
      <w:start w:val="1"/>
    </w:lvl>
    <w:lvl w:ilvl="1">
      <w:lvlJc w:val="left"/>
      <w:lvlText w:val="(%2)"/>
      <w:numFmt w:val="lowerLetter"/>
      <w:start w:val="30"/>
    </w:lvl>
  </w:abstractNum>
  <w:abstractNum w:abstractNumId="41">
    <w:nsid w:val="542289EC"/>
    <w:multiLevelType w:val="hybridMultilevel"/>
    <w:lvl w:ilvl="0">
      <w:lvlJc w:val="left"/>
      <w:lvlText w:val="(%1)"/>
      <w:numFmt w:val="lowerLetter"/>
      <w:start w:val="61"/>
    </w:lvl>
    <w:lvl w:ilvl="1">
      <w:lvlJc w:val="left"/>
      <w:lvlText w:val="%2"/>
      <w:numFmt w:val="lowerLetter"/>
      <w:start w:val="1"/>
    </w:lvl>
  </w:abstractNum>
  <w:abstractNum w:abstractNumId="42">
    <w:nsid w:val="6DE91B18"/>
    <w:multiLevelType w:val="hybridMultilevel"/>
    <w:lvl w:ilvl="0">
      <w:lvlJc w:val="left"/>
      <w:lvlText w:val="(%1)"/>
      <w:numFmt w:val="lowerLetter"/>
      <w:start w:val="34"/>
    </w:lvl>
  </w:abstractNum>
  <w:abstractNum w:abstractNumId="43">
    <w:nsid w:val="38437FDB"/>
    <w:multiLevelType w:val="hybridMultilevel"/>
    <w:lvl w:ilvl="0">
      <w:lvlJc w:val="left"/>
      <w:lvlText w:val="(%1)"/>
      <w:numFmt w:val="lowerLetter"/>
      <w:start w:val="40"/>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4"/>
    </w:lvl>
  </w:abstractNum>
  <w:abstractNum w:abstractNumId="46">
    <w:nsid w:val="684A481A"/>
    <w:multiLevelType w:val="hybridMultilevel"/>
    <w:lvl w:ilvl="0">
      <w:lvlJc w:val="left"/>
      <w:lvlText w:val="(%1)"/>
      <w:numFmt w:val="lowerLetter"/>
      <w:start w:val="7"/>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14" Type="http://schemas.openxmlformats.org/officeDocument/2006/relationships/hyperlink" Target="http://www.sec.gov/Archives/edgar/data/1410428/000110465920035631/tm2013177d1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2020-03-30T07:42:00Z</dcterms:created>
  <dcterms:modified xsi:type="dcterms:W3CDTF">2020-03-30T07:42:00Z</dcterms:modified>
</cp:coreProperties>
</file>