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60"/>
        <w:spacing w:after="0"/>
        <w:rPr>
          <w:sz w:val="20"/>
          <w:szCs w:val="20"/>
          <w:color w:val="auto"/>
        </w:rPr>
      </w:pPr>
      <w:r>
        <w:rPr>
          <w:rFonts w:ascii="Arial" w:cs="Arial" w:eastAsia="Arial" w:hAnsi="Arial"/>
          <w:sz w:val="18"/>
          <w:szCs w:val="18"/>
          <w:b w:val="1"/>
          <w:bCs w:val="1"/>
          <w:color w:val="auto"/>
        </w:rPr>
        <w:t>Vringo, Inc.</w:t>
      </w:r>
    </w:p>
    <w:p>
      <w:pPr>
        <w:ind w:left="5060"/>
        <w:spacing w:after="0" w:line="198" w:lineRule="auto"/>
        <w:rPr>
          <w:sz w:val="20"/>
          <w:szCs w:val="20"/>
          <w:color w:val="auto"/>
        </w:rPr>
      </w:pPr>
      <w:r>
        <w:rPr>
          <w:rFonts w:ascii="Arial" w:cs="Arial" w:eastAsia="Arial" w:hAnsi="Arial"/>
          <w:sz w:val="18"/>
          <w:szCs w:val="18"/>
          <w:b w:val="1"/>
          <w:bCs w:val="1"/>
          <w:color w:val="auto"/>
        </w:rPr>
        <w:t>44 W. 28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10001</w:t>
      </w:r>
    </w:p>
    <w:p>
      <w:pPr>
        <w:spacing w:after="0" w:line="209" w:lineRule="exact"/>
        <w:rPr>
          <w:sz w:val="24"/>
          <w:szCs w:val="24"/>
          <w:color w:val="auto"/>
        </w:rPr>
      </w:pPr>
    </w:p>
    <w:p>
      <w:pPr>
        <w:ind w:left="7160"/>
        <w:spacing w:after="0"/>
        <w:rPr>
          <w:sz w:val="20"/>
          <w:szCs w:val="20"/>
          <w:color w:val="auto"/>
        </w:rPr>
      </w:pPr>
      <w:r>
        <w:rPr>
          <w:rFonts w:ascii="Arial" w:cs="Arial" w:eastAsia="Arial" w:hAnsi="Arial"/>
          <w:sz w:val="18"/>
          <w:szCs w:val="18"/>
          <w:color w:val="auto"/>
        </w:rPr>
        <w:t>June 19, 2012</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Larry Spirgel, Assistant Director</w:t>
      </w:r>
    </w:p>
    <w:p>
      <w:pPr>
        <w:spacing w:after="0" w:line="200" w:lineRule="exact"/>
        <w:rPr>
          <w:sz w:val="24"/>
          <w:szCs w:val="24"/>
          <w:color w:val="auto"/>
        </w:rPr>
      </w:pPr>
    </w:p>
    <w:p>
      <w:pPr>
        <w:spacing w:after="0" w:line="22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Vringo,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on April 6, 2012 and amended on May 17, 2012, June 1, 2012 and June 12, 2012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333-180609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25" w:lineRule="exact"/>
        <w:rPr>
          <w:sz w:val="24"/>
          <w:szCs w:val="24"/>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Pursuant to Rule 461 of the Rules and Regulations promulgated under the Securities Act of 1933, as amended, Vringo, Inc. (the “Company”) hereby requests that the effectiveness of the above-captioned Registration Statement on Form S-4 be accelerated to Wednesday, June 20, 2012, at 5:00 p.m., EST, or as soon as thereafter practicable.</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Please note that we acknowledge the following:</w:t>
      </w:r>
    </w:p>
    <w:p>
      <w:pPr>
        <w:spacing w:after="0" w:line="225" w:lineRule="exact"/>
        <w:rPr>
          <w:sz w:val="24"/>
          <w:szCs w:val="24"/>
          <w:color w:val="auto"/>
        </w:rPr>
      </w:pPr>
    </w:p>
    <w:p>
      <w:pPr>
        <w:ind w:left="1300" w:right="2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Any questions should be addressed to Jeffrey P. Schultz, Esq., at Mintz, Levin, Cohn, Ferris, Glovsky and Popeo, P.C., Chrysler Center, 666 Third Avenue, New York, New York 10017, telephone (212) 692-6732.</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Thank you very much.</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Andrew D, Perlman</w:t>
      </w:r>
    </w:p>
    <w:p>
      <w:pPr>
        <w:spacing w:after="0" w:line="36"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Andrew D, Perlman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2019-12-09T18:38:13Z</dcterms:created>
  <dcterms:modified xsi:type="dcterms:W3CDTF">2019-12-09T18:38:13Z</dcterms:modified>
</cp:coreProperties>
</file>