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Warburg Pincus Private Equity IX,</w:t>
        </w:r>
      </w:hyperlink>
      <w:r>
        <w:rPr>
          <w:rFonts w:ascii="Arial" w:cs="Arial" w:eastAsia="Arial" w:hAnsi="Arial"/>
          <w:sz w:val="22"/>
          <w:szCs w:val="22"/>
          <w:u w:val="single" w:color="auto"/>
          <w:color w:val="0000EE"/>
        </w:rPr>
        <w:t xml:space="preserve"> </w:t>
      </w:r>
      <w:hyperlink r:id="rId11">
        <w:r>
          <w:rPr>
            <w:rFonts w:ascii="Arial" w:cs="Arial" w:eastAsia="Arial" w:hAnsi="Arial"/>
            <w:sz w:val="22"/>
            <w:szCs w:val="22"/>
            <w:u w:val="single" w:color="auto"/>
            <w:color w:val="0000EE"/>
          </w:rPr>
          <w:t>L.P.</w:t>
        </w:r>
      </w:hyperlink>
    </w:p>
    <w:p>
      <w:pPr>
        <w:spacing w:after="0" w:line="313"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760"/>
        <w:spacing w:after="0" w:line="402" w:lineRule="auto"/>
        <w:rPr>
          <w:sz w:val="20"/>
          <w:szCs w:val="20"/>
          <w:color w:val="auto"/>
        </w:rPr>
      </w:pPr>
      <w:r>
        <w:rPr>
          <w:rFonts w:ascii="Arial" w:cs="Arial" w:eastAsia="Arial" w:hAnsi="Arial"/>
          <w:sz w:val="16"/>
          <w:szCs w:val="16"/>
          <w:color w:val="0000FF"/>
        </w:rPr>
        <w:t>C/O WARBURG PINCUS LLC 450 LEXINGTON AVENUE</w:t>
      </w:r>
    </w:p>
    <w:p>
      <w:pPr>
        <w:spacing w:after="0" w:line="16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06/21/2010</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66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3">
            <w:col w:w="3140" w:space="352"/>
            <w:col w:w="1228"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607"/>
              <w:spacing w:after="0"/>
              <w:rPr>
                <w:sz w:val="20"/>
                <w:szCs w:val="20"/>
                <w:color w:val="auto"/>
              </w:rPr>
            </w:pPr>
            <w:r>
              <w:rPr>
                <w:rFonts w:ascii="Arial" w:cs="Arial" w:eastAsia="Arial" w:hAnsi="Arial"/>
                <w:sz w:val="18"/>
                <w:szCs w:val="18"/>
                <w:color w:val="0000FF"/>
              </w:rPr>
              <w:t>840,116</w:t>
            </w:r>
          </w:p>
        </w:tc>
        <w:tc>
          <w:tcPr>
            <w:tcW w:w="96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86"/>
                <w:vertAlign w:val="subscript"/>
              </w:rPr>
              <w:t>D</w:t>
            </w:r>
            <w:r>
              <w:rPr>
                <w:rFonts w:ascii="Arial" w:cs="Arial" w:eastAsia="Arial" w:hAnsi="Arial"/>
                <w:sz w:val="11"/>
                <w:szCs w:val="11"/>
                <w:color w:val="008000"/>
                <w:w w:val="86"/>
              </w:rPr>
              <w:t>(1)(2)</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7"/>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60" w:type="dxa"/>
            <w:vAlign w:val="bottom"/>
            <w:gridSpan w:val="10"/>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6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Warburg Pincus Private Equity IX,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C/O WARBURG PINCUS LLC</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450 LEXINGTON AVENUE</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720" w:type="dxa"/>
            <w:vAlign w:val="bottom"/>
            <w:gridSpan w:val="3"/>
          </w:tcPr>
          <w:p>
            <w:pPr>
              <w:ind w:left="260"/>
              <w:spacing w:after="0"/>
              <w:rPr>
                <w:sz w:val="20"/>
                <w:szCs w:val="20"/>
                <w:color w:val="auto"/>
              </w:rPr>
            </w:pPr>
            <w:r>
              <w:rPr>
                <w:rFonts w:ascii="Arial" w:cs="Arial" w:eastAsia="Arial" w:hAnsi="Arial"/>
                <w:sz w:val="18"/>
                <w:szCs w:val="18"/>
                <w:color w:val="0000FF"/>
              </w:rPr>
              <w:t>NY</w:t>
            </w:r>
          </w:p>
        </w:tc>
        <w:tc>
          <w:tcPr>
            <w:tcW w:w="480" w:type="dxa"/>
            <w:vAlign w:val="bottom"/>
          </w:tcPr>
          <w:p>
            <w:pPr>
              <w:spacing w:after="0"/>
              <w:rPr>
                <w:sz w:val="20"/>
                <w:szCs w:val="20"/>
                <w:color w:val="auto"/>
              </w:rPr>
            </w:pPr>
            <w:r>
              <w:rPr>
                <w:rFonts w:ascii="Arial" w:cs="Arial" w:eastAsia="Arial" w:hAnsi="Arial"/>
                <w:sz w:val="18"/>
                <w:szCs w:val="18"/>
                <w:color w:val="0000FF"/>
                <w:w w:val="91"/>
              </w:rPr>
              <w:t>10017</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3"/>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Warburg Pincus IX LLC</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C/O WARBURG PINCUS LLC</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4"/>
          </w:tcPr>
          <w:p>
            <w:pPr>
              <w:spacing w:after="0"/>
              <w:rPr>
                <w:sz w:val="20"/>
                <w:szCs w:val="20"/>
                <w:color w:val="auto"/>
              </w:rPr>
            </w:pPr>
            <w:r>
              <w:rPr>
                <w:rFonts w:ascii="Arial" w:cs="Arial" w:eastAsia="Arial" w:hAnsi="Arial"/>
                <w:sz w:val="18"/>
                <w:szCs w:val="18"/>
                <w:color w:val="0000FF"/>
              </w:rPr>
              <w:t>450 LEXINGTON AVENUE</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720" w:type="dxa"/>
            <w:vAlign w:val="bottom"/>
            <w:gridSpan w:val="3"/>
          </w:tcPr>
          <w:p>
            <w:pPr>
              <w:ind w:left="260"/>
              <w:spacing w:after="0"/>
              <w:rPr>
                <w:sz w:val="20"/>
                <w:szCs w:val="20"/>
                <w:color w:val="auto"/>
              </w:rPr>
            </w:pPr>
            <w:r>
              <w:rPr>
                <w:rFonts w:ascii="Arial" w:cs="Arial" w:eastAsia="Arial" w:hAnsi="Arial"/>
                <w:sz w:val="18"/>
                <w:szCs w:val="18"/>
                <w:color w:val="0000FF"/>
              </w:rPr>
              <w:t>NY</w:t>
            </w:r>
          </w:p>
        </w:tc>
        <w:tc>
          <w:tcPr>
            <w:tcW w:w="480" w:type="dxa"/>
            <w:vAlign w:val="bottom"/>
          </w:tcPr>
          <w:p>
            <w:pPr>
              <w:spacing w:after="0"/>
              <w:rPr>
                <w:sz w:val="20"/>
                <w:szCs w:val="20"/>
                <w:color w:val="auto"/>
              </w:rPr>
            </w:pPr>
            <w:r>
              <w:rPr>
                <w:rFonts w:ascii="Arial" w:cs="Arial" w:eastAsia="Arial" w:hAnsi="Arial"/>
                <w:sz w:val="18"/>
                <w:szCs w:val="18"/>
                <w:color w:val="0000FF"/>
                <w:w w:val="91"/>
              </w:rPr>
              <w:t>10017</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3"/>
          </w:tcPr>
          <w:p>
            <w:pPr>
              <w:ind w:left="2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4"/>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Warburg Pincus Partners LLC</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3"/>
          </w:tcPr>
          <w:p>
            <w:pPr>
              <w:ind w:left="2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WARBURG PINCUS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450 LEXINGTON AVENUE</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WARBURG PINCUS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WARBURG PINCUS &amp; CO</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KAYE CHARLES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LANDY JOSEPH</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C/O WARBURG PINCUS LLC</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740" w:type="dxa"/>
            <w:vAlign w:val="bottom"/>
            <w:gridSpan w:val="6"/>
          </w:tcPr>
          <w:p>
            <w:pPr>
              <w:spacing w:after="0"/>
              <w:rPr>
                <w:sz w:val="20"/>
                <w:szCs w:val="20"/>
                <w:color w:val="auto"/>
              </w:rPr>
            </w:pPr>
            <w:r>
              <w:rPr>
                <w:rFonts w:ascii="Arial" w:cs="Arial" w:eastAsia="Arial" w:hAnsi="Arial"/>
                <w:sz w:val="18"/>
                <w:szCs w:val="18"/>
                <w:color w:val="0000FF"/>
              </w:rPr>
              <w:t>450 LEXINGTON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5"/>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5"/>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-7682865</wp:posOffset>
            </wp:positionV>
            <wp:extent cx="2924175" cy="7765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924175" cy="77654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See Exhibit 99.1; Note 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See Exhibit 99.1; Note 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Exhibit List: Exhibit 99.1 - Explanation of Responses Exhibit 99.2 - Joint Filer Information Exhibit 99.3 - Joint Filers' Signatures</w:t>
      </w:r>
    </w:p>
    <w:p>
      <w:pPr>
        <w:spacing w:after="0" w:line="7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1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9817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PRIVATE EQUITY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1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Warburg Pincus IX,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9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24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248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Warburg Pincus Partners, LLC, 06/21/2010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Sole Member By: Warburg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39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3392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Pincus &amp; Co.,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38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Name: Scott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6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Arenare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74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974090" cy="8890"/>
                    </a:xfrm>
                    <a:prstGeom prst="rect">
                      <a:avLst/>
                    </a:prstGeom>
                    <a:noFill/>
                  </pic:spPr>
                </pic:pic>
              </a:graphicData>
            </a:graphic>
          </wp:anchor>
        </w:drawing>
      </w:r>
    </w:p>
    <w:p>
      <w:pPr>
        <w:spacing w:after="0" w:line="4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2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40"/>
          </w:cols>
          <w:pgMar w:left="260" w:top="131" w:right="1299" w:bottom="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2010</w:t>
      </w:r>
    </w:p>
    <w:p>
      <w:pPr>
        <w:spacing w:after="0" w:line="200" w:lineRule="exact"/>
        <w:rPr>
          <w:sz w:val="20"/>
          <w:szCs w:val="20"/>
          <w:color w:val="auto"/>
        </w:rPr>
      </w:pPr>
    </w:p>
    <w:p>
      <w:pPr>
        <w:sectPr>
          <w:pgSz w:w="11900" w:h="16838" w:orient="portrait"/>
          <w:cols w:equalWidth="0" w:num="2">
            <w:col w:w="3060" w:space="720"/>
            <w:col w:w="7640"/>
          </w:cols>
          <w:pgMar w:left="240" w:top="121" w:right="239"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Explanation of Responses:</w:t>
      </w:r>
    </w:p>
    <w:p>
      <w:pPr>
        <w:sectPr>
          <w:pgSz w:w="11900" w:h="16838" w:orient="portrait"/>
          <w:cols w:equalWidth="0" w:num="1">
            <w:col w:w="11420"/>
          </w:cols>
          <w:pgMar w:left="240" w:top="121" w:right="239" w:bottom="1440" w:gutter="0" w:footer="0" w:header="0"/>
          <w:type w:val="continuous"/>
        </w:sectPr>
      </w:pPr>
    </w:p>
    <w:p>
      <w:pPr>
        <w:spacing w:after="0" w:line="248" w:lineRule="exact"/>
        <w:rPr>
          <w:sz w:val="20"/>
          <w:szCs w:val="20"/>
          <w:color w:val="auto"/>
        </w:rPr>
      </w:pPr>
    </w:p>
    <w:p>
      <w:pPr>
        <w:jc w:val="both"/>
        <w:ind w:right="100" w:firstLine="8"/>
        <w:spacing w:after="0" w:line="259"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Form 3 is filed on behalf of Warburg Pincus Private Equity IX, L.P., a Delaware limited partnership (“WP IX”), Warburg Pincus IX, LLC, a New York limited liability company (“WP IX LLC”), Warburg Pincus Partners, LLC, a New York limited liability company (“WPP LLC”), Warburg Pincus LLC, a New York limited liability company (“WP LLC”), Warburg Pincus &amp; Co., a New York general partnership (“WP”), and Messrs. Charles R. Kaye and Joseph P. Landy (collectively, the “Reporting Persons”).</w:t>
      </w:r>
    </w:p>
    <w:p>
      <w:pPr>
        <w:spacing w:after="0" w:line="186" w:lineRule="exact"/>
        <w:rPr>
          <w:rFonts w:ascii="Arial" w:cs="Arial" w:eastAsia="Arial" w:hAnsi="Arial"/>
          <w:sz w:val="18"/>
          <w:szCs w:val="18"/>
          <w:color w:val="auto"/>
        </w:rPr>
      </w:pPr>
    </w:p>
    <w:p>
      <w:pPr>
        <w:ind w:right="100" w:firstLine="8"/>
        <w:spacing w:after="0" w:line="255"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WP IX is the direct record owner of 840,116 shares of Common Stock, par value $0.01 per share (the “Common Stock”), of Vringo, Inc. (the “Issuer”). The sole general partner of WP IX is WP IX LLC. WPP LLC is the sole member of WP IX LLC. WP is the managing member of WPP LLC. WP LLC manages WP IX. Charles R. Kaye and Joseph P. Landy are each Managing General Partners of WP and Co-Presidents and Managing Members of WP LLC. By reason of the provisions of Rule 16a-1 of the Securities Exchange Act of 1934, as amended, WP, WP LLC, WPP LLC, WPIX LLC, Mr. Kaye and Mr. Landy may be deemed to be the beneficial owners of any securities that may be deemed to be beneficially owned by WP IX. Each of WP, WP LLC, WPP LLC, WP IX LLC, Mr. Kaye and Mr. Landy disclaims beneficial ownership of all shares of Common Stock except to the extent of any indirect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99.2</w:t>
      </w:r>
    </w:p>
    <w:p>
      <w:pPr>
        <w:sectPr>
          <w:pgSz w:w="11900" w:h="16838" w:orient="portrait"/>
          <w:cols w:equalWidth="0" w:num="1">
            <w:col w:w="11460"/>
          </w:cols>
          <w:pgMar w:left="240" w:top="121" w:right="1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2010</w:t>
      </w:r>
    </w:p>
    <w:p>
      <w:pPr>
        <w:spacing w:after="0" w:line="200" w:lineRule="exact"/>
        <w:rPr>
          <w:sz w:val="20"/>
          <w:szCs w:val="20"/>
          <w:color w:val="auto"/>
        </w:rPr>
      </w:pPr>
    </w:p>
    <w:p>
      <w:pPr>
        <w:sectPr>
          <w:pgSz w:w="11900" w:h="16838" w:orient="portrait"/>
          <w:cols w:equalWidth="0" w:num="2">
            <w:col w:w="3340" w:space="720"/>
            <w:col w:w="7400"/>
          </w:cols>
          <w:pgMar w:left="240" w:top="121" w:right="19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100" w:type="dxa"/>
            <w:vAlign w:val="bottom"/>
          </w:tcPr>
          <w:p>
            <w:pPr>
              <w:ind w:left="3460"/>
              <w:spacing w:after="0"/>
              <w:rPr>
                <w:sz w:val="20"/>
                <w:szCs w:val="20"/>
                <w:color w:val="auto"/>
              </w:rPr>
            </w:pPr>
            <w:r>
              <w:rPr>
                <w:rFonts w:ascii="Arial" w:cs="Arial" w:eastAsia="Arial" w:hAnsi="Arial"/>
                <w:sz w:val="18"/>
                <w:szCs w:val="18"/>
                <w:b w:val="1"/>
                <w:bCs w:val="1"/>
                <w:color w:val="auto"/>
              </w:rPr>
              <w:t>Joint Filer Information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Joint Filers:</w:t>
            </w:r>
          </w:p>
        </w:tc>
        <w:tc>
          <w:tcPr>
            <w:tcW w:w="10100" w:type="dxa"/>
            <w:vAlign w:val="bottom"/>
          </w:tcPr>
          <w:p>
            <w:pPr>
              <w:spacing w:after="0"/>
              <w:rPr>
                <w:sz w:val="24"/>
                <w:szCs w:val="24"/>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1.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Warburg Pincus &amp; Co.</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2.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Warburg Pincus IX, LLC</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C/O Warburg Pincus LLC</w:t>
            </w:r>
          </w:p>
        </w:tc>
      </w:tr>
      <w:tr>
        <w:trPr>
          <w:trHeight w:val="216"/>
        </w:trPr>
        <w:tc>
          <w:tcPr>
            <w:tcW w:w="1360" w:type="dxa"/>
            <w:vAlign w:val="bottom"/>
          </w:tcPr>
          <w:p>
            <w:pPr>
              <w:spacing w:after="0"/>
              <w:rPr>
                <w:sz w:val="18"/>
                <w:szCs w:val="18"/>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3.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Warburg Pincus Partners, LLC</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C/O Warburg Pincus LLC</w:t>
            </w:r>
          </w:p>
        </w:tc>
      </w:tr>
      <w:tr>
        <w:trPr>
          <w:trHeight w:val="216"/>
        </w:trPr>
        <w:tc>
          <w:tcPr>
            <w:tcW w:w="1360" w:type="dxa"/>
            <w:vAlign w:val="bottom"/>
          </w:tcPr>
          <w:p>
            <w:pPr>
              <w:spacing w:after="0"/>
              <w:rPr>
                <w:sz w:val="18"/>
                <w:szCs w:val="18"/>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4.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Warburg Pincus LLC</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5.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Charles R. Kaye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C/O Warburg Pincus LLC</w:t>
            </w:r>
          </w:p>
        </w:tc>
      </w:tr>
      <w:tr>
        <w:trPr>
          <w:trHeight w:val="216"/>
        </w:trPr>
        <w:tc>
          <w:tcPr>
            <w:tcW w:w="1360" w:type="dxa"/>
            <w:vAlign w:val="bottom"/>
          </w:tcPr>
          <w:p>
            <w:pPr>
              <w:spacing w:after="0"/>
              <w:rPr>
                <w:sz w:val="18"/>
                <w:szCs w:val="18"/>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6. Name:</w:t>
            </w:r>
          </w:p>
        </w:tc>
        <w:tc>
          <w:tcPr>
            <w:tcW w:w="10100" w:type="dxa"/>
            <w:vAlign w:val="bottom"/>
          </w:tcPr>
          <w:p>
            <w:pPr>
              <w:ind w:left="480"/>
              <w:spacing w:after="0"/>
              <w:rPr>
                <w:sz w:val="20"/>
                <w:szCs w:val="20"/>
                <w:color w:val="auto"/>
              </w:rPr>
            </w:pPr>
            <w:r>
              <w:rPr>
                <w:rFonts w:ascii="Arial" w:cs="Arial" w:eastAsia="Arial" w:hAnsi="Arial"/>
                <w:sz w:val="18"/>
                <w:szCs w:val="18"/>
                <w:color w:val="auto"/>
              </w:rPr>
              <w:t>Joseph P. Landy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10100" w:type="dxa"/>
            <w:vAlign w:val="bottom"/>
          </w:tcPr>
          <w:p>
            <w:pPr>
              <w:ind w:left="480"/>
              <w:spacing w:after="0"/>
              <w:rPr>
                <w:sz w:val="20"/>
                <w:szCs w:val="20"/>
                <w:color w:val="auto"/>
              </w:rPr>
            </w:pPr>
            <w:r>
              <w:rPr>
                <w:rFonts w:ascii="Arial" w:cs="Arial" w:eastAsia="Arial" w:hAnsi="Arial"/>
                <w:sz w:val="18"/>
                <w:szCs w:val="18"/>
                <w:color w:val="auto"/>
              </w:rPr>
              <w:t>C/O Warburg Pincus LLC</w:t>
            </w:r>
          </w:p>
        </w:tc>
      </w:tr>
      <w:tr>
        <w:trPr>
          <w:trHeight w:val="216"/>
        </w:trPr>
        <w:tc>
          <w:tcPr>
            <w:tcW w:w="1360" w:type="dxa"/>
            <w:vAlign w:val="bottom"/>
          </w:tcPr>
          <w:p>
            <w:pPr>
              <w:spacing w:after="0"/>
              <w:rPr>
                <w:sz w:val="18"/>
                <w:szCs w:val="18"/>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450 Lexington Avenue</w:t>
            </w:r>
          </w:p>
        </w:tc>
      </w:tr>
      <w:tr>
        <w:trPr>
          <w:trHeight w:val="230"/>
        </w:trPr>
        <w:tc>
          <w:tcPr>
            <w:tcW w:w="1360" w:type="dxa"/>
            <w:vAlign w:val="bottom"/>
          </w:tcPr>
          <w:p>
            <w:pPr>
              <w:spacing w:after="0"/>
              <w:rPr>
                <w:sz w:val="20"/>
                <w:szCs w:val="20"/>
                <w:color w:val="auto"/>
              </w:rPr>
            </w:pPr>
          </w:p>
        </w:tc>
        <w:tc>
          <w:tcPr>
            <w:tcW w:w="10100" w:type="dxa"/>
            <w:vAlign w:val="bottom"/>
          </w:tcPr>
          <w:p>
            <w:pPr>
              <w:ind w:left="480"/>
              <w:spacing w:after="0"/>
              <w:rPr>
                <w:sz w:val="20"/>
                <w:szCs w:val="20"/>
                <w:color w:val="auto"/>
              </w:rPr>
            </w:pPr>
            <w:r>
              <w:rPr>
                <w:rFonts w:ascii="Arial" w:cs="Arial" w:eastAsia="Arial" w:hAnsi="Arial"/>
                <w:sz w:val="18"/>
                <w:szCs w:val="18"/>
                <w:color w:val="auto"/>
              </w:rPr>
              <w:t>New York, NY 10017</w:t>
            </w:r>
          </w:p>
        </w:tc>
      </w:tr>
      <w:tr>
        <w:trPr>
          <w:trHeight w:val="348"/>
        </w:trPr>
        <w:tc>
          <w:tcPr>
            <w:tcW w:w="1360" w:type="dxa"/>
            <w:vAlign w:val="bottom"/>
            <w:tcBorders>
              <w:bottom w:val="single" w:sz="8" w:color="010101"/>
            </w:tcBorders>
          </w:tcPr>
          <w:p>
            <w:pPr>
              <w:spacing w:after="0"/>
              <w:rPr>
                <w:sz w:val="24"/>
                <w:szCs w:val="24"/>
                <w:color w:val="auto"/>
              </w:rPr>
            </w:pPr>
          </w:p>
        </w:tc>
        <w:tc>
          <w:tcPr>
            <w:tcW w:w="10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99.3</w:t>
      </w:r>
    </w:p>
    <w:p>
      <w:pPr>
        <w:sectPr>
          <w:pgSz w:w="11900" w:h="16838" w:orient="portrait"/>
          <w:cols w:equalWidth="0" w:num="1">
            <w:col w:w="11460"/>
          </w:cols>
          <w:pgMar w:left="240" w:top="121" w:right="1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Issuer &amp; Ticker Symbol: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Warburg Pincus Private Equity IX,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Vringo, Inc. (VRNG)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2010</w:t>
      </w:r>
    </w:p>
    <w:p>
      <w:pPr>
        <w:spacing w:after="0" w:line="200" w:lineRule="exact"/>
        <w:rPr>
          <w:sz w:val="20"/>
          <w:szCs w:val="20"/>
          <w:color w:val="auto"/>
        </w:rPr>
      </w:pPr>
    </w:p>
    <w:p>
      <w:pPr>
        <w:sectPr>
          <w:pgSz w:w="11900" w:h="16838" w:orient="portrait"/>
          <w:cols w:equalWidth="0" w:num="2">
            <w:col w:w="3380" w:space="720"/>
            <w:col w:w="7360"/>
          </w:cols>
          <w:pgMar w:left="240" w:top="121" w:right="19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80" w:type="dxa"/>
            <w:vAlign w:val="bottom"/>
            <w:gridSpan w:val="3"/>
          </w:tcPr>
          <w:p>
            <w:pPr>
              <w:ind w:left="1280"/>
              <w:spacing w:after="0"/>
              <w:rPr>
                <w:sz w:val="20"/>
                <w:szCs w:val="20"/>
                <w:color w:val="auto"/>
              </w:rPr>
            </w:pPr>
            <w:r>
              <w:rPr>
                <w:rFonts w:ascii="Arial" w:cs="Arial" w:eastAsia="Arial" w:hAnsi="Arial"/>
                <w:sz w:val="18"/>
                <w:szCs w:val="18"/>
                <w:b w:val="1"/>
                <w:bCs w:val="1"/>
                <w:color w:val="auto"/>
              </w:rPr>
              <w:t>Joint Filers’ Signatures</w:t>
            </w:r>
          </w:p>
        </w:tc>
      </w:tr>
      <w:tr>
        <w:trPr>
          <w:trHeight w:val="432"/>
        </w:trPr>
        <w:tc>
          <w:tcPr>
            <w:tcW w:w="3540" w:type="dxa"/>
            <w:vAlign w:val="bottom"/>
            <w:gridSpan w:val="2"/>
          </w:tcPr>
          <w:p>
            <w:pPr>
              <w:spacing w:after="0"/>
              <w:rPr>
                <w:sz w:val="20"/>
                <w:szCs w:val="20"/>
                <w:color w:val="auto"/>
              </w:rPr>
            </w:pPr>
            <w:r>
              <w:rPr>
                <w:rFonts w:ascii="Arial" w:cs="Arial" w:eastAsia="Arial" w:hAnsi="Arial"/>
                <w:sz w:val="18"/>
                <w:szCs w:val="18"/>
                <w:color w:val="auto"/>
              </w:rPr>
              <w:t>WARBURG PINCUS &amp; CO.</w:t>
            </w: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3540" w:type="dxa"/>
            <w:vAlign w:val="bottom"/>
            <w:gridSpan w:val="2"/>
          </w:tcPr>
          <w:p>
            <w:pPr>
              <w:spacing w:after="0"/>
              <w:rPr>
                <w:sz w:val="20"/>
                <w:szCs w:val="20"/>
                <w:color w:val="auto"/>
              </w:rPr>
            </w:pPr>
            <w:r>
              <w:rPr>
                <w:rFonts w:ascii="Arial" w:cs="Arial" w:eastAsia="Arial" w:hAnsi="Arial"/>
                <w:sz w:val="18"/>
                <w:szCs w:val="18"/>
                <w:color w:val="auto"/>
              </w:rPr>
              <w:t>By:   /s/ Scott A. Arenare</w:t>
            </w: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Date: June 21, 2010</w:t>
            </w:r>
          </w:p>
        </w:tc>
      </w:tr>
      <w:tr>
        <w:trPr>
          <w:trHeight w:val="21"/>
        </w:trPr>
        <w:tc>
          <w:tcPr>
            <w:tcW w:w="50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3040" w:type="dxa"/>
            <w:vAlign w:val="bottom"/>
          </w:tcPr>
          <w:p>
            <w:pPr>
              <w:spacing w:after="0" w:line="195" w:lineRule="exact"/>
              <w:rPr>
                <w:sz w:val="20"/>
                <w:szCs w:val="20"/>
                <w:color w:val="auto"/>
              </w:rPr>
            </w:pPr>
            <w:r>
              <w:rPr>
                <w:rFonts w:ascii="Arial" w:cs="Arial" w:eastAsia="Arial" w:hAnsi="Arial"/>
                <w:sz w:val="18"/>
                <w:szCs w:val="18"/>
                <w:color w:val="auto"/>
              </w:rPr>
              <w:t>Name: Scott A. Arenare</w:t>
            </w:r>
          </w:p>
        </w:tc>
        <w:tc>
          <w:tcPr>
            <w:tcW w:w="1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Title: Partner</w:t>
            </w:r>
          </w:p>
        </w:tc>
        <w:tc>
          <w:tcPr>
            <w:tcW w:w="1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WARBURG PINCUS IX,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Warburg Pincus Partners, LLC, its Sole Member,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Warburg Pincus &amp; Co., its Managing Member</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Scott A. Arenare</w:t>
            </w:r>
          </w:p>
        </w:tc>
        <w:tc>
          <w:tcPr>
            <w:tcW w:w="46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Date: June 21, 2010</w:t>
            </w:r>
          </w:p>
        </w:tc>
      </w:tr>
      <w:tr>
        <w:trPr>
          <w:trHeight w:val="21"/>
        </w:trPr>
        <w:tc>
          <w:tcPr>
            <w:tcW w:w="5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Scott A. Arenare</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Partner</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634"/>
        </w:trPr>
        <w:tc>
          <w:tcPr>
            <w:tcW w:w="5320" w:type="dxa"/>
            <w:vAlign w:val="bottom"/>
            <w:gridSpan w:val="2"/>
          </w:tcPr>
          <w:p>
            <w:pPr>
              <w:spacing w:after="0"/>
              <w:rPr>
                <w:sz w:val="20"/>
                <w:szCs w:val="20"/>
                <w:color w:val="auto"/>
              </w:rPr>
            </w:pPr>
            <w:r>
              <w:rPr>
                <w:rFonts w:ascii="Arial" w:cs="Arial" w:eastAsia="Arial" w:hAnsi="Arial"/>
                <w:sz w:val="18"/>
                <w:szCs w:val="18"/>
                <w:color w:val="auto"/>
              </w:rPr>
              <w:t>WARBURG PINCUS PARTNERS, LLC</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By: Warburg Pincus &amp; Co., its Managing Member</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60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Scott A. Arenare</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Date: June 21, 2010</w:t>
            </w:r>
          </w:p>
        </w:tc>
      </w:tr>
      <w:tr>
        <w:trPr>
          <w:trHeight w:val="21"/>
        </w:trPr>
        <w:tc>
          <w:tcPr>
            <w:tcW w:w="5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Scott A. Arenare</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Partner</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648"/>
        </w:trPr>
        <w:tc>
          <w:tcPr>
            <w:tcW w:w="5320" w:type="dxa"/>
            <w:vAlign w:val="bottom"/>
            <w:gridSpan w:val="2"/>
          </w:tcPr>
          <w:p>
            <w:pPr>
              <w:spacing w:after="0"/>
              <w:rPr>
                <w:sz w:val="20"/>
                <w:szCs w:val="20"/>
                <w:color w:val="auto"/>
              </w:rPr>
            </w:pPr>
            <w:r>
              <w:rPr>
                <w:rFonts w:ascii="Arial" w:cs="Arial" w:eastAsia="Arial" w:hAnsi="Arial"/>
                <w:sz w:val="18"/>
                <w:szCs w:val="18"/>
                <w:color w:val="auto"/>
              </w:rPr>
              <w:t>WARBURG PINCUS LLC</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60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Scott A. Arenare</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Date: June 21, 2010</w:t>
            </w:r>
          </w:p>
        </w:tc>
      </w:tr>
      <w:tr>
        <w:trPr>
          <w:trHeight w:val="21"/>
        </w:trPr>
        <w:tc>
          <w:tcPr>
            <w:tcW w:w="5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Scott A. Arenare</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60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Scott A. Arenare</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Date: June 21, 2010</w:t>
            </w:r>
          </w:p>
        </w:tc>
      </w:tr>
      <w:tr>
        <w:trPr>
          <w:trHeight w:val="21"/>
        </w:trPr>
        <w:tc>
          <w:tcPr>
            <w:tcW w:w="5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Charles R. Kaye</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By: Scott A. Arenare, Attorney-in-Fact*</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60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Pr>
          <w:p>
            <w:pPr>
              <w:spacing w:after="0"/>
              <w:rPr>
                <w:sz w:val="20"/>
                <w:szCs w:val="20"/>
                <w:color w:val="auto"/>
              </w:rPr>
            </w:pPr>
            <w:r>
              <w:rPr>
                <w:rFonts w:ascii="Arial" w:cs="Arial" w:eastAsia="Arial" w:hAnsi="Arial"/>
                <w:sz w:val="18"/>
                <w:szCs w:val="18"/>
                <w:color w:val="auto"/>
              </w:rPr>
              <w:t>/s/ Scott A. Arenare</w:t>
            </w:r>
          </w:p>
        </w:tc>
        <w:tc>
          <w:tcPr>
            <w:tcW w:w="46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Date: June 21, 2010</w:t>
            </w:r>
          </w:p>
        </w:tc>
      </w:tr>
      <w:tr>
        <w:trPr>
          <w:trHeight w:val="21"/>
        </w:trPr>
        <w:tc>
          <w:tcPr>
            <w:tcW w:w="50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Name: Joseph P. Landy</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By: Scott A. Arenare, Attorney-in-Fact**</w:t>
            </w:r>
          </w:p>
        </w:tc>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348"/>
        </w:trPr>
        <w:tc>
          <w:tcPr>
            <w:tcW w:w="500" w:type="dxa"/>
            <w:vAlign w:val="bottom"/>
            <w:tcBorders>
              <w:bottom w:val="single" w:sz="8" w:color="010101"/>
            </w:tcBorders>
          </w:tcPr>
          <w:p>
            <w:pPr>
              <w:spacing w:after="0"/>
              <w:rPr>
                <w:sz w:val="24"/>
                <w:szCs w:val="24"/>
                <w:color w:val="auto"/>
              </w:rPr>
            </w:pPr>
          </w:p>
        </w:tc>
        <w:tc>
          <w:tcPr>
            <w:tcW w:w="482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42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right="60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of Attorney given by Mr. Kaye was previously filed with the SEC on March 2, 2006, as an exhibit to a Schedule 13D filed by Building Products, LLC with respect to Builders FirstSource, Inc.</w:t>
      </w:r>
    </w:p>
    <w:p>
      <w:pPr>
        <w:spacing w:after="0" w:line="170" w:lineRule="exact"/>
        <w:rPr>
          <w:sz w:val="20"/>
          <w:szCs w:val="20"/>
          <w:color w:val="auto"/>
        </w:rPr>
      </w:pPr>
    </w:p>
    <w:p>
      <w:pPr>
        <w:ind w:left="660" w:right="520" w:hanging="652"/>
        <w:spacing w:after="0" w:line="277" w:lineRule="auto"/>
        <w:tabs>
          <w:tab w:leader="none" w:pos="651"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 given by Mr. Landy was previously filed with the SEC on March 2, 2006, as an exhibit to a Schedule 13D filed by Building Products, LLC with respect to Builders FirstSource,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11" Type="http://schemas.openxmlformats.org/officeDocument/2006/relationships/hyperlink" Target="http://www.sec.gov/cgi-bin/browse-edgar?action=getcompany&amp;CIK=0001332737" TargetMode="External"/><Relationship Id="rId12" Type="http://schemas.openxmlformats.org/officeDocument/2006/relationships/hyperlink" Target="http://www.sec.gov/cgi-bin/browse-edgar?action=getcompany&amp;CIK=0001410428" TargetMode="External"/><Relationship Id="rId13" Type="http://schemas.openxmlformats.org/officeDocument/2006/relationships/hyperlink" Target="http://www.sec.gov/cgi-bin/browse-edgar?action=getcompany&amp;CIK=0001342445" TargetMode="External"/><Relationship Id="rId14" Type="http://schemas.openxmlformats.org/officeDocument/2006/relationships/hyperlink" Target="http://www.sec.gov/cgi-bin/browse-edgar?action=getcompany&amp;CIK=0001322709" TargetMode="External"/><Relationship Id="rId15" Type="http://schemas.openxmlformats.org/officeDocument/2006/relationships/hyperlink" Target="http://www.sec.gov/cgi-bin/browse-edgar?action=getcompany&amp;CIK=0001162870" TargetMode="External"/><Relationship Id="rId16" Type="http://schemas.openxmlformats.org/officeDocument/2006/relationships/hyperlink" Target="http://www.sec.gov/cgi-bin/browse-edgar?action=getcompany&amp;CIK=0000929408" TargetMode="External"/><Relationship Id="rId17" Type="http://schemas.openxmlformats.org/officeDocument/2006/relationships/hyperlink" Target="http://www.sec.gov/cgi-bin/browse-edgar?action=getcompany&amp;CIK=0001239318" TargetMode="External"/><Relationship Id="rId18" Type="http://schemas.openxmlformats.org/officeDocument/2006/relationships/hyperlink" Target="http://www.sec.gov/cgi-bin/browse-edgar?action=getcompany&amp;CIK=0001220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2019-12-16T21:44:38Z</dcterms:created>
  <dcterms:modified xsi:type="dcterms:W3CDTF">2019-12-16T21:44:38Z</dcterms:modified>
</cp:coreProperties>
</file>