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20,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333- 284768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3</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42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16"/>
        </w:trPr>
        <w:tc>
          <w:tcPr>
            <w:tcW w:w="42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32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28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3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Ezra T. Ernst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Rick A. Werner,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Alla Digilova,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Haynes and Boone,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Rockefeller Plaza, 26th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659-7300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the effective date of this Registration Statement.</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468" w:right="339" w:bottom="22"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The selling stockholders named in this prospectus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338"/>
        </w:rPr>
        <w:t>Subject to Completion, dated June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30,440,060 Shares of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including up to 1,140,370 Dividend Shares)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stockholders named in this prospectus from time to time of up to an aggregate of 30,440,060 shares of our common stock, par value $0.01 per share (the “Common Stock”), issuable upon (i) the conversion of shares of our newly designated Series G convertible preferred stock (the “Preferred Shares”), (ii) exercise of the Series A warrants (the “Series A Warrants”) to purchase up to 2,673,797 shares of Common Stock, (iii) exercise of the Series B warrants (the “Series B Warrants” and together with the Series A Warrants, the “Warrants”) to purchase up to 2,673,797 shares of Common Stock, and (iv) the issuance of Common Stock as dividends to the holders of the Preferred Shares (the “Dividend Shares”). The 30,440,060 shares of Common Stock issuable upon conversion of the Preferred Shares, exercise of the Warrants and issuance of the Dividend Shares, are comprised of (A) shares of Common Stock underlying (i) 4,000 Preferred Shares, which are convertible into an aggregate of 23,952,096 Conversion Shares (as defined below) at a conversion price of $0.167 (which such conversion price is equal to the Floor Price (as defined herein) and a stated value of $1,000 per share, (ii) Series A Warrants to purchase up to 2,673,797 shares of Common Stock at an initial exercise price of $1.496 per share, (iii) Series B Warrants to purchase up to 2,673,797 shares of Common Stock at an initial exercise price of $1.7952 per share, and (B) 1,140,370 shares of Common Stock issuable as Dividend Shares to the holders of the Preferred Shares at a rate of 8% per annum on the stated value of the Preferred Shares, compounded each calendar quarter over a term of five years. Subject to the terms of the Certificate of Designations (as defined herein), the issuance of the Dividend Shares may begin on July 1, 2025, and occur thereafter on the first trading day of each calendar quarter immediately following the previous Installment Date (as defined in the Certificate of Designations) until the maturity date (which such maturity date also constitutes an Installment Date).</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Preferred Shares were acquired by the applicable selling stockholders under the Securities Purchase Agreement (the “Purchase Agreement”), dated January 14, 2025, by and among the Company and the investors party thereto (the “Investors”). The Warrants were acquired by the selling stockholders under the Purchase Agreement. The shares of Common Stock issuable upon the conversion of the Preferred Shares are herein referred to as “Conversion Shares,” and the shares of Common Stock issuable upon the exercise of the Warrants are herein referred to as “Warrant Shares.”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Conversion Shares and the Warrant Shares were issued in reliance upon the exemption from the registration requirements in Section 4(a)(2) of the Securities Act of 1933, as amended (the “Securities Act”) and Regulation D promulgated thereunder.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registering the resale of the Conversion Shares and Warrant Shares covered by this prospectus as required by the Registration Rights Agreement, dated January 14, 2025, by and among the Company and the Investors (as amended, the “Registration Rights Agreement”), as well as the Dividend Shares. The selling stockholders will receive all of the proceeds from any sales of the shares offered hereby. We will not receive any of the proceeds, but we will incur expenses in connection with the offering. To the extent the Warrants are exercised for cash, if at all, we will receive the exercise price of the Warrants. We intend to use those proceeds, if any, for general corporate purposes.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issuance of the shares of Common Stock covered by this prospectus could cause substantial dilution to our existing stockholders. The number of shares covered by this prospectus represents approximately 557% of the number of shares of Common Stock issued and outstanding as of the date of this prospectus. The actual number of shares of Common Stock that we issue to the selling stockholders may be less than the aggregate number of shares covered by this prospectus. Please refer to risk factor entitled “</w:t>
      </w:r>
      <w:r>
        <w:rPr>
          <w:rFonts w:ascii="Times New Roman" w:cs="Times New Roman" w:eastAsia="Times New Roman" w:hAnsi="Times New Roman"/>
          <w:sz w:val="18"/>
          <w:szCs w:val="18"/>
          <w:i w:val="1"/>
          <w:iCs w:val="1"/>
          <w:color w:val="auto"/>
        </w:rPr>
        <w:t>The issuance of the shares of Common Stock covered by this prospectus could significantly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 the total number of shares of Common Stock issued and outstanding and thereby cause our existing stockholders to experience substantial dilution</w:t>
      </w:r>
      <w:r>
        <w:rPr>
          <w:rFonts w:ascii="Times New Roman" w:cs="Times New Roman" w:eastAsia="Times New Roman" w:hAnsi="Times New Roman"/>
          <w:sz w:val="18"/>
          <w:szCs w:val="18"/>
          <w:color w:val="auto"/>
        </w:rPr>
        <w:t>” on page 10 of this prospectus. For additional information on the terms of the Preferred Shares and the Warrants, including those terms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the number of Conversion Shares, Dividend Shares or Warrant Shares that will be issued to the holders of the Preferred Shares and the Warrants, you should refer to the section of this prospectus entitled “Prospectus Summary—Private Placement of Preferred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Our registration of the shares of Common Stock covered by this prospectus does not mean that the selling stockholders will offer or sell any of such shares of Common Stock. The selling stockholders named in this prospectus, or their donees, pledgees, transferees or other successors-in-interest, may resell the shares of Common Stock covered by this prospectus through public or private transactions at prevailing market prices, at prices related to prevailing market prices or at privately negotiated prices. For additional information on the possible methods of sale that may be used by the selling stockholders, you should refer to the section of this prospectus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shares of Common Stock subject to resale hereunder will have been issued by us and acquired by the selling stockholders prior to any resale of such shares pursuant to this prospectus.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underwriter or other person has been engaged to facilitate the sale of the Common Stock in this offering. We will bear all costs, expenses and fees in connection with the registration of the Common Stock. The selling stockholders will bear all commissions and discounts, if any, attributable to their respective sales of the Common Stock.</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“XWEL.” On June 18, 2025, the last reported sales price for our Common Stock was $0.9039 per share.</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our Common Stock involves risk.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contained in this prospectus, in our periodic reports filed from time to time with the Securities and Exchange Commission, which are incorporated by reference in this prospectus and in any applicable prospectus supplement. You should carefully read this prospectus and any applicable prospectus supplement, together with the documents we incorporate by reference, before you invest in our Common Stock.</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580" w:type="dxa"/>
            <w:vAlign w:val="bottom"/>
            <w:gridSpan w:val="4"/>
            <w:shd w:val="clear" w:color="auto" w:fill="CCEEFF"/>
          </w:tcPr>
          <w:p>
            <w:pPr>
              <w:spacing w:after="0"/>
              <w:rPr>
                <w:sz w:val="15"/>
                <w:szCs w:val="15"/>
                <w:color w:val="auto"/>
              </w:rPr>
            </w:pPr>
          </w:p>
        </w:tc>
        <w:tc>
          <w:tcPr>
            <w:tcW w:w="2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580" w:type="dxa"/>
            <w:vAlign w:val="bottom"/>
            <w:gridSpan w:val="4"/>
          </w:tcPr>
          <w:p>
            <w:pPr>
              <w:spacing w:after="0"/>
              <w:rPr>
                <w:sz w:val="15"/>
                <w:szCs w:val="15"/>
                <w:color w:val="auto"/>
              </w:rPr>
            </w:pPr>
          </w:p>
        </w:tc>
        <w:tc>
          <w:tcPr>
            <w:tcW w:w="24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8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2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7540" w:type="dxa"/>
            <w:vAlign w:val="bottom"/>
            <w:gridSpan w:val="10"/>
          </w:tcPr>
          <w:p>
            <w:pPr>
              <w:spacing w:after="0"/>
              <w:rPr>
                <w:sz w:val="15"/>
                <w:szCs w:val="15"/>
                <w:color w:val="auto"/>
              </w:rPr>
            </w:pPr>
          </w:p>
        </w:tc>
        <w:tc>
          <w:tcPr>
            <w:tcW w:w="24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3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480" w:type="dxa"/>
            <w:vAlign w:val="bottom"/>
            <w:tcBorders>
              <w:top w:val="single" w:sz="8" w:color="CCEEFF"/>
            </w:tcBorders>
          </w:tcPr>
          <w:p>
            <w:pPr>
              <w:spacing w:after="0"/>
              <w:rPr>
                <w:sz w:val="15"/>
                <w:szCs w:val="15"/>
                <w:color w:val="auto"/>
              </w:rPr>
            </w:pPr>
          </w:p>
        </w:tc>
        <w:tc>
          <w:tcPr>
            <w:tcW w:w="224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STOCKHOLDERS</w:t>
            </w:r>
          </w:p>
        </w:tc>
        <w:tc>
          <w:tcPr>
            <w:tcW w:w="6600" w:type="dxa"/>
            <w:vAlign w:val="bottom"/>
            <w:tcBorders>
              <w:bottom w:val="single" w:sz="8" w:color="CCEEFF"/>
            </w:tcBorders>
            <w:gridSpan w:val="5"/>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2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360" w:type="dxa"/>
            <w:vAlign w:val="bottom"/>
            <w:tcBorders>
              <w:top w:val="single" w:sz="8" w:color="CCEEFF"/>
            </w:tcBorders>
            <w:gridSpan w:val="9"/>
          </w:tcPr>
          <w:p>
            <w:pPr>
              <w:spacing w:after="0"/>
              <w:rPr>
                <w:sz w:val="15"/>
                <w:szCs w:val="15"/>
                <w:color w:val="auto"/>
              </w:rPr>
            </w:pPr>
          </w:p>
        </w:tc>
        <w:tc>
          <w:tcPr>
            <w:tcW w:w="224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2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4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5"/>
        </w:trPr>
        <w:tc>
          <w:tcPr>
            <w:tcW w:w="7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580" w:type="dxa"/>
            <w:vAlign w:val="bottom"/>
            <w:tcBorders>
              <w:top w:val="single" w:sz="8" w:color="0000EE"/>
              <w:bottom w:val="single" w:sz="8" w:color="auto"/>
            </w:tcBorders>
          </w:tcPr>
          <w:p>
            <w:pPr>
              <w:spacing w:after="0"/>
              <w:rPr>
                <w:sz w:val="24"/>
                <w:szCs w:val="24"/>
                <w:color w:val="auto"/>
              </w:rPr>
            </w:pPr>
          </w:p>
        </w:tc>
        <w:tc>
          <w:tcPr>
            <w:tcW w:w="136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is part of the registration statement that we filed with the Securities and Exchange Commission (the “SEC”) pursuant to which the selling stockholders named herein may, from time to time, offer and sell or otherwise dispose of the shares of our Common Stock covered by this prospectus. As permitted by the rules and regulations of the SEC, the registration statement filed by us includes additional information not contained in this prospectus.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include important information about us, the securities being offered and other information you should know before investing in our securities.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of Common Stock are sold or otherwise disposed of on a later date. It is important for you to read and consider all information contained in this prospectus, including the documents incorporated by reference therein, in making your investment decision. You should also read and consider the information in the documents to which we have referred you under “Where You Can Find More Information” and “Incorporation of Certain Information by Reference” in this prospectus.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rely only on this prospectus and the information incorporated or deemed to be incorporated by reference in this prospectus. We have not, and the selling stockholders have not, authorized anyone to give any information or to make any representation to you other than those contained or incorporated by reference in this prospectus. If anyone provides you with different or inconsistent information, you should not rely on it. This prospectus does not constitute an offer to sell or the solicitation of an offer to buy securities in any jurisdiction to any person to whom it is unlawful to make such offer or solicitation in such jurisdiction.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indicated, information contained or incorporated by reference in this prospectus concerning our industry, including our general expectations and market opportunity,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uncertain due to a variety of factors, including those described in “Risk Factors” beginning on page 10 of this prospectus. These and other factors could cause our future performance to differ materially from our assumptions and estimates.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provides an overview of selected information contained elsewhere or incorporated by reference in this prospectus and does not contain all of the information you should consider before investing in our securities. You should carefully read the prospectus, the information incorporated by reference and the registration statement of which this prospectus is a part in their entirety before investing in our securities, including the information discussed under “Risk Factors” in this prospectus and the documents incorporated by reference and our financial statements and related notes that are incorporated by reference in this prospectus. In this prospectus, unless the context indicates otherwise, “XWEL,” the “Company,” the “registrant,” “we,” “us,” “our,” or “ours” refer to XWELL, Inc. and its consolidated subsidiaries.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XWELL is a global wellness company operating multiple brands and focused on bringing restorative, regenerative and reinvigorating products and services to travelers. As of the date of this Annual Report on Form 10-K, XWELL currently has four reportable operating segments: XpresSpa®, XpresTest®, Naples Wax Center® and Treat®.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25, 2022, the Company changed its name to XWELL, Inc. from XpresSpa Group, Inc. The Company’s common stock, par value $0.01 per share, which had previously been listed under the trading symbol “XSPA” on Nasdaq, now trades under the trading symbol “XWEL”. The Company filed an amended and restated certificate of incorporation with the Delaware Secretary of State on October 24, 2022 (as amended, the “Amended and Restated Certificate”) reflecting the name change. Rebranding to XWELL aligned the Company’s corporate strategy to build a pure-play wellness services company, in both the airport and off-airport marketplaces.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XpresSpa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XWELL’s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there were 17 domestic XpresSpa locations in total comprised of 16 Company-owned locations and one franchise. The Company also had 11 international locations operating as of March 31, 2025, including two XpresSpa locations in the Dubai International Airport in the United Arab Emirates, one XpresSpa location in the Zayad International Airport in Abu Dhabi, United Arab Emirates, four XpresSpa locations in the Schiphol Amsterdam Airport in the Netherlands and four XpresSpa locations in the Istanbul Airport in Turkey.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Treat, which is operating through XWELL’s subsidiary Treat, Inc. (“Treat”) is a wellness brand that provides access to wellness services for travelers at on-site centers. In April 2024, the decision was made to close the location in the Salt Lake City International Airport. In the first quarter of 2025, the decision was made to convert the final remaining Treat location at JFK International Airport in New York City to an XWELL location. Following the conversion of the JFK Treat location, in mid-2025, we will no longer have any Treat locations.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XpresTest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 partnership with certain COVID-19 testing partners, successfully launched its XpresCheck Wellness Centers, in June of 2020, through its XpresTest, Inc. subsidiary (“XpresTest”), which offered COVID-19 and other medical to the traveling public, as well as airline, airport and concessionaire employees, and TSA and U.S. Customs and Border Protection agents during the pandemic. As of December 31, 2023, the Company closed all XpresCheck locations and XpresTest no longer provides diagnostic testing services XpresTest began conducting bio surveillance monitoring with the Centers for Disease Control and Prevention (CDC) in collaboration with Concentric by Ginkgo Bioworks Holdings, Inc. (“Ginkgo Bioworks”) in 2021.</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program was renewed through August 2024. The revenue to XpresTest from such one-year extension totaled approximately $7,044. In January 2024, the program funding and scope were expanded, a revenue increase of $4,000, to an estimated $11,044 in revenue for XpresTest with new collection locations at U.S. international airports and the roll out of multi-pathogen testing across the program. In July 2024, the contract was further amended to extend the time period for services by two weeks (extension period August 12, 2024 to August 25, 2024). An increase of $293 in revenue for the two week extension brought total revenue to $11,337. The program was again extended in August 2024 through February 25, 2025. The funding was expanded with a revenue increase of $3,763, to an estimated $15,100 in revenue for XpresTest. In February 2025, the program was extended through a three-year contract with a total base value of $22.2 million over three years, and a maximum ceiling value of $24.8 million within the same timeframe.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Naples Wax Center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XWELL’s subsidiary Naples Wax, LLC, d/b/a Naples Wax Centers (“Naples Wax Center” or “Naples Wax”) which was acquired on September 12, 2023, for a purchase price of $1,624, operates a group of upscale hair removal locations with core products and service offerings from face and body waxing to a range of skincare and cosmetic products. The acquisition of Naples Wax Center is intended to enable us to move beyond our airport client base with a business that can be adapted to a larger wellness platform while also growing our retail footprint to serve our long-term financial goals.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recognize four segments of business, we believe there is opportunity to leverage a segment of our products and services across our platform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plan to build our capability for delivering health and wellness services outside of the airport. We believe operating outside of the airport complements our offering and represents the fastest way to scale the XWELL family of brands.</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will be looking to further expand internationally. We believe a strategy for international expansion further advances our ability to expand our other brands including bio surveillance outside of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of Preferred Shares and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14, 2025, we entered into the Purchase Agreement with the Investors, pursuant to which we issued and sold on January 14, 2025 (the “Closing Date”), in a private placement (the “Private Placement”), (i) an aggregate of 4,000 shares of the Company’s newly-designated Series G Convertible Preferred Stock initially convertible into up to 2,673,797 Conversion Shares at a conversion price of $1.496 per share (the “Conversion Price”), (ii) Series A warrants (the “Series A Warrants”) to acquire up to an aggregate of 2,673,797 shares of Common Stock at an initial exercise price of $1.496 per share, and (iii) Series B warrants to acquire up to an aggregate of 2,673,797 shares of Common Stock (the “Series B Warrants,” and collectively with the Series A Warrants, the “Warrants”) at an initial exercise price of $1.7952 per share. Each Preferred Share and accompanying Warrants were sold together at a combined offering price of $1,000.</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Preferred Shares are as set forth in the Certificate of Designations of the Series G Convertible Preferred Stock of XWELL, Inc. (the “Certificate of Designations”), which was filed and became effective with the Secretary of State of the State of Delaware on January 14, 2025. The Warrants are immediately exercisable and expire five years from the date of issuance.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Private Placement was exempt from the registration requirements of the Securities Act pursuant to the exemption for transactions by an issuer not involving any public offering under Section 4(a)(2) of the Securities Act and Rule 506 of Regulation D of the Securities Act and in reliance on similar exemptions under applicable state laws. Each of the investors in the Private Placement has represented to us that it is an accredited investor within the meaning of Rule 501(a) of Regulation D and that it is acquiring the securities for investment only and not with a view towards, or for resale in connection with, the public sale or distribution thereof. The Preferred Shares and Warrants were offered without any general solicitation by us or our representatives.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Private Placement, we entered into the Registration Rights Agreement, pursuant to which we are obligated, among other things, to</w:t>
      </w:r>
    </w:p>
    <w:p>
      <w:pPr>
        <w:spacing w:after="0" w:line="27" w:lineRule="exact"/>
        <w:rPr>
          <w:sz w:val="20"/>
          <w:szCs w:val="20"/>
          <w:color w:val="auto"/>
        </w:rPr>
      </w:pPr>
    </w:p>
    <w:p>
      <w:pPr>
        <w:jc w:val="both"/>
        <w:ind w:firstLine="8"/>
        <w:spacing w:after="0" w:line="251" w:lineRule="auto"/>
        <w:tabs>
          <w:tab w:leader="none" w:pos="30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resale registration statement (the “Registration Statement”) with the SEC to register for resale promptly following the Closing Date, but in no event later than 30 calendar days after the Closing Date, the sum of (i) 100% of the maximum number of Conversion Shares issuable upon conversion of the Preferred Shares ((x) assuming for purposes hereof that the Preferred Shares are convertible at the Floor Price (as defined herein) and (y) any such conversion shall not take into account any limitations on the conversion of the Preferred Shares set forth in the Certificate of Designations) and (ii) 100% of the maximum number of Warrant Shares issuable upon exercise of the Warrants (x) assuming for purposes hereof that the Warrants will be exercised at the initial exercise price as set forth in the Warrants (as defined herein) and (y) any such exercise shall not take into account any limitations on the exercise of the Warrant Shares set forth in the Warrants, all subject to adjustment as provided in Registration Rights Agreement, (B) have such Registration Statement declared effective by the Effectiveness Deadline (as defined in the Registration Rights Agreement and as may be amended from time to time), and (C) maintain the registration until the earlier of (x) the date on which the selling stockholders may sell their Conversion Shares or Warrant Shares without restriction pursuant to Rule 144 under the Securities Act, (y) the date on which the selling stockholders no longer hold any Conversion Shares or Warrant Shares and (z) the five year anniversary of the Closing Date. The Company will be obligated to pay certain liquidated damages to the Investors if the Company fails to file the Registration Statement when required, fails to cause the Registration Statement to be declared effective by the SEC when required, or fails to maintain the effectiveness of the Registration Statement pursuant to the terms of the Registration Rights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Shares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shares of capital stock of the Company rank junior to the Preferred Shares, with respect to the preferences as to dividends, distributions and payments upon the liquidation, dissolution and winding up of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Preferred Shares are convertible into Common Stock at the election of the holder at any time the Conversion Price. The Conversion Price is subject to customary adjustments for stock dividends, stock splits, reclassifications, stock combinations and the like. The Conversion Price may also be voluntarily reduced by the Company to any amount and for any period of time deemed appropriate by the Board at any time with the prior written consent of the holders of at least a majority of the outstanding Preferred Shares, subject to the rules and regulations of Nasdaq.</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required to redeem the Preferred Shares in six (6) equal quarterly installments, commencing on July 1, 2025. The amortization payments due upon such redemption are payable, at the Company’s election, in cash at 107% of the applicable Installment Redemption Amount (as defined in the Certificate of Designations), or subject to certain limitations, in shares of Common Stock valued at the lower of (i) the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$0.167, which was 20% of the “Minimum Price” (as defined in Nasdaq Stock Market Rule 5635) on the Stockholder Approval Date (as defined below), such lower amount as permitted, from time to time, by Nasdaq, and subject to adjustment for stock splits, stock dividends, stock combinations, recapitalizations or other similar events, which amortization amounts are subject to certain adjustments as set forth in the Certificate of Designations (the “Floor Price”).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the Preferred Shares are entitled to dividends of 8% per annum, compounded each calendar quarter, which are payable in arrears monthly in cash or shares of Common Stock at the Company’s option, in accordance with the terms of the Certificate of Designations. Upon the occurrence and during the continuance of a Triggering Event (as defined in the Certificate of Designations), including, among other things, our failure to pay any amounts due to the holders of the Preferred Shares when due, the Preferred Shares accrue dividends at the rate of 15% per annum. Upon conversion or redemption, the holders of the Preferred Shares are also entitled to receive a dividend make-whole payment, assuming, for calculation purposes, that the stated value of such Preferred Shares remained outstanding through and including the one-year anniversary of the applicable date of conversion.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holders of the Preferred Shares are entitled to vote with holders of the Common Stock on as as-converted basis, with the number of votes to which each holder of Preferred Shares is entitled to be calculated assuming a conversion price of $1.36 per share, which was the Minimum Price (as defined in Rule 5635 of the Rules of the Nasdaq Stock Market) applicable immediately before the execution and delivery of the Purchase Agreement, subject to certain beneficial ownership limitations as set forth in the Certificate of Designations.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the foregoing, our ability to settle conversions and make amortization and dividend make-whole payments using shares of Common Stock is subject to certain limitations set forth in the Certificate of Designations. Prior to receiving approval from our stockholders in accordance with the Nasdaq listing standards, such limitations included a limit on the number of shares that may be issued until the time that our stockholders approved the issuance of more than 19.99% of our issued and outstanding shares of Common Stock in accordance with Nasdaq listing standards (the “Stockholder Approval”). We agreed to seek stockholder approval of these matters at a meeting to be held no later than June 1, 2025, and the Stockholder Approval was obtained on April 10, 2025 (the “Stockholder Approval Date”), at a special meeting of stockholders. Further, the Certificate of Designations contains a certain beneficial ownership limitation after giving effect to the issuance of shares of Common Stock issuable upon conversion of the Preferred Shares or as part of any amortization payment or dividend make-whole payment under the Certificate of Designations.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Certificate of Designations includes certain Triggering Events (as defined in the Certificate of Designations), including, among other things, the suspension from trading or the failure of our Common Stock to be trading or listed (as applicable) on an eligible market for a period of five (5) consecutive trading days and our failure to pay any amounts due to the holders of the Preferred Shares when due. In connection with a Triggering Event, each holder of Preferred Shares will be able to require us to redeem in cash any or all of the holder’s Preferred Shares at a premium set forth in the Certificate of Designations.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Warrants are exercisable for shares of Common Stock immediately, at an exercise price of $1.496 per share for the Series A Warrants and at an exercise price of $1.7952 per share for the Series B Warrants and expire five years from the date of issuance. The exercise price of each Warrant is subject to customary adjustments for stock dividends, stock splits, reclassifications, stock combinations and the like. Upon any such price-based adjustment to the exercise price, the number of Warrant Shares issuable upon exercise of the Warrants will be increased proportionately. The exercise price may also be voluntarily reduced by the Company to any amount and for any period of time with the prior written consent of the holders of at least a majority of the outstanding Warrants, subject to the rules and regulations of Nasdaq. The Warrants may be exercised for cash, provided that, if there is no effective registration statement available registering the exercise of the Warrants, the Warrants may be exercised on a cashless basis.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such time as we have received the Stockholder Approval, we cannot issue any Warrant Shares if the issuance of such Warrant Shares (taken together with the issuance of any Conversion Shares or other shares of Common Stock issuable pursuant to the terms of the Certificate of Designations) would exceed 19.99% of our issued and outstanding shares of Common Stock prior to the Private Placement, which amount is the aggregate number of shares of Common Stock which we may issue under the rules or regulations of Nasdaq. We received Stockholder Approval at a special meeting of stockholders held on April 10,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and accordingly may provide less public disclosure than larger public companies. As a result, the information that we provide to our stockholders may be different than you might receive from other public reporting companies in which you hold equity interests.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were incorporated in Delaware as a corporation on January 9, 2006, and completed an initial public offering in June 2010. Our Common Stock which was previously listed since January 8, 2018, under the trading symbol “XSPA” on Nasdaq, has been listed under the trading symbol “XWEL” since October 25, 2022. Our principal executive offices are located at 254 West 31st Street, 11th Floor, New York, New York 10001. Our telephone number is</w:t>
      </w:r>
    </w:p>
    <w:p>
      <w:pPr>
        <w:spacing w:after="0" w:line="1" w:lineRule="exact"/>
        <w:rPr>
          <w:sz w:val="20"/>
          <w:szCs w:val="20"/>
          <w:color w:val="auto"/>
        </w:rPr>
      </w:pPr>
    </w:p>
    <w:p>
      <w:pPr>
        <w:jc w:val="both"/>
        <w:ind w:firstLine="8"/>
        <w:spacing w:after="0" w:line="253" w:lineRule="auto"/>
        <w:tabs>
          <w:tab w:leader="none" w:pos="44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750-9595 and our website address is </w:t>
      </w:r>
      <w:r>
        <w:rPr>
          <w:rFonts w:ascii="Times New Roman" w:cs="Times New Roman" w:eastAsia="Times New Roman" w:hAnsi="Times New Roman"/>
          <w:sz w:val="18"/>
          <w:szCs w:val="18"/>
          <w:i w:val="1"/>
          <w:iCs w:val="1"/>
          <w:color w:val="auto"/>
        </w:rPr>
        <w:t>www.xwell.com</w:t>
      </w:r>
      <w:r>
        <w:rPr>
          <w:rFonts w:ascii="Times New Roman" w:cs="Times New Roman" w:eastAsia="Times New Roman" w:hAnsi="Times New Roman"/>
          <w:sz w:val="18"/>
          <w:szCs w:val="18"/>
          <w:color w:val="auto"/>
        </w:rPr>
        <w:t xml:space="preserve">. We also operate the websites </w:t>
      </w:r>
      <w:r>
        <w:rPr>
          <w:rFonts w:ascii="Times New Roman" w:cs="Times New Roman" w:eastAsia="Times New Roman" w:hAnsi="Times New Roman"/>
          <w:sz w:val="18"/>
          <w:szCs w:val="18"/>
          <w:i w:val="1"/>
          <w:iCs w:val="1"/>
          <w:color w:val="auto"/>
        </w:rPr>
        <w:t>www.xpresspa.com, www.xprescheck.com, www.hyperpointe.com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www.napleswaxcenter.com</w:t>
      </w:r>
      <w:r>
        <w:rPr>
          <w:rFonts w:ascii="Times New Roman" w:cs="Times New Roman" w:eastAsia="Times New Roman" w:hAnsi="Times New Roman"/>
          <w:sz w:val="18"/>
          <w:szCs w:val="18"/>
          <w:color w:val="auto"/>
        </w:rPr>
        <w:t>. Through our website, we will make available, free of charge, our annual report on Form 10-K, quarterly reports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10-Q, current reports on Form 8-K and any amendments to those reports, as soon as reasonably practicable after such material is electronically filed with, or furnished to, the SEC. Information contained on, or that can be accessed through, our website is not and shall not be deemed to be a part of this prospectus.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line="200" w:lineRule="exact"/>
        <w:rPr>
          <w:sz w:val="20"/>
          <w:szCs w:val="20"/>
          <w:color w:val="auto"/>
        </w:rPr>
      </w:pP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to be 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ind w:left="30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 to an aggregate of 30,440,060 shares of Common Stock, which are issuable to such selling stockholders pursuant to the terms of the Preferred Shares and Warrants and which includes 1,140,370 Dividend Shares.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terms of the Registration Rights Agreement, as amended, require us to register the number of shares of Common Stock equal to the sum of (i) 100% of the maximum number of Conversion Shares issuable upon conversion of the Preferred Shares (assuming for purposes hereof that (x) the Preferred Shares are convertible at the Floor Price of $0.167, which was 20% of the “Minimum Price” (as defined in Nasdaq Stock Market Rule 5635) on the Stockholder Approval Date, and (y) any such conversion shall not take into account any limitations on the conversion of the Preferred Shares set forth in the Certificate of Designations, and (ii) 100% of the maximum number of Warrant Shares issuable upon exercise of the Warrants issued to the Investors (x) assuming for purposes hereof that the Warrants will be exercised at the initial exercise price as set forth in the Warrants (as defined herein) and (y) any such exercise shall not take into account any limitations on the exercise of the Warrant Shares set forth in the Warrants, in each case subject to the adjustments set forth in the Certificate of Designations and Warrants.</w:t>
      </w:r>
    </w:p>
    <w:p>
      <w:pPr>
        <w:spacing w:after="0" w:line="18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also registering up to 1,140,370 Dividend Shares in connection with the payments of dividends in the form of shares of Common Stock, if any, to the holders of the Preferred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the Conversion Shares and Warrant Shares by the selling stockholders. However, we will receive proceeds from the exercise of the Warrants if such Warrants are exercised for cash. We currently intend to use such proceeds, if any, for general corporate purposes.</w:t>
      </w:r>
    </w:p>
    <w:p>
      <w:pPr>
        <w:spacing w:after="0" w:line="176" w:lineRule="exact"/>
        <w:rPr>
          <w:sz w:val="20"/>
          <w:szCs w:val="20"/>
          <w:color w:val="auto"/>
        </w:rPr>
      </w:pPr>
    </w:p>
    <w:p>
      <w:pPr>
        <w:sectPr>
          <w:pgSz w:w="11900" w:h="16838" w:orient="portrait"/>
          <w:cols w:equalWidth="0" w:num="2">
            <w:col w:w="1600" w:space="300"/>
            <w:col w:w="934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selling stockholders named in this prospectus, or their pledgees, donees, transferees, distributees, beneficiaries or other</w:t>
            </w:r>
          </w:p>
        </w:tc>
      </w:tr>
      <w:tr>
        <w:trPr>
          <w:trHeight w:val="216"/>
        </w:trPr>
        <w:tc>
          <w:tcPr>
            <w:tcW w:w="1780" w:type="dxa"/>
            <w:vAlign w:val="bottom"/>
          </w:tcPr>
          <w:p>
            <w:pPr>
              <w:spacing w:after="0"/>
              <w:rPr>
                <w:sz w:val="18"/>
                <w:szCs w:val="18"/>
                <w:color w:val="auto"/>
              </w:rPr>
            </w:pP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successors-in-interest, may offer or sell the shares of Common Stock from time to time through public or private transactions at</w:t>
            </w:r>
          </w:p>
        </w:tc>
      </w:tr>
      <w:tr>
        <w:trPr>
          <w:trHeight w:val="216"/>
        </w:trPr>
        <w:tc>
          <w:tcPr>
            <w:tcW w:w="1780" w:type="dxa"/>
            <w:vAlign w:val="bottom"/>
          </w:tcPr>
          <w:p>
            <w:pPr>
              <w:spacing w:after="0"/>
              <w:rPr>
                <w:sz w:val="18"/>
                <w:szCs w:val="18"/>
                <w:color w:val="auto"/>
              </w:rPr>
            </w:pP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prevailing market prices, at prices related to prevailing market prices or at privately negotiated prices. The selling stockholders</w:t>
            </w:r>
          </w:p>
        </w:tc>
      </w:tr>
      <w:tr>
        <w:trPr>
          <w:trHeight w:val="216"/>
        </w:trPr>
        <w:tc>
          <w:tcPr>
            <w:tcW w:w="1780" w:type="dxa"/>
            <w:vAlign w:val="bottom"/>
          </w:tcPr>
          <w:p>
            <w:pPr>
              <w:spacing w:after="0"/>
              <w:rPr>
                <w:sz w:val="18"/>
                <w:szCs w:val="18"/>
                <w:color w:val="auto"/>
              </w:rPr>
            </w:pP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may also resell the shares of Common Stock to or through underwriters, broker-dealers or agents, who may receive compensation</w:t>
            </w:r>
          </w:p>
        </w:tc>
      </w:tr>
      <w:tr>
        <w:trPr>
          <w:trHeight w:val="234"/>
        </w:trPr>
        <w:tc>
          <w:tcPr>
            <w:tcW w:w="1780" w:type="dxa"/>
            <w:vAlign w:val="bottom"/>
          </w:tcPr>
          <w:p>
            <w:pPr>
              <w:spacing w:after="0"/>
              <w:rPr>
                <w:sz w:val="20"/>
                <w:szCs w:val="20"/>
                <w:color w:val="auto"/>
              </w:rPr>
            </w:pP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the form of discounts, concessions or commissions.</w:t>
            </w:r>
          </w:p>
        </w:tc>
      </w:tr>
      <w:tr>
        <w:trPr>
          <w:trHeight w:val="414"/>
        </w:trPr>
        <w:tc>
          <w:tcPr>
            <w:tcW w:w="1780" w:type="dxa"/>
            <w:vAlign w:val="bottom"/>
          </w:tcPr>
          <w:p>
            <w:pPr>
              <w:spacing w:after="0"/>
              <w:rPr>
                <w:sz w:val="24"/>
                <w:szCs w:val="24"/>
                <w:color w:val="auto"/>
              </w:rPr>
            </w:pP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See “Plan of Distribution” beginning on page 17 of this prospectus for additional information on the methods of sale that may be</w:t>
            </w:r>
          </w:p>
        </w:tc>
      </w:tr>
      <w:tr>
        <w:trPr>
          <w:trHeight w:val="234"/>
        </w:trPr>
        <w:tc>
          <w:tcPr>
            <w:tcW w:w="1780" w:type="dxa"/>
            <w:vAlign w:val="bottom"/>
          </w:tcPr>
          <w:p>
            <w:pPr>
              <w:spacing w:after="0"/>
              <w:rPr>
                <w:sz w:val="20"/>
                <w:szCs w:val="20"/>
                <w:color w:val="auto"/>
              </w:rPr>
            </w:pP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used by the selling stockholders.</w:t>
            </w:r>
          </w:p>
        </w:tc>
      </w:tr>
      <w:tr>
        <w:trPr>
          <w:trHeight w:val="41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w:t>
            </w: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“XWEL.”</w:t>
            </w:r>
          </w:p>
        </w:tc>
      </w:t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Symbol</w:t>
            </w:r>
          </w:p>
        </w:tc>
        <w:tc>
          <w:tcPr>
            <w:tcW w:w="9460" w:type="dxa"/>
            <w:vAlign w:val="bottom"/>
          </w:tcPr>
          <w:p>
            <w:pPr>
              <w:spacing w:after="0"/>
              <w:rPr>
                <w:sz w:val="20"/>
                <w:szCs w:val="20"/>
                <w:color w:val="auto"/>
              </w:rPr>
            </w:pPr>
          </w:p>
        </w:tc>
      </w:tr>
      <w:tr>
        <w:trPr>
          <w:trHeight w:val="41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Investing in our Common Stock involves significant risks. See “Risk Factors” beginning on page 10 of this prospectus and the</w:t>
            </w:r>
          </w:p>
        </w:tc>
      </w:tr>
      <w:tr>
        <w:trPr>
          <w:trHeight w:val="234"/>
        </w:trPr>
        <w:tc>
          <w:tcPr>
            <w:tcW w:w="1780" w:type="dxa"/>
            <w:vAlign w:val="bottom"/>
          </w:tcPr>
          <w:p>
            <w:pPr>
              <w:spacing w:after="0"/>
              <w:rPr>
                <w:sz w:val="20"/>
                <w:szCs w:val="20"/>
                <w:color w:val="auto"/>
              </w:rPr>
            </w:pPr>
          </w:p>
        </w:tc>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documents incorporated by reference in this prospectus.</w:t>
            </w:r>
          </w:p>
        </w:tc>
      </w:tr>
      <w:tr>
        <w:trPr>
          <w:trHeight w:val="648"/>
        </w:trPr>
        <w:tc>
          <w:tcPr>
            <w:tcW w:w="178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378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240"/>
          </w:cols>
          <w:pgMar w:left="320" w:top="900"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In addition to the other information contained in this prospectus and in the documents we incorporate by reference, you should carefully consider the risks discussed below and under the heading “Risk Factors” in our Annual Report on Form 10-K, as amended, for the fiscal year ended December 31, 2024, as well as any amendment or update to our risk factors reflected in subsequent filings with the SEC, before making a decision about investing in our securities. The risks and uncertainties discussed below and in the documents incorporated by reference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Common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continued listing standards of Nasdaq provide, among other things, that a company may be delisted if the bid price of its stock drops below $1.00 for a period of 30 consecutive business days or if stockholders’ equity is less than $2,500,000. On May 13, 2025, we received a letter from the Listing Qualifications Department of the Nasdaq Stock Market indicating that, based upon the closing bid price of our Common Stock for the 30 consecutive business days between March 31, 2025, to May 12, 2025, we did not meet the minimum bid price of $1.00 per share required for continued listing on the Nasdaq pursuant to the Minimum Bid Price Rule. The letter also indicated that we will be provided with the Compliance Period (until November 10, 2025), in which to regain compliance pursuant to Nasdaq Listing Rule 5810(c)(3)(A).</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regain compliance with Nasdaq’s Minimum Bid Price Rule, our Common Stock must maintain a minimum closing bid price of $1.00 for at least ten consecutive business days during the Compliance Period. In the event we do not regain compliance by the end of the Compliance Period, we may be eligible for additional time to regain compliance. To qualify, we will be required to meet the continued listing requirement for the market value of its publicly held shares and all other initial listing standards for Nasdaq, with the exception of the bid price requirement, and will need to provide written notice of our intention to cure the deficiency during the second compliance period, by effecting a reverse stock split if necessary. If we meet these requirements, we may be granted an additional 180 calendar days to regain compliance. However, if it appears to Nasdaq that we will be unable to cure the deficiency, or if we are not otherwise eligible for the additional cure period, Nasdaq will provide notice that our Common Stock will be subject to delisting. There can be no assurance that we will be eligible for the additional 180 calendar day compliance period, if applicable, or that the Nasdaq staff would grant our request for continued listing subsequent to any delisting notification. In the event of such a notification, we may appeal the Nasdaq staff’s determination to delist our securities. As of the date of this prospectus, we have not regained compliance with the Minimum Bid Price Rule.</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in the future we seek to implement a reverse stock split to remain listed on Nasdaq, the announcement and/or implementation of a reverse stock split could significantly negatively affect the price of our Common Stock. Additionally, if we seek to implement a reverse stock split to remain listed on Nasdaq, it cannot be assured that such reverse stock split will result in any sustained proportionate increase in the market price of our Common Stock, which is dependent upon many factors, including our business and financial performance, general market conditions, and prospects for future success, which are unrelated to the number of shares of our Common Stock outstanding. It is not uncommon for the market price of a company’s common stock to decline in the period following a reverse stock split. We may be unable to regain compliance in the future if our stock price again falls below the minimum bid price. Additionally, if we fail to comply with any other continued listing standards of Nasdaq, our Common Stock would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The delisting of our Common Stock also would likely have a negative effect on the price of our Common Stock and would impair your ability to sell or purchase our common stock when you wish to do so. Further, if we were to be delisted from Nasdaq, our Common Stock would cease to be recognized as covered securities, and we would be subject to regulation in each state in which we offer our securities.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expect to take actions intended to restore our compliance with the listing requirements, we can provide no assurance that any action taken by us would be successful, that we would successfully maintain compliance with the minimum bid price requirement or any of Nasdaq’s other listing requirements or that any such action would stabilize the market price or improve the liquidity of our Common Stock. Should a delisting occur, an investor would likely find it significantly more difficult to dispose of, or to obtain accurate quotations as to the value of our shares, and our ability to raise future capital through the sale of our Common Stock could be severely limited.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the shares of Common Stock covered by this prospectus could significantly increase the total number of shares of Common Stock issued and outstanding and thereby cause our existing stockholders to experience substantial dilution.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shares of Common Stock being offered pursuant to this prospectus represent Conversion Shares issuable upon the conversion of our Preferred Shares and Warrant Shares issuable upon the exercise of the Warrants. As of May 15, 2025, there were 5,261,024 shares of Common Stock issued and outstanding (prior to any deemed issuance of any Conversion Shares or Warrant Shares). If we are required to issue the maximum number of Conversion Shares and Warrant Shares that are being registered hereunder, the number of shares of Common Stock issued and outstanding after such issuance would represent approximately 557% of the number of shares of Common Stock issued and outstanding as of the date of this prospectus. As a result, an existing stockholder’s proportionate interest in us will be substantially diluted. The actual number of shares of Common Stock that we issue to the selling stockholders may be less than the aggregate number of shares covered by this prospectus.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474" w:gutter="0" w:footer="0" w:header="0"/>
        </w:sectPr>
      </w:pPr>
    </w:p>
    <w:bookmarkStart w:id="15" w:name="page16"/>
    <w:bookmarkEnd w:id="15"/>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Certificate of Designations provides for amortization payments to be issued in the form of shares of Common Stock at a conversion price that varies with the trading price of our Common Stock. This feature may result in a greater number of shares of Common Stock being issued upon conversions than if the conversions were effected at the conversion price in effect as of the date of this prospectus. Sales of these shares will dilute the interests of other security holders and may depress the price of our Common Stock and make it difficult for us to raise additional capital.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Certificate of Designations for our Preferred Shares provides for the payment of amortization payments to the holder of our Preferred Shares in cash or shares of Common Stock, or a combination thereof, at the Company’s option. If the Company elects to pay any dividends in shares of Common Stock, the conversion price used to calculate the number of shares issuable will equal to the greater of (A) 80% of the average of the three lowest closing prices of our Common Stock during the thirty consecutive trading day period ending and including the trading day immediately prior to the date the amortization payment is due or (B) $0.167, which was 20% of the Minimum Price on the Stockholder Approval Date or such lower amount as permitted, from time to time, by the Nasdaq Capital Market. The potential for such additional issuances below the Conversion Price as of the date of this prospectus may depress the price of our Common Stock regardless of our business performance. We may find it more difficult to raise additional equity capital while any of our Preferred Shares is outstanding.</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Certificate of Designations provides for the payment of dividends in cash or in shares of our Common Stock, or a combination thereof, and we may not be permitted to pay such dividends in cash, which will require us to have shares of Common Stock available to pay the dividends.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share of the Preferred Shares is entitled to receive cumulative dividends at the rate per share of 8% per annum of the stated value per share, compounded each calendar quarter. The dividends are payable in cash, out of any funds legally available for such purpose, or shares of Common Stock in the case of an Installment Conversion (as defined in the Certificate of Designations). We will not be permitted to pay the amortization in cash unless we are legally permitted to do so under Delaware law. As such, we may rely on having available shares of Common Stock to pay such amortization, which will result in dilution to our shareholders. If we do not have such available shares, we may not be able to satisfy our amortization obligations.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Holders of our Preferred Shares are entitled to certain payments under the applicable Certificate of Designations that may be paid in cash, in shares of Common Stock or in additional Preferred Shares depending on the circumstances. If we make these payments in cash, it may require the expenditure of a substantial portion of our cash resources. If we make these payments in Common Stock, it may result in substantial dilution to the holders of our Common Stock.</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Certificate of Designations, we are required to redeem Preferred Shares in six equal quarterly installments, commencing on February 1, 2025. The amortization payments due upon such redemption are payable, at our election, in cash at 107% of the applicable Installment Redemption Amount (as defined in the Certificate of Designations), or subject to certain limitations, in shares of Common Stock valued at the lower of (i) the conversion price then in effect and (ii) the greater of (A) 80% of the average of the three lowest closing prices of the our Common Stock during the thirty consecutive trading day period ending and including the trading day immediately prior to the date the amortization payment is due or (B) the Floor Price, and in each case subject to adjustment for stock splits, stock dividends, stock combinations, recapitalizations or other similar events. Holders of our Preferred Shares are also entitled to receive dividends of 8% per annum, compounded each calendar quarter, which are payable in arrears monthly in cash or shares of our Common Stock, at our option, in accordance with the terms of the Certificate of Designations.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make payments due to the holders of our Preferred Shares using shares of Common Stock is subject to certain limitations set forth in the applicable Certificate of Designations. We will not be permitted to pay the amortization in cash unless we are legally permitted to do so under Delaware law. As such, we may rely on having available shares of Common Stock to pay such amortization, which will result in dilution to our shareholders. If we do not have such available shares, we may not be able to satisfy our amortization obligations, or we may be forced to make such payments in cash. If we do not have sufficient cash resources to make these payments, we may need to raise additional equity or debt capital, and we cannot provide any assurance that we will be successful in doing so. If are unable to raise sufficient capital to meet our payment obligations, we may need to delay, reduce or eliminate certain research and development programs or other operations, sell some or all of our assets or merge with another entity.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make payments due to the holders of our Preferred Shares using cash is also limited by the amount of cash we have on hand at the time such payments are due as well as certain provisions of the Delaware General Corporation Law (the “DGCL”). Further, we intend to make the installment payments due to holders of Preferred Shares in the form of Common Stock to the extent allowed under the applicable Certificate of Designation and applicable law in order to preserve our cash resources. The issuance of shares of common stock to the holders of our Preferred Shares with increase the number of shares of Common Stock outstanding and could result in substantial dilution to the existing holders of our Common Stock.</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Preferred Shares and the Warrants contain certain anti-dilution provisions, which may dilute the interests of our stockholders, depress the price of our Common Stock, and make it difficult for us to raise additional capital.</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events, for example, a Stock Combination Event (as defined in the Certificate of Designations) may reduce the conversion price of the Preferred Shares, which in turn may lead to further dilution to the holders of our Common Stock. The Warrants additionally contain anti-dilution provisions applicable to the exercise price. If in the future, while any of the Warrants are outstanding, we may be required upon the occurrence of certain events, to adjust the exercise price of the Warrants, and simultaneously with any adjustment to the exercise price, the number of shares of Common Stock that may be purchased upon exercise of the Warrants shall be increased or decreased proportionately, so that after such adjustment the aggregate exercise price payable thereunder for the adjusted number of shares of common stock issuable upon exercise of the Warrants shall be the same as the aggregate exercise price in effect immediately prior to such adjustment. Such adjustments can dilute the book value per share of Common Stock and reduce any proceeds we may receive from the exercise of the Warrants. In addition, the perceived risk of dilution may cause our shareholders to be more inclined to sell their Common Stock, which may in turn depress the price of common shares regardless of our business performance. We may also find it more difficult to raise additional equity capital while any of the Warrants and the Preferred Shares remain outstanding.</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906" w:gutter="0" w:footer="0" w:header="0"/>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Certificate of Designations contains restrictive covenants and terms that may make it difficult to procure additional financing and that may affect our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Certificate of Designations contains certain restrictive covenants including but not limited to, maintaining a Cash Minimum (as defined in the Certificate of Designations), restrictions on incurring any indebtedness until the date on which at least 80% of the Preferred Shares have been converted to Common Stock and/or redeemed by us, subject to certain exceptions, restrictions on directly or indirectly, redeeming, repurchasing or declaring or paying any cash dividend or distribution on any of our capital stock (other than as required by the Certificate of Designations), and restrictions on directly or indirectly, permitting any of our indebtedness to mature or accelerate prior to the Maturity Date (as defined in the Certificate of Designations). Additionally, the Preferred Shares also contains certain purchase rights (the “Purchase Rights”) permitting the holders of the Preferred Shares to acquire upon the terms applicable to such Purchase Rights, the aggregate Purchase Rights which such holder could have acquired if such holder had held the number of shares of Common Stock acquirable upon complete conversion of all of its Preferred Shares. These restrictive covenants may may limit our flexibility in raising capital or incurring any indebtedness, which may have an adverse effect on our financial condition.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the Preferred Shares are entitled to dividends of 8% per annum, compounded each calendar quarter, which are payable in arrears monthly in cash or shares of Common Stock at our option, in accordance with the terms of the Certificate of Designations. Upon the occurrence and during the continuance of a Triggering Event (as defined in the Certificate of Designations), the Preferred Shares accrue dividends at the rate of 15% per annum (the “Default Rate”). In connection with a Triggering Event, each holder of the Preferred Shares will be able to require us to redeem in cash any or all of the holder’s Preferred Shares at a premium set forth in the Certificate of Designations. If such Triggering Event occurs, our financial condition and results of operations could be materially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the Purchase Agreement, we are subject to certain restrictive covenants that may make it difficult to procure additional financing.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Agreement contains, among others, the following restrictive covenants: (A) until all of Preferred Shares are no longer outstanding (or until no Warrants remain outstanding if the stockholder approval for the issuance of the shares of Common Stock upon conversion or exercise of the Preferred Shares and Warrants, as applicable, is not obtained) we shall be prohibited from effecting or entering into an agreement to effect any subsequent placement involving a variable rate transaction and (B) until the earlier of (i) the second anniversary of the closing date of the Private Placement, and (ii) the date in which no Preferred Shares remain outstanding, the opportunity to participate in any subsequent securities offerings by 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require additional funding while these restrictive covenants remain in effect, we may be unable to effect a financing transaction on terms acceptable to us, or at all, while also remaining in compliance with the terms of the Purchase Agreement, or we may be forced to seek a waiver from the investors party to the Purchase Agreement, which such investors are not obligated to grant to us.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or other issuances of our Common Stock could depress the market for our Common Stock.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and any future sales of a substantial number of shares of Common Stock in the public market, including the issuance of shares or any shares issuable upon conversion of the Preferred Shares or exercise of the Warrants, or the perception by the market that those sales could occur, could cause the market price of our Common Stock to decline or could make it more difficult for us to raise funds through the sale of equity and equity-related securities in the future at a time and price that our management deems acceptable, or at all. The issuance the shares of Common Stock upon conversion of the Preferred Shares and the exercise of the Warrants and the issuance of the Dividend Shares, for example, is likely to further depress the price of our Common Stock, which could, among other factors, make it more difficult for us to regain compliance with the Minimum Bid Price Rule and to maintain compliance with Nasdaq’s continued listing requirements. In turn, this may also increase the likelihood that we may have to implement a reverse stock split of our Common Stock to regain compliance with the Minimum Bid Price Rule and the announcement and/or implementation of a reverse stock split could significantly negatively affect the price of our Common Stock. We may additionally be unable to maintain any proportionate increase in the market price of our Common Stock following a reverse stock split. See “Risk Factors – Risks Related to this Offering and Our Common Stock – ‘</w:t>
      </w:r>
      <w:r>
        <w:rPr>
          <w:rFonts w:ascii="Times New Roman" w:cs="Times New Roman" w:eastAsia="Times New Roman" w:hAnsi="Times New Roman"/>
          <w:sz w:val="18"/>
          <w:szCs w:val="18"/>
          <w:i w:val="1"/>
          <w:iCs w:val="1"/>
          <w:color w:val="auto"/>
        </w:rPr>
        <w:t>Our failure to meet the continued listing requirements of Nasdaq could result in a delisting of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above.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opportunities present themselves, we may enter into financing or similar arrangements in the future, including the issuance of debt securities, preferred stock or Common Stock, which could also depress the market for our Common Stock. We cannot predict the effect, if any, that market sales of those shares of Common Stock or the availability of those shares for sale will have on the market price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and other issuances of our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Common Stock or other securities convertible into or exchangeable for our Common Stock prices that may not be the same as the price per share paid by the investors in this offering. We may not be able to sell shares or other securities in any other offering at a price per share that is equal to or greater than the price per share paid by the investors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paid to the selling stockholders. Our stockholders will incur dilution upon exercise of any outstanding stock options, warrants or other convertible securities or upon the issuance of shares of Common Stock under our stock incentive programs.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additional capital raised through the sale of equity or equity-backed securities may dilute our stockholders’ ownership percentages and could also result in a decrease in the market value of our equity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pursuing future capital financing, including investment banking fees, legal fees, accounting fees, securities law compliance fees, printing and distribution expenses and other costs. We may also be required to recognize non-cash expenses in connection with certain securities we issue, such as convertible notes and warrants, which may adversely impact our financial condition.</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contain “forward-looking statements,” which include information relating to future events, future financial performance, strategies, expectations, competitive environment and regulation.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Forward-looking statements should not be read as a guarantee of future performance or results and will probably not be accurate indications of when such performance or results will be achieved. All statements included or incorporated by reference in this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applicable prospectus supplement and the documents incorporated by reference under the captions “Risk Factors” and “Special Note Regarding Forward-Looking Statements” and elsewhere in those documents.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prospectus as well as all of the forward-looking statements incorporated by reference to our filings under the Securities Exchange Act of 1934, as amended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shares of our Common Stock offered by this prospectus are being registered for the accounts of the selling stockholders and we will not receive any proceeds from the sale of these shares. However, we will receive proceeds from the exercise of the Warrants if the Warrants are exercised for cash. We intend to use those proceeds, if any, for general corporate purposes. The holders of the Warrants are not obligated to exercise their Warrants for cash, and we cannot predict whether holders of the Warrants will choose to exercise all or any of their Warrants for cash.</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as used in this prospectus, “selling stockholders” includes the selling stockholders listed below and donees, pledgees, transferees or other successors-in-interest selling shares received after the date of this prospectus from the selling stockholders as a gift, pledge or other non-sale related transfer.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prepared this prospectus to allow the selling stockholders or their successors, assignees or other permitted transferees to sell or otherwise dispose of, from time to time, up to 30,440,060 shares of our Common Stock, which includes up to 1,140,370 shares of Common Stock issuable as Dividend Shares.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Common Stock being offered by the selling stockholders are those issuable to the selling stockholders upon conversion of the Preferred Shares and exercise of the Warrants. For additional information regarding the issuance of the Preferred Shares and the Warrants, see “Private Placement of Preferred Shares and Warrants” above. We are registering the Conversion Shares and Warrant Shares in order to permit the selling stockholders to offer the shares for resale from time to time. The selling stockholders may also sell, transfer or otherwise dispose of all or a portion of their shares in transactions exempt from the registration requirements of the Securities Act, or pursuant to another effective registration statement covering those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Relationships with the Selling Stockholders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the ownership of the Preferred Shares and the Warrants issued pursuant to the Purchase Agreement and, except as disclosed in our periodic reports and current reports filed with the SEC from time to time, the selling stockholders have not had any material relationship with us within the past three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Selling Stockholders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(as determined under Section 13(d) of the Exchange Act and the rules and regulations thereunder) of the shares of Common Stock held by each of the selling stockholders. The second column (titled “Number of Shares of Common Stock Owned Prior to Offering”) lists the number of shares of Common Stock beneficially owned by the selling stockholders, based on their respective ownership of shares of Common Stock, Preferred Shares and Warrants as of May 15, 2025 , assuming conversion of the Preferred Shares and exercise of the Warrants and any other warrants held by each such selling stockholder on that date, and taking account of any beneficial ownership limitations on conversion and exercise set forth therein.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third column (titled “Maximum Number of Shares of Common Stock to be Sold Pursuant to this Prospectus”) lists the shares of Common Stock being offered by this prospectus by the selling stockholders at the Floor Price and exercise price of the Preferred Shares and the Warrants, respectively, and does not take in account any beneficial ownership limitations on (i) conversion of the Preferred Shares as set forth in the Certificate of Designations or (ii) exercise of the Warrants as set forth in the Warrants.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fourth and fifth columns (titled “Number of Shares of Common Stock Owned After Offering” and “Percentage of Common Stock Owned After Offering”, respectively) assume the conversion of the Preferred Shares at the Floor Price and exercise of the Warrants at the initial exercise price and the sale of all of the shares offered by the selling stockholders pursuant to this prospectus, including the Dividend Shares apportioned to the selling stockholders on a pro rata basis based on the number of Preferred Shares held by the selling stockholder. Because the Conversion Price of the Preferred Shares and the exercise price of the Warrants may be adjusted, the number of shares that will actually be issued may be more or less than the number of shares being offered by this prospectus.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spacing w:after="0" w:line="254" w:lineRule="auto"/>
        <w:rPr>
          <w:sz w:val="20"/>
          <w:szCs w:val="20"/>
          <w:color w:val="auto"/>
        </w:rPr>
      </w:pPr>
      <w:r>
        <w:rPr>
          <w:rFonts w:ascii="Times New Roman" w:cs="Times New Roman" w:eastAsia="Times New Roman" w:hAnsi="Times New Roman"/>
          <w:sz w:val="18"/>
          <w:szCs w:val="18"/>
          <w:color w:val="auto"/>
        </w:rPr>
        <w:t>The terms of the Registration Rights Agreement require us to register the number of shares of Common Stock equal to the sum of (i) 100% of the maximum number of Conversion Shares issuable upon conversion of the Preferred Shares (assuming for purposes hereof that (x) the Preferred Shares are convertible at the Floor Price of $0.167, which was 20% of the “Minimum Price” (as defined in Nasdaq Stock Market Rule 5635) on the Stockholder Approval Date, and (y) any such conversion shall not take into account any limitations on the conversion of the Preferred Shares set forth in the Certificate of Designations, and (ii) 100% of the maximum number of Warrant Shares issuable upon exercise of the Warrants issued to the Investors (x) assuming for purposes hereof that the Warrants will be exercised at the initial exercise price as set forth in the Warrants (as defined herein) and (y) any such exercise shall not take into account any limitations on the exercise of the Warrant Shares set forth in the Warrants, in each case subject to the adjustments set forth in the Certificate of Designations and Warrants.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Certificate of Designations and the Warrants, a selling stockholder, may not convert the Preferred Shares or exercise the Warrants to the extent (but only to the extent) such selling stockholder or any of its affiliates would beneficially own a number of shares of our shares of Common Stock which would exceed 4.99%, of the outstanding shares of the Company. The number of shares in the second column (“Number of Shares of Common Stock Owned Prior to Offering”), reflects these limitations. The number of shares in the third column (“Maximum Number of Shares of Common Stock to be Sold Pursuant to this Prospectus”) does not take into account any limitations on the conversion of the Preferred Shares or the Warrants. The selling stockholders may sell all, some or none of their shares in this offering. See “Plan of Distribution.”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Stock to be</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7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Sold Pursuant</w:t>
            </w:r>
          </w:p>
        </w:tc>
        <w:tc>
          <w:tcPr>
            <w:tcW w:w="27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6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Beneficially Owned Before</w:t>
            </w:r>
          </w:p>
        </w:tc>
        <w:tc>
          <w:tcPr>
            <w:tcW w:w="17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to this</w:t>
            </w:r>
          </w:p>
        </w:tc>
        <w:tc>
          <w:tcPr>
            <w:tcW w:w="27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Beneficially Owned After</w:t>
            </w:r>
          </w:p>
        </w:tc>
        <w:tc>
          <w:tcPr>
            <w:tcW w:w="0" w:type="dxa"/>
            <w:vAlign w:val="bottom"/>
          </w:tcPr>
          <w:p>
            <w:pPr>
              <w:spacing w:after="0"/>
              <w:rPr>
                <w:sz w:val="1"/>
                <w:szCs w:val="1"/>
                <w:color w:val="auto"/>
              </w:rPr>
            </w:pPr>
          </w:p>
        </w:tc>
      </w:tr>
      <w:tr>
        <w:trPr>
          <w:trHeight w:val="238"/>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Selling Stockholders</w:t>
            </w:r>
          </w:p>
        </w:tc>
        <w:tc>
          <w:tcPr>
            <w:tcW w:w="276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Offering(1)</w:t>
            </w:r>
          </w:p>
        </w:tc>
        <w:tc>
          <w:tcPr>
            <w:tcW w:w="17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Prospectus (2)</w:t>
            </w:r>
          </w:p>
        </w:tc>
        <w:tc>
          <w:tcPr>
            <w:tcW w:w="27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09"/>
        </w:trPr>
        <w:tc>
          <w:tcPr>
            <w:tcW w:w="4020" w:type="dxa"/>
            <w:vAlign w:val="bottom"/>
            <w:gridSpan w:val="2"/>
            <w:vMerge w:val="continue"/>
          </w:tcPr>
          <w:p>
            <w:pPr>
              <w:spacing w:after="0"/>
              <w:rPr>
                <w:sz w:val="18"/>
                <w:szCs w:val="18"/>
                <w:color w:val="auto"/>
              </w:rPr>
            </w:pPr>
          </w:p>
        </w:tc>
        <w:tc>
          <w:tcPr>
            <w:tcW w:w="110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3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Offered</w:t>
            </w:r>
          </w:p>
        </w:tc>
        <w:tc>
          <w:tcPr>
            <w:tcW w:w="300" w:type="dxa"/>
            <w:vAlign w:val="bottom"/>
          </w:tcPr>
          <w:p>
            <w:pPr>
              <w:spacing w:after="0"/>
              <w:rPr>
                <w:sz w:val="18"/>
                <w:szCs w:val="18"/>
                <w:color w:val="auto"/>
              </w:rPr>
            </w:pPr>
          </w:p>
        </w:tc>
        <w:tc>
          <w:tcPr>
            <w:tcW w:w="124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Iroquois Capital Investment Group, LLC (3)</w:t>
            </w: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191,692</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21,117,793</w:t>
            </w:r>
          </w:p>
        </w:tc>
        <w:tc>
          <w:tcPr>
            <w:tcW w:w="30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5"/>
              </w:rPr>
              <w:t>(5)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Iroquois Master Fund Ltd. (4)</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84,621</w:t>
            </w:r>
          </w:p>
        </w:tc>
        <w:tc>
          <w:tcPr>
            <w:tcW w:w="16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4.99 %</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9,322,267(6)</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28,791 (6)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40" w:hanging="132"/>
        <w:spacing w:after="0"/>
        <w:tabs>
          <w:tab w:leader="none" w:pos="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and the information in the notes below are based upon information available to the Company and upon 5,261,024 shares of Common Stock issued and outstanding as of May 15, 2025 (prior to any deemed issuance of any Conversion Shares or Warrant Shares). Except as expressly noted in the footnotes below, beneficial ownership has been determined in accordance with Rule 13d-3 under the Exchange Act. The amounts set forth in this column reflect the application of various limitations on the issuance of Conversion Shares and Warrant Shares in the Certificate of Designations and the Warrants, respectively, including certain beneficial ownership limitations and limitations under the rules or regulations of Nasdaq.</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the number of shares of Common Stock that may be issued, in the aggregate, upon conversion or exercise (as the case may be) of any Preferred Shares or any Warrants beneficially owned by the selling stockholder without taking in account any limitations on beneficial limitation as related to the (i) conversion of the Preferred Shares as set forth in the Certificate of Designations or (ii) exercise of the Warrants as set forth in the Warrants.</w:t>
      </w:r>
    </w:p>
    <w:p>
      <w:pPr>
        <w:spacing w:after="0" w:line="17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in this column additionally includes up to an aggregate of 1,140,370 Dividend Shares issuable as dividends to the holders of the Preferred Shares, calculated on a pro-rata basis for each selling stockholder based on the number of Preferred Shares held by the selling stockholder prior to this offering.</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held directly by Iroquois Capital Investment Group, LLC, a limited liability company (“ICIG”). Richard Abbe is the managing member of ICIG. Mr. Abbe has voting control and investment discretion over securities held by ICIG. As such, Mr. Abbe may be deemed to be the beneficial owner (as determined under Section 13(d) of the Exchange Act) of the securities held by ICIG. Mr. Abbe disclaims beneficial ownership over the securities listed except to the extent of his pecuniary interest therein. ICIG’s address is 2 Overhill Road, Suite 400, Scarsdale, NY 10583.</w:t>
      </w:r>
    </w:p>
    <w:p>
      <w:pPr>
        <w:spacing w:after="0" w:line="183"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the number of shares of Common Stock that may be issued, in the aggregate, upon conversion or exercise (as the case may be) of any Preferred Shares or any Warrants beneficially owned by the selling stockholder. Other shares of Common Stock beneficially owned prior to this offering consist of 28,791 shares of common stock</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held directly by Iroquois Master Fund Ltd. (“IMF”). Iroquois Capital Management L.L.C. is the investment manager of IMF. Iroquois Capital Management, LLC has voting control and investment discretion over securities held by IMF. As Managing Members of Iroquois Capital Management, LLC, Richard Abbe and Kimberly Page make voting and investment decisions on behalf of Iroquois Capital Management, LLC in its capacity as investment manager to IMF. As a result of the foregoing, Mr. Abbe and Mrs. Page may be deemed to have beneficial ownership (as determined under Section 13(d) of the Exchange Act) of the securities held by Iroquois Capital Management and IMF. Each of Iroquois Capital Management, LLC, Mr. Abbe and Ms. Page disclaims beneficial ownership over the securities listed except to the extent of their pecuniary interest therein. IMF’s address is 2 Overhill Road, Suite 400, Scarsdale, NY 10583.</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16,616,767 Conversion Shares converted at the Floor Price, (ii) 1,854,947 shares of Common Stock issuable upon exercise of the Series A Warrants at the initial exercise price, (iii) 1,854,947 shares of Common Stock issuable upon exercise of the Series B Warrants at the initial exercise price, and (iv) 791,132 Dividend Shares.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7,335,329 Conversion Shares converted at the Floor Price, (ii) 818,850 shares of Common Stock issuable upon exercise of the Series A Warrants at the initial exercise price, (iii) 818,850 shares of Common Stock issuable upon exercise of the Series B Warrants at the initial exercise price, and (iv) 349,238 Dividend Shares. Does not include an aggregate of 28,791 shares of Common Stock beneficially owned by the selling stockholder prior to the offering.</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registering the shares of Common Stock issuable upon conversion of the Preferred Shares and exercise of the Warrants to permit the resale of these shares of Common Stock by the holders of the Preferred Shares and Warrants from time to time after the date of this prospectus. We will not receive any of the proceeds from the sale by the selling stockholders of the shares of Common Stock, although we will receive the exercise price of any Warrants not exercised by the selling stockholders on a cashless exercise basis. We will bear all fees and expenses incident to our obligation to register the shares of Common Stock.</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and successors-in-interest may sell all or a portion of the shares of Common Stock held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prices related to prevailing market prices, at varying prices determined at the time of sale or at negotiated prices. These sales may be effected in transactions, which may involve crosses or block transactions, pursuant to one or more of the following methods:</w:t>
      </w:r>
    </w:p>
    <w:p>
      <w:pPr>
        <w:spacing w:after="0" w:line="187"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whether such options are listed on an options exchange or otherwise;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made after the date the Registration Statement is declared effective by the SEC;</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a selling security holder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selling stockholders may transfer the securities by other means not described in this prospectus. If the selling stockholders effect such transactions by selling securities to or through underwriters, broker-dealers or agents, such underwriters, broker-dealers or agents may receive commissions in the form of discounts, concessions or commissions from the selling stockholders or commissions from purchasers of the securities for whom they may act as agent or to whom they may sell as principal (which discounts, concessions or commissions as to particular underwriters, broker-dealers or agents may be in excess of those customary in the types of transactions involved). In connection with sales of the securities or otherwise, the selling stockholders may enter into hedging transactions with broker-dealers, which may in turn engage in short sales of the securities in the course of hedging in positions they assume. The selling stockholders may also sell securities short and deliver securities covered by this prospectus to close out short positions and to return borrowed shares in connection with such short sales. The selling stockholders may also loan or pledge securities to broker-dealers that in turn may sell such securities.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pledge or grant a security interest in some or all of the securities owned by them and, if they default in the performance of their secured obligations, the pledgees or secured parties may offer and sell the securities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securities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required by the Securities Act and the rules and regulations thereunder, the selling stockholders and any broker-dealer participating in the distribution of the securities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securities is made, a prospectus supplement, if required, will be distributed, which will set forth the aggregate amount of securities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securities may be sold in such states only through registered or licensed brokers or dealers. In addition, in some states the securities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securities registered pursuant to the registration statement of which this prospectus forms a part.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securities by the selling stockholders and any other participating person. To the extent applicable, Regulation M may also restrict the ability of any person engaged in the distribution of the securities to engage in market-making activities with respect to such securities. All of the foregoing may affect the marketability of the securities and the ability of any person or entity to engage in market-making activities with respect to the securities.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pay all expenses of the registration of the securities pursuant to the Registration Rights Agreements, estimated to be $49,120.98 in total, including, without limitation, SEC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forms a part, the securities will be freely tradable in the hands of persons other than our affiliates.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securities offered by this prospectus will be passed upon for us by Haynes and Boone, LLP, New York, New York.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XWELL, Inc. and subsidiaries as of and for the years December 31, 2024 and 2023, incorporated by reference in this registration statement and accompanying prospectus have been audited by Marcum LLP, and independent registered public accounting firm, as stated in their report (the report on the consolidated financial statements contains an explanatory paragraph regarding the Company’s ability to continue as a going concern). Such consolidated financial statements have been incorporated herein by reference in reliance on the report of such firm given upon their authority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offered by this prospectus.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 The SEC maintains an internet website at www.sec.gov that contains periodic and current reports, proxy and information statements, and other information regarding registrants that are filed electronically with the SEC.</w:t>
      </w:r>
    </w:p>
    <w:p>
      <w:pPr>
        <w:spacing w:after="0" w:line="162"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These documents are also available, free of charge, through the Investors section of our website, which is located at www.xwell.com. Information contained on our website is not incorporated by reference into this prospectus and you should not consider information on our website to be part of this prospectus.</w:t>
      </w: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it, which means that we can disclose important information to you by referring you to those documents. The information we incorporate by reference is an important part of this prospectus, and later information that we file with the SEC will automatically update and supersede this information. We incorporate by reference the documents listed below and any future documents (excluding information furnished pursuant to Items 2.02 and 7.01 of Form 8-K) we file with the SEC pursuant to Sections 13(a), 13(c), 14 or 15(d) of the Securities Exchange Act of 1934, as amended, subsequent to the date of this prospectus and prior to the termination of the offering:</w:t>
      </w:r>
    </w:p>
    <w:p>
      <w:pPr>
        <w:spacing w:after="0" w:line="183" w:lineRule="exact"/>
        <w:rPr>
          <w:sz w:val="20"/>
          <w:szCs w:val="20"/>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auto"/>
          </w:rPr>
          <w:t xml:space="preserve">our Annual Report on </w:t>
        </w:r>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auto"/>
          </w:rPr>
          <w:t xml:space="preserve"> for the year ended December 31, 2024, filed with the SEC on April 15, 2025, as amended by our report on </w:t>
        </w:r>
        <w:r>
          <w:rPr>
            <w:rFonts w:ascii="Times New Roman" w:cs="Times New Roman" w:eastAsia="Times New Roman" w:hAnsi="Times New Roman"/>
            <w:sz w:val="18"/>
            <w:szCs w:val="18"/>
            <w:u w:val="single" w:color="auto"/>
            <w:color w:val="0000EE"/>
          </w:rPr>
          <w:t>Form 10-</w:t>
        </w:r>
      </w:hyperlink>
      <w:hyperlink r:id="rId35">
        <w:r>
          <w:rPr>
            <w:rFonts w:ascii="Times New Roman" w:cs="Times New Roman" w:eastAsia="Times New Roman" w:hAnsi="Times New Roman"/>
            <w:sz w:val="18"/>
            <w:szCs w:val="18"/>
            <w:u w:val="single" w:color="auto"/>
            <w:color w:val="0000EE"/>
          </w:rPr>
          <w:t>K/A</w:t>
        </w:r>
        <w:r>
          <w:rPr>
            <w:rFonts w:ascii="Times New Roman" w:cs="Times New Roman" w:eastAsia="Times New Roman" w:hAnsi="Times New Roman"/>
            <w:sz w:val="18"/>
            <w:szCs w:val="18"/>
            <w:color w:val="000000"/>
          </w:rPr>
          <w:t>, filed with the SEC on April 28, 2025;</w:t>
        </w:r>
      </w:hyperlink>
    </w:p>
    <w:p>
      <w:pPr>
        <w:spacing w:after="0" w:line="161" w:lineRule="exact"/>
        <w:rPr>
          <w:rFonts w:ascii="Times New Roman" w:cs="Times New Roman" w:eastAsia="Times New Roman" w:hAnsi="Times New Roman"/>
          <w:sz w:val="18"/>
          <w:szCs w:val="18"/>
          <w:color w:val="0000EE"/>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period ended March 31, 2025, filed with the SEC on May 20, 2025;</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15, 2025, March 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21, 2025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19, 2025</w:t>
        </w:r>
        <w:r>
          <w:rPr>
            <w:rFonts w:ascii="Times New Roman" w:cs="Times New Roman" w:eastAsia="Times New Roman" w:hAnsi="Times New Roman"/>
            <w:sz w:val="18"/>
            <w:szCs w:val="18"/>
            <w:color w:val="000000"/>
          </w:rPr>
          <w:t>; and</w:t>
        </w:r>
      </w:hyperlink>
    </w:p>
    <w:p>
      <w:pPr>
        <w:spacing w:after="0" w:line="161" w:lineRule="exact"/>
        <w:rPr>
          <w:rFonts w:ascii="Times New Roman" w:cs="Times New Roman" w:eastAsia="Times New Roman" w:hAnsi="Times New Roman"/>
          <w:sz w:val="18"/>
          <w:szCs w:val="18"/>
          <w:color w:val="0000EE"/>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w:t>
      </w:r>
      <w:hyperlink r:id="rId3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June 16, 2010, as amended by </w:t>
      </w:r>
      <w:hyperlink r:id="rId39">
        <w:r>
          <w:rPr>
            <w:rFonts w:ascii="Times New Roman" w:cs="Times New Roman" w:eastAsia="Times New Roman" w:hAnsi="Times New Roman"/>
            <w:sz w:val="18"/>
            <w:szCs w:val="18"/>
            <w:u w:val="single" w:color="auto"/>
            <w:color w:val="0000EE"/>
          </w:rPr>
          <w:t>Exhibit 4.22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2019, filed with the SEC on April 20, 2020, including any amendments thereto or reports filed for the purposes of updating this description.</w:t>
      </w:r>
    </w:p>
    <w:p>
      <w:pPr>
        <w:spacing w:after="0" w:line="176"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filings filed by us pursuant to the Securities Exchange Act of 1934, as amended, after the date of the initial filing of this registration statement and prior to the effectiveness of such registration statement (excluding information furnished pursuant to Items 2.02 and 7.01 of Form 8-K) shall also be deemed to be incorporated by reference into the prospectus.</w:t>
      </w:r>
    </w:p>
    <w:p>
      <w:pPr>
        <w:spacing w:after="0" w:line="392"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We have not authorized anyone else to provide you with different information. Any statement contained in a document incorporated by reference into this prospectus will be deemed to be modified or superseded for the purposes of this prospectus to the extent that a later statement contained in this prospectus or in any other document incorporated by reference into this prospectus modifies or supersedes the earlier statement. Any statement so modified or superseded will not be deemed, except as so modified or superseded, to constitute a part of this prospectus. You should not assume that the information in this prospectus is accurate as of any date other than the date of this prospectus or the date of the documents incorporated by reference in this prospectus.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prospectus is delivered, upon written or oral request, a copy of any or all of the reports or documents that have been incorporated by reference in this prospectus but not delivered with this prospectus (other than an exhibit to these filings, unless we have specifically incorporated that exhibit by reference in this prospectus). Any such request should be addressed to us at: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XWELL,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254 West 31st Street, 11th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750-9595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also access the documents incorporated by reference in this prospectus through our website at www.xwell.com. Except for the specific incorporated documents listed above, no information available on or through our website shall be deemed to be incorporated in this prospectus or the registration statement of which it forms a part.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30,440,060 Shares of Common Stock</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(and including up to 1,140,370 Dividend Shares)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various costs and expenses payable by us in connection with the sale of the securities being registered. All such costs and expenses shall be borne by us. Except for the Securities and Exchange Commission registration fee, all the amounts shown are estimates.</w:t>
      </w:r>
    </w:p>
    <w:p>
      <w:pPr>
        <w:sectPr>
          <w:pgSz w:w="11900" w:h="16838" w:orient="portrait"/>
          <w:cols w:equalWidth="0" w:num="1">
            <w:col w:w="11240"/>
          </w:cols>
          <w:pgMar w:left="320" w:top="900"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Printing and engraving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Miscellaneous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624" w:hanging="624"/>
        <w:spacing w:after="0"/>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4,287.54</w:t>
      </w:r>
    </w:p>
    <w:p>
      <w:pPr>
        <w:spacing w:after="0" w:line="27" w:lineRule="exact"/>
        <w:rPr>
          <w:rFonts w:ascii="Times New Roman" w:cs="Times New Roman" w:eastAsia="Times New Roman" w:hAnsi="Times New Roman"/>
          <w:sz w:val="18"/>
          <w:szCs w:val="18"/>
          <w:color w:val="auto"/>
        </w:rPr>
      </w:pPr>
    </w:p>
    <w:p>
      <w:pPr>
        <w:ind w:left="11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25,000</w:t>
      </w:r>
    </w:p>
    <w:p>
      <w:pPr>
        <w:spacing w:after="0" w:line="9"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15,000</w:t>
      </w:r>
    </w:p>
    <w:p>
      <w:pPr>
        <w:spacing w:after="0" w:line="9"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8"/>
          <w:szCs w:val="18"/>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969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1" w:lineRule="exact"/>
        <w:rPr>
          <w:sz w:val="20"/>
          <w:szCs w:val="20"/>
          <w:color w:val="auto"/>
        </w:rPr>
      </w:pPr>
    </w:p>
    <w:p>
      <w:pPr>
        <w:ind w:left="544" w:hanging="544"/>
        <w:spacing w:after="0"/>
        <w:tabs>
          <w:tab w:leader="none" w:pos="5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46,287.54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969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7969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9156" w:space="720"/>
            <w:col w:w="1364"/>
          </w:cols>
          <w:pgMar w:left="320" w:top="900" w:right="339" w:bottom="1440" w:gutter="0" w:footer="0" w:header="0"/>
          <w:type w:val="continuous"/>
        </w:sectPr>
      </w:pP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102 of the Delaware General Corporation Law (“DCGL”) allows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145 of the DCGL provides that a corporation has the power to indemnify a director, officer, employee or agent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or not opposed to, the best interests of the corporation, and, in any criminal proceeding, if such person had no reasonable cause to believe his conduct was unlawful; provided that, in the case of actions brought by or in the right of the corporation, no indemnification shall be made with respect to any matter as to which such person shall have been adjudged to be liable to the corporation unless and only to the extent that the adjudicating court determines that such indemnification is proper under the circumstances.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0" w:name="page31"/>
    <w:bookmarkEnd w:id="30"/>
    <w:p>
      <w:pPr>
        <w:jc w:val="both"/>
        <w:spacing w:after="0" w:line="255" w:lineRule="auto"/>
        <w:rPr>
          <w:sz w:val="20"/>
          <w:szCs w:val="20"/>
          <w:color w:val="auto"/>
        </w:rPr>
      </w:pPr>
      <w:r>
        <w:rPr>
          <w:rFonts w:ascii="Times New Roman" w:cs="Times New Roman" w:eastAsia="Times New Roman" w:hAnsi="Times New Roman"/>
          <w:sz w:val="18"/>
          <w:szCs w:val="18"/>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80" w:type="dxa"/>
            <w:vAlign w:val="bottom"/>
            <w:gridSpan w:val="31"/>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385"/>
        </w:trPr>
        <w:tc>
          <w:tcPr>
            <w:tcW w:w="320" w:type="dxa"/>
            <w:vAlign w:val="bottom"/>
            <w:tcBorders>
              <w:top w:val="single" w:sz="8" w:color="auto"/>
            </w:tcBorders>
            <w:gridSpan w:val="2"/>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top w:val="single" w:sz="8" w:color="auto"/>
            </w:tcBorders>
            <w:gridSpan w:val="36"/>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Agreement and Plan of Merger by and among FORM Holdings Corp., FHXMS, LLC, XpresSpa Holdings, LLC, the unitholders of</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36"/>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XpresSpa who are parties thereto and Mistral XH Representative, LLC, as representative of the unitholders, dated as of August 8, 2016</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36"/>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(incorporated by reference to Exhibit 2.1 to our Current Report on Form 8-K filed with the SEC on August 8, 2016).</w:t>
              </w:r>
            </w:hyperlink>
          </w:p>
        </w:tc>
      </w:tr>
      <w:tr>
        <w:trPr>
          <w:trHeight w:val="20"/>
        </w:trPr>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6"/>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Amendment No. 1 to Agreement and Plan of Merger by and among FORM Holdings Corp., FHXMS, LLC, XpresSpa Holdings, LLC and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36"/>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Mistral XH Representative, LLC, as representative of the unitholders, dated September 8, 2016 (incorporated by reference to Exhibit 2.1 to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our Current Report on Form 8-K filed with the SEC on September 9, 2016).</w:t>
              </w:r>
            </w:hyperlink>
          </w:p>
        </w:tc>
        <w:tc>
          <w:tcPr>
            <w:tcW w:w="4620" w:type="dxa"/>
            <w:vAlign w:val="bottom"/>
            <w:gridSpan w:val="24"/>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53">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3</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Amendment No. 2 to Agreement and Plan of Merger by and among FORM Holdings Corp., FHXMS, LLC, XpresSpa Holdings, LLC and</w:t>
              </w:r>
            </w:hyperlink>
          </w:p>
        </w:tc>
        <w:tc>
          <w:tcPr>
            <w:tcW w:w="140" w:type="dxa"/>
            <w:vAlign w:val="bottom"/>
            <w:gridSpan w:val="5"/>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Mistral XH Representative, LLC, as representative of the unitholders, dated October 25, 2016 (incorporated by reference to Exhibit 2.1 to</w:t>
              </w:r>
            </w:hyperlink>
          </w:p>
        </w:tc>
        <w:tc>
          <w:tcPr>
            <w:tcW w:w="160" w:type="dxa"/>
            <w:vAlign w:val="bottom"/>
            <w:gridSpan w:val="6"/>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our Current Report on Form 8-K filed with the SEC on October 25, 2016).</w:t>
              </w:r>
            </w:hyperlink>
          </w:p>
        </w:tc>
        <w:tc>
          <w:tcPr>
            <w:tcW w:w="4640" w:type="dxa"/>
            <w:vAlign w:val="bottom"/>
            <w:gridSpan w:val="25"/>
          </w:tcPr>
          <w:p>
            <w:pPr>
              <w:spacing w:after="0"/>
              <w:rPr>
                <w:sz w:val="17"/>
                <w:szCs w:val="17"/>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54">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6"/>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Certificate of Elimination of Series A Convertible Preferred Stock, Series D Convertible Preferred Stock, Series E Convertible Preferred</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Stock and Series F Convertible Preferred Stock, as filed with Secretary of State of Delaware, effective on October 24, 2022 (incorporated</w:t>
              </w:r>
            </w:hyperlink>
          </w:p>
        </w:tc>
        <w:tc>
          <w:tcPr>
            <w:tcW w:w="200" w:type="dxa"/>
            <w:vAlign w:val="bottom"/>
            <w:gridSpan w:val="8"/>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by reference to Exhibit 3.1 to our Current Report on Form 8-K filed with the SEC on October 24, 2022).</w:t>
              </w:r>
            </w:hyperlink>
          </w:p>
        </w:tc>
        <w:tc>
          <w:tcPr>
            <w:tcW w:w="2500" w:type="dxa"/>
            <w:vAlign w:val="bottom"/>
            <w:gridSpan w:val="20"/>
          </w:tcPr>
          <w:p>
            <w:pPr>
              <w:spacing w:after="0"/>
              <w:rPr>
                <w:sz w:val="17"/>
                <w:szCs w:val="17"/>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55">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6"/>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Amended and Restated Certificate of Incorporation of XWELL, Inc., effective on October 25, 2022 (incorporated by reference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Exhibit 3.2 to our Current Report on Form 8-K filed with the SEC on October 24, 2022.</w:t>
              </w:r>
            </w:hyperlink>
          </w:p>
        </w:tc>
        <w:tc>
          <w:tcPr>
            <w:tcW w:w="2880" w:type="dxa"/>
            <w:vAlign w:val="bottom"/>
            <w:tcBorders>
              <w:top w:val="single" w:sz="8" w:color="0000EE"/>
            </w:tcBorders>
            <w:gridSpan w:val="4"/>
          </w:tcPr>
          <w:p>
            <w:pPr>
              <w:spacing w:after="0"/>
              <w:rPr>
                <w:sz w:val="17"/>
                <w:szCs w:val="17"/>
                <w:color w:val="auto"/>
              </w:rPr>
            </w:pPr>
          </w:p>
        </w:tc>
        <w:tc>
          <w:tcPr>
            <w:tcW w:w="800" w:type="dxa"/>
            <w:vAlign w:val="bottom"/>
            <w:gridSpan w:val="18"/>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56">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Third Amended and Restated Bylaws of XWELL, Inc. (incorporated by reference to Exhibit 3.1 to our Current Report on Form 8-K filed</w:t>
              </w:r>
            </w:hyperlink>
          </w:p>
        </w:tc>
        <w:tc>
          <w:tcPr>
            <w:tcW w:w="220" w:type="dxa"/>
            <w:vAlign w:val="bottom"/>
            <w:gridSpan w:val="9"/>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with the SEC on May 21, 2024).</w:t>
              </w:r>
            </w:hyperlink>
          </w:p>
        </w:tc>
        <w:tc>
          <w:tcPr>
            <w:tcW w:w="7660" w:type="dxa"/>
            <w:vAlign w:val="bottom"/>
            <w:gridSpan w:val="32"/>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57">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4</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Certificate of Amendment to the Amended and Restated Certificate of Incorporation, effective as of September 27, 2023 (incorporated by</w:t>
              </w:r>
            </w:hyperlink>
          </w:p>
        </w:tc>
        <w:tc>
          <w:tcPr>
            <w:tcW w:w="180" w:type="dxa"/>
            <w:vAlign w:val="bottom"/>
            <w:gridSpan w:val="7"/>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reference to Exhibit 3.1 to our Current Report on Form 8-K filed with the SEC on September 27, 2023).</w:t>
              </w:r>
            </w:hyperlink>
          </w:p>
        </w:tc>
        <w:tc>
          <w:tcPr>
            <w:tcW w:w="2520" w:type="dxa"/>
            <w:vAlign w:val="bottom"/>
            <w:gridSpan w:val="21"/>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58">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5</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Certificate of Designation of Series A Junior Participating Preferred Stock, filed with the Secretary of State of the State of Delaware on</w:t>
              </w:r>
            </w:hyperlink>
          </w:p>
        </w:tc>
        <w:tc>
          <w:tcPr>
            <w:tcW w:w="360" w:type="dxa"/>
            <w:vAlign w:val="bottom"/>
            <w:gridSpan w:val="14"/>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August 16, 2024 (incorporated by reference to Exhibit 3.1 to our Current Report on Form 8-K filed with the SEC on August 16, 2024).</w:t>
              </w:r>
            </w:hyperlink>
          </w:p>
        </w:tc>
        <w:tc>
          <w:tcPr>
            <w:tcW w:w="280" w:type="dxa"/>
            <w:vAlign w:val="bottom"/>
            <w:gridSpan w:val="12"/>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59">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6</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Form of Certificate of Designations of Series G Convertible Preferred Stock (incorporated by reference to Exhibit 3.1 to our Current Report</w:t>
              </w:r>
            </w:hyperlink>
          </w:p>
        </w:tc>
        <w:tc>
          <w:tcPr>
            <w:tcW w:w="2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on Form 8-K filed with the SEC on January 15, 2025).</w:t>
              </w:r>
            </w:hyperlink>
          </w:p>
        </w:tc>
        <w:tc>
          <w:tcPr>
            <w:tcW w:w="6080" w:type="dxa"/>
            <w:vAlign w:val="bottom"/>
            <w:gridSpan w:val="31"/>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6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Section 382 Rights Agreement, dated as of March 18, 2016, between Vringo, Inc. and American Stock Transfer &amp; Trust Company, LLC,</w:t>
              </w:r>
            </w:hyperlink>
          </w:p>
        </w:tc>
        <w:tc>
          <w:tcPr>
            <w:tcW w:w="240" w:type="dxa"/>
            <w:vAlign w:val="bottom"/>
            <w:gridSpan w:val="10"/>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36"/>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which includes the Form of Certificate of Designation of Series C Junior Participating Preferred Stock as Exhibit A, the Form of Right</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6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36"/>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Certificate as Exhibit B and the Summary of Rights to Purchase Preferred Stock as Exhibit C (incorporated by reference from Exhibit 4.1 to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our Current Report on Form 8-K filed with the SEC on March 21, 2016).</w:t>
              </w:r>
            </w:hyperlink>
          </w:p>
        </w:tc>
        <w:tc>
          <w:tcPr>
            <w:tcW w:w="4740" w:type="dxa"/>
            <w:vAlign w:val="bottom"/>
            <w:tcBorders>
              <w:top w:val="single" w:sz="8" w:color="0000EE"/>
            </w:tcBorders>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6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6"/>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Amendment to Section 382 Rights Agreement, dated March 18, 2019, between the Company and American Stock Transfer &amp; Trust</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6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Company, LLC (incorporated by reference from Exhibit 10.1 to our Current Report on Form 8-K filed with the SEC on March 22, 2019).</w:t>
              </w:r>
            </w:hyperlink>
          </w:p>
        </w:tc>
        <w:tc>
          <w:tcPr>
            <w:tcW w:w="120" w:type="dxa"/>
            <w:vAlign w:val="bottom"/>
            <w:gridSpan w:val="4"/>
          </w:tcPr>
          <w:p>
            <w:pPr>
              <w:spacing w:after="0"/>
              <w:rPr>
                <w:sz w:val="17"/>
                <w:szCs w:val="17"/>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6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6"/>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Form of Warrant to Purchase Shares of Common Stock of FORM Holdings Corp. (incorporated by reference from Annex F to our</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Registration Statement on Form S-4 filed with the SEC on October 26, 2016).</w:t>
              </w:r>
            </w:hyperlink>
          </w:p>
        </w:tc>
        <w:tc>
          <w:tcPr>
            <w:tcW w:w="3660" w:type="dxa"/>
            <w:vAlign w:val="bottom"/>
            <w:tcBorders>
              <w:top w:val="single" w:sz="8" w:color="0000EE"/>
            </w:tcBorders>
            <w:gridSpan w:val="6"/>
          </w:tcPr>
          <w:p>
            <w:pPr>
              <w:spacing w:after="0"/>
              <w:rPr>
                <w:sz w:val="17"/>
                <w:szCs w:val="17"/>
                <w:color w:val="auto"/>
              </w:rPr>
            </w:pPr>
          </w:p>
        </w:tc>
        <w:tc>
          <w:tcPr>
            <w:tcW w:w="740" w:type="dxa"/>
            <w:vAlign w:val="bottom"/>
            <w:gridSpan w:val="17"/>
          </w:tcPr>
          <w:p>
            <w:pPr>
              <w:spacing w:after="0"/>
              <w:rPr>
                <w:sz w:val="17"/>
                <w:szCs w:val="17"/>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63">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6"/>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Form of Secured Convertible Note (incorporated by reference from Exhibit 4.1 to our Quarterly Report on Form 10-Q filed with the SEC</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on May 15, 2018).</w:t>
              </w:r>
            </w:hyperlink>
          </w:p>
        </w:tc>
        <w:tc>
          <w:tcPr>
            <w:tcW w:w="8460" w:type="dxa"/>
            <w:vAlign w:val="bottom"/>
            <w:tcBorders>
              <w:top w:val="single" w:sz="8" w:color="0000EE"/>
            </w:tcBorders>
            <w:gridSpan w:val="26"/>
          </w:tcPr>
          <w:p>
            <w:pPr>
              <w:spacing w:after="0"/>
              <w:rPr>
                <w:sz w:val="17"/>
                <w:szCs w:val="17"/>
                <w:color w:val="auto"/>
              </w:rPr>
            </w:pPr>
          </w:p>
        </w:tc>
        <w:tc>
          <w:tcPr>
            <w:tcW w:w="220" w:type="dxa"/>
            <w:vAlign w:val="bottom"/>
            <w:gridSpan w:val="9"/>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64">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5</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Amendment to Secured Convertible Note (incorporated by reference from Exhibit 4.1 to our Current Report on Form 8-K filed with the</w:t>
              </w:r>
            </w:hyperlink>
          </w:p>
        </w:tc>
        <w:tc>
          <w:tcPr>
            <w:tcW w:w="320" w:type="dxa"/>
            <w:vAlign w:val="bottom"/>
            <w:gridSpan w:val="13"/>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SEC on June 27, 2019).</w:t>
              </w:r>
            </w:hyperlink>
          </w:p>
        </w:tc>
        <w:tc>
          <w:tcPr>
            <w:tcW w:w="8300" w:type="dxa"/>
            <w:vAlign w:val="bottom"/>
            <w:gridSpan w:val="33"/>
          </w:tcPr>
          <w:p>
            <w:pPr>
              <w:spacing w:after="0"/>
              <w:rPr>
                <w:sz w:val="17"/>
                <w:szCs w:val="17"/>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65">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6</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6"/>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Second Amended and Restated Convertible Promissory Note, dated as of July 8, 2019 (incorporated by reference from Exhibit 4.3 to our</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Current Report on Form 8-K filed with the SEC on July 8, 2019).</w:t>
              </w:r>
            </w:hyperlink>
          </w:p>
        </w:tc>
        <w:tc>
          <w:tcPr>
            <w:tcW w:w="5060" w:type="dxa"/>
            <w:vAlign w:val="bottom"/>
            <w:tcBorders>
              <w:top w:val="single" w:sz="8" w:color="0000EE"/>
            </w:tcBorders>
            <w:gridSpan w:val="19"/>
          </w:tcPr>
          <w:p>
            <w:pPr>
              <w:spacing w:after="0"/>
              <w:rPr>
                <w:sz w:val="17"/>
                <w:szCs w:val="17"/>
                <w:color w:val="auto"/>
              </w:rPr>
            </w:pPr>
          </w:p>
        </w:tc>
        <w:tc>
          <w:tcPr>
            <w:tcW w:w="240" w:type="dxa"/>
            <w:vAlign w:val="bottom"/>
            <w:gridSpan w:val="10"/>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66">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7</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Third Amended and Restated Convertible Promissory Note, dated as of January 9, 2020 (incorporated by reference from Exhibit 4.1 to our</w:t>
              </w:r>
            </w:hyperlink>
          </w:p>
        </w:tc>
        <w:tc>
          <w:tcPr>
            <w:tcW w:w="100" w:type="dxa"/>
            <w:vAlign w:val="bottom"/>
            <w:gridSpan w:val="3"/>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Current Report on Form 8-K filed with the SEC on January 14, 2020).</w:t>
              </w:r>
            </w:hyperlink>
          </w:p>
        </w:tc>
        <w:tc>
          <w:tcPr>
            <w:tcW w:w="4960" w:type="dxa"/>
            <w:vAlign w:val="bottom"/>
            <w:gridSpan w:val="27"/>
          </w:tcPr>
          <w:p>
            <w:pPr>
              <w:spacing w:after="0"/>
              <w:rPr>
                <w:sz w:val="17"/>
                <w:szCs w:val="17"/>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67">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8</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6"/>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Fourth Amended and Restated Convertible Promissory Note, dated as of March 6, 2020 (incorporated by reference from Exhibit 4.1 to our</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Current Report on Form 8-K filed with the SEC on March 6, 2020).</w:t>
              </w:r>
            </w:hyperlink>
          </w:p>
        </w:tc>
        <w:tc>
          <w:tcPr>
            <w:tcW w:w="5020" w:type="dxa"/>
            <w:vAlign w:val="bottom"/>
            <w:tcBorders>
              <w:top w:val="single" w:sz="8" w:color="0000EE"/>
            </w:tcBorders>
            <w:gridSpan w:val="24"/>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6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9</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6"/>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Unsecured Convertible Note due May 31, 2022 (incorporated by reference to Exhibit 4.1 to our Current Report on Form 8-K filed with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SEC on July 8, 2019).</w:t>
              </w:r>
            </w:hyperlink>
          </w:p>
        </w:tc>
        <w:tc>
          <w:tcPr>
            <w:tcW w:w="8300" w:type="dxa"/>
            <w:vAlign w:val="bottom"/>
            <w:tcBorders>
              <w:top w:val="single" w:sz="8" w:color="0000EE"/>
            </w:tcBorders>
            <w:gridSpan w:val="30"/>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412"/>
        </w:trPr>
        <w:tc>
          <w:tcPr>
            <w:tcW w:w="920" w:type="dxa"/>
            <w:vAlign w:val="bottom"/>
            <w:gridSpan w:val="3"/>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hyperlink>
          </w:p>
        </w:tc>
        <w:tc>
          <w:tcPr>
            <w:tcW w:w="220" w:type="dxa"/>
            <w:vAlign w:val="bottom"/>
          </w:tcPr>
          <w:p>
            <w:pPr>
              <w:spacing w:after="0"/>
              <w:rPr>
                <w:sz w:val="24"/>
                <w:szCs w:val="24"/>
                <w:color w:val="auto"/>
              </w:rPr>
            </w:pPr>
          </w:p>
        </w:tc>
        <w:tc>
          <w:tcPr>
            <w:tcW w:w="10100" w:type="dxa"/>
            <w:vAlign w:val="bottom"/>
            <w:gridSpan w:val="36"/>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Warrant to Purchase Common Stock in favor of Calm.com, Inc., dated as of July 8, 2019 (incorporated by reference to Exhibit 4.2 to our</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Current Report on Form 8-K filed with the SEC on July 8, 2019).</w:t>
              </w:r>
            </w:hyperlink>
          </w:p>
        </w:tc>
        <w:tc>
          <w:tcPr>
            <w:tcW w:w="5040" w:type="dxa"/>
            <w:vAlign w:val="bottom"/>
            <w:tcBorders>
              <w:top w:val="single" w:sz="8" w:color="0000EE"/>
            </w:tcBorders>
            <w:gridSpan w:val="18"/>
          </w:tcPr>
          <w:p>
            <w:pPr>
              <w:spacing w:after="0"/>
              <w:rPr>
                <w:sz w:val="17"/>
                <w:szCs w:val="17"/>
                <w:color w:val="auto"/>
              </w:rPr>
            </w:pPr>
          </w:p>
        </w:tc>
        <w:tc>
          <w:tcPr>
            <w:tcW w:w="260" w:type="dxa"/>
            <w:vAlign w:val="bottom"/>
            <w:gridSpan w:val="11"/>
          </w:tcPr>
          <w:p>
            <w:pPr>
              <w:spacing w:after="0"/>
              <w:rPr>
                <w:sz w:val="17"/>
                <w:szCs w:val="17"/>
                <w:color w:val="auto"/>
              </w:rPr>
            </w:pPr>
          </w:p>
        </w:tc>
      </w:tr>
      <w:tr>
        <w:trPr>
          <w:trHeight w:val="412"/>
        </w:trPr>
        <w:tc>
          <w:tcPr>
            <w:tcW w:w="320" w:type="dxa"/>
            <w:vAlign w:val="bottom"/>
            <w:gridSpan w:val="2"/>
          </w:tcPr>
          <w:p>
            <w:pPr>
              <w:spacing w:after="0"/>
              <w:rPr>
                <w:rFonts w:ascii="Times New Roman" w:cs="Times New Roman" w:eastAsia="Times New Roman" w:hAnsi="Times New Roman"/>
                <w:sz w:val="18"/>
                <w:szCs w:val="18"/>
                <w:color w:val="0000EE"/>
                <w:w w:val="95"/>
              </w:rPr>
            </w:pPr>
            <w:hyperlink r:id="rId70">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11</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6"/>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Form of Pre-Funded Warrant to Purchase Common Stock, dated March 19, 2020 (incorporated by reference from Exhibit 4.1 to our Current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Report on Form 8-K filed with the SEC on March 19, 2020).</w:t>
              </w:r>
            </w:hyperlink>
          </w:p>
        </w:tc>
        <w:tc>
          <w:tcPr>
            <w:tcW w:w="5600" w:type="dxa"/>
            <w:vAlign w:val="bottom"/>
            <w:tcBorders>
              <w:top w:val="single" w:sz="8" w:color="0000EE"/>
            </w:tcBorders>
            <w:gridSpan w:val="28"/>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920" w:type="dxa"/>
            <w:vAlign w:val="bottom"/>
            <w:gridSpan w:val="3"/>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12</w:t>
              </w:r>
            </w:hyperlink>
          </w:p>
        </w:tc>
        <w:tc>
          <w:tcPr>
            <w:tcW w:w="220" w:type="dxa"/>
            <w:vAlign w:val="bottom"/>
          </w:tcPr>
          <w:p>
            <w:pPr>
              <w:spacing w:after="0"/>
              <w:rPr>
                <w:sz w:val="24"/>
                <w:szCs w:val="24"/>
                <w:color w:val="auto"/>
              </w:rPr>
            </w:pPr>
          </w:p>
        </w:tc>
        <w:tc>
          <w:tcPr>
            <w:tcW w:w="10100" w:type="dxa"/>
            <w:vAlign w:val="bottom"/>
            <w:gridSpan w:val="36"/>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Form of Pre-Funded Warrant to Purchase Common Stock, dated March 25, 2020 (incorporated by reference from Exhibit 4.1 to our Current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Report on Form 8-K filed with the SEC on March 25, 2020).</w:t>
              </w:r>
            </w:hyperlink>
          </w:p>
        </w:tc>
        <w:tc>
          <w:tcPr>
            <w:tcW w:w="5600" w:type="dxa"/>
            <w:vAlign w:val="bottom"/>
            <w:tcBorders>
              <w:top w:val="single" w:sz="8" w:color="0000EE"/>
            </w:tcBorders>
            <w:gridSpan w:val="28"/>
          </w:tcPr>
          <w:p>
            <w:pPr>
              <w:spacing w:after="0"/>
              <w:rPr>
                <w:sz w:val="17"/>
                <w:szCs w:val="17"/>
                <w:color w:val="auto"/>
              </w:rPr>
            </w:pPr>
          </w:p>
        </w:tc>
        <w:tc>
          <w:tcPr>
            <w:tcW w:w="40" w:type="dxa"/>
            <w:vAlign w:val="bottom"/>
            <w:gridSpan w:val="2"/>
          </w:tcPr>
          <w:p>
            <w:pPr>
              <w:spacing w:after="0"/>
              <w:rPr>
                <w:sz w:val="17"/>
                <w:szCs w:val="17"/>
                <w:color w:val="auto"/>
              </w:rPr>
            </w:pPr>
          </w:p>
        </w:tc>
      </w:tr>
    </w:tbl>
    <w:p>
      <w:pPr>
        <w:sectPr>
          <w:pgSz w:w="11900" w:h="16877" w:orient="portrait"/>
          <w:cols w:equalWidth="0" w:num="1">
            <w:col w:w="11240"/>
          </w:cols>
          <w:pgMar w:left="320" w:top="900" w:right="33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rFonts w:ascii="Times New Roman" w:cs="Times New Roman" w:eastAsia="Times New Roman" w:hAnsi="Times New Roman"/>
                <w:sz w:val="18"/>
                <w:szCs w:val="18"/>
                <w:color w:val="0000EE"/>
                <w:w w:val="88"/>
              </w:rPr>
            </w:pPr>
            <w:hyperlink r:id="rId72">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13</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80" w:type="dxa"/>
            <w:vAlign w:val="bottom"/>
            <w:gridSpan w:val="32"/>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Form of Pre-Funded Warrant to Purchase Common Stock, dated March 27, 2020 (incorporated by reference from Exhibit 4.1 to our Current</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Report on Form 8-K filed with the SEC on March 27, 2020).</w:t>
              </w:r>
            </w:hyperlink>
          </w:p>
        </w:tc>
        <w:tc>
          <w:tcPr>
            <w:tcW w:w="5580" w:type="dxa"/>
            <w:vAlign w:val="bottom"/>
            <w:tcBorders>
              <w:top w:val="single" w:sz="8" w:color="0000EE"/>
            </w:tcBorders>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88"/>
              </w:rPr>
            </w:pPr>
            <w:hyperlink r:id="rId73">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14</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8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Pre-Funded Warrant to Purchase Common Stock, dated April 6, 2020 (incorporated by reference from Exhibit 4.1 to our Current</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Report on Form 8-K filed with the SEC on April 7, 2020).</w:t>
              </w:r>
            </w:hyperlink>
          </w:p>
        </w:tc>
        <w:tc>
          <w:tcPr>
            <w:tcW w:w="5880" w:type="dxa"/>
            <w:vAlign w:val="bottom"/>
            <w:gridSpan w:val="20"/>
          </w:tcPr>
          <w:p>
            <w:pPr>
              <w:spacing w:after="0"/>
              <w:rPr>
                <w:sz w:val="17"/>
                <w:szCs w:val="17"/>
                <w:color w:val="auto"/>
              </w:rPr>
            </w:pPr>
          </w:p>
        </w:tc>
      </w:tr>
      <w:tr>
        <w:trPr>
          <w:trHeight w:val="412"/>
        </w:trPr>
        <w:tc>
          <w:tcPr>
            <w:tcW w:w="320" w:type="dxa"/>
            <w:vAlign w:val="bottom"/>
          </w:tcPr>
          <w:p>
            <w:pPr>
              <w:spacing w:after="0"/>
              <w:rPr>
                <w:rFonts w:ascii="Times New Roman" w:cs="Times New Roman" w:eastAsia="Times New Roman" w:hAnsi="Times New Roman"/>
                <w:sz w:val="18"/>
                <w:szCs w:val="18"/>
                <w:color w:val="0000EE"/>
                <w:w w:val="88"/>
              </w:rPr>
            </w:pPr>
            <w:hyperlink r:id="rId39">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15</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80" w:type="dxa"/>
            <w:vAlign w:val="bottom"/>
            <w:gridSpan w:val="32"/>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Description of the Registrant’s Securities (incorporated by reference from Exhibit 4.22 to our Annual Report on Form 10-K filed with the</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SEC on April 20, 2020).</w:t>
              </w:r>
            </w:hyperlink>
          </w:p>
        </w:tc>
        <w:tc>
          <w:tcPr>
            <w:tcW w:w="8040" w:type="dxa"/>
            <w:vAlign w:val="bottom"/>
            <w:tcBorders>
              <w:top w:val="single" w:sz="8" w:color="0000EE"/>
            </w:tcBorders>
            <w:gridSpan w:val="21"/>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412"/>
        </w:trPr>
        <w:tc>
          <w:tcPr>
            <w:tcW w:w="320" w:type="dxa"/>
            <w:vAlign w:val="bottom"/>
          </w:tcPr>
          <w:p>
            <w:pPr>
              <w:spacing w:after="0"/>
              <w:rPr>
                <w:rFonts w:ascii="Times New Roman" w:cs="Times New Roman" w:eastAsia="Times New Roman" w:hAnsi="Times New Roman"/>
                <w:sz w:val="18"/>
                <w:szCs w:val="18"/>
                <w:color w:val="0000EE"/>
                <w:w w:val="88"/>
              </w:rPr>
            </w:pPr>
            <w:hyperlink r:id="rId74">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16</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80" w:type="dxa"/>
            <w:vAlign w:val="bottom"/>
            <w:gridSpan w:val="32"/>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Amended and Restated Calm Note, dated as of April 17, 2020 (incorporated by reference from Exhibit 4.1 to our Current Report on</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8-K filed with the SEC on April 17, 2020).</w:t>
              </w:r>
            </w:hyperlink>
          </w:p>
        </w:tc>
        <w:tc>
          <w:tcPr>
            <w:tcW w:w="5860" w:type="dxa"/>
            <w:vAlign w:val="bottom"/>
            <w:tcBorders>
              <w:top w:val="single" w:sz="8" w:color="0000EE"/>
            </w:tcBorders>
            <w:gridSpan w:val="11"/>
          </w:tcPr>
          <w:p>
            <w:pPr>
              <w:spacing w:after="0"/>
              <w:rPr>
                <w:sz w:val="17"/>
                <w:szCs w:val="17"/>
                <w:color w:val="auto"/>
              </w:rPr>
            </w:pPr>
          </w:p>
        </w:tc>
        <w:tc>
          <w:tcPr>
            <w:tcW w:w="600" w:type="dxa"/>
            <w:vAlign w:val="bottom"/>
            <w:gridSpan w:val="12"/>
          </w:tcPr>
          <w:p>
            <w:pPr>
              <w:spacing w:after="0"/>
              <w:rPr>
                <w:sz w:val="17"/>
                <w:szCs w:val="17"/>
                <w:color w:val="auto"/>
              </w:rPr>
            </w:pPr>
          </w:p>
        </w:tc>
      </w:tr>
      <w:tr>
        <w:trPr>
          <w:trHeight w:val="412"/>
        </w:trPr>
        <w:tc>
          <w:tcPr>
            <w:tcW w:w="320" w:type="dxa"/>
            <w:vAlign w:val="bottom"/>
          </w:tcPr>
          <w:p>
            <w:pPr>
              <w:spacing w:after="0"/>
              <w:rPr>
                <w:rFonts w:ascii="Times New Roman" w:cs="Times New Roman" w:eastAsia="Times New Roman" w:hAnsi="Times New Roman"/>
                <w:sz w:val="18"/>
                <w:szCs w:val="18"/>
                <w:color w:val="0000EE"/>
                <w:w w:val="88"/>
              </w:rPr>
            </w:pPr>
            <w:hyperlink r:id="rId75">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17</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80" w:type="dxa"/>
            <w:vAlign w:val="bottom"/>
            <w:gridSpan w:val="32"/>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Amended and Restated Calm Note, dated as of April 22, 2020 (incorporated by reference from Exhibit 4.1 to our Current Report on</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8-K filed with the SEC on April 24, 2020).</w:t>
              </w:r>
            </w:hyperlink>
          </w:p>
        </w:tc>
        <w:tc>
          <w:tcPr>
            <w:tcW w:w="5860" w:type="dxa"/>
            <w:vAlign w:val="bottom"/>
            <w:tcBorders>
              <w:top w:val="single" w:sz="8" w:color="0000EE"/>
            </w:tcBorders>
            <w:gridSpan w:val="11"/>
          </w:tcPr>
          <w:p>
            <w:pPr>
              <w:spacing w:after="0"/>
              <w:rPr>
                <w:sz w:val="17"/>
                <w:szCs w:val="17"/>
                <w:color w:val="auto"/>
              </w:rPr>
            </w:pPr>
          </w:p>
        </w:tc>
        <w:tc>
          <w:tcPr>
            <w:tcW w:w="600" w:type="dxa"/>
            <w:vAlign w:val="bottom"/>
            <w:gridSpan w:val="12"/>
          </w:tcPr>
          <w:p>
            <w:pPr>
              <w:spacing w:after="0"/>
              <w:rPr>
                <w:sz w:val="17"/>
                <w:szCs w:val="17"/>
                <w:color w:val="auto"/>
              </w:rPr>
            </w:pPr>
          </w:p>
        </w:tc>
      </w:tr>
      <w:tr>
        <w:trPr>
          <w:trHeight w:val="412"/>
        </w:trPr>
        <w:tc>
          <w:tcPr>
            <w:tcW w:w="320" w:type="dxa"/>
            <w:vAlign w:val="bottom"/>
          </w:tcPr>
          <w:p>
            <w:pPr>
              <w:spacing w:after="0"/>
              <w:rPr>
                <w:rFonts w:ascii="Times New Roman" w:cs="Times New Roman" w:eastAsia="Times New Roman" w:hAnsi="Times New Roman"/>
                <w:sz w:val="18"/>
                <w:szCs w:val="18"/>
                <w:color w:val="0000EE"/>
                <w:w w:val="88"/>
              </w:rPr>
            </w:pPr>
            <w:hyperlink r:id="rId76">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18</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80" w:type="dxa"/>
            <w:vAlign w:val="bottom"/>
            <w:gridSpan w:val="32"/>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Warrant to Purchase Common Stock, dated June 17, 2020 (incorporated by reference from Exhibit 4.1 to our Current Report on</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8-K filed with the SEC on June 17, 2020).</w:t>
              </w:r>
            </w:hyperlink>
          </w:p>
        </w:tc>
        <w:tc>
          <w:tcPr>
            <w:tcW w:w="6240" w:type="dxa"/>
            <w:vAlign w:val="bottom"/>
            <w:tcBorders>
              <w:top w:val="single" w:sz="8" w:color="0000EE"/>
            </w:tcBorders>
            <w:gridSpan w:val="16"/>
          </w:tcPr>
          <w:p>
            <w:pPr>
              <w:spacing w:after="0"/>
              <w:rPr>
                <w:sz w:val="17"/>
                <w:szCs w:val="17"/>
                <w:color w:val="auto"/>
              </w:rPr>
            </w:pPr>
          </w:p>
        </w:tc>
        <w:tc>
          <w:tcPr>
            <w:tcW w:w="280" w:type="dxa"/>
            <w:vAlign w:val="bottom"/>
            <w:gridSpan w:val="8"/>
          </w:tcPr>
          <w:p>
            <w:pPr>
              <w:spacing w:after="0"/>
              <w:rPr>
                <w:sz w:val="17"/>
                <w:szCs w:val="17"/>
                <w:color w:val="auto"/>
              </w:rPr>
            </w:pPr>
          </w:p>
        </w:tc>
      </w:tr>
      <w:tr>
        <w:trPr>
          <w:trHeight w:val="412"/>
        </w:trPr>
        <w:tc>
          <w:tcPr>
            <w:tcW w:w="320" w:type="dxa"/>
            <w:vAlign w:val="bottom"/>
          </w:tcPr>
          <w:p>
            <w:pPr>
              <w:spacing w:after="0"/>
              <w:rPr>
                <w:rFonts w:ascii="Times New Roman" w:cs="Times New Roman" w:eastAsia="Times New Roman" w:hAnsi="Times New Roman"/>
                <w:sz w:val="18"/>
                <w:szCs w:val="18"/>
                <w:color w:val="0000EE"/>
                <w:w w:val="88"/>
              </w:rPr>
            </w:pPr>
            <w:hyperlink r:id="rId77">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19</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80" w:type="dxa"/>
            <w:vAlign w:val="bottom"/>
            <w:gridSpan w:val="32"/>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Placement Agent Warrant to Purchase Common Stock, dated June 17, 2020 (incorporated by reference from Exhibit 4.2 to our</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Current Report on Form 8-K filed with the SEC on June 17, 2020).</w:t>
              </w:r>
            </w:hyperlink>
          </w:p>
        </w:tc>
        <w:tc>
          <w:tcPr>
            <w:tcW w:w="4800" w:type="dxa"/>
            <w:vAlign w:val="bottom"/>
            <w:tcBorders>
              <w:top w:val="single" w:sz="8" w:color="0000EE"/>
            </w:tcBorders>
            <w:gridSpan w:val="7"/>
          </w:tcPr>
          <w:p>
            <w:pPr>
              <w:spacing w:after="0"/>
              <w:rPr>
                <w:sz w:val="17"/>
                <w:szCs w:val="17"/>
                <w:color w:val="auto"/>
              </w:rPr>
            </w:pPr>
          </w:p>
        </w:tc>
        <w:tc>
          <w:tcPr>
            <w:tcW w:w="360" w:type="dxa"/>
            <w:vAlign w:val="bottom"/>
            <w:gridSpan w:val="10"/>
          </w:tcPr>
          <w:p>
            <w:pPr>
              <w:spacing w:after="0"/>
              <w:rPr>
                <w:sz w:val="17"/>
                <w:szCs w:val="17"/>
                <w:color w:val="auto"/>
              </w:rPr>
            </w:pPr>
          </w:p>
        </w:tc>
      </w:tr>
      <w:tr>
        <w:trPr>
          <w:trHeight w:val="412"/>
        </w:trPr>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88"/>
              </w:rPr>
            </w:pPr>
            <w:hyperlink r:id="rId78">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20</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Form of Warrant to Purchase Common Stock, dated August 25, 2020 (incorporated by reference from Exhibit 4.1 to our Current Report on</w:t>
              </w:r>
            </w:hyperlink>
          </w:p>
        </w:tc>
        <w:tc>
          <w:tcPr>
            <w:tcW w:w="80" w:type="dxa"/>
            <w:vAlign w:val="bottom"/>
            <w:gridSpan w:val="3"/>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7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8-K filed with the SEC on August 28, 2020).</w:t>
              </w:r>
            </w:hyperlink>
          </w:p>
        </w:tc>
        <w:tc>
          <w:tcPr>
            <w:tcW w:w="6320" w:type="dxa"/>
            <w:vAlign w:val="bottom"/>
            <w:gridSpan w:val="22"/>
          </w:tcPr>
          <w:p>
            <w:pPr>
              <w:spacing w:after="0"/>
              <w:rPr>
                <w:sz w:val="17"/>
                <w:szCs w:val="17"/>
                <w:color w:val="auto"/>
              </w:rPr>
            </w:pPr>
          </w:p>
        </w:tc>
      </w:tr>
      <w:tr>
        <w:trPr>
          <w:trHeight w:val="412"/>
        </w:trPr>
        <w:tc>
          <w:tcPr>
            <w:tcW w:w="320" w:type="dxa"/>
            <w:vAlign w:val="bottom"/>
          </w:tcPr>
          <w:p>
            <w:pPr>
              <w:spacing w:after="0"/>
              <w:rPr>
                <w:rFonts w:ascii="Times New Roman" w:cs="Times New Roman" w:eastAsia="Times New Roman" w:hAnsi="Times New Roman"/>
                <w:sz w:val="18"/>
                <w:szCs w:val="18"/>
                <w:color w:val="0000EE"/>
                <w:w w:val="88"/>
              </w:rPr>
            </w:pPr>
            <w:hyperlink r:id="rId79">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80" w:type="dxa"/>
            <w:vAlign w:val="bottom"/>
            <w:gridSpan w:val="32"/>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Pre-Funded Warrant to Purchase Common Stock, dated August 25, 2020 (incorporated by reference from Exhibit 4.2 to our</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Current Report on Form 8-K filed with the SEC on August 28, 2020).</w:t>
              </w:r>
            </w:hyperlink>
          </w:p>
        </w:tc>
        <w:tc>
          <w:tcPr>
            <w:tcW w:w="4420" w:type="dxa"/>
            <w:vAlign w:val="bottom"/>
            <w:tcBorders>
              <w:top w:val="single" w:sz="8" w:color="0000EE"/>
            </w:tcBorders>
            <w:gridSpan w:val="4"/>
          </w:tcPr>
          <w:p>
            <w:pPr>
              <w:spacing w:after="0"/>
              <w:rPr>
                <w:sz w:val="17"/>
                <w:szCs w:val="17"/>
                <w:color w:val="auto"/>
              </w:rPr>
            </w:pPr>
          </w:p>
        </w:tc>
        <w:tc>
          <w:tcPr>
            <w:tcW w:w="560" w:type="dxa"/>
            <w:vAlign w:val="bottom"/>
            <w:gridSpan w:val="11"/>
          </w:tcPr>
          <w:p>
            <w:pPr>
              <w:spacing w:after="0"/>
              <w:rPr>
                <w:sz w:val="17"/>
                <w:szCs w:val="17"/>
                <w:color w:val="auto"/>
              </w:rPr>
            </w:pPr>
          </w:p>
        </w:tc>
      </w:tr>
      <w:tr>
        <w:trPr>
          <w:trHeight w:val="412"/>
        </w:trPr>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88"/>
              </w:rPr>
            </w:pPr>
            <w:hyperlink r:id="rId80">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22</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9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Form of Placement Agent Warrant to Purchase Common Stock, dated August 25, 2020 (incorporated by reference from Exhibit 4.3 to our</w:t>
              </w:r>
            </w:hyperlink>
          </w:p>
        </w:tc>
        <w:tc>
          <w:tcPr>
            <w:tcW w:w="160" w:type="dxa"/>
            <w:vAlign w:val="bottom"/>
            <w:gridSpan w:val="5"/>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1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Current Report on Form 8-K filed with the SEC on August 28, 2020).</w:t>
              </w:r>
            </w:hyperlink>
          </w:p>
        </w:tc>
        <w:tc>
          <w:tcPr>
            <w:tcW w:w="4980" w:type="dxa"/>
            <w:vAlign w:val="bottom"/>
            <w:gridSpan w:val="15"/>
          </w:tcPr>
          <w:p>
            <w:pPr>
              <w:spacing w:after="0"/>
              <w:rPr>
                <w:sz w:val="17"/>
                <w:szCs w:val="17"/>
                <w:color w:val="auto"/>
              </w:rPr>
            </w:pPr>
          </w:p>
        </w:tc>
      </w:tr>
      <w:tr>
        <w:trPr>
          <w:trHeight w:val="412"/>
        </w:trPr>
        <w:tc>
          <w:tcPr>
            <w:tcW w:w="320" w:type="dxa"/>
            <w:vAlign w:val="bottom"/>
          </w:tcPr>
          <w:p>
            <w:pPr>
              <w:spacing w:after="0"/>
              <w:rPr>
                <w:rFonts w:ascii="Times New Roman" w:cs="Times New Roman" w:eastAsia="Times New Roman" w:hAnsi="Times New Roman"/>
                <w:sz w:val="18"/>
                <w:szCs w:val="18"/>
                <w:color w:val="0000EE"/>
                <w:w w:val="88"/>
              </w:rPr>
            </w:pPr>
            <w:hyperlink r:id="rId81">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23</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80" w:type="dxa"/>
            <w:vAlign w:val="bottom"/>
            <w:gridSpan w:val="32"/>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Form of Warrant to Purchase Common Stock, dated December 17, 2020 (incorporated by reference from Exhibit 4.1 to our Current Report</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on Form 8-K filed with the SEC on December 21, 2020)</w:t>
              </w:r>
            </w:hyperlink>
          </w:p>
        </w:tc>
        <w:tc>
          <w:tcPr>
            <w:tcW w:w="5820" w:type="dxa"/>
            <w:vAlign w:val="bottom"/>
            <w:tcBorders>
              <w:top w:val="single" w:sz="8" w:color="0000EE"/>
            </w:tcBorders>
            <w:gridSpan w:val="17"/>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412"/>
        </w:trPr>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88"/>
              </w:rPr>
            </w:pPr>
            <w:hyperlink r:id="rId82">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24</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Form of Placement Agent Warrant to Purchase Common Stock, dated December 17, 2020 (incorporated by reference from Exhibit 4.2 to</w:t>
              </w:r>
            </w:hyperlink>
          </w:p>
        </w:tc>
        <w:tc>
          <w:tcPr>
            <w:tcW w:w="220" w:type="dxa"/>
            <w:vAlign w:val="bottom"/>
            <w:gridSpan w:val="7"/>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our Current Report on Form 8-K filed with the SEC on December 21, 2020).</w:t>
              </w:r>
            </w:hyperlink>
          </w:p>
        </w:tc>
        <w:tc>
          <w:tcPr>
            <w:tcW w:w="4460" w:type="dxa"/>
            <w:vAlign w:val="bottom"/>
            <w:gridSpan w:val="14"/>
          </w:tcPr>
          <w:p>
            <w:pPr>
              <w:spacing w:after="0"/>
              <w:rPr>
                <w:sz w:val="17"/>
                <w:szCs w:val="17"/>
                <w:color w:val="auto"/>
              </w:rPr>
            </w:pPr>
          </w:p>
        </w:tc>
      </w:tr>
      <w:tr>
        <w:trPr>
          <w:trHeight w:val="412"/>
        </w:trPr>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88"/>
              </w:rPr>
            </w:pPr>
            <w:hyperlink r:id="rId83">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25</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Tax Benefits Preservation Plan, dated as of August 16, 2024, between XWELL, Inc. and Equiniti Trust Company, LLC, as Rights Agent,</w:t>
              </w:r>
            </w:hyperlink>
          </w:p>
        </w:tc>
        <w:tc>
          <w:tcPr>
            <w:tcW w:w="220" w:type="dxa"/>
            <w:vAlign w:val="bottom"/>
            <w:gridSpan w:val="7"/>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together with the following exhibits thereto: Exhibit A - Form of Certificate of Designation of Series A Junior Participating Preferred Stock</w:t>
              </w:r>
            </w:hyperlink>
          </w:p>
        </w:tc>
        <w:tc>
          <w:tcPr>
            <w:tcW w:w="40" w:type="dxa"/>
            <w:vAlign w:val="bottom"/>
            <w:gridSpan w:val="2"/>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of XWELL, Inc.; Exhibit B - Form of Right Certificate (incorporated by reference from Exhibit 4.1 to our Current Report on Form 8-K</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filed with the SEC on August 16, 2024).</w:t>
              </w:r>
            </w:hyperlink>
          </w:p>
        </w:tc>
        <w:tc>
          <w:tcPr>
            <w:tcW w:w="6740" w:type="dxa"/>
            <w:vAlign w:val="bottom"/>
            <w:tcBorders>
              <w:top w:val="single" w:sz="8" w:color="0000EE"/>
            </w:tcBorders>
            <w:gridSpan w:val="16"/>
          </w:tcPr>
          <w:p>
            <w:pPr>
              <w:spacing w:after="0"/>
              <w:rPr>
                <w:sz w:val="17"/>
                <w:szCs w:val="17"/>
                <w:color w:val="auto"/>
              </w:rPr>
            </w:pPr>
          </w:p>
        </w:tc>
        <w:tc>
          <w:tcPr>
            <w:tcW w:w="340" w:type="dxa"/>
            <w:vAlign w:val="bottom"/>
            <w:gridSpan w:val="9"/>
          </w:tcPr>
          <w:p>
            <w:pPr>
              <w:spacing w:after="0"/>
              <w:rPr>
                <w:sz w:val="17"/>
                <w:szCs w:val="17"/>
                <w:color w:val="auto"/>
              </w:rPr>
            </w:pPr>
          </w:p>
        </w:tc>
      </w:tr>
      <w:tr>
        <w:trPr>
          <w:trHeight w:val="412"/>
        </w:trPr>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88"/>
              </w:rPr>
            </w:pPr>
            <w:hyperlink r:id="rId84">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26</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Form of Series A Warrant (incorporated by reference from Exhibit 4.1 to our Current Report on Form 8-K filed with the SEC on</w:t>
              </w:r>
            </w:hyperlink>
          </w:p>
        </w:tc>
        <w:tc>
          <w:tcPr>
            <w:tcW w:w="840" w:type="dxa"/>
            <w:vAlign w:val="bottom"/>
            <w:gridSpan w:val="13"/>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January 15, 2025).</w:t>
              </w:r>
            </w:hyperlink>
          </w:p>
        </w:tc>
        <w:tc>
          <w:tcPr>
            <w:tcW w:w="8640" w:type="dxa"/>
            <w:vAlign w:val="bottom"/>
            <w:gridSpan w:val="29"/>
          </w:tcPr>
          <w:p>
            <w:pPr>
              <w:spacing w:after="0"/>
              <w:rPr>
                <w:sz w:val="17"/>
                <w:szCs w:val="17"/>
                <w:color w:val="auto"/>
              </w:rPr>
            </w:pPr>
          </w:p>
        </w:tc>
      </w:tr>
      <w:tr>
        <w:trPr>
          <w:trHeight w:val="412"/>
        </w:trPr>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88"/>
              </w:rPr>
            </w:pPr>
            <w:hyperlink r:id="rId85">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27</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8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of Series B Warrant (incorporated by reference from Exhibit 4.2 to our Current Report on Form 8-K filed with the SEC on</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January 15, 2025).</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40" w:type="dxa"/>
            <w:vAlign w:val="bottom"/>
            <w:gridSpan w:val="16"/>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8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Opinion of Haynes and Boone, LLP.</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40" w:type="dxa"/>
            <w:vAlign w:val="bottom"/>
            <w:gridSpan w:val="16"/>
          </w:tcPr>
          <w:p>
            <w:pPr>
              <w:spacing w:after="0" w:line="20" w:lineRule="exact"/>
              <w:rPr>
                <w:sz w:val="1"/>
                <w:szCs w:val="1"/>
                <w:color w:val="auto"/>
              </w:rPr>
            </w:pPr>
          </w:p>
        </w:tc>
      </w:tr>
      <w:tr>
        <w:trPr>
          <w:trHeight w:val="412"/>
        </w:trPr>
        <w:tc>
          <w:tcPr>
            <w:tcW w:w="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1*</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Consent of Marcum LLP.</w:t>
            </w:r>
          </w:p>
        </w:tc>
        <w:tc>
          <w:tcPr>
            <w:tcW w:w="8240" w:type="dxa"/>
            <w:vAlign w:val="bottom"/>
            <w:gridSpan w:val="28"/>
          </w:tcPr>
          <w:p>
            <w:pPr>
              <w:spacing w:after="0"/>
              <w:rPr>
                <w:sz w:val="24"/>
                <w:szCs w:val="24"/>
                <w:color w:val="auto"/>
              </w:rPr>
            </w:pPr>
          </w:p>
        </w:tc>
      </w:tr>
      <w:tr>
        <w:trPr>
          <w:trHeight w:val="412"/>
        </w:trPr>
        <w:tc>
          <w:tcPr>
            <w:tcW w:w="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2*</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Consent of Haynes and Boone, LLP (included in Exhibit 5.1).</w:t>
            </w:r>
          </w:p>
        </w:tc>
        <w:tc>
          <w:tcPr>
            <w:tcW w:w="5620" w:type="dxa"/>
            <w:vAlign w:val="bottom"/>
            <w:gridSpan w:val="19"/>
          </w:tcPr>
          <w:p>
            <w:pPr>
              <w:spacing w:after="0"/>
              <w:rPr>
                <w:sz w:val="24"/>
                <w:szCs w:val="24"/>
                <w:color w:val="auto"/>
              </w:rPr>
            </w:pPr>
          </w:p>
        </w:tc>
      </w:tr>
      <w:tr>
        <w:trPr>
          <w:trHeight w:val="412"/>
        </w:trPr>
        <w:tc>
          <w:tcPr>
            <w:tcW w:w="1140" w:type="dxa"/>
            <w:vAlign w:val="bottom"/>
            <w:gridSpan w:val="4"/>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hyperlink>
          </w:p>
        </w:tc>
        <w:tc>
          <w:tcPr>
            <w:tcW w:w="10080" w:type="dxa"/>
            <w:vAlign w:val="bottom"/>
            <w:gridSpan w:val="32"/>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Power of Attorney (previously included on the signature page hereto).</w:t>
              </w:r>
            </w:hyperlink>
          </w:p>
        </w:tc>
      </w:tr>
      <w:tr>
        <w:trPr>
          <w:trHeight w:val="412"/>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77"/>
              </w:rPr>
              <w:t>107*</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504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5040" w:type="dxa"/>
            <w:vAlign w:val="bottom"/>
            <w:gridSpan w:val="16"/>
          </w:tcPr>
          <w:p>
            <w:pPr>
              <w:spacing w:after="0"/>
              <w:rPr>
                <w:sz w:val="24"/>
                <w:szCs w:val="2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2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ectPr>
          <w:pgSz w:w="11900" w:h="16838" w:orient="portrait"/>
          <w:cols w:equalWidth="0" w:num="1">
            <w:col w:w="11240"/>
          </w:cols>
          <w:pgMar w:left="320" w:top="324" w:right="339" w:bottom="0" w:gutter="0" w:footer="0" w:header="0"/>
        </w:sectPr>
      </w:pPr>
    </w:p>
    <w:bookmarkStart w:id="33" w:name="page34"/>
    <w:bookmarkEnd w:id="33"/>
    <w:p>
      <w:pPr>
        <w:ind w:left="8" w:hanging="8"/>
        <w:spacing w:after="0" w:line="282" w:lineRule="auto"/>
        <w:tabs>
          <w:tab w:leader="none" w:pos="3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34" w:name="page35"/>
    <w:bookmarkEnd w:id="34"/>
    <w:p>
      <w:pPr>
        <w:ind w:left="332"/>
        <w:spacing w:after="0"/>
        <w:rPr>
          <w:sz w:val="20"/>
          <w:szCs w:val="20"/>
          <w:color w:val="auto"/>
        </w:rPr>
      </w:pPr>
      <w:r>
        <w:rPr>
          <w:rFonts w:ascii="Times New Roman" w:cs="Times New Roman" w:eastAsia="Times New Roman" w:hAnsi="Times New Roman"/>
          <w:sz w:val="18"/>
          <w:szCs w:val="18"/>
          <w:i w:val="1"/>
          <w:iCs w:val="1"/>
          <w:color w:val="auto"/>
        </w:rPr>
        <w:t>Provided, however, that:</w:t>
      </w:r>
    </w:p>
    <w:p>
      <w:pPr>
        <w:spacing w:after="0" w:line="227" w:lineRule="exact"/>
        <w:rPr>
          <w:sz w:val="20"/>
          <w:szCs w:val="20"/>
          <w:color w:val="auto"/>
        </w:rPr>
      </w:pPr>
    </w:p>
    <w:p>
      <w:pPr>
        <w:jc w:val="both"/>
        <w:ind w:left="332"/>
        <w:spacing w:after="0" w:line="261" w:lineRule="auto"/>
        <w:rPr>
          <w:sz w:val="20"/>
          <w:szCs w:val="20"/>
          <w:color w:val="auto"/>
        </w:rPr>
      </w:pPr>
      <w:r>
        <w:rPr>
          <w:rFonts w:ascii="Times New Roman" w:cs="Times New Roman" w:eastAsia="Times New Roman" w:hAnsi="Times New Roman"/>
          <w:sz w:val="18"/>
          <w:szCs w:val="18"/>
          <w:color w:val="auto"/>
        </w:rPr>
        <w:t>Paragraphs (1)(i), (1)(ii) and (1)(iii)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0" w:lineRule="exact"/>
        <w:rPr>
          <w:sz w:val="20"/>
          <w:szCs w:val="20"/>
          <w:color w:val="auto"/>
        </w:rPr>
      </w:pPr>
    </w:p>
    <w:p>
      <w:pPr>
        <w:jc w:val="both"/>
        <w:ind w:left="-8" w:firstLine="8"/>
        <w:spacing w:after="0" w:line="266"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8" w:firstLine="8"/>
        <w:spacing w:after="0" w:line="282" w:lineRule="auto"/>
        <w:tabs>
          <w:tab w:leader="none" w:pos="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35" w:name="page36"/>
    <w:bookmarkEnd w:id="35"/>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 (§230.430B of this chapter):</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967"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5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 (a)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5" w:lineRule="auto"/>
        <w:tabs>
          <w:tab w:leader="none" w:pos="61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2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jc w:val="both"/>
        <w:ind w:firstLine="8"/>
        <w:spacing w:after="0" w:line="254" w:lineRule="auto"/>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Amendment No. 3 to the registration statement to be signed on its behalf by the undersigned, thereunto duly authorized, in the City of New York, State of New York, on June 20,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XWELL, Inc.</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Ezra T. Ernst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32061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Amendment No. 3 to the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282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6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Ezra T. Ernst</w:t>
            </w:r>
          </w:p>
        </w:tc>
        <w:tc>
          <w:tcPr>
            <w:tcW w:w="220" w:type="dxa"/>
            <w:vAlign w:val="bottom"/>
            <w:vMerge w:val="continue"/>
          </w:tcPr>
          <w:p>
            <w:pPr>
              <w:spacing w:after="0"/>
              <w:rPr>
                <w:sz w:val="20"/>
                <w:szCs w:val="20"/>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00" w:type="dxa"/>
            <w:vAlign w:val="bottom"/>
            <w:vMerge w:val="continue"/>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0" w:type="dxa"/>
            <w:vAlign w:val="bottom"/>
          </w:tcPr>
          <w:p>
            <w:pPr>
              <w:spacing w:after="0"/>
              <w:rPr>
                <w:sz w:val="1"/>
                <w:szCs w:val="1"/>
                <w:color w:val="auto"/>
              </w:rPr>
            </w:pP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Ezra T. Ernst</w:t>
            </w:r>
          </w:p>
        </w:tc>
        <w:tc>
          <w:tcPr>
            <w:tcW w:w="220" w:type="dxa"/>
            <w:vAlign w:val="bottom"/>
          </w:tcPr>
          <w:p>
            <w:pPr>
              <w:spacing w:after="0"/>
              <w:rPr>
                <w:sz w:val="20"/>
                <w:szCs w:val="20"/>
                <w:color w:val="auto"/>
              </w:rPr>
            </w:pPr>
          </w:p>
        </w:tc>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5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Ian Brown</w:t>
            </w:r>
          </w:p>
        </w:tc>
        <w:tc>
          <w:tcPr>
            <w:tcW w:w="220" w:type="dxa"/>
            <w:vAlign w:val="bottom"/>
            <w:vMerge w:val="continue"/>
          </w:tcPr>
          <w:p>
            <w:pPr>
              <w:spacing w:after="0"/>
              <w:rPr>
                <w:sz w:val="19"/>
                <w:szCs w:val="19"/>
                <w:color w:val="auto"/>
              </w:rPr>
            </w:pPr>
          </w:p>
        </w:tc>
        <w:tc>
          <w:tcPr>
            <w:tcW w:w="5840" w:type="dxa"/>
            <w:vAlign w:val="bottom"/>
            <w:gridSpan w:val="3"/>
            <w:vMerge w:val="continue"/>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T. Bernstein</w:t>
            </w: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Weinstein</w:t>
            </w: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Lebowitz</w:t>
            </w: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Gaëlle Wizenberg</w:t>
            </w: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Ezra T. Ernst</w:t>
            </w: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Ezra T. Ernst</w:t>
            </w:r>
          </w:p>
        </w:tc>
        <w:tc>
          <w:tcPr>
            <w:tcW w:w="22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3"/>
          </w:tcPr>
          <w:p>
            <w:pPr>
              <w:ind w:left="2100"/>
              <w:spacing w:after="0"/>
              <w:rPr>
                <w:sz w:val="20"/>
                <w:szCs w:val="20"/>
                <w:color w:val="auto"/>
              </w:rPr>
            </w:pPr>
            <w:r>
              <w:rPr>
                <w:rFonts w:ascii="Times New Roman" w:cs="Times New Roman" w:eastAsia="Times New Roman" w:hAnsi="Times New Roman"/>
                <w:sz w:val="18"/>
                <w:szCs w:val="18"/>
                <w:color w:val="auto"/>
              </w:rPr>
              <w:t>II-6</w:t>
            </w: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XWELL, Inc.</w:t>
      </w:r>
    </w:p>
    <w:p>
      <w:pPr>
        <w:spacing w:after="0" w:line="205" w:lineRule="auto"/>
        <w:rPr>
          <w:sz w:val="20"/>
          <w:szCs w:val="20"/>
          <w:color w:val="auto"/>
        </w:rPr>
      </w:pPr>
      <w:r>
        <w:rPr>
          <w:rFonts w:ascii="Times New Roman" w:cs="Times New Roman" w:eastAsia="Times New Roman" w:hAnsi="Times New Roman"/>
          <w:sz w:val="18"/>
          <w:szCs w:val="18"/>
          <w:color w:val="auto"/>
        </w:rPr>
        <w:t>254 West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Street,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acted as counsel for XWELL,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the date hereof,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an amendment to its registration statement on 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by the Company which registers the resale by the holders thereof of an aggregate of 30,440,060 shares of common stock of the Company,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issuable (i) upon the conversion of shares of the Company’s newly designated Series G convertible preferred stock (the “</w:t>
      </w:r>
      <w:r>
        <w:rPr>
          <w:rFonts w:ascii="Times New Roman" w:cs="Times New Roman" w:eastAsia="Times New Roman" w:hAnsi="Times New Roman"/>
          <w:sz w:val="18"/>
          <w:szCs w:val="18"/>
          <w:u w:val="single" w:color="auto"/>
          <w:color w:val="auto"/>
        </w:rPr>
        <w:t>Preferred Shares</w:t>
      </w:r>
      <w:r>
        <w:rPr>
          <w:rFonts w:ascii="Times New Roman" w:cs="Times New Roman" w:eastAsia="Times New Roman" w:hAnsi="Times New Roman"/>
          <w:sz w:val="18"/>
          <w:szCs w:val="18"/>
          <w:color w:val="auto"/>
        </w:rPr>
        <w:t>”), (ii) as shares of Common Stock issuable as dividends to the holders of the Preferred Shares, if any (the “</w:t>
      </w:r>
      <w:r>
        <w:rPr>
          <w:rFonts w:ascii="Times New Roman" w:cs="Times New Roman" w:eastAsia="Times New Roman" w:hAnsi="Times New Roman"/>
          <w:sz w:val="18"/>
          <w:szCs w:val="18"/>
          <w:u w:val="single" w:color="auto"/>
          <w:color w:val="auto"/>
        </w:rPr>
        <w:t>Dividend Shares</w:t>
      </w:r>
      <w:r>
        <w:rPr>
          <w:rFonts w:ascii="Times New Roman" w:cs="Times New Roman" w:eastAsia="Times New Roman" w:hAnsi="Times New Roman"/>
          <w:sz w:val="18"/>
          <w:szCs w:val="18"/>
          <w:color w:val="auto"/>
        </w:rPr>
        <w:t>”) and (iii) upon exercise of certain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herein collectively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rendering the opinions expressed herein, we have examined and relied upon the originals, or copies certified to our satisfaction, of (i) the Amended and Restated Certificate of Incorporation and Fourth Amended and Restated Bylaws of the Company, as of the date hereof (“</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(ii) the Registration Statement and all exhibits thereto; (iii) Certificate of Designations of Series G Convertible Preferred Stock of XWELL, Inc. (the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(iv) the Warrants; (v) a specimen of the Company’s Common Stock certificate; (vi) a certificate executed by an officer of the Company, dated as of the date hereof, and (vii) such other corporate records of the Company as we have deemed necessary or appropriate for purposes of the opinions hereafter expressed.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to questions of fact material to the opinions expressed below, we have, without independent verification of their accuracy, relied to the extent we deemed reasonably appropriate upon the representations and warranties of the Company contained in such documents, records, certificates, instruments or representations furnished or made available to us by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making the foregoing examinations, we have assumed (i) the genuineness of all signatures, (ii) the authenticity of all documents submitted to us as originals, (iii) the conformity to original documents of all documents submitted to us as certified or photostatic copies, (iv) that all agreements or instruments we have examined are the valid, binding and enforceable obligations of the parties thereto, and (v) that all factual information on which we have relied was accurate and complete.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also assumed that (i) the Company will continue to be incorporated and in existence and good standing in its jurisdiction of organization;</w:t>
      </w:r>
    </w:p>
    <w:p>
      <w:pPr>
        <w:spacing w:after="0" w:line="27" w:lineRule="exact"/>
        <w:rPr>
          <w:sz w:val="20"/>
          <w:szCs w:val="20"/>
          <w:color w:val="auto"/>
        </w:rPr>
      </w:pPr>
    </w:p>
    <w:p>
      <w:pPr>
        <w:jc w:val="both"/>
        <w:ind w:firstLine="8"/>
        <w:spacing w:after="0" w:line="251" w:lineRule="auto"/>
        <w:tabs>
          <w:tab w:leader="none" w:pos="27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any amendments thereto (including post-effective amendments), will have become effective; (iii) no stop order of the Commission preventing or suspending the use of the prospectus contained in the Registration Statement or any prospectus supplement will have been issued; (iv) a prospectus properly describing the Securities offered thereby will have been delivered to the purchaser(s) of the Securities as required in accordance with applicable law; (v) all Securities will be offered, issued and sold in compliance with applicable federal and state securities laws and in the manner stated in the Registration Statement and the prospectus and any prospectus supplement; (vi) any definitive purchase, underwriting or similar agreement with respect to any Securities offered will have been duly authorized and validly executed and delivered by the Company and the other parties thereto and will be an enforceable obligation of the parties thereto; (vii) upon effectiveness of the Registration Statement, there will be sufficient shares of Common Stock authorized under the Company Charter Documents and not otherwise reserved for issuance; and (viii) there will not have occurred any change in law or in the Company Charter Documents of the Company adversely affecting the Securities or the rights of the holders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upon the foregoing and subject to the assumptions and qualifications stated herein, we are of the opinion that (i) the Common Stock issuable upon conversion of the Preferred Shares, when issued in accordance with the terms of the Certificate of Designations, will be validly issued, fully paid and non-assessable, (ii) the Dividend Shares, when issued in accordance with the terms of the Certificate of Designations, will be validly issued, fully paid and non-assessable, and (iii) the Common Stock underlying the Warrants, when issued in accordance with the terms of the Warrants, will be validly issued, fully paid and non-assessable.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opinions expressed herein are limited exclusively to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applicable provisions of the Delaware Constitution and reported judicial decisions interpreting the DGCL and such provisions of the Delaware Constitution and we have not considered, and express no opinion on, any other laws or the laws of any other jurisdiction.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Exhibit 5.1 to the Registration Statement and to the reference to our firm under the heading “Legal Matters” in the prospectus constituting part of such Registration Statement. In giving such consent, we do not hereby admit that we are in the category of persons whose consent is required under Section 7 of the Securities Act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Haynes and Boone,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Haynes and Boone,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 dated April 15, 2025 relating to the consolidated financial statements appearing in the Annual Report on Form 10-K of XWELL, Inc. for the year ended December 31, 2024.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107</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Tables</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Form S-3</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XWELL, Inc.</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gridSpan w:val="9"/>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Table 1: Newly Registered and Carry Forward Securities</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Previously</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Connection</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Fee</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Carry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Unsold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3"/>
              </w:rPr>
              <w:t>or</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Carry</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Carry</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Forward Securities</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Carry</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Amount of ForwardForward</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 be</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Carried</w:t>
            </w: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Fee</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Type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0" w:type="dxa"/>
            <w:vAlign w:val="bottom"/>
          </w:tcPr>
          <w:p>
            <w:pPr>
              <w:spacing w:after="0"/>
              <w:rPr>
                <w:sz w:val="1"/>
                <w:szCs w:val="1"/>
                <w:color w:val="auto"/>
              </w:rPr>
            </w:pPr>
          </w:p>
        </w:tc>
      </w:tr>
      <w:tr>
        <w:trPr>
          <w:trHeight w:val="209"/>
        </w:trPr>
        <w:tc>
          <w:tcPr>
            <w:tcW w:w="8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Fees to be</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30,440,060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40" w:type="dxa"/>
            <w:vAlign w:val="bottom"/>
            <w:vMerge w:val="continue"/>
          </w:tcPr>
          <w:p>
            <w:pPr>
              <w:spacing w:after="0"/>
              <w:rPr>
                <w:sz w:val="15"/>
                <w:szCs w:val="15"/>
                <w:color w:val="auto"/>
              </w:rPr>
            </w:pPr>
          </w:p>
        </w:tc>
        <w:tc>
          <w:tcPr>
            <w:tcW w:w="700" w:type="dxa"/>
            <w:vAlign w:val="bottom"/>
            <w:gridSpan w:val="2"/>
          </w:tcPr>
          <w:p>
            <w:pPr>
              <w:jc w:val="center"/>
              <w:ind w:right="60"/>
              <w:spacing w:after="0" w:line="181" w:lineRule="exact"/>
              <w:rPr>
                <w:sz w:val="20"/>
                <w:szCs w:val="20"/>
                <w:color w:val="auto"/>
              </w:rPr>
            </w:pPr>
            <w:r>
              <w:rPr>
                <w:rFonts w:ascii="Times New Roman" w:cs="Times New Roman" w:eastAsia="Times New Roman" w:hAnsi="Times New Roman"/>
                <w:sz w:val="18"/>
                <w:szCs w:val="18"/>
                <w:color w:val="auto"/>
                <w:w w:val="99"/>
              </w:rPr>
              <w:t>Equity</w:t>
            </w:r>
          </w:p>
        </w:tc>
        <w:tc>
          <w:tcPr>
            <w:tcW w:w="174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par value Rule 457(c)</w:t>
            </w: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50"/>
              <w:spacing w:after="0" w:line="181" w:lineRule="exact"/>
              <w:rPr>
                <w:sz w:val="20"/>
                <w:szCs w:val="20"/>
                <w:color w:val="auto"/>
              </w:rPr>
            </w:pPr>
            <w:r>
              <w:rPr>
                <w:rFonts w:ascii="Times New Roman" w:cs="Times New Roman" w:eastAsia="Times New Roman" w:hAnsi="Times New Roman"/>
                <w:sz w:val="18"/>
                <w:szCs w:val="18"/>
                <w:color w:val="auto"/>
              </w:rPr>
              <w:t>$0.92(3)</w:t>
            </w: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$28,004,855.20</w:t>
            </w:r>
          </w:p>
        </w:tc>
        <w:tc>
          <w:tcPr>
            <w:tcW w:w="9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$0.0001531</w:t>
            </w:r>
          </w:p>
        </w:tc>
        <w:tc>
          <w:tcPr>
            <w:tcW w:w="100" w:type="dxa"/>
            <w:vAlign w:val="bottom"/>
          </w:tcPr>
          <w:p>
            <w:pPr>
              <w:spacing w:after="0"/>
              <w:rPr>
                <w:sz w:val="15"/>
                <w:szCs w:val="15"/>
                <w:color w:val="auto"/>
              </w:rPr>
            </w:pPr>
          </w:p>
        </w:tc>
        <w:tc>
          <w:tcPr>
            <w:tcW w:w="1000" w:type="dxa"/>
            <w:vAlign w:val="bottom"/>
            <w:gridSpan w:val="2"/>
          </w:tcPr>
          <w:p>
            <w:pPr>
              <w:jc w:val="center"/>
              <w:ind w:right="40"/>
              <w:spacing w:after="0" w:line="181" w:lineRule="exact"/>
              <w:rPr>
                <w:sz w:val="20"/>
                <w:szCs w:val="20"/>
                <w:color w:val="auto"/>
              </w:rPr>
            </w:pPr>
            <w:r>
              <w:rPr>
                <w:rFonts w:ascii="Times New Roman" w:cs="Times New Roman" w:eastAsia="Times New Roman" w:hAnsi="Times New Roman"/>
                <w:sz w:val="18"/>
                <w:szCs w:val="18"/>
                <w:color w:val="auto"/>
                <w:w w:val="99"/>
              </w:rPr>
              <w:t>$4,287.54</w:t>
            </w: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$0.01</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per share</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Fees</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Previously</w:t>
            </w:r>
          </w:p>
        </w:tc>
        <w:tc>
          <w:tcPr>
            <w:tcW w:w="7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Equity</w:t>
            </w:r>
          </w:p>
        </w:tc>
        <w:tc>
          <w:tcPr>
            <w:tcW w:w="1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 value Rule 457(c)</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62,003,579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$0.7502(4)</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$46,511,984.62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$0.0001531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$7,120.98</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$0.01</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per share</w:t>
            </w: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Carry Forward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4057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5">
                      <a:extLst>
                        <a:ext uri="{28A0092B-C50C-407E-A947-70E740481C1C}"/>
                      </a:extLst>
                    </a:blip>
                    <a:srcRect/>
                    <a:stretch>
                      <a:fillRect/>
                    </a:stretch>
                  </pic:blipFill>
                  <pic:spPr bwMode="auto">
                    <a:xfrm>
                      <a:off x="0" y="0"/>
                      <a:ext cx="7140575" cy="137160"/>
                    </a:xfrm>
                    <a:prstGeom prst="rect">
                      <a:avLst/>
                    </a:prstGeom>
                    <a:noFill/>
                  </pic:spPr>
                </pic:pic>
              </a:graphicData>
            </a:graphic>
          </wp:anchor>
        </w:drawing>
      </w:r>
    </w:p>
    <w:p>
      <w:pPr>
        <w:spacing w:after="0" w:line="11" w:lineRule="exact"/>
        <w:rPr>
          <w:sz w:val="20"/>
          <w:szCs w:val="20"/>
          <w:color w:val="auto"/>
        </w:rPr>
      </w:pPr>
    </w:p>
    <w:p>
      <w:pPr>
        <w:jc w:val="center"/>
        <w:ind w:right="10460"/>
        <w:spacing w:after="0"/>
        <w:rPr>
          <w:sz w:val="20"/>
          <w:szCs w:val="20"/>
          <w:color w:val="auto"/>
        </w:rPr>
      </w:pPr>
      <w:r>
        <w:rPr>
          <w:rFonts w:ascii="Times New Roman" w:cs="Times New Roman" w:eastAsia="Times New Roman" w:hAnsi="Times New Roman"/>
          <w:sz w:val="18"/>
          <w:szCs w:val="18"/>
          <w:color w:val="auto"/>
        </w:rPr>
        <w:t>Carry</w:t>
      </w:r>
    </w:p>
    <w:p>
      <w:pPr>
        <w:spacing w:after="0" w:line="9" w:lineRule="exact"/>
        <w:rPr>
          <w:sz w:val="20"/>
          <w:szCs w:val="20"/>
          <w:color w:val="auto"/>
        </w:rPr>
      </w:pPr>
    </w:p>
    <w:p>
      <w:pPr>
        <w:jc w:val="center"/>
        <w:ind w:right="10460"/>
        <w:spacing w:after="0"/>
        <w:rPr>
          <w:sz w:val="20"/>
          <w:szCs w:val="20"/>
          <w:color w:val="auto"/>
        </w:rPr>
      </w:pPr>
      <w:r>
        <w:rPr>
          <w:rFonts w:ascii="Times New Roman" w:cs="Times New Roman" w:eastAsia="Times New Roman" w:hAnsi="Times New Roman"/>
          <w:sz w:val="18"/>
          <w:szCs w:val="18"/>
          <w:color w:val="auto"/>
        </w:rPr>
        <w:t>Forward</w:t>
      </w:r>
    </w:p>
    <w:p>
      <w:pPr>
        <w:spacing w:after="0" w:line="9" w:lineRule="exact"/>
        <w:rPr>
          <w:sz w:val="20"/>
          <w:szCs w:val="20"/>
          <w:color w:val="auto"/>
        </w:rPr>
      </w:pPr>
    </w:p>
    <w:p>
      <w:pPr>
        <w:jc w:val="center"/>
        <w:ind w:right="10460"/>
        <w:spacing w:after="0"/>
        <w:rPr>
          <w:sz w:val="20"/>
          <w:szCs w:val="20"/>
          <w:color w:val="auto"/>
        </w:rPr>
      </w:pPr>
      <w:r>
        <w:rPr>
          <w:rFonts w:ascii="Times New Roman" w:cs="Times New Roman" w:eastAsia="Times New Roman" w:hAnsi="Times New Roman"/>
          <w:sz w:val="18"/>
          <w:szCs w:val="18"/>
          <w:color w:val="auto"/>
        </w:rPr>
        <w:t>Securities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4400" w:type="dxa"/>
            <w:vAlign w:val="bottom"/>
            <w:shd w:val="clear" w:color="auto" w:fill="CCEEFF"/>
          </w:tcPr>
          <w:p>
            <w:pPr>
              <w:spacing w:after="0"/>
              <w:rPr>
                <w:sz w:val="17"/>
                <w:szCs w:val="17"/>
                <w:color w:val="auto"/>
              </w:rPr>
            </w:pPr>
          </w:p>
        </w:tc>
      </w:tr>
      <w:tr>
        <w:trPr>
          <w:trHeight w:val="216"/>
        </w:trPr>
        <w:tc>
          <w:tcPr>
            <w:tcW w:w="448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23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$28,004,855.20</w:t>
            </w:r>
          </w:p>
        </w:tc>
        <w:tc>
          <w:tcPr>
            <w:tcW w:w="4400" w:type="dxa"/>
            <w:vAlign w:val="bottom"/>
          </w:tcPr>
          <w:p>
            <w:pPr>
              <w:jc w:val="center"/>
              <w:ind w:right="2390"/>
              <w:spacing w:after="0"/>
              <w:rPr>
                <w:sz w:val="20"/>
                <w:szCs w:val="20"/>
                <w:color w:val="auto"/>
              </w:rPr>
            </w:pPr>
            <w:r>
              <w:rPr>
                <w:rFonts w:ascii="Times New Roman" w:cs="Times New Roman" w:eastAsia="Times New Roman" w:hAnsi="Times New Roman"/>
                <w:sz w:val="18"/>
                <w:szCs w:val="18"/>
                <w:color w:val="auto"/>
                <w:w w:val="99"/>
              </w:rPr>
              <w:t>$4,287.54</w:t>
            </w:r>
          </w:p>
        </w:tc>
      </w:tr>
      <w:tr>
        <w:trPr>
          <w:trHeight w:val="216"/>
        </w:trPr>
        <w:tc>
          <w:tcPr>
            <w:tcW w:w="448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23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$46,511,984.62</w:t>
            </w:r>
          </w:p>
        </w:tc>
        <w:tc>
          <w:tcPr>
            <w:tcW w:w="4400" w:type="dxa"/>
            <w:vAlign w:val="bottom"/>
            <w:shd w:val="clear" w:color="auto" w:fill="CCEEFF"/>
          </w:tcPr>
          <w:p>
            <w:pPr>
              <w:jc w:val="center"/>
              <w:ind w:right="2390"/>
              <w:spacing w:after="0"/>
              <w:rPr>
                <w:sz w:val="20"/>
                <w:szCs w:val="20"/>
                <w:color w:val="auto"/>
              </w:rPr>
            </w:pPr>
            <w:r>
              <w:rPr>
                <w:rFonts w:ascii="Times New Roman" w:cs="Times New Roman" w:eastAsia="Times New Roman" w:hAnsi="Times New Roman"/>
                <w:sz w:val="18"/>
                <w:szCs w:val="18"/>
                <w:color w:val="auto"/>
                <w:w w:val="99"/>
              </w:rPr>
              <w:t>$7,120.98</w:t>
            </w:r>
          </w:p>
        </w:tc>
      </w:tr>
      <w:tr>
        <w:trPr>
          <w:trHeight w:val="216"/>
        </w:trPr>
        <w:tc>
          <w:tcPr>
            <w:tcW w:w="448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2380" w:type="dxa"/>
            <w:vAlign w:val="bottom"/>
          </w:tcPr>
          <w:p>
            <w:pPr>
              <w:spacing w:after="0"/>
              <w:rPr>
                <w:sz w:val="18"/>
                <w:szCs w:val="18"/>
                <w:color w:val="auto"/>
              </w:rPr>
            </w:pPr>
          </w:p>
        </w:tc>
        <w:tc>
          <w:tcPr>
            <w:tcW w:w="4400" w:type="dxa"/>
            <w:vAlign w:val="bottom"/>
          </w:tcPr>
          <w:p>
            <w:pPr>
              <w:spacing w:after="0"/>
              <w:rPr>
                <w:sz w:val="18"/>
                <w:szCs w:val="18"/>
                <w:color w:val="auto"/>
              </w:rPr>
            </w:pPr>
          </w:p>
        </w:tc>
      </w:tr>
      <w:tr>
        <w:trPr>
          <w:trHeight w:val="216"/>
        </w:trPr>
        <w:tc>
          <w:tcPr>
            <w:tcW w:w="448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2380" w:type="dxa"/>
            <w:vAlign w:val="bottom"/>
            <w:shd w:val="clear" w:color="auto" w:fill="CCEEFF"/>
          </w:tcPr>
          <w:p>
            <w:pPr>
              <w:spacing w:after="0"/>
              <w:rPr>
                <w:sz w:val="18"/>
                <w:szCs w:val="18"/>
                <w:color w:val="auto"/>
              </w:rPr>
            </w:pPr>
          </w:p>
        </w:tc>
        <w:tc>
          <w:tcPr>
            <w:tcW w:w="4400" w:type="dxa"/>
            <w:vAlign w:val="bottom"/>
            <w:shd w:val="clear" w:color="auto" w:fill="CCEEFF"/>
          </w:tcPr>
          <w:p>
            <w:pPr>
              <w:jc w:val="center"/>
              <w:ind w:right="2390"/>
              <w:spacing w:after="0"/>
              <w:rPr>
                <w:sz w:val="20"/>
                <w:szCs w:val="20"/>
                <w:color w:val="auto"/>
              </w:rPr>
            </w:pPr>
            <w:r>
              <w:rPr>
                <w:rFonts w:ascii="Times New Roman" w:cs="Times New Roman" w:eastAsia="Times New Roman" w:hAnsi="Times New Roman"/>
                <w:sz w:val="18"/>
                <w:szCs w:val="18"/>
                <w:color w:val="auto"/>
                <w:w w:val="98"/>
              </w:rPr>
              <w:t>$0.00</w:t>
            </w:r>
          </w:p>
        </w:tc>
      </w:tr>
    </w:tbl>
    <w:p>
      <w:pPr>
        <w:spacing w:after="0" w:line="198" w:lineRule="exact"/>
        <w:rPr>
          <w:sz w:val="20"/>
          <w:szCs w:val="20"/>
          <w:color w:val="auto"/>
        </w:rPr>
      </w:pPr>
    </w:p>
    <w:p>
      <w:pPr>
        <w:jc w:val="both"/>
        <w:ind w:left="220" w:right="20" w:hanging="215"/>
        <w:spacing w:after="0" w:line="266" w:lineRule="auto"/>
        <w:rPr>
          <w:sz w:val="20"/>
          <w:szCs w:val="20"/>
          <w:color w:val="auto"/>
        </w:rPr>
      </w:pPr>
      <w:r>
        <w:rPr>
          <w:rFonts w:ascii="Times New Roman" w:cs="Times New Roman" w:eastAsia="Times New Roman" w:hAnsi="Times New Roman"/>
          <w:sz w:val="18"/>
          <w:szCs w:val="18"/>
          <w:color w:val="auto"/>
        </w:rPr>
        <w:t>(1)Pursuant to Rule 416 under the Securities Act of 1933 (the “Securities Act”), the shares being registered hereunder include such indeterminate number of shares of common stock, par value $0.01 per share (the “Common Stock”), as may be issuable with respect to the shares being registered hereunder as a result of stock splits, stock dividends or similar transactions.</w:t>
      </w:r>
    </w:p>
    <w:p>
      <w:pPr>
        <w:spacing w:after="0" w:line="176" w:lineRule="exact"/>
        <w:rPr>
          <w:sz w:val="20"/>
          <w:szCs w:val="20"/>
          <w:color w:val="auto"/>
        </w:rPr>
      </w:pPr>
    </w:p>
    <w:p>
      <w:pPr>
        <w:jc w:val="both"/>
        <w:ind w:left="220" w:right="20" w:hanging="215"/>
        <w:spacing w:after="0" w:line="266" w:lineRule="auto"/>
        <w:rPr>
          <w:sz w:val="20"/>
          <w:szCs w:val="20"/>
          <w:color w:val="auto"/>
        </w:rPr>
      </w:pPr>
      <w:r>
        <w:rPr>
          <w:rFonts w:ascii="Times New Roman" w:cs="Times New Roman" w:eastAsia="Times New Roman" w:hAnsi="Times New Roman"/>
          <w:sz w:val="18"/>
          <w:szCs w:val="18"/>
          <w:color w:val="auto"/>
        </w:rPr>
        <w:t>(2)Represents an aggregate of 30,440,060 shares of Common Stock issuable upon the conversion of shares of Series G convertible preferred stock (the “Preferred Stock”), upon exercise of certain warrants, and issuable as dividends to the holders of the Preferred Stock, based on the Company’s reasonable good-faith estimate of the number of Dividend Shares to be issued, if any.</w:t>
      </w:r>
    </w:p>
    <w:p>
      <w:pPr>
        <w:spacing w:after="0" w:line="176" w:lineRule="exact"/>
        <w:rPr>
          <w:sz w:val="20"/>
          <w:szCs w:val="20"/>
          <w:color w:val="auto"/>
        </w:rPr>
      </w:pPr>
    </w:p>
    <w:p>
      <w:pPr>
        <w:jc w:val="both"/>
        <w:ind w:left="220" w:right="20" w:hanging="215"/>
        <w:spacing w:after="0" w:line="266" w:lineRule="auto"/>
        <w:rPr>
          <w:sz w:val="20"/>
          <w:szCs w:val="20"/>
          <w:color w:val="auto"/>
        </w:rPr>
      </w:pPr>
      <w:r>
        <w:rPr>
          <w:rFonts w:ascii="Times New Roman" w:cs="Times New Roman" w:eastAsia="Times New Roman" w:hAnsi="Times New Roman"/>
          <w:sz w:val="18"/>
          <w:szCs w:val="18"/>
          <w:color w:val="auto"/>
        </w:rPr>
        <w:t>(3)Estimated solely for the purpose of calculating the amount of the registration fee pursuant to Rule 457(c) under the Securities Act, based on the average of the high and low prices of the Common Stock as reported on The Nasdaq Capital Market on June 17, 2025, which such date is within five business days of the filing of this Amendment No. 3 to the registration statement, of $0.92 per share</w:t>
      </w:r>
    </w:p>
    <w:p>
      <w:pPr>
        <w:spacing w:after="0" w:line="176" w:lineRule="exact"/>
        <w:rPr>
          <w:sz w:val="20"/>
          <w:szCs w:val="20"/>
          <w:color w:val="auto"/>
        </w:rPr>
      </w:pPr>
    </w:p>
    <w:p>
      <w:pPr>
        <w:jc w:val="both"/>
        <w:ind w:left="220" w:right="20" w:hanging="215"/>
        <w:spacing w:after="0" w:line="266" w:lineRule="auto"/>
        <w:rPr>
          <w:sz w:val="20"/>
          <w:szCs w:val="20"/>
          <w:color w:val="auto"/>
        </w:rPr>
      </w:pPr>
      <w:r>
        <w:rPr>
          <w:rFonts w:ascii="Times New Roman" w:cs="Times New Roman" w:eastAsia="Times New Roman" w:hAnsi="Times New Roman"/>
          <w:sz w:val="18"/>
          <w:szCs w:val="18"/>
          <w:color w:val="auto"/>
        </w:rPr>
        <w:t>(4)Estimated solely for the purpose of calculating the amount of the registration fee pursuant to Rule 457(c) under the Securities Act, based on the average of the high and low prices of the Common Stock as reported on The Nasdaq Capital Market on April 22, 2025, which such date is within five business days of the filing of Amendment No.1 to the registration statement on April 29, 2025, of $0.7502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60"/>
      </w:cols>
      <w:pgMar w:left="320" w:top="11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1"/>
    </w:lvl>
  </w:abstractNum>
  <w:abstractNum w:abstractNumId="1">
    <w:nsid w:val="515F007C"/>
    <w:multiLevelType w:val="hybridMultilevel"/>
    <w:lvl w:ilvl="0">
      <w:lvlJc w:val="left"/>
      <w:lvlText w:val="(%1)"/>
      <w:numFmt w:val="decimal"/>
      <w:start w:val="212"/>
    </w:lvl>
  </w:abstractNum>
  <w:abstractNum w:abstractNumId="2">
    <w:nsid w:val="5BD062C2"/>
    <w:multiLevelType w:val="hybridMultilevel"/>
    <w:lvl w:ilvl="0">
      <w:lvlJc w:val="left"/>
      <w:lvlText w:val="*"/>
      <w:numFmt w:val="bullet"/>
      <w:start w:val="1"/>
    </w:lvl>
    <w:lvl w:ilvl="1">
      <w:lvlJc w:val="left"/>
      <w:lvlText w:val="(%2)"/>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lvl w:ilvl="1">
      <w:lvlJc w:val="left"/>
      <w:lvlText w:val="(%2)"/>
      <w:numFmt w:val="lowerRoman"/>
      <w:start w:val="1"/>
    </w:lvl>
  </w:abstractNum>
  <w:abstractNum w:abstractNumId="11">
    <w:nsid w:val="109CF92E"/>
    <w:multiLevelType w:val="hybridMultilevel"/>
    <w:lvl w:ilvl="0">
      <w:lvlJc w:val="left"/>
      <w:lvlText w:val="(%1)"/>
      <w:numFmt w:val="lowerRoman"/>
      <w:start w:val="3"/>
    </w:lvl>
  </w:abstractNum>
  <w:abstractNum w:abstractNumId="12">
    <w:nsid w:val="DED7263"/>
    <w:multiLevelType w:val="hybridMultilevel"/>
    <w:lvl w:ilvl="0">
      <w:lvlJc w:val="left"/>
      <w:lvlText w:val="(%1)"/>
      <w:numFmt w:val="decimal"/>
      <w:start w:val="2"/>
    </w:lvl>
  </w:abstractNum>
  <w:abstractNum w:abstractNumId="13">
    <w:nsid w:val="7FDCC233"/>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1"/>
    </w:lvl>
  </w:abstractNum>
  <w:abstractNum w:abstractNumId="14">
    <w:nsid w:val="1BEFD79F"/>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87" Type="http://schemas.openxmlformats.org/officeDocument/2006/relationships/image" Target="media/image39.png"/><Relationship Id="rId88" Type="http://schemas.openxmlformats.org/officeDocument/2006/relationships/image" Target="media/image40.png"/><Relationship Id="rId89" Type="http://schemas.openxmlformats.org/officeDocument/2006/relationships/image" Target="media/image41.png"/><Relationship Id="rId90" Type="http://schemas.openxmlformats.org/officeDocument/2006/relationships/image" Target="media/image42.png"/><Relationship Id="rId91" Type="http://schemas.openxmlformats.org/officeDocument/2006/relationships/image" Target="media/image43.png"/><Relationship Id="rId92" Type="http://schemas.openxmlformats.org/officeDocument/2006/relationships/image" Target="media/image44.png"/><Relationship Id="rId93" Type="http://schemas.openxmlformats.org/officeDocument/2006/relationships/image" Target="media/image45.png"/><Relationship Id="rId94" Type="http://schemas.openxmlformats.org/officeDocument/2006/relationships/image" Target="media/image46.png"/><Relationship Id="rId95" Type="http://schemas.openxmlformats.org/officeDocument/2006/relationships/image" Target="media/image47.png"/><Relationship Id="rId96" Type="http://schemas.openxmlformats.org/officeDocument/2006/relationships/image" Target="media/image48.png"/><Relationship Id="rId35" Type="http://schemas.openxmlformats.org/officeDocument/2006/relationships/hyperlink" Target="https://www.sec.gov/ix?doc=/Archives/edgar/data/1410428/000155837025005691/xwel-20241231x10ka.htm" TargetMode="External"/><Relationship Id="rId36" Type="http://schemas.openxmlformats.org/officeDocument/2006/relationships/hyperlink" Target="https://www.sec.gov/ix?doc=/Archives/edgar/data/1410428/000155837025008028/xwel-20250331x10q.htm" TargetMode="External"/><Relationship Id="rId37" Type="http://schemas.openxmlformats.org/officeDocument/2006/relationships/hyperlink" Target="https://www.sec.gov/ix?doc=/Archives/edgar/data/1410428/000110465925050498/tm2515209d1_8k.htm" TargetMode="External"/><Relationship Id="rId38" Type="http://schemas.openxmlformats.org/officeDocument/2006/relationships/hyperlink" Target="https://www.sec.gov/Archives/edgar/data/1410428/000119312510140514/d8a12b.htm" TargetMode="External"/><Relationship Id="rId39" Type="http://schemas.openxmlformats.org/officeDocument/2006/relationships/hyperlink" Target="https://www.sec.gov/Archives/edgar/data/1410428/000110465920048780/tm205324d1_ex4-22.htm" TargetMode="External"/><Relationship Id="rId51" Type="http://schemas.openxmlformats.org/officeDocument/2006/relationships/hyperlink" Target="https://www.sec.gov/Archives/edgar/data/1410428/000114420416117230/v446257_ex2-1.htm" TargetMode="External"/><Relationship Id="rId52" Type="http://schemas.openxmlformats.org/officeDocument/2006/relationships/hyperlink" Target="https://www.sec.gov/Archives/edgar/data/1410428/000114420416123414/v448507_ex2-1.htm" TargetMode="External"/><Relationship Id="rId53" Type="http://schemas.openxmlformats.org/officeDocument/2006/relationships/hyperlink" Target="https://www.sec.gov/Archives/edgar/data/1410428/000114420416129472/v451220_ex2-1.htm" TargetMode="External"/><Relationship Id="rId54" Type="http://schemas.openxmlformats.org/officeDocument/2006/relationships/hyperlink" Target="https://www.sec.gov/Archives/edgar/data/1410428/000110465922110803/tm2228726d1_ex3-1.htm" TargetMode="External"/><Relationship Id="rId55" Type="http://schemas.openxmlformats.org/officeDocument/2006/relationships/hyperlink" Target="https://www.sec.gov/Archives/edgar/data/1410428/000110465922110803/tm2228726d1_ex3-2.htm" TargetMode="External"/><Relationship Id="rId56" Type="http://schemas.openxmlformats.org/officeDocument/2006/relationships/hyperlink" Target="https://www.sec.gov/Archives/edgar/data/1410428/000110465922110803/tm2228726d1_ex3-3.htm" TargetMode="External"/><Relationship Id="rId57" Type="http://schemas.openxmlformats.org/officeDocument/2006/relationships/hyperlink" Target="https://www.sec.gov/Archives/edgar/data/1410428/000110465923104093/tm2327010d1_ex3-1.htm" TargetMode="External"/><Relationship Id="rId58" Type="http://schemas.openxmlformats.org/officeDocument/2006/relationships/hyperlink" Target="https://www.sec.gov/Archives/edgar/data/1410428/000110465924090328/tm2421867d1_ex3-1.htm" TargetMode="External"/><Relationship Id="rId59" Type="http://schemas.openxmlformats.org/officeDocument/2006/relationships/hyperlink" Target="https://www.sec.gov/Archives/edgar/data/1410428/000110465925003620/tm253251d1_ex3-1.htm" TargetMode="External"/><Relationship Id="rId60" Type="http://schemas.openxmlformats.org/officeDocument/2006/relationships/hyperlink" Target="https://www.sec.gov/Archives/edgar/data/1410428/000114420416089189/v434655_ex4-1.htm" TargetMode="External"/><Relationship Id="rId61" Type="http://schemas.openxmlformats.org/officeDocument/2006/relationships/hyperlink" Target="https://www.sec.gov/Archives/edgar/data/1410428/000114420419015650/tv516755_ex10-1.htm" TargetMode="External"/><Relationship Id="rId62" Type="http://schemas.openxmlformats.org/officeDocument/2006/relationships/hyperlink" Target="https://www.sec.gov/Archives/edgar/data/1410428/000114420416129474/v449051_s4a.htm" TargetMode="External"/><Relationship Id="rId63" Type="http://schemas.openxmlformats.org/officeDocument/2006/relationships/hyperlink" Target="https://www.sec.gov/Archives/edgar/data/1410428/000114420418028911/tv492938_ex4-1.htm" TargetMode="External"/><Relationship Id="rId64" Type="http://schemas.openxmlformats.org/officeDocument/2006/relationships/hyperlink" Target="https://www.sec.gov/Archives/edgar/data/1410428/000114420419032532/tv524367_ex4-1.htm" TargetMode="External"/><Relationship Id="rId65" Type="http://schemas.openxmlformats.org/officeDocument/2006/relationships/hyperlink" Target="https://www.sec.gov/Archives/edgar/data/1410428/000114420419033939/tv524856_ex4-3.htm" TargetMode="External"/><Relationship Id="rId66" Type="http://schemas.openxmlformats.org/officeDocument/2006/relationships/hyperlink" Target="https://www.sec.gov/Archives/edgar/data/1410428/000110465920003636/tm203197d1_ex4-1.htm" TargetMode="External"/><Relationship Id="rId67" Type="http://schemas.openxmlformats.org/officeDocument/2006/relationships/hyperlink" Target="https://www.sec.gov/Archives/edgar/data/1410428/000110465920029962/tm2011914d1_ex4-1.htm" TargetMode="External"/><Relationship Id="rId68" Type="http://schemas.openxmlformats.org/officeDocument/2006/relationships/hyperlink" Target="https://www.sec.gov/Archives/edgar/data/1410428/000114420419033939/tv524856_ex4-1.htm" TargetMode="External"/><Relationship Id="rId69" Type="http://schemas.openxmlformats.org/officeDocument/2006/relationships/hyperlink" Target="https://www.sec.gov/Archives/edgar/data/1410428/000114420419033939/tv524856_ex4-2.htm" TargetMode="External"/><Relationship Id="rId70" Type="http://schemas.openxmlformats.org/officeDocument/2006/relationships/hyperlink" Target="https://www.sec.gov/Archives/edgar/data/1410428/000110465920035631/tm2013177d1_ex4-1.htm" TargetMode="External"/><Relationship Id="rId71" Type="http://schemas.openxmlformats.org/officeDocument/2006/relationships/hyperlink" Target="https://www.sec.gov/Archives/edgar/data/1410428/000110465920038562/tm2013765d1_ex4-1.htm" TargetMode="External"/><Relationship Id="rId72" Type="http://schemas.openxmlformats.org/officeDocument/2006/relationships/hyperlink" Target="https://www.sec.gov/Archives/edgar/data/1410428/000110465920039953/tm2014049d1_ex4-1.htm" TargetMode="External"/><Relationship Id="rId73" Type="http://schemas.openxmlformats.org/officeDocument/2006/relationships/hyperlink" Target="https://www.sec.gov/Archives/edgar/data/1410428/000110465920043879/tm2015133d1_ex4-1.htm" TargetMode="External"/><Relationship Id="rId74" Type="http://schemas.openxmlformats.org/officeDocument/2006/relationships/hyperlink" Target="https://www.sec.gov/Archives/edgar/data/1410428/000110465920048297/tm2016230-1_ex41.htm" TargetMode="External"/><Relationship Id="rId75" Type="http://schemas.openxmlformats.org/officeDocument/2006/relationships/hyperlink" Target="https://www.sec.gov/Archives/edgar/data/1410428/000110465920051103/tm2016889d1_ex4-1.htm" TargetMode="External"/><Relationship Id="rId76" Type="http://schemas.openxmlformats.org/officeDocument/2006/relationships/hyperlink" Target="https://www.sec.gov/Archives/edgar/data/1410428/000110465920074007/tm2022774d1_ex4-1.htm" TargetMode="External"/><Relationship Id="rId77" Type="http://schemas.openxmlformats.org/officeDocument/2006/relationships/hyperlink" Target="https://www.sec.gov/Archives/edgar/data/1410428/000110465920074007/tm2022774d1_ex4-2.htm" TargetMode="External"/><Relationship Id="rId78" Type="http://schemas.openxmlformats.org/officeDocument/2006/relationships/hyperlink" Target="https://www.sec.gov/Archives/edgar/data/1410428/000110465920100178/tm2029683d2_ex4-1.htm" TargetMode="External"/><Relationship Id="rId79" Type="http://schemas.openxmlformats.org/officeDocument/2006/relationships/hyperlink" Target="https://www.sec.gov/Archives/edgar/data/1410428/000110465920100178/tm2029683d2_ex4-2.htm" TargetMode="External"/><Relationship Id="rId80" Type="http://schemas.openxmlformats.org/officeDocument/2006/relationships/hyperlink" Target="https://www.sec.gov/Archives/edgar/data/1410428/000110465920100178/tm2029683d2_ex4-3.htm" TargetMode="External"/><Relationship Id="rId81" Type="http://schemas.openxmlformats.org/officeDocument/2006/relationships/hyperlink" Target="https://www.sec.gov/Archives/edgar/data/1410428/000110465920138085/tm2039005d1_ex4-1.htm" TargetMode="External"/><Relationship Id="rId82" Type="http://schemas.openxmlformats.org/officeDocument/2006/relationships/hyperlink" Target="https://www.sec.gov/Archives/edgar/data/1410428/000110465920138085/tm2039005d1_ex4-2.htm" TargetMode="External"/><Relationship Id="rId83" Type="http://schemas.openxmlformats.org/officeDocument/2006/relationships/hyperlink" Target="https://www.sec.gov/Archives/edgar/data/1410428/000110465924090328/tm2421867d1_ex4-1.htm" TargetMode="External"/><Relationship Id="rId84" Type="http://schemas.openxmlformats.org/officeDocument/2006/relationships/hyperlink" Target="https://www.sec.gov/Archives/edgar/data/1410428/000114420419035414/tv525226_ex4-14.htm" TargetMode="External"/><Relationship Id="rId85" Type="http://schemas.openxmlformats.org/officeDocument/2006/relationships/hyperlink" Target="https://www.sec.gov/Archives/edgar/data/1410428/000114420419035414/tv525226_ex4-15.htm" TargetMode="External"/><Relationship Id="rId86" Type="http://schemas.openxmlformats.org/officeDocument/2006/relationships/hyperlink" Target="https://www.sec.gov/Archives/edgar/data/1410428/000110465925041208/tm2513132d1_s3a.htm#p_0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2025-06-20T15:39:03Z</dcterms:created>
  <dcterms:modified xsi:type="dcterms:W3CDTF">2025-06-20T15:39:03Z</dcterms:modified>
</cp:coreProperties>
</file>