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Satzman Doug</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XPRESSPA GROUP,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254 WEST 31ST STREET, 11TH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XpresSpa Group,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XSPA</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10/06/2021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45"/>
        <w:spacing w:after="0"/>
        <w:rPr>
          <w:sz w:val="20"/>
          <w:szCs w:val="20"/>
          <w:color w:val="auto"/>
        </w:rPr>
      </w:pPr>
      <w:r>
        <w:rPr>
          <w:rFonts w:ascii="Arial" w:cs="Arial" w:eastAsia="Arial" w:hAnsi="Arial"/>
          <w:sz w:val="17"/>
          <w:szCs w:val="17"/>
          <w:color w:val="0000FF"/>
        </w:rPr>
        <w:t>Chief Executive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jc w:val="right"/>
              <w:ind w:right="220"/>
              <w:spacing w:after="0"/>
              <w:rPr>
                <w:sz w:val="20"/>
                <w:szCs w:val="20"/>
                <w:color w:val="auto"/>
              </w:rPr>
            </w:pPr>
            <w:r>
              <w:rPr>
                <w:rFonts w:ascii="Arial" w:cs="Arial" w:eastAsia="Arial" w:hAnsi="Arial"/>
                <w:sz w:val="12"/>
                <w:szCs w:val="12"/>
                <w:b w:val="1"/>
                <w:bCs w:val="1"/>
                <w:color w:val="auto"/>
                <w:w w:val="88"/>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10/06/2021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20,000</w:t>
            </w:r>
            <w:r>
              <w:rPr>
                <w:rFonts w:ascii="Arial" w:cs="Arial" w:eastAsia="Arial" w:hAnsi="Arial"/>
                <w:sz w:val="22"/>
                <w:szCs w:val="22"/>
                <w:color w:val="008000"/>
                <w:vertAlign w:val="superscript"/>
              </w:rPr>
              <w:t>(1)</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1.35</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930,000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10/06/2021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1,135</w:t>
            </w:r>
            <w:r>
              <w:rPr>
                <w:rFonts w:ascii="Arial" w:cs="Arial" w:eastAsia="Arial" w:hAnsi="Arial"/>
                <w:sz w:val="22"/>
                <w:szCs w:val="22"/>
                <w:color w:val="008000"/>
                <w:vertAlign w:val="superscript"/>
              </w:rPr>
              <w:t>(1)</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1.37</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928,865</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25" w:right="359" w:bottom="1440" w:gutter="0" w:footer="0" w:header="0"/>
          <w:type w:val="continuous"/>
        </w:sectPr>
      </w:pPr>
    </w:p>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1. Reflects shares of common stock surrendered via open market sale to satisfy tax withholding obligations in connection with vesting of restricted stock units.</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EXHIBIT 24 - Power of Attorney for Douglas Satzman</w:t>
      </w:r>
    </w:p>
    <w:p>
      <w:pPr>
        <w:spacing w:after="0" w:line="77" w:lineRule="exact"/>
        <w:rPr>
          <w:sz w:val="24"/>
          <w:szCs w:val="24"/>
          <w:color w:val="auto"/>
        </w:rPr>
      </w:pPr>
    </w:p>
    <w:p>
      <w:pPr>
        <w:ind w:left="6580"/>
        <w:spacing w:after="0"/>
        <w:rPr>
          <w:sz w:val="20"/>
          <w:szCs w:val="20"/>
          <w:color w:val="auto"/>
        </w:rPr>
      </w:pPr>
      <w:r>
        <w:rPr>
          <w:rFonts w:ascii="Arial" w:cs="Arial" w:eastAsia="Arial" w:hAnsi="Arial"/>
          <w:sz w:val="15"/>
          <w:szCs w:val="15"/>
          <w:color w:val="0000FF"/>
        </w:rPr>
        <w:t>/s/ Cara Soffer, as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5715</wp:posOffset>
            </wp:positionV>
            <wp:extent cx="13284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2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fact for Douglas Satzman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120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20775" cy="8255"/>
                    </a:xfrm>
                    <a:prstGeom prst="rect">
                      <a:avLst/>
                    </a:prstGeom>
                    <a:noFill/>
                  </pic:spPr>
                </pic:pic>
              </a:graphicData>
            </a:graphic>
          </wp:anchor>
        </w:drawing>
      </w:r>
    </w:p>
    <w:p>
      <w:pPr>
        <w:spacing w:after="0" w:line="52"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8" w:lineRule="exact"/>
        <w:rPr>
          <w:sz w:val="24"/>
          <w:szCs w:val="24"/>
          <w:color w:val="auto"/>
        </w:rPr>
      </w:pPr>
    </w:p>
    <w:p>
      <w:pPr>
        <w:spacing w:after="0"/>
        <w:rPr>
          <w:sz w:val="20"/>
          <w:szCs w:val="20"/>
          <w:color w:val="auto"/>
        </w:rPr>
      </w:pPr>
      <w:r>
        <w:rPr>
          <w:rFonts w:ascii="Arial" w:cs="Arial" w:eastAsia="Arial" w:hAnsi="Arial"/>
          <w:sz w:val="15"/>
          <w:szCs w:val="15"/>
          <w:color w:val="0000FF"/>
        </w:rPr>
        <w:t>10/08/2021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SECTION 16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James Berry and Cara Soffer and their successors in office and designees, signing singly, the undersigned's true and lawful attorney-in-fact to:</w:t>
      </w:r>
    </w:p>
    <w:p>
      <w:pPr>
        <w:spacing w:after="0" w:line="200" w:lineRule="exact"/>
        <w:rPr>
          <w:sz w:val="20"/>
          <w:szCs w:val="20"/>
          <w:color w:val="auto"/>
        </w:rPr>
      </w:pPr>
    </w:p>
    <w:p>
      <w:pPr>
        <w:ind w:right="1999" w:firstLine="7"/>
        <w:spacing w:after="0" w:line="249"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200" w:lineRule="exact"/>
        <w:rPr>
          <w:rFonts w:ascii="Courier New" w:cs="Courier New" w:eastAsia="Courier New" w:hAnsi="Courier New"/>
          <w:sz w:val="17"/>
          <w:szCs w:val="17"/>
          <w:color w:val="auto"/>
        </w:rPr>
      </w:pPr>
    </w:p>
    <w:p>
      <w:pPr>
        <w:ind w:right="2099" w:firstLine="7"/>
        <w:spacing w:after="0" w:line="249"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and file for and on behalf of the undersigned, in the undersigned's capacity as an officer and/or director of XpresSpa Group, Inc. (the "Company"), Forms 3, 4 and 5 in accordance with Section 16(a) of the Securities Exchange Act of 1934 and the rules thereunder;</w:t>
      </w:r>
    </w:p>
    <w:p>
      <w:pPr>
        <w:spacing w:after="0" w:line="200" w:lineRule="exact"/>
        <w:rPr>
          <w:rFonts w:ascii="Courier New" w:cs="Courier New" w:eastAsia="Courier New" w:hAnsi="Courier New"/>
          <w:sz w:val="17"/>
          <w:szCs w:val="17"/>
          <w:color w:val="auto"/>
        </w:rPr>
      </w:pPr>
    </w:p>
    <w:p>
      <w:pPr>
        <w:ind w:right="1479" w:firstLine="7"/>
        <w:spacing w:after="0" w:line="249"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w:t>
      </w:r>
    </w:p>
    <w:p>
      <w:pPr>
        <w:ind w:right="209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5, complete and execute any amendment or amendments thereto, and timely file such form with the United States Securities and Exchange Commission and any stock exchange or similar authority; and</w:t>
      </w:r>
    </w:p>
    <w:p>
      <w:pPr>
        <w:spacing w:after="0" w:line="197" w:lineRule="exact"/>
        <w:rPr>
          <w:rFonts w:ascii="Courier New" w:cs="Courier New" w:eastAsia="Courier New" w:hAnsi="Courier New"/>
          <w:sz w:val="17"/>
          <w:szCs w:val="17"/>
          <w:color w:val="auto"/>
        </w:rPr>
      </w:pPr>
    </w:p>
    <w:p>
      <w:pPr>
        <w:ind w:right="1879" w:firstLine="7"/>
        <w:spacing w:after="0" w:line="249"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ind w:right="1879"/>
        <w:spacing w:after="0" w:line="249"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00" w:lineRule="exact"/>
        <w:rPr>
          <w:sz w:val="20"/>
          <w:szCs w:val="20"/>
          <w:color w:val="auto"/>
        </w:rPr>
      </w:pPr>
    </w:p>
    <w:p>
      <w:pPr>
        <w:spacing w:after="0" w:line="201" w:lineRule="exact"/>
        <w:rPr>
          <w:sz w:val="20"/>
          <w:szCs w:val="20"/>
          <w:color w:val="auto"/>
        </w:rPr>
      </w:pPr>
    </w:p>
    <w:p>
      <w:pPr>
        <w:ind w:right="1879"/>
        <w:spacing w:after="0" w:line="249"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0" w:lineRule="exact"/>
        <w:rPr>
          <w:sz w:val="20"/>
          <w:szCs w:val="20"/>
          <w:color w:val="auto"/>
        </w:rPr>
      </w:pPr>
    </w:p>
    <w:p>
      <w:pPr>
        <w:ind w:right="2199"/>
        <w:spacing w:after="0" w:line="251"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of this 13th day of September 2021.</w:t>
      </w: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Douglas Satzman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Douglas Satzman</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67756" TargetMode="External"/><Relationship Id="rId13"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2021-10-08T15:18:24Z</dcterms:created>
  <dcterms:modified xsi:type="dcterms:W3CDTF">2021-10-08T15:18:24Z</dcterms:modified>
</cp:coreProperties>
</file>