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333-232764</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4"/>
          <w:szCs w:val="24"/>
          <w:color w:val="auto"/>
        </w:rPr>
      </w:pPr>
    </w:p>
    <w:p>
      <w:pPr>
        <w:ind w:right="120"/>
        <w:spacing w:after="0" w:line="302" w:lineRule="auto"/>
        <w:rPr>
          <w:sz w:val="20"/>
          <w:szCs w:val="20"/>
          <w:color w:val="auto"/>
        </w:rPr>
      </w:pPr>
      <w:r>
        <w:rPr>
          <w:rFonts w:ascii="Arial" w:cs="Arial" w:eastAsia="Arial" w:hAnsi="Arial"/>
          <w:sz w:val="16"/>
          <w:szCs w:val="16"/>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54" w:lineRule="exact"/>
        <w:rPr>
          <w:sz w:val="24"/>
          <w:szCs w:val="24"/>
          <w:color w:val="auto"/>
        </w:rPr>
      </w:pPr>
    </w:p>
    <w:p>
      <w:pPr>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4"/>
          <w:szCs w:val="24"/>
          <w:color w:val="auto"/>
        </w:rPr>
      </w:pPr>
    </w:p>
    <w:p>
      <w:pPr>
        <w:ind w:right="40"/>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5" w:lineRule="exact"/>
        <w:rPr>
          <w:sz w:val="24"/>
          <w:szCs w:val="24"/>
          <w:color w:val="auto"/>
        </w:rPr>
      </w:pPr>
    </w:p>
    <w:p>
      <w:pPr>
        <w:jc w:val="both"/>
        <w:ind w:right="36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4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904"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8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2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PROSPECTUS</w:t>
              </w:r>
            </w:hyperlink>
          </w:p>
        </w:tc>
        <w:tc>
          <w:tcPr>
            <w:tcW w:w="8900" w:type="dxa"/>
            <w:vAlign w:val="bottom"/>
            <w:tcBorders>
              <w:right w:val="single" w:sz="8" w:color="CCEEFF"/>
            </w:tcBorders>
            <w:gridSpan w:val="10"/>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20" w:type="dxa"/>
            <w:vAlign w:val="bottom"/>
            <w:gridSpan w:val="9"/>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PROSPECTUS SUMMARY</w:t>
              </w:r>
            </w:hyperlink>
          </w:p>
        </w:tc>
        <w:tc>
          <w:tcPr>
            <w:tcW w:w="8900" w:type="dxa"/>
            <w:vAlign w:val="bottom"/>
            <w:gridSpan w:val="10"/>
          </w:tcPr>
          <w:p>
            <w:pPr>
              <w:spacing w:after="0"/>
              <w:rPr>
                <w:sz w:val="15"/>
                <w:szCs w:val="15"/>
                <w:color w:val="auto"/>
              </w:rPr>
            </w:pPr>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9880" w:type="dxa"/>
            <w:vAlign w:val="bottom"/>
            <w:tcBorders>
              <w:right w:val="single" w:sz="8" w:color="CCEEFF"/>
            </w:tcBorders>
            <w:gridSpan w:val="17"/>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80" w:type="dxa"/>
            <w:vAlign w:val="bottom"/>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7640" w:type="dxa"/>
            <w:vAlign w:val="bottom"/>
            <w:gridSpan w:val="5"/>
          </w:tcPr>
          <w:p>
            <w:pPr>
              <w:spacing w:after="0"/>
              <w:rPr>
                <w:sz w:val="15"/>
                <w:szCs w:val="15"/>
                <w:color w:val="auto"/>
              </w:rPr>
            </w:pPr>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4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PLAN OF DISTRIBUTION</w:t>
              </w:r>
            </w:hyperlink>
          </w:p>
        </w:tc>
        <w:tc>
          <w:tcPr>
            <w:tcW w:w="9080" w:type="dxa"/>
            <w:vAlign w:val="bottom"/>
            <w:tcBorders>
              <w:right w:val="single" w:sz="8" w:color="CCEEFF"/>
            </w:tcBorders>
            <w:gridSpan w:val="13"/>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COMMON STOCK</w:t>
              </w:r>
            </w:hyperlink>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PREFERRED STOCK</w:t>
              </w:r>
            </w:hyperlink>
          </w:p>
        </w:tc>
        <w:tc>
          <w:tcPr>
            <w:tcW w:w="7980" w:type="dxa"/>
            <w:vAlign w:val="bottom"/>
            <w:tcBorders>
              <w:right w:val="single" w:sz="8" w:color="CCEEFF"/>
            </w:tcBorders>
            <w:gridSpan w:val="6"/>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14">
              <w:r>
                <w:rPr>
                  <w:rFonts w:ascii="Arial" w:cs="Arial" w:eastAsia="Arial" w:hAnsi="Arial"/>
                  <w:sz w:val="15"/>
                  <w:szCs w:val="15"/>
                  <w:color w:val="0000EE"/>
                  <w:w w:val="71"/>
                </w:rPr>
                <w:t>10</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13"/>
          </w:tcPr>
          <w:p>
            <w:pPr>
              <w:spacing w:after="0" w:line="17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DESCRIPTION OF DEBT SECURITIES</w:t>
              </w:r>
            </w:hyperlink>
          </w:p>
        </w:tc>
        <w:tc>
          <w:tcPr>
            <w:tcW w:w="7980" w:type="dxa"/>
            <w:vAlign w:val="bottom"/>
            <w:gridSpan w:val="6"/>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WARRANTS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60" w:type="dxa"/>
            <w:vAlign w:val="bottom"/>
            <w:gridSpan w:val="10"/>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RIGHTS</w:t>
              </w:r>
            </w:hyperlink>
          </w:p>
        </w:tc>
        <w:tc>
          <w:tcPr>
            <w:tcW w:w="8660" w:type="dxa"/>
            <w:vAlign w:val="bottom"/>
            <w:gridSpan w:val="9"/>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CERTAIN PROVISIONS OF DELAWARE LAW AND OF THE COMPANY’S CERTIFICATE OF INCORPORATION AND BYLAWS</w:t>
              </w:r>
            </w:hyperlink>
          </w:p>
        </w:tc>
        <w:tc>
          <w:tcPr>
            <w:tcW w:w="280" w:type="dxa"/>
            <w:vAlign w:val="bottom"/>
            <w:gridSpan w:val="2"/>
          </w:tcPr>
          <w:p>
            <w:pPr>
              <w:jc w:val="right"/>
              <w:ind w:right="140"/>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gridSpan w:val="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9680" w:type="dxa"/>
            <w:vAlign w:val="bottom"/>
            <w:gridSpan w:val="16"/>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OF DOCUMENTS BY REFERENCE</w:t>
              </w:r>
            </w:hyperlink>
          </w:p>
        </w:tc>
        <w:tc>
          <w:tcPr>
            <w:tcW w:w="280" w:type="dxa"/>
            <w:vAlign w:val="bottom"/>
            <w:gridSpan w:val="2"/>
          </w:tcPr>
          <w:p>
            <w:pPr>
              <w:jc w:val="right"/>
              <w:ind w:right="14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818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t>PROSPECTUS SUMMARY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420"/>
        <w:spacing w:after="0" w:line="228"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13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14">
        <w:r>
          <w:rPr>
            <w:rFonts w:ascii="Arial" w:cs="Arial" w:eastAsia="Arial" w:hAnsi="Arial"/>
            <w:sz w:val="16"/>
            <w:szCs w:val="16"/>
            <w:u w:val="single" w:color="auto"/>
            <w:color w:val="0000EE"/>
          </w:rPr>
          <w:t>most recent annual report on Form 10-K</w:t>
        </w:r>
      </w:hyperlink>
      <w:r>
        <w:rPr>
          <w:rFonts w:ascii="Arial" w:cs="Arial" w:eastAsia="Arial" w:hAnsi="Arial"/>
          <w:sz w:val="16"/>
          <w:szCs w:val="16"/>
          <w:color w:val="auto"/>
        </w:rPr>
        <w:t xml:space="preserve">, as revised or supplemented by our subsequent </w:t>
      </w:r>
      <w:hyperlink r:id="rId15">
        <w:r>
          <w:rPr>
            <w:rFonts w:ascii="Arial" w:cs="Arial" w:eastAsia="Arial" w:hAnsi="Arial"/>
            <w:sz w:val="16"/>
            <w:szCs w:val="16"/>
            <w:u w:val="single" w:color="auto"/>
            <w:color w:val="0000EE"/>
          </w:rPr>
          <w:t>quarterly reports on 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or our </w:t>
      </w:r>
      <w:hyperlink r:id="rId16">
        <w:r>
          <w:rPr>
            <w:rFonts w:ascii="Arial" w:cs="Arial" w:eastAsia="Arial" w:hAnsi="Arial"/>
            <w:sz w:val="16"/>
            <w:szCs w:val="16"/>
            <w:u w:val="single" w:color="auto"/>
            <w:color w:val="0000EE"/>
          </w:rPr>
          <w:t>current reports on 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383"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w:t>
      </w:r>
      <w:hyperlink r:id="rId14">
        <w:r>
          <w:rPr>
            <w:rFonts w:ascii="Arial" w:cs="Arial" w:eastAsia="Arial" w:hAnsi="Arial"/>
            <w:sz w:val="16"/>
            <w:szCs w:val="16"/>
            <w:color w:val="auto"/>
          </w:rPr>
          <w:t xml:space="preserve">achievements expressed or implied by these forward-looking statements, to differ. The sections in our periodic reports, including our </w:t>
        </w:r>
        <w:r>
          <w:rPr>
            <w:rFonts w:ascii="Arial" w:cs="Arial" w:eastAsia="Arial" w:hAnsi="Arial"/>
            <w:sz w:val="16"/>
            <w:szCs w:val="16"/>
            <w:u w:val="single" w:color="auto"/>
            <w:color w:val="0000EE"/>
          </w:rPr>
          <w:t>Annual Report on Form</w:t>
        </w:r>
      </w:hyperlink>
      <w:r>
        <w:rPr>
          <w:rFonts w:ascii="Arial" w:cs="Arial" w:eastAsia="Arial" w:hAnsi="Arial"/>
          <w:sz w:val="16"/>
          <w:szCs w:val="16"/>
          <w:color w:val="auto"/>
        </w:rPr>
        <w:t xml:space="preserve"> </w:t>
      </w:r>
      <w:hyperlink r:id="rId14">
        <w:r>
          <w:rPr>
            <w:rFonts w:ascii="Arial" w:cs="Arial" w:eastAsia="Arial" w:hAnsi="Arial"/>
            <w:sz w:val="16"/>
            <w:szCs w:val="16"/>
            <w:u w:val="single" w:color="auto"/>
            <w:color w:val="0000EE"/>
          </w:rPr>
          <w:t>10-K for the fiscal year ended December 31, 2018</w:t>
        </w:r>
        <w:r>
          <w:rPr>
            <w:rFonts w:ascii="Arial" w:cs="Arial" w:eastAsia="Arial" w:hAnsi="Arial"/>
            <w:sz w:val="16"/>
            <w:szCs w:val="16"/>
            <w:color w:val="000000"/>
          </w:rPr>
          <w:t>, entitled “Business,” “Risk Factors,” and “Management’s Discussion and Analysis of Financial Condition</w:t>
        </w:r>
      </w:hyperlink>
      <w:r>
        <w:rPr>
          <w:rFonts w:ascii="Arial" w:cs="Arial" w:eastAsia="Arial" w:hAnsi="Arial"/>
          <w:sz w:val="16"/>
          <w:szCs w:val="16"/>
          <w:color w:val="0000EE"/>
        </w:rPr>
        <w:t xml:space="preserve"> </w:t>
      </w:r>
      <w:r>
        <w:rPr>
          <w:rFonts w:ascii="Arial" w:cs="Arial" w:eastAsia="Arial" w:hAnsi="Arial"/>
          <w:sz w:val="16"/>
          <w:szCs w:val="16"/>
          <w:color w:val="000000"/>
        </w:rPr>
        <w:t>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loss of, or an adverse change with regard to, one or more of our significant suppliers, distributors, vendors or other business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w:t>
      </w:r>
      <w:hyperlink r:id="rId14">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15">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16">
        <w:r>
          <w:rPr>
            <w:rFonts w:ascii="Arial" w:cs="Arial" w:eastAsia="Arial" w:hAnsi="Arial"/>
            <w:sz w:val="17"/>
            <w:szCs w:val="17"/>
            <w:u w:val="single" w:color="auto"/>
            <w:color w:val="0000EE"/>
          </w:rPr>
          <w:t>current reports on Form 8-K</w:t>
        </w:r>
      </w:hyperlink>
      <w:r>
        <w:rPr>
          <w:rFonts w:ascii="Arial" w:cs="Arial" w:eastAsia="Arial" w:hAnsi="Arial"/>
          <w:sz w:val="17"/>
          <w:szCs w:val="17"/>
          <w:color w:val="auto"/>
        </w:rPr>
        <w: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78" w:lineRule="exact"/>
        <w:rPr>
          <w:rFonts w:ascii="Arial" w:cs="Arial" w:eastAsia="Arial" w:hAnsi="Arial"/>
          <w:sz w:val="17"/>
          <w:szCs w:val="17"/>
          <w:color w:val="auto"/>
        </w:rPr>
      </w:pPr>
    </w:p>
    <w:p>
      <w:pPr>
        <w:ind w:right="40"/>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1" w:name="page12"/>
    <w:bookmarkEnd w:id="11"/>
    <w:p>
      <w:pPr>
        <w:ind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or all other preferences and relative, participating, optional or other special rights, privileges or qualifications, limitations or restrictions;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66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indenture provides that we can elect to be discharged from our obligations with respect to one or more series of debt securities, except for obligations to:</w:t>
      </w:r>
    </w:p>
    <w:p>
      <w:pPr>
        <w:spacing w:after="0" w:line="2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1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10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5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7"/>
          <w:szCs w:val="17"/>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14">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14">
        <w:r>
          <w:rPr>
            <w:rFonts w:ascii="Arial" w:cs="Arial" w:eastAsia="Arial" w:hAnsi="Arial"/>
            <w:sz w:val="17"/>
            <w:szCs w:val="17"/>
            <w:u w:val="single" w:color="auto"/>
            <w:color w:val="0000EE"/>
          </w:rPr>
          <w:t>year ended December 31, 2018</w:t>
        </w:r>
        <w:r>
          <w:rPr>
            <w:rFonts w:ascii="Arial" w:cs="Arial" w:eastAsia="Arial" w:hAnsi="Arial"/>
            <w:sz w:val="17"/>
            <w:szCs w:val="17"/>
            <w:color w:val="000000"/>
          </w:rPr>
          <w:t>, as set forth in their report (which includes an explanatory paragraph referring to the Company’s ability to continue as a going</w:t>
        </w:r>
      </w:hyperlink>
      <w:r>
        <w:rPr>
          <w:rFonts w:ascii="Arial" w:cs="Arial" w:eastAsia="Arial" w:hAnsi="Arial"/>
          <w:sz w:val="17"/>
          <w:szCs w:val="17"/>
          <w:color w:val="0000EE"/>
        </w:rPr>
        <w:t xml:space="preserve"> </w:t>
      </w:r>
      <w:r>
        <w:rPr>
          <w:rFonts w:ascii="Arial" w:cs="Arial" w:eastAsia="Arial" w:hAnsi="Arial"/>
          <w:sz w:val="17"/>
          <w:szCs w:val="17"/>
          <w:color w:val="000000"/>
        </w:rPr>
        <w:t>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0000EE"/>
        </w:rPr>
      </w:pPr>
      <w:hyperlink r:id="rId39">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39">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660" w:right="240" w:hanging="328"/>
        <w:spacing w:after="0" w:line="264" w:lineRule="auto"/>
        <w:tabs>
          <w:tab w:leader="none" w:pos="66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1">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7">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8">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1" w:lineRule="exact"/>
        <w:rPr>
          <w:rFonts w:ascii="Arial" w:cs="Arial" w:eastAsia="Arial" w:hAnsi="Arial"/>
          <w:sz w:val="18"/>
          <w:szCs w:val="18"/>
          <w:color w:val="0000EE"/>
        </w:rPr>
      </w:pPr>
    </w:p>
    <w:p>
      <w:pPr>
        <w:ind w:left="660" w:right="20" w:hanging="328"/>
        <w:spacing w:after="0" w:line="264" w:lineRule="auto"/>
        <w:tabs>
          <w:tab w:leader="none" w:pos="660" w:val="left"/>
        </w:tabs>
        <w:numPr>
          <w:ilvl w:val="0"/>
          <w:numId w:val="22"/>
        </w:numPr>
        <w:rPr>
          <w:rFonts w:ascii="Arial" w:cs="Arial" w:eastAsia="Arial" w:hAnsi="Arial"/>
          <w:sz w:val="18"/>
          <w:szCs w:val="18"/>
          <w:color w:val="0000EE"/>
        </w:rPr>
      </w:pPr>
      <w:hyperlink r:id="rId50">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 2013</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1">
        <w:r>
          <w:rPr>
            <w:rFonts w:ascii="Arial" w:cs="Arial" w:eastAsia="Arial" w:hAnsi="Arial"/>
            <w:sz w:val="18"/>
            <w:szCs w:val="18"/>
            <w:u w:val="single" w:color="auto"/>
            <w:color w:val="0000EE"/>
          </w:rPr>
          <w:t>June 16, 2010 (File No. 001-34785)</w:t>
        </w:r>
      </w:hyperlink>
      <w:hyperlink r:id="rId50">
        <w:r>
          <w:rPr>
            <w:rFonts w:ascii="Arial" w:cs="Arial" w:eastAsia="Arial" w:hAnsi="Arial"/>
            <w:sz w:val="18"/>
            <w:szCs w:val="18"/>
            <w:color w:val="000000"/>
          </w:rPr>
          <w:t>, pursuant to Section 12(b) of the Exchange Act, and any amendment or report filed</w:t>
        </w:r>
      </w:hyperlink>
      <w:r>
        <w:rPr>
          <w:rFonts w:ascii="Arial" w:cs="Arial" w:eastAsia="Arial" w:hAnsi="Arial"/>
          <w:sz w:val="18"/>
          <w:szCs w:val="18"/>
          <w:color w:val="0000EE"/>
        </w:rPr>
        <w:t xml:space="preserve"> </w:t>
      </w:r>
      <w:r>
        <w:rPr>
          <w:rFonts w:ascii="Arial" w:cs="Arial" w:eastAsia="Arial" w:hAnsi="Arial"/>
          <w:sz w:val="18"/>
          <w:szCs w:val="18"/>
          <w:color w:val="000000"/>
        </w:rPr>
        <w:t>with the SEC for purposes of updating such description; and</w:t>
      </w:r>
    </w:p>
    <w:p>
      <w:pPr>
        <w:spacing w:after="0" w:line="181" w:lineRule="exact"/>
        <w:rPr>
          <w:rFonts w:ascii="Arial" w:cs="Arial" w:eastAsia="Arial" w:hAnsi="Arial"/>
          <w:sz w:val="18"/>
          <w:szCs w:val="18"/>
          <w:color w:val="0000EE"/>
        </w:rPr>
      </w:pPr>
    </w:p>
    <w:p>
      <w:pPr>
        <w:ind w:left="660" w:right="22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rFonts w:ascii="Arial" w:cs="Arial" w:eastAsia="Arial" w:hAnsi="Arial"/>
          <w:sz w:val="18"/>
          <w:szCs w:val="18"/>
          <w:color w:val="0000EE"/>
        </w:rPr>
      </w:pPr>
    </w:p>
    <w:p>
      <w:pPr>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rFonts w:ascii="Arial" w:cs="Arial" w:eastAsia="Arial" w:hAnsi="Arial"/>
          <w:sz w:val="18"/>
          <w:szCs w:val="18"/>
          <w:color w:val="0000EE"/>
        </w:rPr>
      </w:pPr>
    </w:p>
    <w:p>
      <w:pPr>
        <w:ind w:right="60"/>
        <w:spacing w:after="0" w:line="342" w:lineRule="auto"/>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40" w:lineRule="exact"/>
        <w:rPr>
          <w:rFonts w:ascii="Arial" w:cs="Arial" w:eastAsia="Arial" w:hAnsi="Arial"/>
          <w:sz w:val="18"/>
          <w:szCs w:val="18"/>
          <w:color w:val="0000EE"/>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40"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14" Type="http://schemas.openxmlformats.org/officeDocument/2006/relationships/hyperlink" Target="http://www.sec.gov/Archives/edgar/data/1410428/000114420419017496/tv516017_10k.htm" TargetMode="External"/><Relationship Id="rId15" Type="http://schemas.openxmlformats.org/officeDocument/2006/relationships/hyperlink" Target="http://www.sec.gov/Archives/edgar/data/1410428/000114420419026665/tv520725_10q.htm" TargetMode="External"/><Relationship Id="rId16" Type="http://schemas.openxmlformats.org/officeDocument/2006/relationships/hyperlink" Target="http://www.sec.gov/Archives/edgar/data/1410428/000114420419034328/tv525020_8k.htm" TargetMode="External"/><Relationship Id="rId39" Type="http://schemas.openxmlformats.org/officeDocument/2006/relationships/hyperlink" Target="http://www.sec.gov/Archives/edgar/data/1410428/000114420419022522/tv519608_10ka.htm" TargetMode="External"/><Relationship Id="rId41" Type="http://schemas.openxmlformats.org/officeDocument/2006/relationships/hyperlink" Target="http://www.sec.gov/Archives/edgar/data/1410428/000114420419007309/tv513163_8k.htm" TargetMode="External"/><Relationship Id="rId42" Type="http://schemas.openxmlformats.org/officeDocument/2006/relationships/hyperlink" Target="http://www.sec.gov/Archives/edgar/data/1410428/000114420419009610/tv514467_8k.htm" TargetMode="External"/><Relationship Id="rId43" Type="http://schemas.openxmlformats.org/officeDocument/2006/relationships/hyperlink" Target="http://www.sec.gov/Archives/edgar/data/1410428/000114420419014325/tv516349_8k.htm" TargetMode="External"/><Relationship Id="rId44" Type="http://schemas.openxmlformats.org/officeDocument/2006/relationships/hyperlink" Target="http://www.sec.gov/Archives/edgar/data/1410428/000114420419015650/tv516755_8k.htm" TargetMode="External"/><Relationship Id="rId45" Type="http://schemas.openxmlformats.org/officeDocument/2006/relationships/hyperlink" Target="http://www.sec.gov/Archives/edgar/data/1410428/000114420419022528/tv520089_8k.htm" TargetMode="External"/><Relationship Id="rId46" Type="http://schemas.openxmlformats.org/officeDocument/2006/relationships/hyperlink" Target="http://www.sec.gov/Archives/edgar/data/1410428/000114420419027101/tv521899_8k.htm" TargetMode="External"/><Relationship Id="rId47" Type="http://schemas.openxmlformats.org/officeDocument/2006/relationships/hyperlink" Target="http://www.sec.gov/Archives/edgar/data/1410428/000114420419031189/tv523626_8k.htm" TargetMode="External"/><Relationship Id="rId48" Type="http://schemas.openxmlformats.org/officeDocument/2006/relationships/hyperlink" Target="http://www.sec.gov/Archives/edgar/data/1410428/000114420419032532/tv524367_8k.htm" TargetMode="External"/><Relationship Id="rId49" Type="http://schemas.openxmlformats.org/officeDocument/2006/relationships/hyperlink" Target="http://www.sec.gov/Archives/edgar/data/1410428/000114420419033939/tv524856_8k.htm" TargetMode="External"/><Relationship Id="rId50" Type="http://schemas.openxmlformats.org/officeDocument/2006/relationships/hyperlink" Target="http://www.sec.gov/Archives/edgar/data/1410428/000114420413024675/v342843_8a12b.htm" TargetMode="External"/><Relationship Id="rId51"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2019-11-30T14:05:08Z</dcterms:created>
  <dcterms:modified xsi:type="dcterms:W3CDTF">2019-11-30T14:05:08Z</dcterms:modified>
</cp:coreProperties>
</file>