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10"/>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7"/>
                <w:szCs w:val="7"/>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11"/>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48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w w:val="99"/>
              </w:rPr>
              <w:t>12/08/2011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14"/>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14"/>
            <w:vMerge w:val="continue"/>
          </w:tcPr>
          <w:p>
            <w:pPr>
              <w:spacing w:after="0"/>
              <w:rPr>
                <w:sz w:val="13"/>
                <w:szCs w:val="13"/>
                <w:color w:val="auto"/>
              </w:rPr>
            </w:pPr>
          </w:p>
        </w:tc>
        <w:tc>
          <w:tcPr>
            <w:tcW w:w="33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6"/>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NY</w:t>
            </w: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20" w:type="dxa"/>
            <w:vAlign w:val="bottom"/>
            <w:gridSpan w:val="6"/>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7"/>
          </w:tcPr>
          <w:p>
            <w:pPr>
              <w:ind w:left="12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28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8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gridSpan w:val="5"/>
          </w:tcPr>
          <w:p>
            <w:pPr>
              <w:ind w:left="4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28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(D) or Indirect</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7"/>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vMerge w:val="restart"/>
          </w:tcPr>
          <w:p>
            <w:pPr>
              <w:ind w:left="12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gridSpan w:val="4"/>
            <w:vMerge w:val="restart"/>
          </w:tcPr>
          <w:p>
            <w:pPr>
              <w:ind w:left="520"/>
              <w:spacing w:after="0"/>
              <w:rPr>
                <w:sz w:val="20"/>
                <w:szCs w:val="20"/>
                <w:color w:val="auto"/>
              </w:rPr>
            </w:pPr>
            <w:r>
              <w:rPr>
                <w:rFonts w:ascii="Arial" w:cs="Arial" w:eastAsia="Arial" w:hAnsi="Arial"/>
                <w:sz w:val="18"/>
                <w:szCs w:val="18"/>
                <w:color w:val="0000FF"/>
                <w:w w:val="88"/>
              </w:rPr>
              <w:t>12/08/2011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4"/>
              </w:rPr>
              <w:t>2,000</w:t>
            </w:r>
          </w:p>
        </w:tc>
        <w:tc>
          <w:tcPr>
            <w:tcW w:w="80" w:type="dxa"/>
            <w:vAlign w:val="bottom"/>
          </w:tcPr>
          <w:p>
            <w:pPr>
              <w:spacing w:after="0"/>
              <w:rPr>
                <w:sz w:val="22"/>
                <w:szCs w:val="22"/>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1.1955</w:t>
            </w:r>
          </w:p>
        </w:tc>
        <w:tc>
          <w:tcPr>
            <w:tcW w:w="1660" w:type="dxa"/>
            <w:vAlign w:val="bottom"/>
            <w:gridSpan w:val="5"/>
            <w:vMerge w:val="restart"/>
          </w:tcPr>
          <w:p>
            <w:pPr>
              <w:ind w:left="160"/>
              <w:spacing w:after="0"/>
              <w:rPr>
                <w:sz w:val="20"/>
                <w:szCs w:val="20"/>
                <w:color w:val="auto"/>
              </w:rPr>
            </w:pPr>
            <w:r>
              <w:rPr>
                <w:rFonts w:ascii="Arial" w:cs="Arial" w:eastAsia="Arial" w:hAnsi="Arial"/>
                <w:sz w:val="35"/>
                <w:szCs w:val="35"/>
                <w:color w:val="0000FF"/>
                <w:vertAlign w:val="subscript"/>
              </w:rPr>
              <w:t>919,604</w:t>
            </w:r>
            <w:r>
              <w:rPr>
                <w:rFonts w:ascii="Arial" w:cs="Arial" w:eastAsia="Arial" w:hAnsi="Arial"/>
                <w:sz w:val="11"/>
                <w:szCs w:val="11"/>
                <w:color w:val="008000"/>
              </w:rPr>
              <w:t>(1)(2)(3)</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460" w:type="dxa"/>
            <w:vAlign w:val="bottom"/>
          </w:tcPr>
          <w:p>
            <w:pPr>
              <w:ind w:left="120"/>
              <w:spacing w:after="0"/>
              <w:rPr>
                <w:sz w:val="20"/>
                <w:szCs w:val="20"/>
                <w:color w:val="auto"/>
              </w:rPr>
            </w:pPr>
            <w:r>
              <w:rPr>
                <w:rFonts w:ascii="Arial" w:cs="Arial" w:eastAsia="Arial" w:hAnsi="Arial"/>
                <w:sz w:val="18"/>
                <w:szCs w:val="18"/>
                <w:color w:val="0000FF"/>
                <w:w w:val="99"/>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20" w:type="dxa"/>
            <w:vAlign w:val="bottom"/>
            <w:gridSpan w:val="3"/>
            <w:vMerge w:val="restart"/>
          </w:tcPr>
          <w:p>
            <w:pPr>
              <w:ind w:left="120"/>
              <w:spacing w:after="0" w:line="278" w:lineRule="exact"/>
              <w:rPr>
                <w:sz w:val="20"/>
                <w:szCs w:val="20"/>
                <w:color w:val="auto"/>
              </w:rPr>
            </w:pPr>
            <w:r>
              <w:rPr>
                <w:rFonts w:ascii="Arial" w:cs="Arial" w:eastAsia="Arial" w:hAnsi="Arial"/>
                <w:sz w:val="32"/>
                <w:szCs w:val="32"/>
                <w:color w:val="0000FF"/>
                <w:w w:val="86"/>
                <w:vertAlign w:val="subscript"/>
              </w:rPr>
              <w:t>Footnote</w:t>
            </w:r>
            <w:r>
              <w:rPr>
                <w:rFonts w:ascii="Arial" w:cs="Arial" w:eastAsia="Arial" w:hAnsi="Arial"/>
                <w:sz w:val="11"/>
                <w:szCs w:val="11"/>
                <w:color w:val="008000"/>
                <w:w w:val="86"/>
              </w:rPr>
              <w:t>(1)(2)(3)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ind w:left="520"/>
              <w:spacing w:after="0"/>
              <w:rPr>
                <w:sz w:val="20"/>
                <w:szCs w:val="20"/>
                <w:color w:val="auto"/>
              </w:rPr>
            </w:pPr>
            <w:r>
              <w:rPr>
                <w:rFonts w:ascii="Arial" w:cs="Arial" w:eastAsia="Arial" w:hAnsi="Arial"/>
                <w:sz w:val="18"/>
                <w:szCs w:val="18"/>
                <w:color w:val="0000FF"/>
                <w:w w:val="88"/>
              </w:rPr>
              <w:t>12/09/2011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4"/>
                <w:szCs w:val="14"/>
                <w:color w:val="0000FF"/>
              </w:rPr>
              <w:t>S</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800</w:t>
            </w: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8"/>
                <w:szCs w:val="18"/>
                <w:color w:val="0000FF"/>
              </w:rPr>
              <w:t>D</w:t>
            </w:r>
          </w:p>
        </w:tc>
        <w:tc>
          <w:tcPr>
            <w:tcW w:w="6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1.2525</w:t>
            </w:r>
          </w:p>
        </w:tc>
        <w:tc>
          <w:tcPr>
            <w:tcW w:w="1660" w:type="dxa"/>
            <w:vAlign w:val="bottom"/>
            <w:tcBorders>
              <w:top w:val="single" w:sz="8" w:color="2C2C2C"/>
            </w:tcBorders>
            <w:gridSpan w:val="5"/>
            <w:vMerge w:val="restart"/>
          </w:tcPr>
          <w:p>
            <w:pPr>
              <w:ind w:left="160"/>
              <w:spacing w:after="0"/>
              <w:rPr>
                <w:sz w:val="20"/>
                <w:szCs w:val="20"/>
                <w:color w:val="auto"/>
              </w:rPr>
            </w:pPr>
            <w:r>
              <w:rPr>
                <w:rFonts w:ascii="Arial" w:cs="Arial" w:eastAsia="Arial" w:hAnsi="Arial"/>
                <w:sz w:val="35"/>
                <w:szCs w:val="35"/>
                <w:color w:val="0000FF"/>
                <w:vertAlign w:val="subscript"/>
              </w:rPr>
              <w:t>918,804</w:t>
            </w:r>
            <w:r>
              <w:rPr>
                <w:rFonts w:ascii="Arial" w:cs="Arial" w:eastAsia="Arial" w:hAnsi="Arial"/>
                <w:sz w:val="11"/>
                <w:szCs w:val="11"/>
                <w:color w:val="008000"/>
              </w:rPr>
              <w:t>(1)(2)(3)</w:t>
            </w: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I</w:t>
            </w:r>
          </w:p>
        </w:tc>
        <w:tc>
          <w:tcPr>
            <w:tcW w:w="460" w:type="dxa"/>
            <w:vAlign w:val="bottom"/>
            <w:tcBorders>
              <w:top w:val="single" w:sz="8" w:color="2C2C2C"/>
            </w:tcBorders>
          </w:tcPr>
          <w:p>
            <w:pPr>
              <w:ind w:left="120"/>
              <w:spacing w:after="0"/>
              <w:rPr>
                <w:sz w:val="20"/>
                <w:szCs w:val="20"/>
                <w:color w:val="auto"/>
              </w:rPr>
            </w:pPr>
            <w:r>
              <w:rPr>
                <w:rFonts w:ascii="Arial" w:cs="Arial" w:eastAsia="Arial" w:hAnsi="Arial"/>
                <w:sz w:val="18"/>
                <w:szCs w:val="18"/>
                <w:color w:val="0000FF"/>
                <w:w w:val="99"/>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20" w:type="dxa"/>
            <w:vAlign w:val="bottom"/>
            <w:gridSpan w:val="3"/>
            <w:vMerge w:val="restart"/>
          </w:tcPr>
          <w:p>
            <w:pPr>
              <w:ind w:left="120"/>
              <w:spacing w:after="0" w:line="278" w:lineRule="exact"/>
              <w:rPr>
                <w:sz w:val="20"/>
                <w:szCs w:val="20"/>
                <w:color w:val="auto"/>
              </w:rPr>
            </w:pPr>
            <w:r>
              <w:rPr>
                <w:rFonts w:ascii="Arial" w:cs="Arial" w:eastAsia="Arial" w:hAnsi="Arial"/>
                <w:sz w:val="32"/>
                <w:szCs w:val="32"/>
                <w:color w:val="0000FF"/>
                <w:w w:val="86"/>
                <w:vertAlign w:val="subscript"/>
              </w:rPr>
              <w:t>Footnote</w:t>
            </w:r>
            <w:r>
              <w:rPr>
                <w:rFonts w:ascii="Arial" w:cs="Arial" w:eastAsia="Arial" w:hAnsi="Arial"/>
                <w:sz w:val="11"/>
                <w:szCs w:val="11"/>
                <w:color w:val="008000"/>
                <w:w w:val="86"/>
              </w:rPr>
              <w:t>(1)(2)(3)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ind w:left="520"/>
              <w:spacing w:after="0"/>
              <w:rPr>
                <w:sz w:val="20"/>
                <w:szCs w:val="20"/>
                <w:color w:val="auto"/>
              </w:rPr>
            </w:pPr>
            <w:r>
              <w:rPr>
                <w:rFonts w:ascii="Arial" w:cs="Arial" w:eastAsia="Arial" w:hAnsi="Arial"/>
                <w:sz w:val="18"/>
                <w:szCs w:val="18"/>
                <w:color w:val="0000FF"/>
                <w:w w:val="88"/>
              </w:rPr>
              <w:t>12/12/2011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4"/>
                <w:szCs w:val="14"/>
                <w:color w:val="0000FF"/>
              </w:rPr>
              <w:t>S</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100</w:t>
            </w: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8"/>
                <w:szCs w:val="18"/>
                <w:color w:val="0000FF"/>
              </w:rPr>
              <w:t>D</w:t>
            </w:r>
          </w:p>
        </w:tc>
        <w:tc>
          <w:tcPr>
            <w:tcW w:w="560" w:type="dxa"/>
            <w:vAlign w:val="bottom"/>
            <w:tcBorders>
              <w:top w:val="single" w:sz="8" w:color="2C2C2C"/>
            </w:tcBorders>
            <w:vMerge w:val="restart"/>
          </w:tcPr>
          <w:p>
            <w:pPr>
              <w:jc w:val="center"/>
              <w:ind w:left="1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1.18</w:t>
            </w:r>
          </w:p>
        </w:tc>
        <w:tc>
          <w:tcPr>
            <w:tcW w:w="80" w:type="dxa"/>
            <w:vAlign w:val="bottom"/>
            <w:tcBorders>
              <w:top w:val="single" w:sz="8" w:color="2C2C2C"/>
            </w:tcBorders>
          </w:tcPr>
          <w:p>
            <w:pPr>
              <w:spacing w:after="0"/>
              <w:rPr>
                <w:sz w:val="22"/>
                <w:szCs w:val="22"/>
                <w:color w:val="auto"/>
              </w:rPr>
            </w:pPr>
          </w:p>
        </w:tc>
        <w:tc>
          <w:tcPr>
            <w:tcW w:w="1660" w:type="dxa"/>
            <w:vAlign w:val="bottom"/>
            <w:tcBorders>
              <w:top w:val="single" w:sz="8" w:color="2C2C2C"/>
            </w:tcBorders>
            <w:gridSpan w:val="5"/>
            <w:vMerge w:val="restart"/>
          </w:tcPr>
          <w:p>
            <w:pPr>
              <w:ind w:left="160"/>
              <w:spacing w:after="0"/>
              <w:rPr>
                <w:sz w:val="20"/>
                <w:szCs w:val="20"/>
                <w:color w:val="auto"/>
              </w:rPr>
            </w:pPr>
            <w:r>
              <w:rPr>
                <w:rFonts w:ascii="Arial" w:cs="Arial" w:eastAsia="Arial" w:hAnsi="Arial"/>
                <w:sz w:val="35"/>
                <w:szCs w:val="35"/>
                <w:color w:val="0000FF"/>
                <w:vertAlign w:val="subscript"/>
              </w:rPr>
              <w:t>918,704</w:t>
            </w:r>
            <w:r>
              <w:rPr>
                <w:rFonts w:ascii="Arial" w:cs="Arial" w:eastAsia="Arial" w:hAnsi="Arial"/>
                <w:sz w:val="11"/>
                <w:szCs w:val="11"/>
                <w:color w:val="008000"/>
              </w:rPr>
              <w:t>(1)(2)(3)</w:t>
            </w: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I</w:t>
            </w:r>
          </w:p>
        </w:tc>
        <w:tc>
          <w:tcPr>
            <w:tcW w:w="460" w:type="dxa"/>
            <w:vAlign w:val="bottom"/>
            <w:tcBorders>
              <w:top w:val="single" w:sz="8" w:color="2C2C2C"/>
            </w:tcBorders>
          </w:tcPr>
          <w:p>
            <w:pPr>
              <w:ind w:left="120"/>
              <w:spacing w:after="0"/>
              <w:rPr>
                <w:sz w:val="20"/>
                <w:szCs w:val="20"/>
                <w:color w:val="auto"/>
              </w:rPr>
            </w:pPr>
            <w:r>
              <w:rPr>
                <w:rFonts w:ascii="Arial" w:cs="Arial" w:eastAsia="Arial" w:hAnsi="Arial"/>
                <w:sz w:val="18"/>
                <w:szCs w:val="18"/>
                <w:color w:val="0000FF"/>
                <w:w w:val="99"/>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20" w:type="dxa"/>
            <w:vAlign w:val="bottom"/>
            <w:gridSpan w:val="3"/>
            <w:vMerge w:val="restart"/>
          </w:tcPr>
          <w:p>
            <w:pPr>
              <w:ind w:left="120"/>
              <w:spacing w:after="0" w:line="278" w:lineRule="exact"/>
              <w:rPr>
                <w:sz w:val="20"/>
                <w:szCs w:val="20"/>
                <w:color w:val="auto"/>
              </w:rPr>
            </w:pPr>
            <w:r>
              <w:rPr>
                <w:rFonts w:ascii="Arial" w:cs="Arial" w:eastAsia="Arial" w:hAnsi="Arial"/>
                <w:sz w:val="32"/>
                <w:szCs w:val="32"/>
                <w:color w:val="0000FF"/>
                <w:w w:val="86"/>
                <w:vertAlign w:val="subscript"/>
              </w:rPr>
              <w:t>Footnote</w:t>
            </w:r>
            <w:r>
              <w:rPr>
                <w:rFonts w:ascii="Arial" w:cs="Arial" w:eastAsia="Arial" w:hAnsi="Arial"/>
                <w:sz w:val="11"/>
                <w:szCs w:val="11"/>
                <w:color w:val="008000"/>
                <w:w w:val="86"/>
              </w:rPr>
              <w:t>(1)(2)(3)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4"/>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gridSpan w:val="21"/>
          </w:tcPr>
          <w:p>
            <w:pPr>
              <w:jc w:val="center"/>
              <w:ind w:right="21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Silverman Joshua</w:t>
              </w:r>
            </w:hyperlink>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788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78816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Abbe Richard</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641 LEXINGTON AVENUE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26TH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8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667,949 Shares (as defined below) are held by Iroquois Master Fund Ltd., a Cayman Islands corporation ("Iroquois Master Fund"). 241,173 Shares are held by Iroquois Capital Management L.L.C., a Delaware limited liability company ("Iroquois Capital"). 4,791 Shares are held by Richard Abbe, a citizen of the United States of America ("Mr. Abbe"), as UGMA custodian for Mr. Abbe's three children. 4,791 Shares are held by American Capital Management LLC, as to which Mr. Abbe and Joshua Silverman, a citizen of the United States of America ("Mr. Silverman"), may be deemed to have a pecuniary interest. "Shares" are shares of the Issuer's common stock, par value $0.01 per share.</w:t>
      </w:r>
    </w:p>
    <w:p>
      <w:pPr>
        <w:spacing w:after="0" w:line="31"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Iroquois Capital is the investment manager of Iroquois Master Fund. Consequently, Iroquois Capital has voting control and investment discretion over securities held by Iroquois Master Fund. As managing members of Iroquois Capital, Mr. Silverman and Mr. Abbe make voting and investment decisions on behalf of Iroquois Capital in its capacity as investment manager to Iroquois Master Fund. As a result of the foregoing, Mr. Silverman and Mr. Abbe may be deemed to have beneficial ownership (as determined under Section 13(d) of the Securities Exchange Act of 1934, as amended) of the securities held by Iroquois Master Fund.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Iroquois Capital, Mr. Abbe and Mr. Silverman disclaim beneficial ownership of these Shares except to the extent of their pecuniary interest in these Shares.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00" w:type="dxa"/>
            <w:vAlign w:val="bottom"/>
            <w:gridSpan w:val="7"/>
          </w:tcPr>
          <w:p>
            <w:pPr>
              <w:spacing w:after="0"/>
              <w:rPr>
                <w:sz w:val="20"/>
                <w:szCs w:val="20"/>
                <w:color w:val="auto"/>
              </w:rPr>
            </w:pPr>
            <w:r>
              <w:rPr>
                <w:rFonts w:ascii="Arial" w:cs="Arial" w:eastAsia="Arial" w:hAnsi="Arial"/>
                <w:sz w:val="18"/>
                <w:szCs w:val="18"/>
                <w:color w:val="0000FF"/>
                <w:w w:val="92"/>
              </w:rPr>
              <w:t>Iroquois Capital Management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L.L.C., By: /s/ Joshua</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12/13/2011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Silverman, Authorized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Signatory</w:t>
            </w:r>
          </w:p>
        </w:tc>
        <w:tc>
          <w:tcPr>
            <w:tcW w:w="900" w:type="dxa"/>
            <w:vAlign w:val="bottom"/>
            <w:tcBorders>
              <w:top w:val="single" w:sz="8" w:color="auto"/>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7"/>
          </w:tcPr>
          <w:p>
            <w:pPr>
              <w:spacing w:after="0"/>
              <w:rPr>
                <w:sz w:val="20"/>
                <w:szCs w:val="20"/>
                <w:color w:val="auto"/>
              </w:rPr>
            </w:pPr>
            <w:r>
              <w:rPr>
                <w:rFonts w:ascii="Arial" w:cs="Arial" w:eastAsia="Arial" w:hAnsi="Arial"/>
                <w:sz w:val="18"/>
                <w:szCs w:val="18"/>
                <w:color w:val="0000FF"/>
              </w:rPr>
              <w:t>/s/ Joshua Silverman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12/13/2011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w w:val="88"/>
              </w:rPr>
              <w:t>/s/ Richard Abbe</w:t>
            </w:r>
          </w:p>
        </w:tc>
        <w:tc>
          <w:tcPr>
            <w:tcW w:w="260" w:type="dxa"/>
            <w:vAlign w:val="bottom"/>
          </w:tcPr>
          <w:p>
            <w:pPr>
              <w:spacing w:after="0"/>
              <w:rPr>
                <w:sz w:val="21"/>
                <w:szCs w:val="21"/>
                <w:color w:val="auto"/>
              </w:rPr>
            </w:pPr>
          </w:p>
        </w:tc>
        <w:tc>
          <w:tcPr>
            <w:tcW w:w="740" w:type="dxa"/>
            <w:vAlign w:val="bottom"/>
            <w:gridSpan w:val="4"/>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12/13/2011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481867" TargetMode="External"/><Relationship Id="rId13" Type="http://schemas.openxmlformats.org/officeDocument/2006/relationships/hyperlink" Target="http://www.sec.gov/cgi-bin/browse-edgar?action=getcompany&amp;CIK=0001410428" TargetMode="External"/><Relationship Id="rId14" Type="http://schemas.openxmlformats.org/officeDocument/2006/relationships/hyperlink" Target="http://www.sec.gov/cgi-bin/browse-edgar?action=getcompany&amp;CIK=0001524858" TargetMode="External"/><Relationship Id="rId16" Type="http://schemas.openxmlformats.org/officeDocument/2006/relationships/hyperlink" Target="http://www.sec.gov/cgi-bin/browse-edgar?action=getcompany&amp;CIK=000152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2019-12-18T02:32:50Z</dcterms:created>
  <dcterms:modified xsi:type="dcterms:W3CDTF">2019-12-18T02:32:50Z</dcterms:modified>
</cp:coreProperties>
</file>