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November 14,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513" w:right="25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760" w:space="720"/>
            <w:col w:w="3240"/>
          </w:cols>
          <w:pgMar w:left="240" w:top="513"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Attached hereto as Exhibit 99.1 is a copy of a press release of XpresSpa Group, Inc., dated November 14, 2018, announcing certain operating results for the three months ended September 30, 2018. The information in the press release is incorporated by reference into this Item 2.02 of this Current Report on Form 8-K.</w:t>
      </w:r>
    </w:p>
    <w:p>
      <w:pPr>
        <w:spacing w:after="0" w:line="18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94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94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20" w:type="dxa"/>
            <w:vAlign w:val="bottom"/>
            <w:gridSpan w:val="2"/>
          </w:tcPr>
          <w:p>
            <w:pPr>
              <w:spacing w:after="0"/>
              <w:rPr>
                <w:sz w:val="20"/>
                <w:szCs w:val="20"/>
                <w:color w:val="auto"/>
              </w:rPr>
            </w:pPr>
            <w:r>
              <w:rPr>
                <w:rFonts w:ascii="Arial" w:cs="Arial" w:eastAsia="Arial" w:hAnsi="Arial"/>
                <w:sz w:val="18"/>
                <w:szCs w:val="18"/>
                <w:color w:val="auto"/>
              </w:rPr>
              <w:t>Description of Exhibits</w:t>
            </w:r>
          </w:p>
        </w:tc>
      </w:tr>
      <w:tr>
        <w:trPr>
          <w:trHeight w:val="392"/>
        </w:trPr>
        <w:tc>
          <w:tcPr>
            <w:tcW w:w="1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1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November 14, 2018.</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40" w:type="dxa"/>
            <w:vAlign w:val="bottom"/>
            <w:tcBorders>
              <w:top w:val="single" w:sz="8" w:color="0000EE"/>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60" w:type="dxa"/>
            <w:vAlign w:val="bottom"/>
            <w:gridSpan w:val="2"/>
          </w:tcPr>
          <w:p>
            <w:pPr>
              <w:ind w:left="18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Dated: November 14, 2018</w:t>
            </w:r>
          </w:p>
        </w:tc>
        <w:tc>
          <w:tcPr>
            <w:tcW w:w="7560" w:type="dxa"/>
            <w:vAlign w:val="bottom"/>
            <w:gridSpan w:val="2"/>
          </w:tcPr>
          <w:p>
            <w:pPr>
              <w:ind w:left="1880"/>
              <w:spacing w:after="0"/>
              <w:rPr>
                <w:sz w:val="20"/>
                <w:szCs w:val="20"/>
                <w:color w:val="auto"/>
              </w:rPr>
            </w:pPr>
            <w:r>
              <w:rPr>
                <w:rFonts w:ascii="Arial" w:cs="Arial" w:eastAsia="Arial" w:hAnsi="Arial"/>
                <w:sz w:val="18"/>
                <w:szCs w:val="18"/>
                <w:color w:val="auto"/>
              </w:rPr>
              <w:t>By: /s/ Edward Jankowski</w:t>
            </w:r>
          </w:p>
        </w:tc>
      </w:tr>
      <w:tr>
        <w:trPr>
          <w:trHeight w:val="195"/>
        </w:trPr>
        <w:tc>
          <w:tcPr>
            <w:tcW w:w="38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Edward Jankowski</w:t>
            </w:r>
          </w:p>
        </w:tc>
      </w:tr>
      <w:tr>
        <w:trPr>
          <w:trHeight w:val="230"/>
        </w:trPr>
        <w:tc>
          <w:tcPr>
            <w:tcW w:w="3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8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165735</wp:posOffset>
            </wp:positionV>
            <wp:extent cx="2101215"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60" w:right="1280"/>
        <w:spacing w:after="0" w:line="255" w:lineRule="auto"/>
        <w:rPr>
          <w:sz w:val="20"/>
          <w:szCs w:val="20"/>
          <w:color w:val="auto"/>
        </w:rPr>
      </w:pPr>
      <w:r>
        <w:rPr>
          <w:rFonts w:ascii="Arial" w:cs="Arial" w:eastAsia="Arial" w:hAnsi="Arial"/>
          <w:sz w:val="18"/>
          <w:szCs w:val="18"/>
          <w:b w:val="1"/>
          <w:bCs w:val="1"/>
          <w:color w:val="auto"/>
        </w:rPr>
        <w:t xml:space="preserve">XpresSpa Announces Strategic Partnership and Third Quarter 2018 Financial Results </w:t>
      </w:r>
      <w:r>
        <w:rPr>
          <w:rFonts w:ascii="Arial" w:cs="Arial" w:eastAsia="Arial" w:hAnsi="Arial"/>
          <w:sz w:val="18"/>
          <w:szCs w:val="18"/>
          <w:i w:val="1"/>
          <w:iCs w:val="1"/>
          <w:color w:val="auto"/>
        </w:rPr>
        <w:t>Launches Strategic Partnership with Calm, the Leading Sleep, Meditation and Relaxation App with 35 Million Downloads XpresSpa to Issue Up to $3 Million in Convertible Preferred Equity at a 400% Premium to Market at $0.62 per Share Store Margins Continue to Improve</w:t>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Continued Progress on Cost Reduction Initiatives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NEW YORK, November 14, 2018 </w:t>
      </w:r>
      <w:r>
        <w:rPr>
          <w:rFonts w:ascii="Arial" w:cs="Arial" w:eastAsia="Arial" w:hAnsi="Arial"/>
          <w:sz w:val="18"/>
          <w:szCs w:val="18"/>
          <w:color w:val="auto"/>
        </w:rPr>
        <w:t>- XpresSpa Group, Inc. (Nasdaq: XSPA), a health and wellness holding company, today announced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ended September 30, 2018. In addition, XpresSpa announced that Calm, the leading app for sleep, meditation and relaxation, made a strategic investment in XpresSpa of up to $3 million in preferred equity, convertible at $0.62 per share. This is a significant premium to the market price and demonstrates Calm’s belief in the Company’s industry leading platform. Calm funded $2 million of the $3 million of preferred stock on November 13, 2018 and will fund the remaining $1 million by December 31, 2018, subject to satisfaction of certain conditions. The convertible preferred equity has a 7-year maturity and is convertible at $0.62 per share. The funds will be deployed in an effort to enhance XpresSpa customers’ experience in a number of different ways, including raising the brand’s profile across new and existing markets, elevating the assortment of retail products, and upgrading facilities. Calm was named Apple’s 2017 iPhone App of the Year and boasts more than 35 million downloads to date, averaging 75,000 new users daily. The new strategic partnership will allow both companies to leverage off of one another’s subscribers, users, and loyalty base and integrate Calm’s meditation app into a broad array of services. In addition, Calm will offer its flagship products -- Digital App Subscriptions, Sleep Mist and the Calm Book -- at 52 XpresSpa domestic locations.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 also made significant progress during its third quarter ended September 30, 2018. Ed Jankowski, XpresSpa Group CEO, stated, “Our third quarter 2018 performance reflects our continued traction in driving operational excellence into our spas through a refined labor model and greater contribution of retail sales to our revenue mix, while reducing store-level and corporate overhead costs. Despite only a modest increase in our top-line, we achieved our highest store margin so far this year at 22.9% and lowered our general and administrative expenses by 5.7% compared to the year-ago period. We have now narrowed our consolidated operating and adjusted EBITDA losses for three consecutive quarters and the same three-month period last year.”</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Jankowski added, “During the third-quarter 2018, we opened in Concourse D at Hartsfield-Jackson Atlanta International Airport, our third XpresSpa location in the world’s busiest airport. Our ability to further penetrate existing airports speaks to the value airport partners see in our luxury spa experience, which is complementary with their strategy of enhancing retail and service offerings. This year, we have opened a total of seven spas, including our first off-airport spa in the Westfield World Trade Center in NYC. We remain active in competing for RFP’s and have several high-priority new store openings planned for next year that all meet our strict criteria for capital allocation and are also finalizing the implementation of our franchising model.”</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Jankowski concluded, “Our intention for the balance of the year and beyond is to build on what we have already accomplished by continuing to streamline costs and position ourselves to achieve positive adjusted EBITDA. Lastly, we are very excited by our new strategic partnership with Calm and welcoming their 35 million users into our spas during the busy holiday travel season. With this investment from Calm, we will be using these funds to raise our brand profile in new and existing markets while enhancing our customers’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Third Quarter 2018 Highlights</w:t>
      </w:r>
    </w:p>
    <w:p>
      <w:pPr>
        <w:spacing w:after="0" w:line="229"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0.5% to $12.9 million. Contributions from six additional XpresSpa locations opened year-over-year were mostly offset by a decrease in comparable store sales.</w:t>
      </w:r>
    </w:p>
    <w:p>
      <w:pPr>
        <w:spacing w:after="0" w:line="1" w:lineRule="exact"/>
        <w:rPr>
          <w:rFonts w:ascii="Arial" w:cs="Arial" w:eastAsia="Arial" w:hAnsi="Arial"/>
          <w:sz w:val="18"/>
          <w:szCs w:val="18"/>
          <w:color w:val="auto"/>
        </w:rPr>
      </w:pPr>
    </w:p>
    <w:p>
      <w:pPr>
        <w:ind w:left="1300" w:right="20" w:hanging="324"/>
        <w:spacing w:after="0" w:line="250" w:lineRule="auto"/>
        <w:rPr>
          <w:rFonts w:ascii="Arial" w:cs="Arial" w:eastAsia="Arial" w:hAnsi="Arial"/>
          <w:sz w:val="18"/>
          <w:szCs w:val="18"/>
          <w:color w:val="auto"/>
        </w:rPr>
      </w:pPr>
      <w:r>
        <w:rPr>
          <w:rFonts w:ascii="Arial" w:cs="Arial" w:eastAsia="Arial" w:hAnsi="Arial"/>
          <w:sz w:val="18"/>
          <w:szCs w:val="18"/>
          <w:color w:val="auto"/>
        </w:rPr>
        <w:t>o Comparable-store sales decreased 3.0% as XpresSpa was impacted by changes in airline assignments within key LaGuardia, John F. Kennedy, and Los Angeles terminals which had a direct impact on traffic and ultimately revenues.</w:t>
      </w:r>
    </w:p>
    <w:p>
      <w:pPr>
        <w:ind w:left="980"/>
        <w:spacing w:after="0"/>
        <w:rPr>
          <w:rFonts w:ascii="Arial" w:cs="Arial" w:eastAsia="Arial" w:hAnsi="Arial"/>
          <w:sz w:val="18"/>
          <w:szCs w:val="18"/>
          <w:color w:val="auto"/>
        </w:rPr>
      </w:pPr>
      <w:r>
        <w:rPr>
          <w:rFonts w:ascii="Arial" w:cs="Arial" w:eastAsia="Arial" w:hAnsi="Arial"/>
          <w:sz w:val="18"/>
          <w:szCs w:val="18"/>
          <w:color w:val="auto"/>
        </w:rPr>
        <w:t>o   Retail sales comprised 20% of revenue in third quarter 2018, compared to 17% in second quarter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Opened a location in Atlanta’s Hartsfield-Jackson Atlanta International Airport.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renovation in Washington Reagan National Airport.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and service store margin of $3.0 million, or 22.9% margin, grew 28.5% from third quarter 2017 store margin of $2.3 million, or 18.2% margin, and $2.7 million, or 20.5% margin, in second quarter 2018.</w:t>
      </w:r>
    </w:p>
    <w:p>
      <w:pPr>
        <w:ind w:left="980"/>
        <w:spacing w:after="0"/>
        <w:rPr>
          <w:rFonts w:ascii="Arial" w:cs="Arial" w:eastAsia="Arial" w:hAnsi="Arial"/>
          <w:sz w:val="18"/>
          <w:szCs w:val="18"/>
          <w:color w:val="auto"/>
        </w:rPr>
      </w:pPr>
      <w:r>
        <w:rPr>
          <w:rFonts w:ascii="Arial" w:cs="Arial" w:eastAsia="Arial" w:hAnsi="Arial"/>
          <w:sz w:val="18"/>
          <w:szCs w:val="18"/>
          <w:color w:val="auto"/>
        </w:rPr>
        <w:t>o   Labor costs decreased through greater efficiency in staffing and scheduling.</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o   Product and operating costs decreased as product sourcing fully transitioned to the Company’s strategic partner and careful cost control.</w:t>
      </w:r>
    </w:p>
    <w:p>
      <w:pPr>
        <w:spacing w:after="0" w:line="3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and administrative expenses decreased 5.7% or $0.2 million to $3.9 million in third quarter 2018 from $4.2 million in third quarter 2017. Third quarter 2018 general and administrative included one-time professional costs of $0.3 million, and one-time project costs of $0.1 million related to the buildout and implementation of a business analytics tool, as well as a $0.5 million reduction in stock compensation expense to $0.2 million compared to $0.7 million in third quarter 2017.</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loss from continuing operations improved to $2.9 million from $3.5 million in third quarter 2017.</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net loss attributable to the Company improved to $3.2 million from $4.7 million in third quarter 2017 primarily due to improvements in store margin and reductions in general and administrative expenses relative to last year.</w:t>
      </w: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loss of $0.4 million improved from $0.6 million in third quarter 2017 through improved store margin and reduced general and administrative expenses.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*Adjusted EBITDA is a non-GAAP financial measures; see "Use of Non-GAAP Financial Measures" below. See tables below for abbreviated financial XpresSpa segment results for the third quarters and first nine months of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&amp;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Company had:</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of $2.5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assets of $4.0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liabilities of $16.9 million, of which $6.5 million is long-term debt held by a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303131"/>
        </w:rPr>
        <w:t>Management believes that the current cash balance, up to $3 million of investment from Calm, cash to be provided by future operating activities, and cash proceeds from the anticipated liquidation of certain investments, will be sufficient to fund planned operations and pay liabilities as they become due. In addition, the Company has access to additional sources of financing and may attempt to renegotiate terms of various contracts.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 will host a conference call today at 4:30 p.m. Eastern Time.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conference call can be accessed live over the phone by dialing (631) 576-4098. A replay will be available after the call and can be accessed by dialing (412) 317-6671; the passcode is 10005890. The replay will be available until December 5,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webcast can be accessed from the Investor Relations section of the Company’s website at http://xpresspagroup.com. Visitors to the website should select the “Investors” tab and navigate to the “Events” link to access the webcast.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XpresSpa Group, Inc. (Nasdaq: XSPA) is a health and wellness holding company. XpresSpa Group’s core asset, XpresSpa, is the world’s largest airport spa company, with 57 locations in 23 airports globally, including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Holland, and the United Arab Emirates. XpresSpa Group’s non-core assets include Infomedia and intellectual property assets. To learn more about XpresSpa Group, visit: www.XpresSpaGroup.com. To learn more about XpresSpa, visit www.XpresSpa.com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 / Jeff Sonnek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 / (646) 277-1263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2,525</w:t>
            </w:r>
          </w:p>
        </w:tc>
        <w:tc>
          <w:tcPr>
            <w:tcW w:w="3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7,641</w:t>
            </w:r>
          </w:p>
        </w:tc>
        <w:tc>
          <w:tcPr>
            <w:tcW w:w="3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net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Liabilities held for disposal</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Convertible notes, net</w:t>
            </w: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 13)</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A Convertible Preferred stock, $0.01 par value per share; 6,968 shares authorized; 6,968 issued and none</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4"/>
              </w:rPr>
              <w:t>Series B Convertible Preferred stock, $0.01 par value per share; 1,609,167 shares authorized; 1,609,167 issued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and none outstanding</w:t>
            </w:r>
          </w:p>
        </w:tc>
        <w:tc>
          <w:tcPr>
            <w:tcW w:w="14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 Junior Preferred stock, $0.01 par value per share; 300,000 shares authorized; none issued and</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7"/>
              </w:rPr>
              <w:t>Series D Convertible Preferred Stock, $0.01 par value per share; 500,000 shares authorized; 475,208 shares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issued and 420,541 shares outstanding with a liquidation value of $20,186</w:t>
            </w:r>
          </w:p>
        </w:tc>
        <w:tc>
          <w:tcPr>
            <w:tcW w:w="14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31,919,511 and 26,545,690 issued and</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2018 and December 31, 2017,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291,989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290,396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(280,351)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1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1"/>
              </w:rPr>
              <w:t>Three months ended September 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Products and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12,922</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12,652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37,760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38,560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6,216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other operating costs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Total cost of sales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19,630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67,569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non-operating income (expense), net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(29,146</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(30,643</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(3,065)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(29,146)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from continuing operations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(29,351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Other comprehensive loss from discontinued operations</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discontinued operations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(30,466</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basic and diluted net loss per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Weighted-average number of shares outstanding during the</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28,352,284</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24,144,002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27,268,792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20,852,034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28,352,284</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24,144,002</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27,268,792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20,852,034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*Includes stock-based compensation expense, as follows: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4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0"/>
              </w:rPr>
              <w:t>Three months ended September 30,</w:t>
            </w:r>
          </w:p>
        </w:tc>
        <w:tc>
          <w:tcPr>
            <w:tcW w:w="100" w:type="dxa"/>
            <w:vAlign w:val="bottom"/>
          </w:tcPr>
          <w:p>
            <w:pPr>
              <w:spacing w:after="0"/>
              <w:rPr>
                <w:sz w:val="20"/>
                <w:szCs w:val="20"/>
                <w:color w:val="auto"/>
              </w:rPr>
            </w:pPr>
          </w:p>
        </w:tc>
        <w:tc>
          <w:tcPr>
            <w:tcW w:w="29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services revenue</w:t>
            </w: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12,922,000</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12,652,000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36,563,000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Labor</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(5,997,000)</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(7,086,000)</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(18,697,000)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(18,178,000)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(1,996,000)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(1,950,000)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(6,216,000)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Products and other operating costs</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(1,966,000)</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(1,311,000)</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(5,092,000)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(5,701,000)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(9,959,000</w:t>
            </w:r>
          </w:p>
        </w:tc>
        <w:tc>
          <w:tcPr>
            <w:tcW w:w="380" w:type="dxa"/>
            <w:vAlign w:val="bottom"/>
            <w:tcBorders>
              <w:top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(10,347,000</w:t>
            </w:r>
          </w:p>
        </w:tc>
        <w:tc>
          <w:tcPr>
            <w:tcW w:w="380" w:type="dxa"/>
            <w:vAlign w:val="bottom"/>
            <w:tcBorders>
              <w:top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(30,005,000</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(29,583,000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2,963,000</w:t>
            </w: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2,305,000</w:t>
            </w:r>
          </w:p>
        </w:tc>
        <w:tc>
          <w:tcPr>
            <w:tcW w:w="3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7,755,000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6,980,000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Gross profit as a % of total revenue</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(1,195,000)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(1,117,000)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(3,474,000)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(684,000)</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(605,000)</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(1,901,000)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(19,630,000)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Total depreciation, amortization and impairment</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(1,879,000)</w:t>
            </w: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(1,722,000)</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(25,005,000)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(6,379,000)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(3,943,000)</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(4,180,000)</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(12,443,000)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(13,037,000)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Other operating revenue and expense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revenue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(26,000)</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(126,000)</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(116,000)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operating revenue,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380" w:type="dxa"/>
            <w:vAlign w:val="bottom"/>
            <w:tcBorders>
              <w:top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(2,885,000)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(3,523,000)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(29,009,000)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1,879,000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1,722,000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5,375,000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19,630,000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Merger and acquisition, integration, and one-time costs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529,000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1,057,000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1,365,000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194,000</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662,000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loss</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(360,000)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(2,182,000)</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Same Store Sales Growth for Third Quarter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b w:val="1"/>
                <w:bCs w:val="1"/>
                <w:color w:val="auto"/>
                <w:w w:val="89"/>
              </w:rPr>
              <w:t>September 30, 2017</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Non-Comp</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Non-Comp</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7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Comp Store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Store</w:t>
            </w: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 Store</w:t>
            </w:r>
          </w:p>
        </w:tc>
        <w:tc>
          <w:tcPr>
            <w:tcW w:w="20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Store</w:t>
            </w:r>
          </w:p>
        </w:tc>
        <w:tc>
          <w:tcPr>
            <w:tcW w:w="18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669"/>
        </w:trPr>
        <w:tc>
          <w:tcPr>
            <w:tcW w:w="276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2019-12-28T17:41:04Z</dcterms:created>
  <dcterms:modified xsi:type="dcterms:W3CDTF">2019-12-28T17:41:04Z</dcterms:modified>
</cp:coreProperties>
</file>