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Alexander R. Berger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 West 28th Street, Suite 1414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(646) 525-4319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Koch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Schultz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Persons Authorized to Receive Notices and Communications)</w:t>
      </w:r>
    </w:p>
    <w:p>
      <w:pPr>
        <w:spacing w:after="0" w:line="221"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July 19, 2012</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 w:name="page2"/>
    <w:bookmarkEnd w:id="1"/>
    <w:p>
      <w:pPr>
        <w:ind w:left="940" w:hanging="565"/>
        <w:spacing w:after="0"/>
        <w:tabs>
          <w:tab w:leader="none" w:pos="940" w:val="left"/>
        </w:tabs>
        <w:numPr>
          <w:ilvl w:val="0"/>
          <w:numId w:val="2"/>
        </w:numPr>
        <w:rPr>
          <w:rFonts w:ascii="Arial" w:cs="Arial" w:eastAsia="Arial" w:hAnsi="Arial"/>
          <w:sz w:val="36"/>
          <w:szCs w:val="36"/>
          <w:b w:val="1"/>
          <w:bCs w:val="1"/>
          <w:color w:val="auto"/>
          <w:vertAlign w:val="subscript"/>
        </w:rPr>
      </w:pPr>
      <w:r>
        <w:rPr>
          <w:rFonts w:ascii="Arial" w:cs="Arial" w:eastAsia="Arial" w:hAnsi="Arial"/>
          <w:sz w:val="18"/>
          <w:szCs w:val="18"/>
          <w:color w:val="auto"/>
        </w:rPr>
        <w:t>NAME OF REPORTING PERSON</w:t>
      </w:r>
    </w:p>
    <w:p>
      <w:pPr>
        <w:spacing w:after="0" w:line="1" w:lineRule="exact"/>
        <w:rPr>
          <w:rFonts w:ascii="Arial" w:cs="Arial" w:eastAsia="Arial" w:hAnsi="Arial"/>
          <w:sz w:val="36"/>
          <w:szCs w:val="36"/>
          <w:b w:val="1"/>
          <w:bCs w:val="1"/>
          <w:color w:val="auto"/>
          <w:vertAlign w:val="subscript"/>
        </w:rPr>
      </w:pPr>
    </w:p>
    <w:p>
      <w:pPr>
        <w:ind w:left="940"/>
        <w:spacing w:after="0"/>
        <w:rPr>
          <w:rFonts w:ascii="Arial" w:cs="Arial" w:eastAsia="Arial" w:hAnsi="Arial"/>
          <w:sz w:val="36"/>
          <w:szCs w:val="36"/>
          <w:b w:val="1"/>
          <w:bCs w:val="1"/>
          <w:color w:val="auto"/>
          <w:vertAlign w:val="subscript"/>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54875" cy="4905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4905375"/>
                    </a:xfrm>
                    <a:prstGeom prst="rect">
                      <a:avLst/>
                    </a:prstGeom>
                    <a:noFill/>
                  </pic:spPr>
                </pic:pic>
              </a:graphicData>
            </a:graphic>
          </wp:anchor>
        </w:drawing>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Alexander R. Berger</w:t>
            </w:r>
          </w:p>
        </w:tc>
        <w:tc>
          <w:tcPr>
            <w:tcW w:w="0" w:type="dxa"/>
            <w:vAlign w:val="bottom"/>
          </w:tcPr>
          <w:p>
            <w:pPr>
              <w:spacing w:after="0"/>
              <w:rPr>
                <w:sz w:val="1"/>
                <w:szCs w:val="1"/>
                <w:color w:val="auto"/>
              </w:rPr>
            </w:pPr>
          </w:p>
        </w:tc>
      </w:tr>
      <w:tr>
        <w:trPr>
          <w:trHeight w:val="183"/>
        </w:trPr>
        <w:tc>
          <w:tcPr>
            <w:tcW w:w="320" w:type="dxa"/>
            <w:vAlign w:val="bottom"/>
            <w:vMerge w:val="restart"/>
          </w:tcPr>
          <w:p>
            <w:pPr>
              <w:jc w:val="right"/>
              <w:ind w:right="165"/>
              <w:spacing w:after="0"/>
              <w:rPr>
                <w:sz w:val="20"/>
                <w:szCs w:val="20"/>
                <w:color w:val="auto"/>
              </w:rPr>
            </w:pPr>
            <w:r>
              <w:rPr>
                <w:rFonts w:ascii="Arial" w:cs="Arial" w:eastAsia="Arial" w:hAnsi="Arial"/>
                <w:sz w:val="15"/>
                <w:szCs w:val="15"/>
                <w:b w:val="1"/>
                <w:bCs w:val="1"/>
                <w:color w:val="auto"/>
                <w:w w:val="71"/>
              </w:rPr>
              <w:t>2</w:t>
            </w:r>
          </w:p>
        </w:tc>
        <w:tc>
          <w:tcPr>
            <w:tcW w:w="10620" w:type="dxa"/>
            <w:vAlign w:val="bottom"/>
          </w:tcPr>
          <w:p>
            <w:pPr>
              <w:ind w:left="240"/>
              <w:spacing w:after="0" w:line="18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9"/>
                <w:szCs w:val="9"/>
                <w:color w:val="auto"/>
              </w:rPr>
            </w:pPr>
          </w:p>
        </w:tc>
        <w:tc>
          <w:tcPr>
            <w:tcW w:w="1062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10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106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940" w:hanging="565"/>
        <w:spacing w:after="0"/>
        <w:tabs>
          <w:tab w:leader="none" w:pos="940" w:val="left"/>
        </w:tabs>
        <w:numPr>
          <w:ilvl w:val="0"/>
          <w:numId w:val="3"/>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215" w:lineRule="exact"/>
        <w:rPr>
          <w:sz w:val="20"/>
          <w:szCs w:val="20"/>
          <w:color w:val="auto"/>
        </w:rPr>
      </w:pPr>
    </w:p>
    <w:p>
      <w:pPr>
        <w:ind w:left="940" w:right="8860" w:hanging="565"/>
        <w:spacing w:after="0" w:line="270" w:lineRule="auto"/>
        <w:tabs>
          <w:tab w:leader="none" w:pos="940" w:val="left"/>
        </w:tabs>
        <w:numPr>
          <w:ilvl w:val="0"/>
          <w:numId w:val="4"/>
        </w:numPr>
        <w:rPr>
          <w:rFonts w:ascii="Arial" w:cs="Arial" w:eastAsia="Arial" w:hAnsi="Arial"/>
          <w:sz w:val="36"/>
          <w:szCs w:val="36"/>
          <w:b w:val="1"/>
          <w:bCs w:val="1"/>
          <w:color w:val="auto"/>
          <w:vertAlign w:val="subscript"/>
        </w:rPr>
      </w:pPr>
      <w:r>
        <w:rPr>
          <w:rFonts w:ascii="Arial" w:cs="Arial" w:eastAsia="Arial" w:hAnsi="Arial"/>
          <w:sz w:val="18"/>
          <w:szCs w:val="18"/>
          <w:color w:val="auto"/>
        </w:rPr>
        <w:t>SOURCE OF FUNDS OO</w:t>
      </w:r>
    </w:p>
    <w:p>
      <w:pPr>
        <w:spacing w:after="0" w:line="43" w:lineRule="exact"/>
        <w:rPr>
          <w:sz w:val="20"/>
          <w:szCs w:val="20"/>
          <w:color w:val="auto"/>
        </w:rPr>
      </w:pPr>
    </w:p>
    <w:p>
      <w:pPr>
        <w:ind w:left="940" w:hanging="565"/>
        <w:spacing w:after="0" w:line="414" w:lineRule="exact"/>
        <w:tabs>
          <w:tab w:leader="none" w:pos="940" w:val="left"/>
        </w:tabs>
        <w:numPr>
          <w:ilvl w:val="0"/>
          <w:numId w:val="5"/>
        </w:numPr>
        <w:rPr>
          <w:rFonts w:ascii="Arial" w:cs="Arial" w:eastAsia="Arial" w:hAnsi="Arial"/>
          <w:sz w:val="36"/>
          <w:szCs w:val="36"/>
          <w:b w:val="1"/>
          <w:bCs w:val="1"/>
          <w:color w:val="auto"/>
          <w:vertAlign w:val="subscript"/>
        </w:rPr>
      </w:pPr>
      <w:r>
        <w:rPr>
          <w:rFonts w:ascii="Arial" w:cs="Arial" w:eastAsia="Arial" w:hAnsi="Arial"/>
          <w:sz w:val="18"/>
          <w:szCs w:val="18"/>
          <w:color w:val="auto"/>
        </w:rPr>
        <w:t xml:space="preserve">CHECK BOX IF DISCLOSURE OF LEGAL PROCEEDING IS REQUIRED PURSUANT TO ITEMS 2(d) or 2(e) </w:t>
      </w:r>
      <w:r>
        <w:rPr>
          <w:rFonts w:ascii="MS PGothic" w:cs="MS PGothic" w:eastAsia="MS PGothic" w:hAnsi="MS PGothic"/>
          <w:sz w:val="18"/>
          <w:szCs w:val="18"/>
          <w:color w:val="auto"/>
        </w:rPr>
        <w:t>☐</w:t>
      </w:r>
    </w:p>
    <w:p>
      <w:pPr>
        <w:spacing w:after="0" w:line="12" w:lineRule="exact"/>
        <w:rPr>
          <w:sz w:val="20"/>
          <w:szCs w:val="20"/>
          <w:color w:val="auto"/>
        </w:rPr>
      </w:pPr>
    </w:p>
    <w:p>
      <w:pPr>
        <w:ind w:left="940" w:hanging="565"/>
        <w:spacing w:after="0"/>
        <w:tabs>
          <w:tab w:leader="none" w:pos="940" w:val="left"/>
        </w:tabs>
        <w:numPr>
          <w:ilvl w:val="0"/>
          <w:numId w:val="6"/>
        </w:numPr>
        <w:rPr>
          <w:rFonts w:ascii="Arial" w:cs="Arial" w:eastAsia="Arial" w:hAnsi="Arial"/>
          <w:sz w:val="36"/>
          <w:szCs w:val="36"/>
          <w:b w:val="1"/>
          <w:bCs w:val="1"/>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7</w:t>
            </w:r>
          </w:p>
        </w:tc>
        <w:tc>
          <w:tcPr>
            <w:tcW w:w="8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4"/>
        </w:trPr>
        <w:tc>
          <w:tcPr>
            <w:tcW w:w="174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8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2,662,700*</w:t>
            </w: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4"/>
        </w:trPr>
        <w:tc>
          <w:tcPr>
            <w:tcW w:w="174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8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7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88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8"/>
                <w:szCs w:val="8"/>
                <w:color w:val="auto"/>
              </w:rPr>
            </w:pPr>
          </w:p>
        </w:tc>
        <w:tc>
          <w:tcPr>
            <w:tcW w:w="8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800" w:type="dxa"/>
            <w:vAlign w:val="bottom"/>
            <w:tcBorders>
              <w:right w:val="single" w:sz="8" w:color="auto"/>
            </w:tcBorders>
          </w:tcPr>
          <w:p>
            <w:pPr>
              <w:spacing w:after="0"/>
              <w:rPr>
                <w:sz w:val="21"/>
                <w:szCs w:val="21"/>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2,662,700*</w:t>
            </w: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4"/>
        </w:trPr>
        <w:tc>
          <w:tcPr>
            <w:tcW w:w="174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8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168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689735"/>
                    </a:xfrm>
                    <a:prstGeom prst="rect">
                      <a:avLst/>
                    </a:prstGeom>
                    <a:noFill/>
                  </pic:spPr>
                </pic:pic>
              </a:graphicData>
            </a:graphic>
          </wp:anchor>
        </w:drawing>
      </w:r>
    </w:p>
    <w:p>
      <w:pPr>
        <w:ind w:left="940" w:hanging="605"/>
        <w:spacing w:after="0" w:line="180" w:lineRule="auto"/>
        <w:tabs>
          <w:tab w:leader="none" w:pos="940" w:val="left"/>
        </w:tabs>
        <w:numPr>
          <w:ilvl w:val="0"/>
          <w:numId w:val="7"/>
        </w:numPr>
        <w:rPr>
          <w:rFonts w:ascii="Arial" w:cs="Arial" w:eastAsia="Arial" w:hAnsi="Arial"/>
          <w:sz w:val="25"/>
          <w:szCs w:val="25"/>
          <w:b w:val="1"/>
          <w:bCs w:val="1"/>
          <w:color w:val="auto"/>
          <w:vertAlign w:val="subscript"/>
        </w:rPr>
      </w:pPr>
      <w:r>
        <w:rPr>
          <w:rFonts w:ascii="Arial" w:cs="Arial" w:eastAsia="Arial" w:hAnsi="Arial"/>
          <w:sz w:val="14"/>
          <w:szCs w:val="14"/>
          <w:color w:val="auto"/>
        </w:rPr>
        <w:t>AGGREGATE AMOUNT BENEFICIALLY OWNED BY EACH PERSON</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2,662,700*</w:t>
      </w:r>
    </w:p>
    <w:p>
      <w:pPr>
        <w:spacing w:after="0" w:line="20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99" w:lineRule="exact"/>
        <w:rPr>
          <w:sz w:val="20"/>
          <w:szCs w:val="20"/>
          <w:color w:val="auto"/>
        </w:rPr>
      </w:pPr>
    </w:p>
    <w:p>
      <w:pPr>
        <w:sectPr>
          <w:pgSz w:w="11900" w:h="16838" w:orient="portrait"/>
          <w:cols w:equalWidth="0" w:num="2">
            <w:col w:w="500" w:space="440"/>
            <w:col w:w="10480"/>
          </w:cols>
          <w:pgMar w:left="240" w:top="522" w:right="239" w:bottom="1440" w:gutter="0" w:footer="0" w:header="0"/>
          <w:type w:val="continuous"/>
        </w:sectPr>
      </w:pPr>
    </w:p>
    <w:p>
      <w:pPr>
        <w:ind w:left="940" w:hanging="610"/>
        <w:spacing w:after="0"/>
        <w:tabs>
          <w:tab w:leader="none" w:pos="940" w:val="left"/>
        </w:tabs>
        <w:numPr>
          <w:ilvl w:val="1"/>
          <w:numId w:val="8"/>
        </w:numPr>
        <w:rPr>
          <w:rFonts w:ascii="Arial" w:cs="Arial" w:eastAsia="Arial" w:hAnsi="Arial"/>
          <w:sz w:val="36"/>
          <w:szCs w:val="36"/>
          <w:b w:val="1"/>
          <w:bCs w:val="1"/>
          <w:color w:val="auto"/>
          <w:vertAlign w:val="subscript"/>
        </w:rPr>
      </w:pPr>
      <w:r>
        <w:rPr>
          <w:rFonts w:ascii="Arial" w:cs="Arial" w:eastAsia="Arial" w:hAnsi="Arial"/>
          <w:sz w:val="18"/>
          <w:szCs w:val="18"/>
          <w:color w:val="auto"/>
        </w:rPr>
        <w:t>PERCENT OF CLASS REPRESENTED BY AMOUNT IN ROW (11) (see Item 5)</w:t>
      </w:r>
    </w:p>
    <w:p>
      <w:pPr>
        <w:spacing w:after="0" w:line="201" w:lineRule="exact"/>
        <w:rPr>
          <w:rFonts w:ascii="Arial" w:cs="Arial" w:eastAsia="Arial" w:hAnsi="Arial"/>
          <w:sz w:val="36"/>
          <w:szCs w:val="36"/>
          <w:b w:val="1"/>
          <w:bCs w:val="1"/>
          <w:color w:val="auto"/>
          <w:vertAlign w:val="subscript"/>
        </w:rPr>
      </w:pPr>
    </w:p>
    <w:p>
      <w:pPr>
        <w:ind w:left="940"/>
        <w:spacing w:after="0"/>
        <w:rPr>
          <w:rFonts w:ascii="Arial" w:cs="Arial" w:eastAsia="Arial" w:hAnsi="Arial"/>
          <w:sz w:val="36"/>
          <w:szCs w:val="36"/>
          <w:b w:val="1"/>
          <w:bCs w:val="1"/>
          <w:color w:val="auto"/>
          <w:vertAlign w:val="subscript"/>
        </w:rPr>
      </w:pPr>
      <w:r>
        <w:rPr>
          <w:rFonts w:ascii="Arial" w:cs="Arial" w:eastAsia="Arial" w:hAnsi="Arial"/>
          <w:sz w:val="18"/>
          <w:szCs w:val="18"/>
          <w:color w:val="auto"/>
        </w:rPr>
        <w:t>7.37%**</w:t>
      </w:r>
    </w:p>
    <w:p>
      <w:pPr>
        <w:spacing w:after="0" w:line="23" w:lineRule="exact"/>
        <w:rPr>
          <w:rFonts w:ascii="Arial" w:cs="Arial" w:eastAsia="Arial" w:hAnsi="Arial"/>
          <w:sz w:val="36"/>
          <w:szCs w:val="36"/>
          <w:b w:val="1"/>
          <w:bCs w:val="1"/>
          <w:color w:val="auto"/>
          <w:vertAlign w:val="subscript"/>
        </w:rPr>
      </w:pPr>
    </w:p>
    <w:p>
      <w:pPr>
        <w:ind w:left="940" w:right="7880" w:hanging="610"/>
        <w:spacing w:after="0" w:line="287" w:lineRule="auto"/>
        <w:tabs>
          <w:tab w:leader="none" w:pos="940" w:val="left"/>
        </w:tabs>
        <w:numPr>
          <w:ilvl w:val="1"/>
          <w:numId w:val="8"/>
        </w:numPr>
        <w:rPr>
          <w:rFonts w:ascii="Arial" w:cs="Arial" w:eastAsia="Arial" w:hAnsi="Arial"/>
          <w:sz w:val="36"/>
          <w:szCs w:val="36"/>
          <w:b w:val="1"/>
          <w:bCs w:val="1"/>
          <w:color w:val="auto"/>
          <w:vertAlign w:val="subscript"/>
        </w:rPr>
      </w:pPr>
      <w:r>
        <w:rPr>
          <w:rFonts w:ascii="Arial" w:cs="Arial" w:eastAsia="Arial" w:hAnsi="Arial"/>
          <w:sz w:val="18"/>
          <w:szCs w:val="18"/>
          <w:color w:val="auto"/>
        </w:rPr>
        <w:t>TYPE OF REPORTING PERSON* IN</w:t>
      </w:r>
    </w:p>
    <w:p>
      <w:pPr>
        <w:spacing w:after="0" w:line="138" w:lineRule="exact"/>
        <w:rPr>
          <w:rFonts w:ascii="Arial" w:cs="Arial" w:eastAsia="Arial" w:hAnsi="Arial"/>
          <w:sz w:val="36"/>
          <w:szCs w:val="36"/>
          <w:b w:val="1"/>
          <w:bCs w:val="1"/>
          <w:color w:val="auto"/>
          <w:vertAlign w:val="subscript"/>
        </w:rPr>
      </w:pPr>
    </w:p>
    <w:p>
      <w:pPr>
        <w:ind w:right="220"/>
        <w:spacing w:after="0" w:line="210" w:lineRule="auto"/>
        <w:rPr>
          <w:rFonts w:ascii="Arial" w:cs="Arial" w:eastAsia="Arial" w:hAnsi="Arial"/>
          <w:sz w:val="36"/>
          <w:szCs w:val="36"/>
          <w:b w:val="1"/>
          <w:bCs w:val="1"/>
          <w:color w:val="auto"/>
          <w:vertAlign w:val="subscript"/>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Includes an aggregate of 403,884 Series 1 Warrants and 372,816 Series 2 Warrants, each exercisable into one share of Vringo, Inc. (the “Issuer”) common stock, par value $0.01 per share (the “Common Stock”).</w:t>
      </w:r>
    </w:p>
    <w:p>
      <w:pPr>
        <w:spacing w:after="0" w:line="26" w:lineRule="exact"/>
        <w:rPr>
          <w:rFonts w:ascii="Arial" w:cs="Arial" w:eastAsia="Arial" w:hAnsi="Arial"/>
          <w:sz w:val="36"/>
          <w:szCs w:val="36"/>
          <w:b w:val="1"/>
          <w:bCs w:val="1"/>
          <w:color w:val="auto"/>
          <w:vertAlign w:val="subscript"/>
        </w:rPr>
      </w:pPr>
    </w:p>
    <w:p>
      <w:pPr>
        <w:ind w:right="20" w:firstLine="8"/>
        <w:spacing w:after="0" w:line="207" w:lineRule="auto"/>
        <w:tabs>
          <w:tab w:leader="none" w:pos="187"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calculation is based on 35,332,487 shares of Common Stock of Vringo, Inc. (the “Issuer”) issued and outstanding as of June 20, 2012 as reported in the Issuer’s Registration Statement on Form S-3, filed with the Securities and Exchange Commission (the “SEC”) on June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Schedule 13D (this “Schedule 13D”) relates to the common stock, par value $0.01 per share (the “Common Stock”), of Vringo, Inc., a Delaware corporation (the “Issuer”). The address of the principal executive office of the Issuer is 44 West 28th Street, Suite 1414, New York, NY 10001.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720" w:right="120"/>
        <w:spacing w:after="0" w:line="308" w:lineRule="auto"/>
        <w:rPr>
          <w:sz w:val="20"/>
          <w:szCs w:val="20"/>
          <w:color w:val="auto"/>
        </w:rPr>
      </w:pPr>
      <w:r>
        <w:rPr>
          <w:rFonts w:ascii="Arial" w:cs="Arial" w:eastAsia="Arial" w:hAnsi="Arial"/>
          <w:sz w:val="17"/>
          <w:szCs w:val="17"/>
          <w:color w:val="auto"/>
        </w:rPr>
        <w:t>(a), This Schedule 13D is being filed by Alexander R. Berger, a citizen of the United States of America. The shares of Common Stock beneficially (f) owned by the Reporting Person are held by ARB-A Investment Trust, of which the Reporting Person is the trustee.</w:t>
      </w:r>
    </w:p>
    <w:p>
      <w:pPr>
        <w:spacing w:after="0" w:line="147" w:lineRule="exact"/>
        <w:rPr>
          <w:sz w:val="20"/>
          <w:szCs w:val="20"/>
          <w:color w:val="auto"/>
        </w:rPr>
      </w:pPr>
    </w:p>
    <w:p>
      <w:pPr>
        <w:ind w:left="1040" w:hanging="330"/>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the Reporting Persons is c/o Vringo, Inc. 44 West 28th Street, Suite 1414, New York, NY 10001.</w:t>
      </w:r>
    </w:p>
    <w:p>
      <w:pPr>
        <w:spacing w:after="0" w:line="225" w:lineRule="exact"/>
        <w:rPr>
          <w:rFonts w:ascii="Arial" w:cs="Arial" w:eastAsia="Arial" w:hAnsi="Arial"/>
          <w:sz w:val="18"/>
          <w:szCs w:val="18"/>
          <w:color w:val="auto"/>
        </w:rPr>
      </w:pPr>
    </w:p>
    <w:p>
      <w:pPr>
        <w:ind w:left="1040" w:right="240" w:hanging="330"/>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serving as the Chief Operating Officer and Secretary of the Issuer. The Reporting Person is also a Director of the Issuer.</w:t>
      </w:r>
    </w:p>
    <w:p>
      <w:pPr>
        <w:spacing w:after="0" w:line="170" w:lineRule="exact"/>
        <w:rPr>
          <w:rFonts w:ascii="Arial" w:cs="Arial" w:eastAsia="Arial" w:hAnsi="Arial"/>
          <w:sz w:val="18"/>
          <w:szCs w:val="18"/>
          <w:color w:val="auto"/>
        </w:rPr>
      </w:pPr>
    </w:p>
    <w:p>
      <w:pPr>
        <w:ind w:left="980" w:right="740" w:hanging="270"/>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980" w:right="80" w:hanging="270"/>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described below, the shares to which this Schedule 13D relates were received by the Reporting Person as merger consideration and thus no funds were used for such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July 19, 2012 (the “Closing Date”), Innovate/Protect, Inc. (“Innovate/Protect”) merged with and into VIP Merger Sub, Inc. (which changed its name to Innovate/Protect, Inc.) (“Merger Sub”), a Delaware corporation and wholly-owned subsidiary of the Issuer, pursuant to the terms and conditions of the Agreement and Plan of Merger, dated as of March 12, 2012 (the “Merger Agreement”), by and among the Issuer, Merger Sub and Innovate/Protect (the “Merger”). In connection with the Merger, the Issuer issued, as of the Closing Date, its securities to Innovate/Protect’s stockholders in exchange for the capital stock owned by Innovate/Protect’s stockholders, as follows: (i) an aggregate of 18,617,569 shares of the Issuer’s Common Stock, (ii) an aggregate of 6,673 shares of the Issuer’s Series A Preferred Stock, par value $0.01 per share, convertible into an aggregate of 20,136,445 shares of the Issuer’s Common Stock , (iii) an aggregate of 8,299,116 Series 1 warrants to purchase up to an aggregate 8,299,116 shares of the Issuer’s Common Stock, with an exercise price of $1.76 per share and expiring on July 19, 2017, and (iv) an aggregate of 7,660,722 Series 2 warrants to purchase up to an aggregate of 7,660,722 shares of the Issuer’s Common Stock, with an exercise price of $1.76 per share and expiring on July 19, 2017. In addition, the Issuer assumed an option to purchase an aggregate of 41,178 shares of the Issuer’s common stock at an exercise price of $0.994 per share, in exchange for the outstanding and unexercised stock option to purchase shares of Innovate/Protect’s common stock.</w:t>
      </w:r>
    </w:p>
    <w:p>
      <w:pPr>
        <w:spacing w:after="0" w:line="17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Prior to the consummation of the Merger, the Reporting Person beneficially owned 625,000 shares of Innovate/Protect’s common stock, which were exchanged for an aggregate of 1,886,000 shares of Vringo’s Common Stock, 403,884 Series 1 Warrants and 372,816 Series 2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right="80" w:firstLine="656"/>
        <w:spacing w:after="0" w:line="264" w:lineRule="auto"/>
        <w:tabs>
          <w:tab w:leader="none" w:pos="8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Reporting Person beneficially owns 7.37% of the issued and outstanding shares of Common Stock of the Issuer, based on 35,332,487 shares of Common Stock of the Issuer issued and outstanding as of June 20, 2012 as reported in the Issuer’s Registration Statement on Form S-3, filed with the SEC on June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right="240" w:firstLine="656"/>
        <w:spacing w:after="0" w:line="342" w:lineRule="auto"/>
        <w:tabs>
          <w:tab w:leader="none" w:pos="9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Reporting Person has the sole power to vote or to direct the vote and sole power to dispose or direct the disposition of 2,662,700 shares of Common Stock beneficially owned by the Reporting Person and held by ARB-A Investment Trust, of which the Reporting Person is the trustee.</w:t>
      </w:r>
    </w:p>
    <w:p>
      <w:pPr>
        <w:spacing w:after="0" w:line="123" w:lineRule="exact"/>
        <w:rPr>
          <w:rFonts w:ascii="Arial" w:cs="Arial" w:eastAsia="Arial" w:hAnsi="Arial"/>
          <w:sz w:val="16"/>
          <w:szCs w:val="16"/>
          <w:color w:val="auto"/>
        </w:rPr>
      </w:pPr>
    </w:p>
    <w:p>
      <w:pPr>
        <w:ind w:right="300" w:firstLine="656"/>
        <w:spacing w:after="0" w:line="277"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Items 3 and 4 of this Schedule 13D, there have been no transactions effected with the respect to the shares of Common Stock held by the Reporting Person within the past 60 days of the date hereof, by the Reporting Person.</w:t>
      </w:r>
    </w:p>
    <w:p>
      <w:pPr>
        <w:spacing w:after="0" w:line="170" w:lineRule="exact"/>
        <w:rPr>
          <w:rFonts w:ascii="Arial" w:cs="Arial" w:eastAsia="Arial" w:hAnsi="Arial"/>
          <w:sz w:val="18"/>
          <w:szCs w:val="18"/>
          <w:color w:val="auto"/>
        </w:rPr>
      </w:pPr>
    </w:p>
    <w:p>
      <w:pPr>
        <w:ind w:right="480" w:firstLine="656"/>
        <w:spacing w:after="0" w:line="277"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Reporting Person has the sole right to receive, or power to direct the receipt of dividends from, or the proceeds of sale of, the shares of Common Stock beneficially owned by him.</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July 19, 2012, the Reporting Person, along with each of the officers and directors of the Issuer immediately following the consummation of the Merger delivered to the Issuer a lock-up agreement (the “Lock-Up Agreement”). Pursuant to the terms of the Lock-Up Agreement, the Reporting Person agreed that, for a period of six months following the closing of the Merger, without the prior written consent of the Issuer, he will not: (1) offer, pledge, assign, encumber, announce the intention to sell, sell, contract to sell (including any short sale),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or may be deemed to be beneficially owned (as defined in the Exchange Act by the undersigned on the date hereof or hereafter acquired or (2) enter into any swap or other agreement that transfers, in whole or in part, any of the economic consequences of ownership of the Common Stock,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or (4) publicly announce an intention to do any of the foregoing (the “Lock-Up”).</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restrictions contained in the Lock-Up Agreement do not apply to:</w:t>
      </w:r>
    </w:p>
    <w:p>
      <w:pPr>
        <w:spacing w:after="0" w:line="225" w:lineRule="exact"/>
        <w:rPr>
          <w:sz w:val="20"/>
          <w:szCs w:val="20"/>
          <w:color w:val="auto"/>
        </w:rPr>
      </w:pPr>
    </w:p>
    <w:p>
      <w:pPr>
        <w:ind w:right="80" w:firstLine="818"/>
        <w:spacing w:after="0" w:line="264" w:lineRule="auto"/>
        <w:tabs>
          <w:tab w:leader="none" w:pos="10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or gifts, (ii) to an immediate family member (as such term is defined in Item 404 of Regulation S-K) or a trust for the direct or indirect benefit of the undersigned or such immediate family member of the undersigned, or (iii) by will or intestacy;</w:t>
      </w:r>
    </w:p>
    <w:p>
      <w:pPr>
        <w:spacing w:after="0" w:line="181" w:lineRule="exact"/>
        <w:rPr>
          <w:rFonts w:ascii="Arial" w:cs="Arial" w:eastAsia="Arial" w:hAnsi="Arial"/>
          <w:sz w:val="18"/>
          <w:szCs w:val="18"/>
          <w:color w:val="auto"/>
        </w:rPr>
      </w:pPr>
    </w:p>
    <w:p>
      <w:pPr>
        <w:ind w:right="160" w:firstLine="818"/>
        <w:spacing w:after="0" w:line="308" w:lineRule="auto"/>
        <w:tabs>
          <w:tab w:leader="none" w:pos="10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exercise of options granted under the Issuer’s 2012 Employee, Director and Consultant Equity Incentive Plan (the “2012 Plan”) and 2006 Stock Option Plan (the “2006 Plan”) provided that the shares of Common Stock delivered upon such exercise are subject to the Lock-Up;</w:t>
      </w:r>
    </w:p>
    <w:p>
      <w:pPr>
        <w:spacing w:after="0" w:line="146" w:lineRule="exact"/>
        <w:rPr>
          <w:rFonts w:ascii="Arial" w:cs="Arial" w:eastAsia="Arial" w:hAnsi="Arial"/>
          <w:sz w:val="17"/>
          <w:szCs w:val="17"/>
          <w:color w:val="auto"/>
        </w:rPr>
      </w:pPr>
    </w:p>
    <w:p>
      <w:pPr>
        <w:ind w:right="300" w:firstLine="818"/>
        <w:spacing w:after="0" w:line="277" w:lineRule="auto"/>
        <w:tabs>
          <w:tab w:leader="none" w:pos="10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transfers of shares of Common Stock to the Issuer as forfeitures to satisfy tax withholding and remittance obligations of the undersigned in connection with the vesting or exercise of equity awards granted pursuant to the Issuer’s 2012 Plan and/or 2006 Plan;</w:t>
      </w:r>
    </w:p>
    <w:p>
      <w:pPr>
        <w:spacing w:after="0" w:line="170" w:lineRule="exact"/>
        <w:rPr>
          <w:rFonts w:ascii="Arial" w:cs="Arial" w:eastAsia="Arial" w:hAnsi="Arial"/>
          <w:sz w:val="18"/>
          <w:szCs w:val="18"/>
          <w:color w:val="auto"/>
        </w:rPr>
      </w:pPr>
    </w:p>
    <w:p>
      <w:pPr>
        <w:jc w:val="both"/>
        <w:ind w:right="180" w:firstLine="818"/>
        <w:spacing w:after="0" w:line="286" w:lineRule="auto"/>
        <w:tabs>
          <w:tab w:leader="none" w:pos="10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exercise of any of the Issuer’s Series 1 Warrants and Series 2 Warrants issued to the Reporting Person in connection with the transactions consummated by the Merger Agreement (collectively, the “Warrants”) and the sale or disposition of the shares of Common Stock issuable thereunder, in the event the Issuer calls such Warrants for redemption pursuant to and in accordance with the provisions of the Warrants;</w:t>
      </w:r>
    </w:p>
    <w:p>
      <w:pPr>
        <w:spacing w:after="0" w:line="165" w:lineRule="exact"/>
        <w:rPr>
          <w:rFonts w:ascii="Arial" w:cs="Arial" w:eastAsia="Arial" w:hAnsi="Arial"/>
          <w:sz w:val="17"/>
          <w:szCs w:val="17"/>
          <w:color w:val="auto"/>
        </w:rPr>
      </w:pPr>
    </w:p>
    <w:p>
      <w:pPr>
        <w:ind w:right="260" w:firstLine="818"/>
        <w:spacing w:after="0" w:line="277" w:lineRule="auto"/>
        <w:tabs>
          <w:tab w:leader="none" w:pos="10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the Issuer’s Series A Preferred Stock that are outstanding as of the date hereof, provided that the shares of Common Stock delivered upon such conversion are subject to the restrictions set forth in the Lock-Up; and</w:t>
      </w:r>
    </w:p>
    <w:p>
      <w:pPr>
        <w:spacing w:after="0" w:line="170" w:lineRule="exact"/>
        <w:rPr>
          <w:rFonts w:ascii="Arial" w:cs="Arial" w:eastAsia="Arial" w:hAnsi="Arial"/>
          <w:sz w:val="18"/>
          <w:szCs w:val="18"/>
          <w:color w:val="auto"/>
        </w:rPr>
      </w:pPr>
    </w:p>
    <w:p>
      <w:pPr>
        <w:ind w:firstLine="818"/>
        <w:spacing w:after="0" w:line="259" w:lineRule="auto"/>
        <w:tabs>
          <w:tab w:leader="none" w:pos="10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establishment of a trading plan that complies with Rule 10b5-1 under the Exchange Act; provided, however, that (i) the restrictions shall apply in full force to sales or other dispositions pursuant to such Rule 10b5-1 plan during the Lock-Up Period and (ii) no public announcement or disclosure of entry into such Rule 10b5-1 plan is made or required to be made during the Lock-Up Period, including any filing with the SEC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 w:name="page5"/>
    <w:bookmarkEnd w:id="4"/>
    <w:p>
      <w:pPr>
        <w:ind w:right="20" w:firstLine="852"/>
        <w:spacing w:after="0" w:line="264" w:lineRule="auto"/>
        <w:rPr>
          <w:sz w:val="20"/>
          <w:szCs w:val="20"/>
          <w:color w:val="auto"/>
        </w:rPr>
      </w:pPr>
      <w:r>
        <w:rPr>
          <w:rFonts w:ascii="Arial" w:cs="Arial" w:eastAsia="Arial" w:hAnsi="Arial"/>
          <w:sz w:val="18"/>
          <w:szCs w:val="18"/>
          <w:color w:val="auto"/>
        </w:rPr>
        <w:t>provided that in case of any transfer pursuant to clause (a) above, each transferee, trustee, donee or distributee shall sign and deliver a lock-up letter substantially in the form of this Lock-Up Agreement, and provided further that such transfer shall not involve a disposition for value and such transfer is not required to be reported in any public report or filing with the SEC during the Lock-Up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hanging="652"/>
        <w:spacing w:after="0" w:line="277" w:lineRule="auto"/>
        <w:tabs>
          <w:tab w:leader="none" w:pos="2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Form of Lock-Up Agreement (incorporated by reference to Exhibit 10.6 to the Issuer’s Current Report on Form 8-K, filed with the Commission on July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2012</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-10160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68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
      <w:numFmt w:val="bullet"/>
      <w:start w:val="1"/>
    </w:lvl>
    <w:lvl w:ilvl="1">
      <w:lvlJc w:val="left"/>
      <w:lvlText w:val="%2"/>
      <w:numFmt w:val="decimal"/>
      <w:start w:val="13"/>
    </w:lvl>
  </w:abstractNum>
  <w:abstractNum w:abstractNumId="8">
    <w:nsid w:val="1190CDE7"/>
    <w:multiLevelType w:val="hybridMultilevel"/>
    <w:lvl w:ilvl="0">
      <w:lvlJc w:val="left"/>
      <w:lvlText w:val="**"/>
      <w:numFmt w:val="bullet"/>
      <w:start w:val="1"/>
    </w:lvl>
    <w:lvl w:ilvl="1">
      <w:lvlJc w:val="left"/>
      <w:lvlText w:val="%2"/>
      <w:numFmt w:val="decimal"/>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2019-12-09T18:55:49Z</dcterms:created>
  <dcterms:modified xsi:type="dcterms:W3CDTF">2019-12-09T18:55:49Z</dcterms:modified>
</cp:coreProperties>
</file>