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8,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1"/>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 ]</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8, 2022, XpresSpa Group, Inc. (the “Company”) received a written notification (the “Notice”) from the Listing Qualifications Department of the NASDAQ Stock Market LLC (“Nasdaq”) notifying the Company that the closing bid price for its common stock had been below $1.00 for 30 consecutive business days and that the Company therefore is not in compliance with the minimum bid price requirement for continued inclusion on The Nasdaq Capital Market under Nasdaq Listing Rule 5550(a)(2) (the “Bid Price Requirement”). The Notice has no immediate effect on the listing or trading of the Company’s common stock, which continues to trade on the Nasdaq Capital Market under the symbol “XSPA”.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Nasdaq Listing Rules, the Company has a period of 180 calendar days from the date of the Notice to regain compliance with the Bid Price Requirement. Accordingly, the Company has until December 5, 2022 (the “Compliance Date”), to regain compliance with the Bid Price Requirement. To regain compliance, the closing bid price of the Company’s common stock must be at least $1.00 for a minimum of ten consecutive business days prior to the Compliance Date. In the event the Company does not regain compliance by the Compliance Date, the Company may be eligible for an additional 180 calendar day compliance period. To qualify for this second compliance period,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by effecting a reverse stock split, if necessary.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common stock and may, if appropriate, consider available options to regain compliance with the Bid Price Requirement. However, there can be no assurance that the Company will be able to regain compliance with the Bid Price Requirement, or will otherwise be in compliance with other Nasdaq Listing Rules.</w:t>
      </w:r>
    </w:p>
    <w:p>
      <w:pPr>
        <w:spacing w:after="0" w:line="172" w:lineRule="exact"/>
        <w:rPr>
          <w:sz w:val="20"/>
          <w:szCs w:val="20"/>
          <w:color w:val="auto"/>
        </w:rPr>
      </w:pPr>
    </w:p>
    <w:p>
      <w:pPr>
        <w:ind w:left="1120" w:right="140" w:hanging="1119"/>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On June 14, 2022, the Company announced the separation of service with the Company of James A. Berry, the Chief Financial Officer, effective June 13, 2022. The Company also announced that the Board had appointed Omar A. Haynes as Interim Chief Financial Officer of the Company, which became effective on June 13, 2022. In such role, Mr. Haynes will serve as the Company’s principal financial officer and principal accounting officer for SEC reporting purposes, pursuant to the terms of his current employment arrangements with the Company.</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Mr. Haynes, 40, has served as Vice President of Treasury &amp; Finance of the Company since June 2021 and will continue to retain those titles while serving as the Company’s Interim Chief Financial Officer. He joined the Company as Associate Director of Finance in March 2017, then served as Director of Finance, Analytics &amp; Treasury from January 2019 to June 2020 and Treasurer &amp; Senior Director of Finance from June 2020 to May 2021. Before joining the Company, he worked in corporate structuring and interim management consulting, focusing on performance improvement and cash management.</w:t>
      </w:r>
    </w:p>
    <w:p>
      <w:pPr>
        <w:spacing w:after="0" w:line="183" w:lineRule="exact"/>
        <w:rPr>
          <w:sz w:val="20"/>
          <w:szCs w:val="20"/>
          <w:color w:val="auto"/>
        </w:rPr>
      </w:pPr>
    </w:p>
    <w:p>
      <w:pPr>
        <w:jc w:val="both"/>
        <w:ind w:firstLine="441"/>
        <w:spacing w:after="0" w:line="289" w:lineRule="auto"/>
        <w:rPr>
          <w:sz w:val="20"/>
          <w:szCs w:val="20"/>
          <w:color w:val="auto"/>
        </w:rPr>
      </w:pPr>
      <w:r>
        <w:rPr>
          <w:rFonts w:ascii="Times New Roman" w:cs="Times New Roman" w:eastAsia="Times New Roman" w:hAnsi="Times New Roman"/>
          <w:sz w:val="17"/>
          <w:szCs w:val="17"/>
          <w:color w:val="auto"/>
        </w:rPr>
        <w:t>For his service as Interim Chief Financial Officer, Mr. Haynes will receive a base salary of $288,750 annually, subject to review by the Compensation Committee of the Company’s board of directors. He is eligible to receive an annual cash bonus with a target of 50% of his base salary and will be eligible to participate in any annual bonus or other incentive compensation program that the Company may adopt from time to time for its executive officers.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There was no other arrangement or understanding pursuant to which Mr. Haynes was selected as an officer of the Company. There are no family relationships between Mr. Haynes and any director or executive officer of the Company. There are no related party transactions in respect of the Company of the kind described in Item 404(a) of Regulation S-K in which Mr. Haynes was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On June 14, 2022, the Company issued a press release regarding the changes in roles of Messrs. Berry and Haynes discussed in Item 5.02 above. A copy of the press release is attached hereto as Exhibit 99.1 and is incorporated herein by reference.</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u w:val="single" w:color="auto"/>
          <w:color w:val="0000EE"/>
        </w:rPr>
        <w:t>99.1</w:t>
        <w:tab/>
        <w:t>Press Release, dated June 14, 2022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that we intend to be subject to the safe harbor provisions of the Private Securities Litigation Reform Act of 1995. All statements contained in this Form 8-K, other than statements of historical facts may constitute forward-looking statements within the meaning of the federal securities laws. These statements can be identified by words such as “expects,” “plans,” “projects,” “will,” “may,” “anticipates,” “believes,” “should,” “intends,” “estimates,” and other words of similar meaning. Any forward-looking statements contained herein are based on current expectations, and are subject to a number of risks and uncertainties. Many factors could cause our actual activities or results to differ materially from the activities, performance, achievements or results to differ materially from the activities and results anticipated in forward-looking statements. These risks and uncertainties include those described in the “Risk Factors” section as detailed from time to time in the Company’s reports filed with the Securities and Exchange Commission (“SEC”), including the Company’s annual report on Form 10-K, periodic quarterly reports on Form 10-Q, current reports on Form 8-K and other documents filed with the SEC. In addition, forward-looking statements may also be adversely affected by general market factors, general economic and business conditions, including potential adverse effects of public health issues, such as the COVID-19 outbreak (including any new variant strains of the underlying virus) on economic activity, among other factors. The forward-looking statements contained in this Form 8-K speak only as of the date the statements were made, and the Company does not undertake any obligation to update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5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2022</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R. Milford</w:t>
            </w:r>
          </w:p>
        </w:tc>
      </w:tr>
      <w:tr>
        <w:trPr>
          <w:trHeight w:val="198"/>
        </w:trPr>
        <w:tc>
          <w:tcPr>
            <w:tcW w:w="3540" w:type="dxa"/>
            <w:vAlign w:val="bottom"/>
          </w:tcPr>
          <w:p>
            <w:pPr>
              <w:spacing w:after="0"/>
              <w:rPr>
                <w:sz w:val="17"/>
                <w:szCs w:val="17"/>
                <w:color w:val="auto"/>
              </w:rPr>
            </w:pPr>
          </w:p>
        </w:tc>
        <w:tc>
          <w:tcPr>
            <w:tcW w:w="266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Scott R. Milford</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XpresSpa Group Announces the Separation of Service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Berry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Omar Haynes Named Interim Chief Financial Officer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June 14, 2022 - XpresSpa Group, Inc. (Nasdaq: XSPA), a travel health and wellness company, today announced the separation of service with the Company of James A. Berry, effective June 13, 2022. The Company has named Omar A. Haynes as Interim Chief Financial Officer while it conducts an executive search to fill the position permanently.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Haynes joined the Company as Associate Director of Finance in March 2017, served as Director of Finance, Analytics &amp; Treasury from January 2019 to June 2020, and then Treasurer &amp; Senior Director of Finance from June 2020 to May 2021. Previously he was an associate at both Alvarez &amp; Marsal and Conway, Del Genio, Gries &amp; Co. Mr. Haynes holds a Bachelor of Arts in Quantitative Economics from Tufts University.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Scott Milford, XpresSpa Group Chief Executive Officer, said, “On behalf of our Board and the entire team, I want to thank James and wish him the best in his future endeavors. I also want to thank Omar for stepping into this interim role to help build the momentum necessary for growth. Omar is well suited to serve as our Interim Chief Financial Officer given his strong financial background and tenure with the Company. We have launched a search for a full-time Chief Financial Officer and look forward to naming that individual once they have been identified.”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XpresSpa Group,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XpresSpa Group, Inc. (Nasdaq: XSPA) is a leading global health and wellness holding company operating three brands: XpresCheck®, XpresSpa®, Treat™.</w:t>
      </w:r>
    </w:p>
    <w:p>
      <w:pPr>
        <w:spacing w:after="0" w:line="162" w:lineRule="exact"/>
        <w:rPr>
          <w:sz w:val="20"/>
          <w:szCs w:val="20"/>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leading on-site airport provider of Covid-19 screening and diagnostic testing with 15 locations in 12 domestic airports. XpresCheck is also partnered with the CDC and Concentric by Ginkgo, conducting biosurveillance monitoring at four major domestic airports to identify existing and new SARS-CoV-2 variants.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airport retailer of wellness services and related products, with 23 locations in 13 airports globally.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is a travel health and wellness brand that is providing on-demand access to healthcare through technology and personalized services, including two domestic airport locations.</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further build on XpresSpa Group’s expertise in the health and wellness space, the Company acquired HyperPointe, a leading digital healthcare and data analytics relationship marketing agency serving the global healthcare industry, in January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XpresCheck, visit: </w:t>
      </w:r>
      <w:r>
        <w:rPr>
          <w:rFonts w:ascii="Times New Roman" w:cs="Times New Roman" w:eastAsia="Times New Roman" w:hAnsi="Times New Roman"/>
          <w:sz w:val="18"/>
          <w:szCs w:val="18"/>
          <w:u w:val="single" w:color="auto"/>
          <w:color w:val="auto"/>
        </w:rPr>
        <w:t>www.XpresCheck.com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XpresSpa, visit </w:t>
      </w:r>
      <w:r>
        <w:rPr>
          <w:rFonts w:ascii="Times New Roman" w:cs="Times New Roman" w:eastAsia="Times New Roman" w:hAnsi="Times New Roman"/>
          <w:sz w:val="18"/>
          <w:szCs w:val="18"/>
          <w:u w:val="single" w:color="auto"/>
          <w:color w:val="auto"/>
        </w:rPr>
        <w:t>www.XpresSpa.com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Treat, visit: </w:t>
      </w:r>
      <w:r>
        <w:rPr>
          <w:rFonts w:ascii="Times New Roman" w:cs="Times New Roman" w:eastAsia="Times New Roman" w:hAnsi="Times New Roman"/>
          <w:sz w:val="18"/>
          <w:szCs w:val="18"/>
          <w:u w:val="single" w:color="auto"/>
          <w:color w:val="auto"/>
        </w:rPr>
        <w:t>www.Treat.com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HyperPointe, visit: </w:t>
      </w:r>
      <w:r>
        <w:rPr>
          <w:rFonts w:ascii="Times New Roman" w:cs="Times New Roman" w:eastAsia="Times New Roman" w:hAnsi="Times New Roman"/>
          <w:sz w:val="18"/>
          <w:szCs w:val="18"/>
          <w:u w:val="single" w:color="auto"/>
          <w:color w:val="auto"/>
        </w:rPr>
        <w:t>www.Hyperpointe.com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@xprescheck and Instagram: @realxprescheck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@XpresSpa and Instagram: @XpresSpa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@Treat_Care and Instagram: @treat_care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Ferguson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2022-06-14T15:25:29Z</dcterms:created>
  <dcterms:modified xsi:type="dcterms:W3CDTF">2022-06-14T15:25:29Z</dcterms:modified>
</cp:coreProperties>
</file>