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Current Report</w:t>
            </w:r>
          </w:p>
        </w:tc>
        <w:tc>
          <w:tcPr>
            <w:tcW w:w="1680" w:type="dxa"/>
            <w:vAlign w:val="bottom"/>
          </w:tcPr>
          <w:p>
            <w:pPr>
              <w:spacing w:after="0"/>
              <w:rPr>
                <w:sz w:val="20"/>
                <w:szCs w:val="20"/>
                <w:color w:val="auto"/>
              </w:rPr>
            </w:pPr>
          </w:p>
        </w:tc>
      </w:tr>
      <w:tr>
        <w:trPr>
          <w:trHeight w:val="414"/>
        </w:trPr>
        <w:tc>
          <w:tcPr>
            <w:tcW w:w="2160" w:type="dxa"/>
            <w:vAlign w:val="bottom"/>
          </w:tcPr>
          <w:p>
            <w:pPr>
              <w:spacing w:after="0"/>
              <w:rPr>
                <w:sz w:val="24"/>
                <w:szCs w:val="24"/>
                <w:color w:val="auto"/>
              </w:rPr>
            </w:pPr>
          </w:p>
        </w:tc>
        <w:tc>
          <w:tcPr>
            <w:tcW w:w="55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Pursuant to Section 13 or 15(d) of the</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Securities Exchange Act of 1934</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Date of Report (Date of earliest event reported): December 5, 2016</w:t>
            </w:r>
          </w:p>
        </w:tc>
        <w:tc>
          <w:tcPr>
            <w:tcW w:w="1680" w:type="dxa"/>
            <w:vAlign w:val="bottom"/>
          </w:tcPr>
          <w:p>
            <w:pPr>
              <w:spacing w:after="0"/>
              <w:rPr>
                <w:sz w:val="24"/>
                <w:szCs w:val="24"/>
                <w:color w:val="auto"/>
              </w:rPr>
            </w:pPr>
          </w:p>
        </w:tc>
      </w:tr>
      <w:tr>
        <w:trPr>
          <w:trHeight w:val="414"/>
        </w:trPr>
        <w:tc>
          <w:tcPr>
            <w:tcW w:w="2160" w:type="dxa"/>
            <w:vAlign w:val="bottom"/>
          </w:tcPr>
          <w:p>
            <w:pPr>
              <w:spacing w:after="0"/>
              <w:rPr>
                <w:sz w:val="24"/>
                <w:szCs w:val="24"/>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FORM HOLDINGS CORP.</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1680" w:type="dxa"/>
            <w:vAlign w:val="bottom"/>
          </w:tcPr>
          <w:p>
            <w:pPr>
              <w:spacing w:after="0"/>
              <w:rPr>
                <w:sz w:val="20"/>
                <w:szCs w:val="20"/>
                <w:color w:val="auto"/>
              </w:rPr>
            </w:pPr>
          </w:p>
        </w:tc>
      </w:tr>
      <w:tr>
        <w:trPr>
          <w:trHeight w:val="414"/>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5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001-34785</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of incorporation)</w:t>
            </w:r>
          </w:p>
        </w:tc>
        <w:tc>
          <w:tcPr>
            <w:tcW w:w="556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5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780 Third Avenue, 12</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168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New York, New York 10017</w:t>
            </w:r>
          </w:p>
        </w:tc>
        <w:tc>
          <w:tcPr>
            <w:tcW w:w="168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(646) 525-4319</w:t>
            </w:r>
          </w:p>
        </w:tc>
        <w:tc>
          <w:tcPr>
            <w:tcW w:w="168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181818"/>
        </w:rPr>
        <w:t>Item 1.01 Entry into a Material Definitive Agreement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On December 5, 2016, </w:t>
      </w:r>
      <w:r>
        <w:rPr>
          <w:rFonts w:ascii="Arial" w:cs="Arial" w:eastAsia="Arial" w:hAnsi="Arial"/>
          <w:sz w:val="18"/>
          <w:szCs w:val="18"/>
          <w:color w:val="181818"/>
        </w:rPr>
        <w:t>FORM Holdings Corp. (the “Company”)</w:t>
      </w:r>
      <w:r>
        <w:rPr>
          <w:rFonts w:ascii="Arial" w:cs="Arial" w:eastAsia="Arial" w:hAnsi="Arial"/>
          <w:sz w:val="18"/>
          <w:szCs w:val="18"/>
          <w:color w:val="auto"/>
        </w:rPr>
        <w:t xml:space="preserve"> entered into a Confidential Settlement and Patent Assignment Agreement (the “Settlement Agreement”) with Nokia Corporation (“Nokia”), pursuant to which the parties agreed to resolve in full the total royalties payable and certain other disputed amounts payable pursuant to the Confidential Purchase and Sale Agreement (the “Purchase Agreement”) dated as of August 9, 2012 between the Company and Nokia. The foregoing description of the Purchase Agreement is not complete and is subject to, and qualified in its entirety by, the full text of the Purchase Agreement, which was filed as Exhibit 10.1 to the Company’s Quarterly Report on Form 10-Q filed with the Securities and Exchange Commission on November 14, 2012.</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Under the terms of the Settlement Agreement, the Company agreed to pay to Nokia an aggregate sum of $2,100,000 in royalty payments in fulfillment of all outstanding amounts due to Nokia. The Company will retain selected patents that will no longer be subject to any royalty payments to Nokia. In addition, the Company assigned to Nokia certain rights related to certain patents purchased pursuant to the Purchase Agreement. The Company had previously accrued liabilities on its financial statements equal to $3,850,000 related to amounts payable pursuant to the Purchase Agreement. The Company anticipates that the transaction will result in an increase of stockholders’ equity in excess of $500,000.</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intends to file the Settlement Agreement as an exhibit to its annual report on Form 10-K for the period ending December 31, 2016 and plans to seek confidential treatment of certain terms in the Settlement Agreement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640" w:type="dxa"/>
            <w:vAlign w:val="bottom"/>
            <w:gridSpan w:val="2"/>
          </w:tcPr>
          <w:p>
            <w:pPr>
              <w:ind w:left="1940"/>
              <w:spacing w:after="0"/>
              <w:rPr>
                <w:sz w:val="20"/>
                <w:szCs w:val="20"/>
                <w:color w:val="auto"/>
              </w:rPr>
            </w:pPr>
            <w:r>
              <w:rPr>
                <w:rFonts w:ascii="Arial" w:cs="Arial" w:eastAsia="Arial" w:hAnsi="Arial"/>
                <w:sz w:val="18"/>
                <w:szCs w:val="18"/>
                <w:b w:val="1"/>
                <w:bCs w:val="1"/>
                <w:color w:val="auto"/>
              </w:rPr>
              <w:t>FORM HOLDINGS CORP.</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Dated: December 7, 2016</w:t>
            </w:r>
          </w:p>
        </w:tc>
        <w:tc>
          <w:tcPr>
            <w:tcW w:w="7640" w:type="dxa"/>
            <w:vAlign w:val="bottom"/>
            <w:gridSpan w:val="2"/>
          </w:tcPr>
          <w:p>
            <w:pPr>
              <w:ind w:left="1940"/>
              <w:spacing w:after="0"/>
              <w:rPr>
                <w:sz w:val="20"/>
                <w:szCs w:val="20"/>
                <w:color w:val="auto"/>
              </w:rPr>
            </w:pPr>
            <w:r>
              <w:rPr>
                <w:rFonts w:ascii="Arial" w:cs="Arial" w:eastAsia="Arial" w:hAnsi="Arial"/>
                <w:sz w:val="18"/>
                <w:szCs w:val="18"/>
                <w:color w:val="auto"/>
              </w:rPr>
              <w:t>By:  /s/ Andrew D. Perlman</w:t>
            </w:r>
          </w:p>
        </w:tc>
      </w:tr>
      <w:tr>
        <w:trPr>
          <w:trHeight w:val="195"/>
        </w:trPr>
        <w:tc>
          <w:tcPr>
            <w:tcW w:w="37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7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891"/>
        </w:trPr>
        <w:tc>
          <w:tcPr>
            <w:tcW w:w="37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2019-12-08T15:25:05Z</dcterms:created>
  <dcterms:modified xsi:type="dcterms:W3CDTF">2019-12-08T15:25:05Z</dcterms:modified>
</cp:coreProperties>
</file>