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5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5043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Lebowitz Michael</w:t>
              </w:r>
            </w:hyperlink>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XWELL,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XWEL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80" w:type="dxa"/>
            <w:vAlign w:val="bottom"/>
            <w:gridSpan w:val="2"/>
          </w:tcPr>
          <w:p>
            <w:pPr>
              <w:spacing w:after="0"/>
              <w:rPr>
                <w:sz w:val="6"/>
                <w:szCs w:val="6"/>
                <w:color w:val="auto"/>
              </w:rPr>
            </w:pPr>
          </w:p>
        </w:tc>
        <w:tc>
          <w:tcPr>
            <w:tcW w:w="9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06/02/2025</w:t>
            </w:r>
          </w:p>
        </w:tc>
        <w:tc>
          <w:tcPr>
            <w:tcW w:w="26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XWELL, INC.</w:t>
            </w:r>
          </w:p>
        </w:tc>
        <w:tc>
          <w:tcPr>
            <w:tcW w:w="1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gridSpan w:val="3"/>
          </w:tcPr>
          <w:p>
            <w:pPr>
              <w:jc w:val="right"/>
              <w:ind w:right="102"/>
              <w:spacing w:after="0"/>
              <w:rPr>
                <w:sz w:val="20"/>
                <w:szCs w:val="20"/>
                <w:color w:val="auto"/>
              </w:rPr>
            </w:pPr>
            <w:r>
              <w:rPr>
                <w:rFonts w:ascii="Times New Roman" w:cs="Times New Roman" w:eastAsia="Times New Roman" w:hAnsi="Times New Roman"/>
                <w:sz w:val="17"/>
                <w:szCs w:val="17"/>
                <w:color w:val="0000FF"/>
              </w:rPr>
              <w:t>06/02/2025</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98,148</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111,122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60" w:type="dxa"/>
            <w:vAlign w:val="bottom"/>
            <w:gridSpan w:val="12"/>
          </w:tcPr>
          <w:p>
            <w:pPr>
              <w:jc w:val="center"/>
              <w:ind w:right="1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107,724</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0.968</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06/02/2025</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107,724</w:t>
            </w:r>
          </w:p>
        </w:tc>
        <w:tc>
          <w:tcPr>
            <w:tcW w:w="280" w:type="dxa"/>
            <w:vAlign w:val="bottom"/>
          </w:tcPr>
          <w:p>
            <w:pPr>
              <w:spacing w:after="0"/>
              <w:rPr>
                <w:sz w:val="12"/>
                <w:szCs w:val="12"/>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06/02/2035</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107,724</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fully vested restricted stock units, in consideration of the reporting person's Board fees decrease effective in the fourth quarter of 2024.</w:t>
      </w:r>
    </w:p>
    <w:p>
      <w:pPr>
        <w:spacing w:after="0" w:line="41" w:lineRule="exact"/>
        <w:rPr>
          <w:rFonts w:ascii="Times New Roman" w:cs="Times New Roman" w:eastAsia="Times New Roman" w:hAnsi="Times New Roman"/>
          <w:sz w:val="13"/>
          <w:szCs w:val="13"/>
          <w:color w:val="008000"/>
        </w:rPr>
      </w:pPr>
    </w:p>
    <w:p>
      <w:pPr>
        <w:ind w:left="40" w:right="22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up to 107,724 shares of Common Stock with such stock options vesting in four substantially equal installments on the quarterly anniversaries of the grant date, provided that the reporting person is providing services to the Company through such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Cara Soffer, Attorney-in-fact </w:t>
      </w:r>
      <w:r>
        <w:rPr>
          <w:rFonts w:ascii="Times New Roman" w:cs="Times New Roman" w:eastAsia="Times New Roman" w:hAnsi="Times New Roman"/>
          <w:sz w:val="31"/>
          <w:szCs w:val="31"/>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Michael Lebowitz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91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56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8836"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2025-06-03T07:09:35Z</dcterms:created>
  <dcterms:modified xsi:type="dcterms:W3CDTF">2025-06-03T07:09:35Z</dcterms:modified>
</cp:coreProperties>
</file>