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Perlman Andrew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1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03/31/2014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28,385</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3.4852</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758,312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60" w:type="dxa"/>
            <w:vAlign w:val="bottom"/>
            <w:gridSpan w:val="8"/>
          </w:tcPr>
          <w:p>
            <w:pPr>
              <w:ind w:left="1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to cover tax liabilities pursuant to a Rule 10b5-1 trading plan adopted by the reporting person on November 22,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523,959 shares of common stock are represented by unvested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80"/>
        <w:spacing w:after="0" w:line="239" w:lineRule="auto"/>
        <w:rPr>
          <w:sz w:val="20"/>
          <w:szCs w:val="20"/>
          <w:color w:val="auto"/>
        </w:rPr>
      </w:pPr>
      <w:r>
        <w:rPr>
          <w:rFonts w:ascii="Arial" w:cs="Arial" w:eastAsia="Arial" w:hAnsi="Arial"/>
          <w:sz w:val="14"/>
          <w:szCs w:val="14"/>
          <w:color w:val="008000"/>
        </w:rPr>
        <w:t>As of the reporting date, the reporting person holds 2,408,167 vested and unvested options and 523,959 vested and unvested restricted stock units. In addition, the reporting person owns 234,353 shares of common stock and 40,000 warrants. The total number of securities listed is 3,206,479.</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Andrew D. Perlman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04/02/2014</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066"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2019-12-17T07:33:16Z</dcterms:created>
  <dcterms:modified xsi:type="dcterms:W3CDTF">2019-12-17T07:33:16Z</dcterms:modified>
</cp:coreProperties>
</file>