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7,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7, 2018, XpresSpa Group, Inc. (the “Company”) entered into a membership purchase agreement (the “Purchase Agreement”) with Route1 Security Corporation, a Delaware corporation (the “Buyer”), and Route1 Inc., an Ontario corporation (“Route1”), pursuant to which the Buyer agreed to acquire the Company’s Group Mobile segment, which provides total hardware solutions, including rugged laptops, tablets, and handheld computers (the “Disposition”). The closing of the Disposition is expected to occur in late March 2018.</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consideration for the Disposition, the Buyer has agreed to issue to the Company (i) 25 million shares of common stock of Route1, (ii) warrants to purchase 30 million shares of common stock of Route1, which will feature an exercise price of CAD 5 cents per share of common stock and will be exercisable for a three-year period, and (iii) certain other payments over the three year period pursuant to an earn-out provision in the Purchase Agreement. Post-closing, the Company will own approximately 6.7% of Route1’s undiluted shares of common stock. The issued Route1 shares of common stock will not be tradable until a date no earlier than 12 months after the closing date; 50% or 12.5 million shares of common stock tradeable after 12 months plus an additional 2,083,333 shares of common stock tradeable each month until 18 months after the date of closing, subject to a change of control provision. The Company has the ability to sell the issued Route1 shares of common stock and warrants to qualified institutional investors.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Purchase Agreement also contains representations, warranties, and covenants customary for transactions of this type. The foregoing description of the Purchase Agreement is incomplete, and is subject to, and qualified in its entirety by, the full text of the Purchase Agreement, which shall be filed as an exhibit to the Company’s Quarterly Report on Form 10-Q for the period ending March 31, 2018.</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March 8, 2018, the Company issued a press release announcing the Disposition. A copy of the press release is attached hereto as Exhibit 99.1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of the Company, dated March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04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March 8, 2018</w:t>
            </w: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By: /s/ Andrew D. Perlman</w:t>
            </w:r>
          </w:p>
        </w:tc>
      </w:tr>
      <w:tr>
        <w:trPr>
          <w:trHeight w:val="195"/>
        </w:trPr>
        <w:tc>
          <w:tcPr>
            <w:tcW w:w="35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165735</wp:posOffset>
            </wp:positionV>
            <wp:extent cx="2101215"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121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012E3F"/>
        </w:rPr>
        <w:t>XpresSpa Divests Certain Key Non-Core Assets</w:t>
      </w:r>
    </w:p>
    <w:p>
      <w:pPr>
        <w:spacing w:after="0" w:line="21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303131"/>
        </w:rPr>
        <w:t>NEW YORK, March 8, 2018 (GLOBE NEWSWIRE) -- XpresSpa Group Inc. (Nasdaq:XSPA) (“XpresSpa” or the “Company”), a health and wellness holding company, today provided an update on the disposition of certain key non-core assets. These include:</w:t>
      </w:r>
    </w:p>
    <w:p>
      <w:pPr>
        <w:spacing w:after="0" w:line="170" w:lineRule="exact"/>
        <w:rPr>
          <w:sz w:val="20"/>
          <w:szCs w:val="20"/>
          <w:color w:val="auto"/>
        </w:rPr>
      </w:pPr>
    </w:p>
    <w:p>
      <w:pPr>
        <w:ind w:left="660" w:right="20" w:hanging="328"/>
        <w:spacing w:after="0" w:line="273" w:lineRule="auto"/>
        <w:tabs>
          <w:tab w:leader="none" w:pos="660" w:val="left"/>
        </w:tabs>
        <w:numPr>
          <w:ilvl w:val="0"/>
          <w:numId w:val="2"/>
        </w:numPr>
        <w:rPr>
          <w:rFonts w:ascii="Arial" w:cs="Arial" w:eastAsia="Arial" w:hAnsi="Arial"/>
          <w:sz w:val="17"/>
          <w:szCs w:val="17"/>
          <w:color w:val="303131"/>
        </w:rPr>
      </w:pPr>
      <w:r>
        <w:rPr>
          <w:rFonts w:ascii="Arial" w:cs="Arial" w:eastAsia="Arial" w:hAnsi="Arial"/>
          <w:sz w:val="17"/>
          <w:szCs w:val="17"/>
          <w:color w:val="303131"/>
        </w:rPr>
        <w:t>On March 7, 2018, the Company signed a definitive merger agreement to sell Group Mobile Int’l LLC (“GM”), a supplier of built-to-order rugged computers, mobile devices and accessories, to Route 1, Inc. (TSXV: ROI, OTCQB: ROIUF), a Canadian software developer, in exchange for Route1 common stock and warrants with an estimated preliminary value of $1.0 million and an earn-out with an estimated preliminary value of $1.0 million. In addition, the Company expects to collect approximately $0.75 million in cash upon the sale of certain GM inventory. The transaction is expected to close on or before March 30, 2018. These values are preliminary and are based on our management’s estimate of expected earnout payments and of the values related to the stock and warrants and are subject to change.</w:t>
      </w:r>
    </w:p>
    <w:p>
      <w:pPr>
        <w:spacing w:after="0" w:line="178" w:lineRule="exact"/>
        <w:rPr>
          <w:rFonts w:ascii="Arial" w:cs="Arial" w:eastAsia="Arial" w:hAnsi="Arial"/>
          <w:sz w:val="17"/>
          <w:szCs w:val="17"/>
          <w:color w:val="303131"/>
        </w:rPr>
      </w:pPr>
    </w:p>
    <w:p>
      <w:pPr>
        <w:ind w:left="660" w:right="220" w:hanging="328"/>
        <w:spacing w:after="0" w:line="259" w:lineRule="auto"/>
        <w:tabs>
          <w:tab w:leader="none" w:pos="660" w:val="left"/>
        </w:tabs>
        <w:numPr>
          <w:ilvl w:val="0"/>
          <w:numId w:val="2"/>
        </w:numPr>
        <w:rPr>
          <w:rFonts w:ascii="Arial" w:cs="Arial" w:eastAsia="Arial" w:hAnsi="Arial"/>
          <w:sz w:val="18"/>
          <w:szCs w:val="18"/>
          <w:color w:val="303131"/>
        </w:rPr>
      </w:pPr>
      <w:r>
        <w:rPr>
          <w:rFonts w:ascii="Arial" w:cs="Arial" w:eastAsia="Arial" w:hAnsi="Arial"/>
          <w:sz w:val="18"/>
          <w:szCs w:val="18"/>
          <w:color w:val="303131"/>
        </w:rPr>
        <w:t>In October 2017, the Company sold FLI Charge, Inc., an early stage company that designs, develops, licenses, manufactures and markets power transfer and charging solutions, to FLI Charge’s management team for approximately $1.05 million in cash, of which $0.25 million was paid upon closing and $0.8 million was paid in the first quarter of 2018, as well as a 5% perpetual royalty and warrants representing a 5% ownership in FLI Charge Inc.</w:t>
      </w:r>
    </w:p>
    <w:p>
      <w:pPr>
        <w:spacing w:after="0" w:line="186" w:lineRule="exact"/>
        <w:rPr>
          <w:rFonts w:ascii="Arial" w:cs="Arial" w:eastAsia="Arial" w:hAnsi="Arial"/>
          <w:sz w:val="18"/>
          <w:szCs w:val="18"/>
          <w:color w:val="303131"/>
        </w:rPr>
      </w:pPr>
    </w:p>
    <w:p>
      <w:pPr>
        <w:jc w:val="both"/>
        <w:ind w:left="660" w:right="240" w:hanging="328"/>
        <w:spacing w:after="0" w:line="264" w:lineRule="auto"/>
        <w:tabs>
          <w:tab w:leader="none" w:pos="660" w:val="left"/>
        </w:tabs>
        <w:numPr>
          <w:ilvl w:val="0"/>
          <w:numId w:val="2"/>
        </w:numPr>
        <w:rPr>
          <w:rFonts w:ascii="Arial" w:cs="Arial" w:eastAsia="Arial" w:hAnsi="Arial"/>
          <w:sz w:val="18"/>
          <w:szCs w:val="18"/>
          <w:color w:val="303131"/>
        </w:rPr>
      </w:pPr>
      <w:r>
        <w:rPr>
          <w:rFonts w:ascii="Arial" w:cs="Arial" w:eastAsia="Arial" w:hAnsi="Arial"/>
          <w:sz w:val="18"/>
          <w:szCs w:val="18"/>
          <w:color w:val="303131"/>
        </w:rPr>
        <w:t>In January 2018, the Company sold certain patents to Crypto Currency Patent Holdings Company LLC, a unit of Marathon Patent Group, Inc., for approximately $1.25 million, comprised of $0.25 million in cash and 250,000 shares of common stock valued at approximately $1.0 million at the time of the transaction.</w:t>
      </w:r>
    </w:p>
    <w:p>
      <w:pPr>
        <w:spacing w:after="0" w:line="181" w:lineRule="exact"/>
        <w:rPr>
          <w:rFonts w:ascii="Arial" w:cs="Arial" w:eastAsia="Arial" w:hAnsi="Arial"/>
          <w:sz w:val="18"/>
          <w:szCs w:val="18"/>
          <w:color w:val="303131"/>
        </w:rPr>
      </w:pPr>
    </w:p>
    <w:p>
      <w:pPr>
        <w:ind w:left="660" w:hanging="328"/>
        <w:spacing w:after="0"/>
        <w:tabs>
          <w:tab w:leader="none" w:pos="660" w:val="left"/>
        </w:tabs>
        <w:numPr>
          <w:ilvl w:val="0"/>
          <w:numId w:val="2"/>
        </w:numPr>
        <w:rPr>
          <w:rFonts w:ascii="Arial" w:cs="Arial" w:eastAsia="Arial" w:hAnsi="Arial"/>
          <w:sz w:val="17"/>
          <w:szCs w:val="17"/>
          <w:color w:val="303131"/>
        </w:rPr>
      </w:pPr>
      <w:r>
        <w:rPr>
          <w:rFonts w:ascii="Arial" w:cs="Arial" w:eastAsia="Arial" w:hAnsi="Arial"/>
          <w:sz w:val="17"/>
          <w:szCs w:val="17"/>
          <w:color w:val="303131"/>
        </w:rPr>
        <w:t>Separately, the Company has settled outstanding litigation and made additional patent sales for cash consideration totaling $0.4 million.</w:t>
      </w:r>
    </w:p>
    <w:p>
      <w:pPr>
        <w:spacing w:after="0" w:line="23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303131"/>
        </w:rPr>
        <w:t>“Our strategic focus is to build XpresSpa into a preeminent health and wellness services company, and the monetization of these key non-core assets frees our time and attention for deployment into our core business growth,” said Andrew Perlman, CEO of XpresSpa Group. “We are nearing completion of creating a pure play wellness business, and will continue to work on completing sales of the few remaining non-core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303131"/>
        </w:rPr>
        <w:t>About XpresSpa Group, Inc.</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303131"/>
        </w:rPr>
        <w:t xml:space="preserve">XpresSpa Group, Inc. (Nasdaq:XSPA) is a health and wellness holding company. XpresSpa Group’s core asset, XpresSpa, is the world’s largest airport spa company, with 57 locations in 23 airports globally (as of January 8, 2018), including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Holland, and the United Arab Emirates. XpresSpa Group’s non-core assets include Group Mobile, Infomedia, and intellectual property assets. To learn more about XpresSpa Group, visit: </w:t>
      </w:r>
      <w:r>
        <w:rPr>
          <w:rFonts w:ascii="Arial" w:cs="Arial" w:eastAsia="Arial" w:hAnsi="Arial"/>
          <w:sz w:val="16"/>
          <w:szCs w:val="16"/>
          <w:u w:val="single" w:color="auto"/>
          <w:color w:val="0000FF"/>
        </w:rPr>
        <w:t>www.XpresSpaGroup.com</w:t>
      </w:r>
      <w:r>
        <w:rPr>
          <w:rFonts w:ascii="Arial" w:cs="Arial" w:eastAsia="Arial" w:hAnsi="Arial"/>
          <w:sz w:val="16"/>
          <w:szCs w:val="16"/>
          <w:color w:val="303131"/>
        </w:rPr>
        <w:t xml:space="preserve">. To learn more about XpresSpa, visit </w:t>
      </w:r>
      <w:r>
        <w:rPr>
          <w:rFonts w:ascii="Arial" w:cs="Arial" w:eastAsia="Arial" w:hAnsi="Arial"/>
          <w:sz w:val="16"/>
          <w:szCs w:val="16"/>
          <w:u w:val="single" w:color="auto"/>
          <w:color w:val="0000FF"/>
        </w:rPr>
        <w:t>www.XpresSpa.com</w:t>
      </w:r>
      <w:r>
        <w:rPr>
          <w:rFonts w:ascii="Arial" w:cs="Arial" w:eastAsia="Arial" w:hAnsi="Arial"/>
          <w:sz w:val="16"/>
          <w:szCs w:val="16"/>
          <w:color w:val="303131"/>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03131"/>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303131"/>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the Company’s most recently filed Annual Report on Form 10-K, Quarterly Report on Form 10-Q, recent Current Reports on Form 8-K and other SEC filings. All subsequent written and oral forward-looking statements concerning XpresSpa Group Inc., or other matters attributable to XpresSpa or any person acting on its behalf, are expressly qualified in their entirety by the cautionary statements above. XpresSpa Group Inc.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303131"/>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303131"/>
        </w:rPr>
        <w:t>XpresSpa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03131"/>
        </w:rPr>
        <w:t>Brittany Banion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03131"/>
        </w:rPr>
        <w:t>SHADOW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03131"/>
        </w:rPr>
        <w:t>212-972-0277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bbanion@weareshadow.com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303131"/>
        </w:rPr>
        <w:t>XpresSpa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03131"/>
        </w:rPr>
        <w:t>Jody Burfening/Carolyn Capaccio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03131"/>
        </w:rPr>
        <w:t>LHA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03131"/>
        </w:rPr>
        <w:t>212-838-3777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ccapaccio@lhai.com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00"/>
      </w:cols>
      <w:pgMar w:left="24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2019-12-29T00:33:04Z</dcterms:created>
  <dcterms:modified xsi:type="dcterms:W3CDTF">2019-12-29T00:33:04Z</dcterms:modified>
</cp:coreProperties>
</file>