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26250d1_8k.htm"/>
      <w:bookmarkStart w:id="1" w:name="kstm2526250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9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16,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9_edei--EntityFileNumber_c20250916"/>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D_edei--EntityAddressAddressLine1_"/>
            <w:bookmarkEnd w:id="8"/>
            <w:r>
              <w:rPr>
                <w:b/>
                <w:sz w:val="20"/>
              </w:rPr>
              <w:t>254 West 31</w:t>
            </w:r>
            <w:r>
              <w:rPr>
                <w:b/>
                <w:position w:val="7"/>
                <w:sz w:val="16"/>
                <w:sz w:val="20"/>
              </w:rPr>
              <w:t>st</w:t>
            </w:r>
            <w:r>
              <w:rPr>
                <w:b/>
                <w:sz w:val="20"/>
              </w:rPr>
              <w:t xml:space="preserve"> Street, </w:t>
            </w:r>
            <w:bookmarkStart w:id="9" w:name="xdx_90D_edei--EntityAddressAddressLine2_"/>
            <w:bookmarkEnd w:id="9"/>
            <w:r>
              <w:rPr>
                <w:b/>
                <w:sz w:val="20"/>
              </w:rPr>
              <w:t>11</w:t>
            </w:r>
            <w:r>
              <w:rPr>
                <w:b/>
                <w:position w:val="7"/>
                <w:sz w:val="16"/>
                <w:sz w:val="20"/>
              </w:rPr>
              <w:t xml:space="preserve">th </w:t>
            </w:r>
            <w:r>
              <w:rPr>
                <w:b/>
                <w:sz w:val="20"/>
              </w:rPr>
              <w:t xml:space="preserve">Floor, </w:t>
            </w:r>
            <w:bookmarkStart w:id="10" w:name="xdx_90A_edei--EntityAddressCityOrTown_c2"/>
            <w:bookmarkEnd w:id="10"/>
            <w:r>
              <w:rPr>
                <w:b/>
                <w:sz w:val="20"/>
              </w:rPr>
              <w:t xml:space="preserve">New York, </w:t>
            </w:r>
            <w:bookmarkStart w:id="11" w:name="xdx_905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2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50916__20"/>
      <w:bookmarkEnd w:id="13"/>
      <w:r>
        <w:rPr>
          <w:rFonts w:ascii="Times New Roman;Times;Serif" w:hAnsi="Times New Roman;Times;Serif"/>
          <w:b/>
          <w:i w:val="false"/>
          <w:caps w:val="false"/>
          <w:smallCaps w:val="false"/>
          <w:sz w:val="20"/>
        </w:rPr>
        <w:t xml:space="preserve">212) </w:t>
      </w:r>
      <w:bookmarkStart w:id="14" w:name="xdx_900_edei--LocalPhoneNumber_c20250916"/>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SolicitingMaterial_c202509"/>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C_edei--Security12bTitle_c20250916"/>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2_edei--TradingSymbol_c20250916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9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XWELL,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opened and adjourned its 2025 Annual Meeting of Stockholders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to allow more time for voters to consider and vote on the Company’s proposals as set forth in the Proxy Statement (as defined below), without any business being conducted. The Annual Meeting will be reconvened virtually with respect to all proposals at 10:00 a.m. Eastern Time on Friday, October 10, 2025 (the “</w:t>
      </w:r>
      <w:r>
        <w:rPr>
          <w:rFonts w:ascii="Times New Roman;Times;Serif" w:hAnsi="Times New Roman;Times;Serif"/>
          <w:b/>
          <w:i/>
          <w:caps w:val="false"/>
          <w:smallCaps w:val="false"/>
          <w:sz w:val="20"/>
        </w:rPr>
        <w:t>Reconvened Annual Meeting</w:t>
      </w:r>
      <w:r>
        <w:rPr>
          <w:rFonts w:ascii="Times New Roman;Times;Serif" w:hAnsi="Times New Roman;Times;Serif"/>
          <w:b w:val="false"/>
          <w:i w:val="false"/>
          <w:caps w:val="false"/>
          <w:smallCaps w:val="false"/>
          <w:sz w:val="20"/>
        </w:rPr>
        <w:t>”), at www.virtualshareholdermeeting.com/NAOV2025SM2. The record date for determining shareholders eligible to vote at the Reconvened Annual Meeting remains unchanged as the close of business on July 25, 2025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proxy deadline date for the Reconvened Annual Meeting is 11:59 p.m. Eastern Time on October 9, 2025, for shares held directly. Proxies deposited to date will remain valid for the Reconvened Annual Meeting. Any shareholders who have not already voted can also vote prior to the new proxy deadline date or online at the Reconvened Annual Meeting. Stockholders who have already duly submitted voting instructions for the Annual Meeting do not need to take any further action unless they wish to change or revoke their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August 8, 2025, a Definitive Proxy Statement (as supplemented on August 8, 2025, and August 11, 2025, on Schedule 14A, the “</w:t>
      </w:r>
      <w:r>
        <w:rPr>
          <w:rFonts w:ascii="Times New Roman;Times;Serif" w:hAnsi="Times New Roman;Times;Serif"/>
          <w:b/>
          <w:i/>
          <w:caps w:val="false"/>
          <w:smallCaps w:val="false"/>
          <w:sz w:val="20"/>
        </w:rPr>
        <w:t>Proxy Statement</w:t>
      </w:r>
      <w:r>
        <w:rPr>
          <w:rFonts w:ascii="Times New Roman;Times;Serif" w:hAnsi="Times New Roman;Times;Serif"/>
          <w:b w:val="false"/>
          <w:i w:val="false"/>
          <w:caps w:val="false"/>
          <w:smallCaps w:val="false"/>
          <w:sz w:val="20"/>
        </w:rPr>
        <w:t>”) in connection with the Annual Meeting, and has mailed the Proxy Statement to its stockholders of record as of the Record Date. Investors and security holders of the Company are advised to read the Proxy Statement and any supplements and amendments thereto, because these documents contain important information about the Meeting and the Company. Stockholders will also be able to obtain copies of the Proxy Statement, without charge, as set forth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considered participants in the solicitation of proxies with respect to the Annual Meeting under the rules of the SEC. Information about the directors and executive officers of the Company and a description of their interests in the Company are set forth in the Company’s Annual Report on Form 10-K for the year ended December 31, 2024, which was filed with the SEC on April 15, 2025 (as amended, the “</w:t>
      </w:r>
      <w:r>
        <w:rPr>
          <w:rFonts w:ascii="Times New Roman;Times;Serif" w:hAnsi="Times New Roman;Times;Serif"/>
          <w:b/>
          <w:i/>
          <w:caps w:val="false"/>
          <w:smallCaps w:val="false"/>
          <w:sz w:val="20"/>
        </w:rPr>
        <w:t>Annual Report</w:t>
      </w:r>
      <w:r>
        <w:rPr>
          <w:rFonts w:ascii="Times New Roman;Times;Serif" w:hAnsi="Times New Roman;Times;Serif"/>
          <w:b w:val="false"/>
          <w:i w:val="false"/>
          <w:caps w:val="false"/>
          <w:smallCaps w:val="false"/>
          <w:sz w:val="20"/>
        </w:rPr>
        <w:t>”), and the Proxy Statement, which was filed with the SEC on August 8, 2025. These documents can be obtained free of charge as set forth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Current Report are “forward looking statements” within the meaning of the “safe harbor” provisions of the United States Private Securities Litigation Reform Act of 1995. 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Important factors, among others, that may affect actual results or outcomes include: the inability of the Company to consummate a business combination within the time provided in the Company’s amended and restated memorandum and articles of association; the level of redemptions made by the Company’s shareholders in connection with the Meeting and its impact on the amount of funds available in the Company’s trust account to complete an initial business combination; and those factors discussed in the Annual Report under the heading “Risk Factors,” and other documents of the Company filed, or to be filed, with the SEC. The Company does not undertake any obligation to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2135"/>
        <w:gridCol w:w="545"/>
        <w:gridCol w:w="3095"/>
      </w:tblGrid>
      <w:tr>
        <w:trPr/>
        <w:tc>
          <w:tcPr>
            <w:tcW w:w="213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17, 2025</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5366</Characters>
  <CharactersWithSpaces>6366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