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SECURITIES AND EXCHANGE COMMISSION</w:t>
      </w:r>
    </w:p>
    <w:p>
      <w:pPr>
        <w:spacing w:after="0" w:line="6" w:lineRule="exact"/>
        <w:rPr>
          <w:sz w:val="24"/>
          <w:szCs w:val="24"/>
          <w:color w:val="auto"/>
        </w:rPr>
      </w:pPr>
    </w:p>
    <w:p>
      <w:pPr>
        <w:jc w:val="center"/>
        <w:ind w:right="-11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39" w:lineRule="exact"/>
        <w:rPr>
          <w:sz w:val="24"/>
          <w:szCs w:val="24"/>
          <w:color w:val="auto"/>
        </w:rPr>
      </w:pPr>
    </w:p>
    <w:p>
      <w:pPr>
        <w:ind w:left="5360"/>
        <w:spacing w:after="0"/>
        <w:rPr>
          <w:sz w:val="20"/>
          <w:szCs w:val="20"/>
          <w:color w:val="auto"/>
        </w:rPr>
      </w:pPr>
      <w:r>
        <w:rPr>
          <w:rFonts w:ascii="Arial" w:cs="Arial" w:eastAsia="Arial" w:hAnsi="Arial"/>
          <w:sz w:val="15"/>
          <w:szCs w:val="1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64"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Current Report</w:t>
      </w:r>
    </w:p>
    <w:p>
      <w:pPr>
        <w:spacing w:after="0" w:line="184"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Pursuant to Section 13 or 15(d) of the</w:t>
      </w:r>
    </w:p>
    <w:p>
      <w:pPr>
        <w:spacing w:after="0" w:line="20"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Securities Exchange Act of 1934</w:t>
      </w:r>
    </w:p>
    <w:p>
      <w:pPr>
        <w:spacing w:after="0" w:line="170" w:lineRule="exact"/>
        <w:rPr>
          <w:sz w:val="24"/>
          <w:szCs w:val="24"/>
          <w:color w:val="auto"/>
        </w:rPr>
      </w:pPr>
    </w:p>
    <w:p>
      <w:pPr>
        <w:ind w:left="3180"/>
        <w:spacing w:after="0"/>
        <w:rPr>
          <w:sz w:val="20"/>
          <w:szCs w:val="20"/>
          <w:color w:val="auto"/>
        </w:rPr>
      </w:pPr>
      <w:r>
        <w:rPr>
          <w:rFonts w:ascii="Arial" w:cs="Arial" w:eastAsia="Arial" w:hAnsi="Arial"/>
          <w:sz w:val="15"/>
          <w:szCs w:val="15"/>
          <w:b w:val="1"/>
          <w:bCs w:val="1"/>
          <w:color w:val="auto"/>
        </w:rPr>
        <w:t>Date of Report (Date of earliest event reported): March 14, 2012 (March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72707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39"/>
        <w:spacing w:after="0"/>
        <w:rPr>
          <w:sz w:val="20"/>
          <w:szCs w:val="20"/>
          <w:color w:val="auto"/>
        </w:rPr>
      </w:pPr>
      <w:r>
        <w:rPr>
          <w:rFonts w:ascii="Arial" w:cs="Arial" w:eastAsia="Arial" w:hAnsi="Arial"/>
          <w:sz w:val="18"/>
          <w:szCs w:val="18"/>
          <w:b w:val="1"/>
          <w:bCs w:val="1"/>
          <w:color w:val="auto"/>
        </w:rPr>
        <w:t>VRINGO, INC.</w:t>
      </w:r>
    </w:p>
    <w:p>
      <w:pPr>
        <w:spacing w:after="0" w:line="18" w:lineRule="exact"/>
        <w:rPr>
          <w:sz w:val="24"/>
          <w:szCs w:val="24"/>
          <w:color w:val="auto"/>
        </w:rPr>
      </w:pPr>
    </w:p>
    <w:p>
      <w:pPr>
        <w:ind w:left="400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72707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37" w:lineRule="exact"/>
        <w:rPr>
          <w:sz w:val="24"/>
          <w:szCs w:val="24"/>
          <w:color w:val="auto"/>
        </w:rPr>
      </w:pPr>
    </w:p>
    <w:tbl>
      <w:tblPr>
        <w:tblLayout w:type="fixed"/>
        <w:tblInd w:w="880" w:type="dxa"/>
        <w:tblCellMar>
          <w:top w:w="0" w:type="dxa"/>
          <w:left w:w="0" w:type="dxa"/>
          <w:bottom w:w="0" w:type="dxa"/>
          <w:right w:w="0" w:type="dxa"/>
        </w:tblCellMar>
      </w:tblPr>
      <w:tr>
        <w:trPr>
          <w:trHeight w:val="178"/>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87"/>
              </w:rPr>
              <w:t>Delaware</w:t>
            </w: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9"/>
              </w:rPr>
              <w:t>001-34785</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89"/>
              </w:rPr>
              <w:t>20-4988129</w:t>
            </w:r>
          </w:p>
        </w:tc>
      </w:tr>
      <w:tr>
        <w:trPr>
          <w:trHeight w:val="178"/>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90"/>
              </w:rPr>
              <w:t>(State or other jurisdiction</w:t>
            </w: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8"/>
              </w:rPr>
              <w:t>(Commission</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93"/>
              </w:rPr>
              <w:t>(I.R.S. Employer</w:t>
            </w:r>
          </w:p>
        </w:tc>
      </w:tr>
      <w:tr>
        <w:trPr>
          <w:trHeight w:val="192"/>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91"/>
              </w:rPr>
              <w:t>of incorporation)</w:t>
            </w:r>
          </w:p>
        </w:tc>
        <w:tc>
          <w:tcPr>
            <w:tcW w:w="5420" w:type="dxa"/>
            <w:vAlign w:val="bottom"/>
          </w:tcPr>
          <w:p>
            <w:pPr>
              <w:jc w:val="center"/>
              <w:ind w:right="6"/>
              <w:spacing w:after="0"/>
              <w:rPr>
                <w:sz w:val="20"/>
                <w:szCs w:val="20"/>
                <w:color w:val="auto"/>
              </w:rPr>
            </w:pPr>
            <w:r>
              <w:rPr>
                <w:rFonts w:ascii="Arial" w:cs="Arial" w:eastAsia="Arial" w:hAnsi="Arial"/>
                <w:sz w:val="15"/>
                <w:szCs w:val="15"/>
                <w:b w:val="1"/>
                <w:bCs w:val="1"/>
                <w:color w:val="auto"/>
                <w:w w:val="93"/>
              </w:rPr>
              <w:t>File Number)</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91"/>
              </w:rPr>
              <w:t>Identification No.)</w:t>
            </w:r>
          </w:p>
        </w:tc>
      </w:tr>
      <w:tr>
        <w:trPr>
          <w:trHeight w:val="342"/>
        </w:trPr>
        <w:tc>
          <w:tcPr>
            <w:tcW w:w="2200" w:type="dxa"/>
            <w:vAlign w:val="bottom"/>
          </w:tcPr>
          <w:p>
            <w:pPr>
              <w:spacing w:after="0"/>
              <w:rPr>
                <w:sz w:val="24"/>
                <w:szCs w:val="24"/>
                <w:color w:val="auto"/>
              </w:rPr>
            </w:pPr>
          </w:p>
        </w:tc>
        <w:tc>
          <w:tcPr>
            <w:tcW w:w="5420" w:type="dxa"/>
            <w:vAlign w:val="bottom"/>
          </w:tcPr>
          <w:p>
            <w:pPr>
              <w:jc w:val="center"/>
              <w:ind w:right="46"/>
              <w:spacing w:after="0"/>
              <w:rPr>
                <w:sz w:val="20"/>
                <w:szCs w:val="20"/>
                <w:color w:val="auto"/>
              </w:rPr>
            </w:pPr>
            <w:r>
              <w:rPr>
                <w:rFonts w:ascii="Arial" w:cs="Arial" w:eastAsia="Arial" w:hAnsi="Arial"/>
                <w:sz w:val="15"/>
                <w:szCs w:val="15"/>
                <w:b w:val="1"/>
                <w:bCs w:val="1"/>
                <w:color w:val="auto"/>
                <w:w w:val="90"/>
              </w:rPr>
              <w:t>44 W. 28th Street</w:t>
            </w:r>
          </w:p>
        </w:tc>
        <w:tc>
          <w:tcPr>
            <w:tcW w:w="1820" w:type="dxa"/>
            <w:vAlign w:val="bottom"/>
          </w:tcPr>
          <w:p>
            <w:pPr>
              <w:spacing w:after="0"/>
              <w:rPr>
                <w:sz w:val="24"/>
                <w:szCs w:val="24"/>
                <w:color w:val="auto"/>
              </w:rPr>
            </w:pPr>
          </w:p>
        </w:tc>
      </w:tr>
      <w:tr>
        <w:trPr>
          <w:trHeight w:val="178"/>
        </w:trPr>
        <w:tc>
          <w:tcPr>
            <w:tcW w:w="2200" w:type="dxa"/>
            <w:vAlign w:val="bottom"/>
          </w:tcPr>
          <w:p>
            <w:pPr>
              <w:spacing w:after="0"/>
              <w:rPr>
                <w:sz w:val="15"/>
                <w:szCs w:val="15"/>
                <w:color w:val="auto"/>
              </w:rPr>
            </w:pPr>
          </w:p>
        </w:tc>
        <w:tc>
          <w:tcPr>
            <w:tcW w:w="5420" w:type="dxa"/>
            <w:vAlign w:val="bottom"/>
          </w:tcPr>
          <w:p>
            <w:pPr>
              <w:jc w:val="center"/>
              <w:ind w:right="46"/>
              <w:spacing w:after="0"/>
              <w:rPr>
                <w:sz w:val="20"/>
                <w:szCs w:val="20"/>
                <w:color w:val="auto"/>
              </w:rPr>
            </w:pPr>
            <w:r>
              <w:rPr>
                <w:rFonts w:ascii="Arial" w:cs="Arial" w:eastAsia="Arial" w:hAnsi="Arial"/>
                <w:sz w:val="15"/>
                <w:szCs w:val="15"/>
                <w:b w:val="1"/>
                <w:bCs w:val="1"/>
                <w:color w:val="auto"/>
                <w:w w:val="91"/>
              </w:rPr>
              <w:t>New York, New York 10001</w:t>
            </w:r>
          </w:p>
        </w:tc>
        <w:tc>
          <w:tcPr>
            <w:tcW w:w="1820" w:type="dxa"/>
            <w:vAlign w:val="bottom"/>
          </w:tcPr>
          <w:p>
            <w:pPr>
              <w:spacing w:after="0"/>
              <w:rPr>
                <w:sz w:val="15"/>
                <w:szCs w:val="15"/>
                <w:color w:val="auto"/>
              </w:rPr>
            </w:pPr>
          </w:p>
        </w:tc>
      </w:tr>
      <w:tr>
        <w:trPr>
          <w:trHeight w:val="192"/>
        </w:trPr>
        <w:tc>
          <w:tcPr>
            <w:tcW w:w="2200" w:type="dxa"/>
            <w:vAlign w:val="bottom"/>
          </w:tcPr>
          <w:p>
            <w:pPr>
              <w:spacing w:after="0"/>
              <w:rPr>
                <w:sz w:val="16"/>
                <w:szCs w:val="16"/>
                <w:color w:val="auto"/>
              </w:rPr>
            </w:pP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9"/>
              </w:rPr>
              <w:t>(Address of Principal Executive Offices and Zip Code)</w:t>
            </w:r>
          </w:p>
        </w:tc>
        <w:tc>
          <w:tcPr>
            <w:tcW w:w="1820" w:type="dxa"/>
            <w:vAlign w:val="bottom"/>
          </w:tcPr>
          <w:p>
            <w:pPr>
              <w:spacing w:after="0"/>
              <w:rPr>
                <w:sz w:val="16"/>
                <w:szCs w:val="16"/>
                <w:color w:val="auto"/>
              </w:rPr>
            </w:pPr>
          </w:p>
        </w:tc>
      </w:tr>
      <w:tr>
        <w:trPr>
          <w:trHeight w:val="356"/>
        </w:trPr>
        <w:tc>
          <w:tcPr>
            <w:tcW w:w="2200" w:type="dxa"/>
            <w:vAlign w:val="bottom"/>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5"/>
                <w:szCs w:val="15"/>
                <w:b w:val="1"/>
                <w:bCs w:val="1"/>
                <w:color w:val="auto"/>
              </w:rPr>
              <w:t>Registrant’s telephone number, including area code: (646) 525-4319</w:t>
            </w:r>
          </w:p>
        </w:tc>
        <w:tc>
          <w:tcPr>
            <w:tcW w:w="1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72707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540" w:hanging="53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84" w:lineRule="exact"/>
        <w:rPr>
          <w:sz w:val="24"/>
          <w:szCs w:val="24"/>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83" w:lineRule="exact"/>
        <w:rPr>
          <w:rFonts w:ascii="MS PGothic" w:cs="MS PGothic" w:eastAsia="MS PGothic" w:hAnsi="MS PGothic"/>
          <w:sz w:val="15"/>
          <w:szCs w:val="15"/>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83" w:lineRule="exact"/>
        <w:rPr>
          <w:rFonts w:ascii="MS PGothic" w:cs="MS PGothic" w:eastAsia="MS PGothic" w:hAnsi="MS PGothic"/>
          <w:sz w:val="15"/>
          <w:szCs w:val="15"/>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20"/>
          </w:cols>
          <w:pgMar w:left="220" w:top="392" w:right="13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 Entry Into a Material Definitive Agreement</w:t>
      </w:r>
      <w:r>
        <w:rPr>
          <w:rFonts w:ascii="Arial" w:cs="Arial" w:eastAsia="Arial" w:hAnsi="Arial"/>
          <w:sz w:val="15"/>
          <w:szCs w:val="15"/>
          <w:color w:val="auto"/>
        </w:rPr>
        <w:t>.</w:t>
      </w:r>
    </w:p>
    <w:p>
      <w:pPr>
        <w:spacing w:after="0" w:line="188" w:lineRule="exact"/>
        <w:rPr>
          <w:sz w:val="20"/>
          <w:szCs w:val="20"/>
          <w:color w:val="auto"/>
        </w:rPr>
      </w:pPr>
    </w:p>
    <w:p>
      <w:pPr>
        <w:ind w:firstLine="535"/>
        <w:spacing w:after="0" w:line="255" w:lineRule="auto"/>
        <w:rPr>
          <w:sz w:val="20"/>
          <w:szCs w:val="20"/>
          <w:color w:val="auto"/>
        </w:rPr>
      </w:pPr>
      <w:r>
        <w:rPr>
          <w:rFonts w:ascii="Arial" w:cs="Arial" w:eastAsia="Arial" w:hAnsi="Arial"/>
          <w:sz w:val="15"/>
          <w:szCs w:val="15"/>
          <w:color w:val="auto"/>
        </w:rPr>
        <w:t>On March 12, 2012, Vringo, Inc., a Delaware corporation (“Vringo”), entered into an Agreement and Plan of Merger (the “Merger Agreement”) with VIP Merger Sub, Inc., a Delaware corporation and wholly-owned subsidiary of Vringo (“Merger Sub”), and Innovate/Protect, Inc., a Delaware corporation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58" w:lineRule="exact"/>
        <w:rPr>
          <w:sz w:val="20"/>
          <w:szCs w:val="20"/>
          <w:color w:val="auto"/>
        </w:rPr>
      </w:pPr>
    </w:p>
    <w:p>
      <w:pPr>
        <w:ind w:right="20" w:firstLine="535"/>
        <w:spacing w:after="0" w:line="269" w:lineRule="auto"/>
        <w:rPr>
          <w:sz w:val="20"/>
          <w:szCs w:val="20"/>
          <w:color w:val="auto"/>
        </w:rPr>
      </w:pPr>
      <w:r>
        <w:rPr>
          <w:rFonts w:ascii="Arial" w:cs="Arial" w:eastAsia="Arial" w:hAnsi="Arial"/>
          <w:sz w:val="14"/>
          <w:szCs w:val="14"/>
          <w:color w:val="auto"/>
        </w:rPr>
        <w:t xml:space="preserve">Upon completion of the Merger, (i) each share of then-outstanding common stock of Innovate/Protect, par value $0.0001 per share (“Innovate/Protect Common Stock”) (other than shares held by Vringo, Innovate/Protect or any of their respective subsidiaries, which will be cancelled at the completion of the Merger) will be automatically converted into the right to receive the number of shares of Vringo common stock, par value $0.01 per share (“Vringo Common Stock”) equal to the Common Stock Exchange Ratio (as defined below) and (ii) each share of then-outstanding Series A Convertible Preferred Stock of Innovate/Protect, par value $0.0001 per share (total 6,968 shares outstanding) (“Innovate/Protect Series A Stock” and together with the Innovate/Protect Common Stock, “Innovate/Protect Capital Stock”) (other than shares held by Vringo, Innovate/Protect or any of their respective subsidiaries, which will be cancelled at the completion of the Merger) will be automatically converted into the right to receive the same number of shares of Vringo Series A Convertible Preferred Stock (“Vringo Preferred Stock”), which 6,968 shares shall be convertible into an aggregate of 21,026,637 shares of Vringo Common Stock. The Common Stock Exchange Ratio initially is 3.0176, subject to adjustment as set forth in the Merger Agreement. In addition, at the effective time of the Merger, Vringo will issue to the holders of Innovate/Protect Capital Stock and the holder of Innovate/Protect’s issued and outstanding warrant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as-converted basis) an aggregate of 15,959,838 warrants to purchase an aggregate of 15,959,838 shares of Vringo Common Stock with an exercise price of $1.76 per share. The issued and outstanding warrant to purchase Innovate/Protect Common Stock shall be exchanged for 250,000 shares of Vringo common stock and 850,000 warrants to purchase 850,000 shares of Vringo Common Stock with an exercise price of $1.76 per share.</w:t>
      </w:r>
    </w:p>
    <w:p>
      <w:pPr>
        <w:spacing w:after="0" w:line="154" w:lineRule="exact"/>
        <w:rPr>
          <w:sz w:val="20"/>
          <w:szCs w:val="20"/>
          <w:color w:val="auto"/>
        </w:rPr>
      </w:pPr>
    </w:p>
    <w:p>
      <w:pPr>
        <w:ind w:right="40" w:firstLine="535"/>
        <w:spacing w:after="0" w:line="268" w:lineRule="auto"/>
        <w:rPr>
          <w:sz w:val="20"/>
          <w:szCs w:val="20"/>
          <w:color w:val="auto"/>
        </w:rPr>
      </w:pPr>
      <w:r>
        <w:rPr>
          <w:rFonts w:ascii="Arial" w:cs="Arial" w:eastAsia="Arial" w:hAnsi="Arial"/>
          <w:sz w:val="14"/>
          <w:szCs w:val="14"/>
          <w:color w:val="auto"/>
        </w:rPr>
        <w:t>The Vringo Preferred Stock will have the powers, designations, preferences and other rights as will be set forth in a Certificate of Designations, Preferences and Rights of Series A Convertible Preferred Stock to be filed by Vringo prior to closing, which rights include, among other things, a liquidation preference of $6,968,000 and the right to participate in any dividends and distributions paid to common stockholders on an as-converted basis. The Vringo Preferred Stock will be non-voting. Vringo may not create a class of capital stock senior or pari passu to the Vringo Preferred Stock. The Vringo Preferred Stock shall be convertible into an aggregate of 21,026,637 shares of Vringo Common Stock (subject to a provision that restricts conversion in the event the holder will acquire more than 9.99% of Vringo Common Stock after such conversion but shall be non-voting, except as required by law and in certain defined instances, including a change of control. In addition, except for certain excluded issuances, the Vringo Preferred Stock will be adjusted for issuances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The holder of the Vringo Preferred Stock shall be indemnified against losses due to a buy-in following a conversion failure and Vringo shall pay the holders of the Vringo Preferred Stock a penalty of one-quarter of one percent (0.25%) for each full 15 day period during which Vringo's Common Stock is suspended from trading or if the Vringo Common Stock is delisted.</w:t>
      </w:r>
    </w:p>
    <w:p>
      <w:pPr>
        <w:spacing w:after="0" w:line="156" w:lineRule="exact"/>
        <w:rPr>
          <w:sz w:val="20"/>
          <w:szCs w:val="20"/>
          <w:color w:val="auto"/>
        </w:rPr>
      </w:pPr>
    </w:p>
    <w:p>
      <w:pPr>
        <w:ind w:right="420" w:firstLine="535"/>
        <w:spacing w:after="0" w:line="258" w:lineRule="auto"/>
        <w:rPr>
          <w:sz w:val="20"/>
          <w:szCs w:val="20"/>
          <w:color w:val="auto"/>
        </w:rPr>
      </w:pPr>
      <w:r>
        <w:rPr>
          <w:rFonts w:ascii="Arial" w:cs="Arial" w:eastAsia="Arial" w:hAnsi="Arial"/>
          <w:sz w:val="15"/>
          <w:szCs w:val="15"/>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157" w:lineRule="exact"/>
        <w:rPr>
          <w:sz w:val="20"/>
          <w:szCs w:val="20"/>
          <w:color w:val="auto"/>
        </w:rPr>
      </w:pPr>
    </w:p>
    <w:p>
      <w:pPr>
        <w:ind w:right="40" w:firstLine="535"/>
        <w:spacing w:after="0" w:line="253"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(each a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160" w:lineRule="exact"/>
        <w:rPr>
          <w:sz w:val="20"/>
          <w:szCs w:val="20"/>
          <w:color w:val="auto"/>
        </w:rPr>
      </w:pPr>
    </w:p>
    <w:p>
      <w:pPr>
        <w:ind w:right="20" w:firstLine="535"/>
        <w:spacing w:after="0" w:line="255" w:lineRule="auto"/>
        <w:rPr>
          <w:sz w:val="20"/>
          <w:szCs w:val="20"/>
          <w:color w:val="auto"/>
        </w:rPr>
      </w:pPr>
      <w:r>
        <w:rPr>
          <w:rFonts w:ascii="Arial" w:cs="Arial" w:eastAsia="Arial" w:hAnsi="Arial"/>
          <w:sz w:val="15"/>
          <w:szCs w:val="15"/>
          <w:color w:val="auto"/>
        </w:rPr>
        <w:t>Immediately following the completion of the Merger, the former stockholders of Innovate/Protect are expected to own approximately 55.41% of the outstanding common stock of the combined company and the current stockholders of Vringo are expected to own approximately 44.59%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707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2" w:name="page3"/>
    <w:bookmarkEnd w:id="2"/>
    <w:p>
      <w:pPr>
        <w:jc w:val="both"/>
        <w:ind w:right="60" w:firstLine="535"/>
        <w:spacing w:after="0" w:line="291" w:lineRule="auto"/>
        <w:rPr>
          <w:sz w:val="20"/>
          <w:szCs w:val="20"/>
          <w:color w:val="auto"/>
        </w:rPr>
      </w:pPr>
      <w:r>
        <w:rPr>
          <w:rFonts w:ascii="Arial" w:cs="Arial" w:eastAsia="Arial" w:hAnsi="Arial"/>
          <w:sz w:val="13"/>
          <w:szCs w:val="13"/>
          <w:color w:val="auto"/>
        </w:rPr>
        <w:t>The Merger Agreement contains customary representations and warranties of each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w:t>
      </w:r>
    </w:p>
    <w:p>
      <w:pPr>
        <w:spacing w:after="0" w:line="1" w:lineRule="exact"/>
        <w:rPr>
          <w:sz w:val="20"/>
          <w:szCs w:val="20"/>
          <w:color w:val="auto"/>
        </w:rPr>
      </w:pPr>
    </w:p>
    <w:p>
      <w:pPr>
        <w:ind w:right="40" w:firstLine="9"/>
        <w:spacing w:after="0" w:line="332" w:lineRule="auto"/>
        <w:tabs>
          <w:tab w:leader="none" w:pos="21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111" w:lineRule="exact"/>
        <w:rPr>
          <w:sz w:val="20"/>
          <w:szCs w:val="20"/>
          <w:color w:val="auto"/>
        </w:rPr>
      </w:pPr>
    </w:p>
    <w:p>
      <w:pPr>
        <w:ind w:firstLine="535"/>
        <w:spacing w:after="0" w:line="289" w:lineRule="auto"/>
        <w:rPr>
          <w:sz w:val="20"/>
          <w:szCs w:val="20"/>
          <w:color w:val="auto"/>
        </w:rPr>
      </w:pPr>
      <w:r>
        <w:rPr>
          <w:rFonts w:ascii="Arial" w:cs="Arial" w:eastAsia="Arial" w:hAnsi="Arial"/>
          <w:sz w:val="13"/>
          <w:szCs w:val="13"/>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 “Company Acquisition Proposal” means, in summary any offer, proposal, discussions, negotiations by any person in a transaction or series of related transactions relating to issuance, sale or other disposition of securities representing 20% or more of the voting power or economic interests of Innovate/Protect or its subsidiaries. “Parent Acquisition Proposal” means any offer, proposal, discussions, negotiations by any person in a transaction or series of related transactions relating to issuance, sale or other disposition of securities representing 20% or more of the voting power or economic interests of Vringo or its subsidiaries. Notwithstanding the foregoing, in the event that either Innovate/Protect or Vringo receives an Innovate/Protect Acquisition Proposal or a Vringo Acquisition Proposal, the board of directors of each company may under certain circumstances change its recommendation for approval of the Merger if, after reviewing with outside counsel, either board determines that such Innovate/Protect Acquisition Proposal or Vringo Acquisition Proposal, as the case may be, is a superior proposal or an event, development or change in circumstances that occurs or arises following the date of the Merger Agreement, and/or the failure to effect a board recommendation change would be inconsistent with such company’s board of directors’ fiduciary duties to its stockholders.</w:t>
      </w:r>
    </w:p>
    <w:p>
      <w:pPr>
        <w:spacing w:after="0" w:line="322" w:lineRule="exact"/>
        <w:rPr>
          <w:sz w:val="20"/>
          <w:szCs w:val="20"/>
          <w:color w:val="auto"/>
        </w:rPr>
      </w:pPr>
    </w:p>
    <w:p>
      <w:pPr>
        <w:ind w:firstLine="535"/>
        <w:spacing w:after="0" w:line="271" w:lineRule="auto"/>
        <w:rPr>
          <w:sz w:val="20"/>
          <w:szCs w:val="20"/>
          <w:color w:val="auto"/>
        </w:rPr>
      </w:pPr>
      <w:r>
        <w:rPr>
          <w:rFonts w:ascii="Arial" w:cs="Arial" w:eastAsia="Arial" w:hAnsi="Arial"/>
          <w:sz w:val="14"/>
          <w:szCs w:val="14"/>
          <w:color w:val="auto"/>
        </w:rPr>
        <w:t>The Merger Agreement contains certain other agreements of the parties including, among other things, that (a) Vringo will prepare and file with the Securities and Exchange Commission (“SEC”) a registration statement (the “Registration Statement”) containing a proxy statement (the “Proxy Statement”) for the vote of the Vringo stockholders to approve the Merger; (b) Vringo will take all action necessary to hold a special meeting of its stockholders to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Vringo will use its reasonable best efforts to cause the shares of Vringo Common Stock to be issued pursuant to the Merger to be approved for listing on the NYSE Amex; (g) each party will continue to indemnify its own present and former directors and officers; (h) the parties will take all action to appoint certain individuals to serve on the board of directors of Vringo and as officers of Vringo; and (i) Innovate/Protect will use is commercially reasonable efforts to receive all necessary consents required to disclose to Vringo the terms and conditions of certain agreements.</w:t>
      </w:r>
    </w:p>
    <w:p>
      <w:pPr>
        <w:spacing w:after="0" w:line="150" w:lineRule="exact"/>
        <w:rPr>
          <w:sz w:val="20"/>
          <w:szCs w:val="20"/>
          <w:color w:val="auto"/>
        </w:rPr>
      </w:pPr>
    </w:p>
    <w:p>
      <w:pPr>
        <w:ind w:right="60" w:firstLine="535"/>
        <w:spacing w:after="0" w:line="290" w:lineRule="auto"/>
        <w:rPr>
          <w:sz w:val="20"/>
          <w:szCs w:val="20"/>
          <w:color w:val="auto"/>
        </w:rPr>
      </w:pPr>
      <w:r>
        <w:rPr>
          <w:rFonts w:ascii="Arial" w:cs="Arial" w:eastAsia="Arial" w:hAnsi="Arial"/>
          <w:sz w:val="13"/>
          <w:szCs w:val="13"/>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w:t>
      </w:r>
    </w:p>
    <w:p>
      <w:pPr>
        <w:ind w:right="280" w:firstLine="9"/>
        <w:spacing w:after="0" w:line="270" w:lineRule="auto"/>
        <w:tabs>
          <w:tab w:leader="none" w:pos="18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other party shall have performed or complied in all material respects with all agreements and covenants under the Merger Agreement; (g) the receipt of all necessary consents or approvals, including the approval of Innovate/Protect’s majority stockholder, Hudson Bay Master Fund Ltd. (which is also the holder (i) of a warrant to purchase 250,000 shares of Innovate/Protect Common Stock and (ii) a secured promissory note from Innovate/Protect in the original principal amount of $3,200,000); (h) the absence of a Material Adverse Effect (as defined in the Merger Agreement); (i) Vringo shall have received written resignations from all of the directors and officers of Innovate/Protect and its subsidiaries and (j)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72707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3" w:name="page4"/>
    <w:bookmarkEnd w:id="3"/>
    <w:p>
      <w:pPr>
        <w:ind w:firstLine="535"/>
        <w:spacing w:after="0" w:line="253" w:lineRule="auto"/>
        <w:rPr>
          <w:sz w:val="20"/>
          <w:szCs w:val="20"/>
          <w:color w:val="auto"/>
        </w:rPr>
      </w:pPr>
      <w:r>
        <w:rPr>
          <w:rFonts w:ascii="Arial" w:cs="Arial" w:eastAsia="Arial" w:hAnsi="Arial"/>
          <w:sz w:val="15"/>
          <w:szCs w:val="15"/>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The completion of the Merger will occur at the time that the parties file a certificate of merger with the Secretary of State of the State of Delaware on the closing date or on such later date as Vringo, Merger Sub and Innovate/Protect mutually agree (and set forth in the certificate of merger). Since the completion of the Merger is subject to the satisfaction of other conditions, Vringo and Innovate/Protect cannot predict the exact time at which the Merger will become effective.</w:t>
      </w:r>
    </w:p>
    <w:p>
      <w:pPr>
        <w:spacing w:after="0" w:line="160" w:lineRule="exact"/>
        <w:rPr>
          <w:sz w:val="20"/>
          <w:szCs w:val="20"/>
          <w:color w:val="auto"/>
        </w:rPr>
      </w:pPr>
    </w:p>
    <w:p>
      <w:pPr>
        <w:ind w:firstLine="535"/>
        <w:spacing w:after="0" w:line="290" w:lineRule="auto"/>
        <w:rPr>
          <w:sz w:val="20"/>
          <w:szCs w:val="20"/>
          <w:color w:val="auto"/>
        </w:rPr>
      </w:pPr>
      <w:r>
        <w:rPr>
          <w:rFonts w:ascii="Arial" w:cs="Arial" w:eastAsia="Arial" w:hAnsi="Arial"/>
          <w:sz w:val="13"/>
          <w:szCs w:val="13"/>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Innovate/Protect’s board of directors changes its recommendation for approval of the Merger,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changes their recommendation for approval of the Merger,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 superior proposal; or (i) by Innovate/Protect, at any time, upon payment to Vringo of a fee equal to $5,000,000.</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Under certain circumstances, if the merger is terminated by either Vringo or Innovate/Protect, then Innovate/Protect shall pay to Vringo, a fee in cash equal to $5,000,000.</w:t>
      </w:r>
    </w:p>
    <w:p>
      <w:pPr>
        <w:spacing w:after="0" w:line="195" w:lineRule="exact"/>
        <w:rPr>
          <w:sz w:val="20"/>
          <w:szCs w:val="20"/>
          <w:color w:val="auto"/>
        </w:rPr>
      </w:pPr>
    </w:p>
    <w:p>
      <w:pPr>
        <w:jc w:val="both"/>
        <w:ind w:right="120" w:firstLine="535"/>
        <w:spacing w:after="0" w:line="258" w:lineRule="auto"/>
        <w:rPr>
          <w:sz w:val="20"/>
          <w:szCs w:val="20"/>
          <w:color w:val="auto"/>
        </w:rPr>
      </w:pPr>
      <w:r>
        <w:rPr>
          <w:rFonts w:ascii="Arial" w:cs="Arial" w:eastAsia="Arial" w:hAnsi="Arial"/>
          <w:sz w:val="15"/>
          <w:szCs w:val="15"/>
          <w:color w:val="auto"/>
        </w:rPr>
        <w:t>Under certain circumstances, if the merger is terminated by either Vringo or Innovate/Protect in connection with or due to Vringo entering into an alternate transaction constituting a superior offer, then Vringo shall pay to Innovate/Protect, a fee equal to 5% of the consideration paid to all security holders of Vringo in connection with the superior proposal in the same form as such consideration is paid to such security holders.</w:t>
      </w:r>
    </w:p>
    <w:p>
      <w:pPr>
        <w:spacing w:after="0" w:line="157" w:lineRule="exact"/>
        <w:rPr>
          <w:sz w:val="20"/>
          <w:szCs w:val="20"/>
          <w:color w:val="auto"/>
        </w:rPr>
      </w:pPr>
    </w:p>
    <w:p>
      <w:pPr>
        <w:jc w:val="both"/>
        <w:ind w:right="80" w:firstLine="535"/>
        <w:spacing w:after="0" w:line="258" w:lineRule="auto"/>
        <w:rPr>
          <w:sz w:val="20"/>
          <w:szCs w:val="20"/>
          <w:color w:val="auto"/>
        </w:rPr>
      </w:pPr>
      <w:r>
        <w:rPr>
          <w:rFonts w:ascii="Arial" w:cs="Arial" w:eastAsia="Arial" w:hAnsi="Arial"/>
          <w:sz w:val="15"/>
          <w:szCs w:val="15"/>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Innovate/Protect can be found on its website at www.innovateprotect.com.</w:t>
      </w:r>
    </w:p>
    <w:p>
      <w:pPr>
        <w:spacing w:after="0" w:line="157" w:lineRule="exact"/>
        <w:rPr>
          <w:sz w:val="20"/>
          <w:szCs w:val="20"/>
          <w:color w:val="auto"/>
        </w:rPr>
      </w:pPr>
    </w:p>
    <w:p>
      <w:pPr>
        <w:ind w:firstLine="535"/>
        <w:spacing w:after="0" w:line="293" w:lineRule="auto"/>
        <w:rPr>
          <w:sz w:val="20"/>
          <w:szCs w:val="20"/>
          <w:color w:val="auto"/>
        </w:rPr>
      </w:pPr>
      <w:r>
        <w:rPr>
          <w:rFonts w:ascii="Arial" w:cs="Arial" w:eastAsia="Arial" w:hAnsi="Arial"/>
          <w:sz w:val="13"/>
          <w:szCs w:val="13"/>
          <w:color w:val="auto"/>
        </w:rPr>
        <w:t>The Merger Agreement and the above description thereof have been included to provide investors and security holders with information regarding the terms of the agreement. They are not intended to provide any other factual information about Vringo, Innovate/Protect or their respective subsidiaries or affiliates or stockholders.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Vringo, Innovate/Protect or any of their respective subsidiaries, affiliates, businesses, or stockholders. Moreover, information concerning the subject matter of the representations, warranties and covenants may change after the date of the Merger Agreement, which subsequent information may or may not be fully reflected in public disclosures by Vringo or Innovate/Protect. Accordingly, investors should read the representations and warranties in the Merger Agreement not in isolation but only in conjunction with the other information about Vringo or Innovate/Protect and their respective subsidiaries that Vringo includes in reports, statements and other filings it makes with the SEC.</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March 14, 2012, Vringo announced certain of its estimated unaudited financial results for the full year ended December 31, 2011, a copy of which is attached hereto as Exhibit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99.4. Such estimated results are preliminary as Vringo has not completed all of the procedures that it would normally conduct in connection with the year-end compilation of its financial results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and Vringo’s independent auditors have not completed their normal audit procedures for the year ended December 31, 2011. There can be no assurance that Vringo's final results for this period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will not differ from these estimates. These estimates should not be viewed as a substitute for full year-end financial statements prepared in accordance with accounting principles generally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343535</wp:posOffset>
            </wp:positionV>
            <wp:extent cx="72707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 w:name="page5"/>
    <w:bookmarkEnd w:id="4"/>
    <w:p>
      <w:pPr>
        <w:ind w:firstLine="535"/>
        <w:spacing w:after="0" w:line="258" w:lineRule="auto"/>
        <w:rPr>
          <w:sz w:val="20"/>
          <w:szCs w:val="20"/>
          <w:color w:val="auto"/>
        </w:rPr>
      </w:pPr>
      <w:r>
        <w:rPr>
          <w:rFonts w:ascii="Arial" w:cs="Arial" w:eastAsia="Arial" w:hAnsi="Arial"/>
          <w:sz w:val="15"/>
          <w:szCs w:val="15"/>
          <w:color w:val="auto"/>
        </w:rPr>
        <w:t>The information in Exhibit 99.4 is furnished pursuant to Item 2.02 and shall not be deemed to be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100" w:firstLine="9"/>
        <w:spacing w:after="0" w:line="272" w:lineRule="auto"/>
        <w:tabs>
          <w:tab w:leader="none" w:pos="653"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Jonathan Medved resigned from his position as Chief Executive Officer and a director of Vringo effective March 8, 2012. In connection with his resignation, Mr. Medved and Vringo (Israel) Ltd. entered into a Separation Letter Agreement (the “Separation Agreement”) effective March 8, 2012. Under the terms of the Separation Agreement, and consistent with Mr. Medved’s employment agreement and amendment thereto, Mr. Medved will be entitled to receive salary and benefits until February 6, 2013, and continue to vest stock options after his termination. In addition, options granted to Mr. Medved at $0.01 will fully vest as of June 21, 2012 and the expiration date for exercising all options vested on or before June 21, 2013 is extended to September 21, 2013. Furthermore, Vringo’s Board of Directors granted Mr. Medved an additional 100,000 options at an exercise price of $1.72 per share.</w:t>
      </w:r>
    </w:p>
    <w:p>
      <w:pPr>
        <w:spacing w:after="0" w:line="138" w:lineRule="exact"/>
        <w:rPr>
          <w:sz w:val="20"/>
          <w:szCs w:val="20"/>
          <w:color w:val="auto"/>
        </w:rPr>
      </w:pPr>
    </w:p>
    <w:p>
      <w:pPr>
        <w:ind w:right="40" w:firstLine="535"/>
        <w:spacing w:after="0" w:line="269" w:lineRule="auto"/>
        <w:rPr>
          <w:sz w:val="20"/>
          <w:szCs w:val="20"/>
          <w:color w:val="auto"/>
        </w:rPr>
      </w:pPr>
      <w:r>
        <w:rPr>
          <w:rFonts w:ascii="Arial" w:cs="Arial" w:eastAsia="Arial" w:hAnsi="Arial"/>
          <w:sz w:val="15"/>
          <w:szCs w:val="15"/>
          <w:color w:val="auto"/>
        </w:rPr>
        <w:t>The foregoing description of the terms of the Separation Agreement does not purport to be complete and is qualified in its entirety by reference to the Separation Agreement, a copy of which is attached to this Report as Exhibit 99.5 and is incorporated by reference to this Report.</w:t>
      </w:r>
    </w:p>
    <w:p>
      <w:pPr>
        <w:spacing w:after="0" w:line="148" w:lineRule="exact"/>
        <w:rPr>
          <w:sz w:val="20"/>
          <w:szCs w:val="20"/>
          <w:color w:val="auto"/>
        </w:rPr>
      </w:pPr>
    </w:p>
    <w:p>
      <w:pPr>
        <w:ind w:right="120" w:firstLine="9"/>
        <w:spacing w:after="0" w:line="306"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March 11, 2012, the Board of Directors promoted Andrew D. Perlman to the position of Vringo’s Chief Executive Officer, effective March 11, 2012, to fill the vacancy created by the resignation of Jonathan Medved. Mr. Perlman will continue to serve as the President and a director of Vringo. Mr. Perlman’s biographical information is set forth below.</w:t>
      </w:r>
    </w:p>
    <w:p>
      <w:pPr>
        <w:spacing w:after="0" w:line="124" w:lineRule="exact"/>
        <w:rPr>
          <w:sz w:val="20"/>
          <w:szCs w:val="20"/>
          <w:color w:val="auto"/>
        </w:rPr>
      </w:pPr>
    </w:p>
    <w:p>
      <w:pPr>
        <w:jc w:val="both"/>
        <w:ind w:right="60" w:firstLine="535"/>
        <w:spacing w:after="0" w:line="291" w:lineRule="auto"/>
        <w:rPr>
          <w:sz w:val="20"/>
          <w:szCs w:val="20"/>
          <w:color w:val="auto"/>
        </w:rPr>
      </w:pPr>
      <w:r>
        <w:rPr>
          <w:rFonts w:ascii="Arial" w:cs="Arial" w:eastAsia="Arial" w:hAnsi="Arial"/>
          <w:sz w:val="13"/>
          <w:szCs w:val="13"/>
          <w:b w:val="1"/>
          <w:bCs w:val="1"/>
          <w:i w:val="1"/>
          <w:iCs w:val="1"/>
          <w:color w:val="auto"/>
        </w:rPr>
        <w:t>Andrew D. Perlman</w:t>
      </w:r>
      <w:r>
        <w:rPr>
          <w:rFonts w:ascii="Arial" w:cs="Arial" w:eastAsia="Arial" w:hAnsi="Arial"/>
          <w:sz w:val="13"/>
          <w:szCs w:val="13"/>
          <w:color w:val="auto"/>
        </w:rPr>
        <w:t>, Age 34, has served as a director of Vringo since September 2009 and as the President since April 2010. From February 2009 to March 2010, Mr. Perlman served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vice president of global digital business development at EMI Music Group, where he was responsible for leading distribution deals with digital partners for EMI’s music and video content. From May 2007 to February 2009, Mr. Perlman served as Vringo’s General Manager of our U.S. operations as well as Senior Vice President Content &amp; Community. In this position,</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38" w:lineRule="exact"/>
        <w:rPr>
          <w:sz w:val="20"/>
          <w:szCs w:val="20"/>
          <w:color w:val="auto"/>
        </w:rPr>
      </w:pPr>
    </w:p>
    <w:p>
      <w:pPr>
        <w:ind w:right="60" w:firstLine="535"/>
        <w:spacing w:after="0" w:line="317" w:lineRule="auto"/>
        <w:rPr>
          <w:sz w:val="20"/>
          <w:szCs w:val="20"/>
          <w:color w:val="auto"/>
        </w:rPr>
      </w:pPr>
      <w:r>
        <w:rPr>
          <w:rFonts w:ascii="Arial" w:cs="Arial" w:eastAsia="Arial" w:hAnsi="Arial"/>
          <w:sz w:val="13"/>
          <w:szCs w:val="13"/>
          <w:color w:val="auto"/>
        </w:rPr>
        <w:t>In connection with his appointment as Chief Executive Officer, Vringo’s Board of Directors approved an increase in Mr. Perlman’s salary to $250,000 per year and the payment of severance for one year in the event he is no longer the Chief Executive Officer in connection with a change of control. In addition, the Board approved the grant of options to purchase 450,000 shares at an exercise price of $1.72 per share. Vringo and Mr. Perlman expect to enter into an amendment to his employment agreement to memorialize the foregoing terms.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 Information</w:t>
      </w:r>
      <w:r>
        <w:rPr>
          <w:rFonts w:ascii="Arial" w:cs="Arial" w:eastAsia="Arial" w:hAnsi="Arial"/>
          <w:sz w:val="15"/>
          <w:szCs w:val="15"/>
          <w:color w:val="auto"/>
        </w:rPr>
        <w:t>.</w:t>
      </w:r>
    </w:p>
    <w:p>
      <w:pPr>
        <w:spacing w:after="0" w:line="188" w:lineRule="exact"/>
        <w:rPr>
          <w:sz w:val="20"/>
          <w:szCs w:val="20"/>
          <w:color w:val="auto"/>
        </w:rPr>
      </w:pPr>
    </w:p>
    <w:p>
      <w:pPr>
        <w:ind w:right="280" w:firstLine="535"/>
        <w:spacing w:after="0" w:line="258" w:lineRule="auto"/>
        <w:rPr>
          <w:sz w:val="20"/>
          <w:szCs w:val="20"/>
          <w:color w:val="auto"/>
        </w:rPr>
      </w:pPr>
      <w:r>
        <w:rPr>
          <w:rFonts w:ascii="Arial" w:cs="Arial" w:eastAsia="Arial" w:hAnsi="Arial"/>
          <w:sz w:val="15"/>
          <w:szCs w:val="15"/>
          <w:color w:val="auto"/>
        </w:rPr>
        <w:t>On March 14, 2012, Vringo and Innovate/Protect made available the following supplemental information regarding Innovate/Protect’s litigation in the United States District Court, Eastern District of Virginia, Norfolk Division against the defendants AOL, Inc., Google, Inc., IAC Search &amp; Media, Inc., Gannett Company, Inc., and Target Corporation for patent infringement regarding two of the Patents purchased from Lycos, Inc. (U.S. Patent Nos. 6,314,420 and 6,775,664):</w:t>
      </w:r>
    </w:p>
    <w:p>
      <w:pPr>
        <w:spacing w:after="0" w:line="157" w:lineRule="exact"/>
        <w:rPr>
          <w:sz w:val="20"/>
          <w:szCs w:val="20"/>
          <w:color w:val="auto"/>
        </w:rPr>
      </w:pPr>
    </w:p>
    <w:p>
      <w:pPr>
        <w:ind w:left="540" w:right="160" w:hanging="264"/>
        <w:spacing w:after="0" w:line="26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Attached hereto as Exhibit 99.6 is a copy of the complaint filed by I/P Engine, Inc. (“I/P Engine”), a wholly-owned subsidiary of Innovate/Protect, against the defendants AOL, Inc., Google, Inc., IAC Search &amp; Media, Inc., Gannett Company, Inc., and Target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7270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 w:name="page6"/>
    <w:bookmarkEnd w:id="5"/>
    <w:p>
      <w:pPr>
        <w:ind w:left="540" w:hanging="264"/>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Attached hereto as Exhibit 99.7 is a description of I/P Engine’s litigation in the United States District Court, Eastern District of Virginia, against the defendants AOL, Inc., et al.</w:t>
      </w:r>
    </w:p>
    <w:p>
      <w:pPr>
        <w:spacing w:after="0" w:line="195" w:lineRule="exact"/>
        <w:rPr>
          <w:rFonts w:ascii="Arial" w:cs="Arial" w:eastAsia="Arial" w:hAnsi="Arial"/>
          <w:sz w:val="14"/>
          <w:szCs w:val="14"/>
          <w:color w:val="auto"/>
        </w:rPr>
      </w:pPr>
    </w:p>
    <w:p>
      <w:pPr>
        <w:ind w:left="540" w:right="1960" w:hanging="264"/>
        <w:spacing w:after="0" w:line="531"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Attached hereto as Exhibit 99.8 is a copy of the Rule 16(b) Scheduling Order, dated February 15, 2012, in the matter of I/P Engine v. AOL, Inc., et. al. In addition, on March 14, 2012, Vringo and Innovate/Protect made available the following information regarding Innovate/Protect:</w:t>
      </w:r>
    </w:p>
    <w:p>
      <w:pPr>
        <w:ind w:left="540" w:hanging="264"/>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biographical information regarding the directors, management and a significant consultant of Innovate Protect, a copy of which is attached hereto as Exhibit 99.9.</w:t>
      </w:r>
    </w:p>
    <w:p>
      <w:pPr>
        <w:spacing w:after="0" w:line="195" w:lineRule="exact"/>
        <w:rPr>
          <w:rFonts w:ascii="Arial" w:cs="Arial" w:eastAsia="Arial" w:hAnsi="Arial"/>
          <w:sz w:val="14"/>
          <w:szCs w:val="14"/>
          <w:color w:val="auto"/>
        </w:rPr>
      </w:pPr>
    </w:p>
    <w:p>
      <w:pPr>
        <w:ind w:left="540" w:right="320" w:hanging="264"/>
        <w:spacing w:after="0" w:line="306"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Innovate/Protect’s Consolidated Financial Statements as of December 31, 2011 and for the period from June 8, 2011 (inception) to December 31, 2011, together with the report of Independent Registered Public Accounting Firm, Grant Thornton LLP, dated March 2, 2012, a copy of which is attached hereto as Exhibit 99.10.</w:t>
      </w:r>
    </w:p>
    <w:p>
      <w:pPr>
        <w:spacing w:after="0" w:line="124" w:lineRule="exact"/>
        <w:rPr>
          <w:sz w:val="20"/>
          <w:szCs w:val="20"/>
          <w:color w:val="auto"/>
        </w:rPr>
      </w:pPr>
    </w:p>
    <w:p>
      <w:pPr>
        <w:jc w:val="both"/>
        <w:ind w:right="440" w:firstLine="535"/>
        <w:spacing w:after="0" w:line="258" w:lineRule="auto"/>
        <w:rPr>
          <w:sz w:val="20"/>
          <w:szCs w:val="20"/>
          <w:color w:val="auto"/>
        </w:rPr>
      </w:pPr>
      <w:r>
        <w:rPr>
          <w:rFonts w:ascii="Arial" w:cs="Arial" w:eastAsia="Arial" w:hAnsi="Arial"/>
          <w:sz w:val="15"/>
          <w:szCs w:val="15"/>
          <w:color w:val="auto"/>
        </w:rPr>
        <w:t>The information furnished by Vringo and Innovate/Protect pursuant to this Item, including Exhibits 99.6, 99.7, 99.8, 99.9 and 99.10, shall not be deemed “filed” for purposes of Section 18 of the Securities Exchange Act of 1934, as amended (the “Exchange Act”), or otherwise subject to the liability of that section, and shall not be deemed to be incorporated by reference into any filing under the Securities Act of 1933, as amended (the “Act”),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r>
        <w:rPr>
          <w:rFonts w:ascii="Arial" w:cs="Arial" w:eastAsia="Arial" w:hAnsi="Arial"/>
          <w:sz w:val="15"/>
          <w:szCs w:val="15"/>
          <w:color w:val="auto"/>
        </w:rPr>
        <w:t>.</w:t>
      </w:r>
    </w:p>
    <w:p>
      <w:pPr>
        <w:spacing w:after="0" w:line="188" w:lineRule="exact"/>
        <w:rPr>
          <w:sz w:val="20"/>
          <w:szCs w:val="20"/>
          <w:color w:val="auto"/>
        </w:rPr>
      </w:pPr>
    </w:p>
    <w:p>
      <w:pPr>
        <w:ind w:right="340" w:firstLine="343"/>
        <w:spacing w:after="0" w:line="269" w:lineRule="auto"/>
        <w:rPr>
          <w:sz w:val="20"/>
          <w:szCs w:val="20"/>
          <w:color w:val="auto"/>
        </w:rPr>
      </w:pPr>
      <w:r>
        <w:rPr>
          <w:rFonts w:ascii="Arial" w:cs="Arial" w:eastAsia="Arial" w:hAnsi="Arial"/>
          <w:sz w:val="15"/>
          <w:szCs w:val="15"/>
          <w:color w:val="auto"/>
        </w:rPr>
        <w:t>On March 14, 2012, Vringo issued a joint press release with Innovate/Protect announcing the entry into the Merger Agreement. A copy of the joint press release is attached hereto as Exhibit 99.1.</w:t>
      </w:r>
    </w:p>
    <w:p>
      <w:pPr>
        <w:spacing w:after="0" w:line="148" w:lineRule="exact"/>
        <w:rPr>
          <w:sz w:val="20"/>
          <w:szCs w:val="20"/>
          <w:color w:val="auto"/>
        </w:rPr>
      </w:pPr>
    </w:p>
    <w:p>
      <w:pPr>
        <w:ind w:right="80" w:firstLine="343"/>
        <w:spacing w:after="0" w:line="258" w:lineRule="auto"/>
        <w:rPr>
          <w:sz w:val="20"/>
          <w:szCs w:val="20"/>
          <w:color w:val="auto"/>
        </w:rPr>
      </w:pPr>
      <w:r>
        <w:rPr>
          <w:rFonts w:ascii="Arial" w:cs="Arial" w:eastAsia="Arial" w:hAnsi="Arial"/>
          <w:sz w:val="15"/>
          <w:szCs w:val="15"/>
          <w:color w:val="auto"/>
        </w:rPr>
        <w:t>Also on March 14, 2012, Vringo and Innovate/Protect will hold a joint conference call with investors, analysts and other interested parties to provide supplemental information regarding the proposed transaction. The slides to be used in connection with the conference call are attached hereto as Exhibit 99.2 and the press release for the conference call is attached hereto as Exhibit 99.3.</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Each of the joint press release, slides and conference call press release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88" w:lineRule="exact"/>
        <w:rPr>
          <w:sz w:val="20"/>
          <w:szCs w:val="20"/>
          <w:color w:val="auto"/>
        </w:rPr>
      </w:pPr>
    </w:p>
    <w:p>
      <w:pPr>
        <w:ind w:firstLine="535"/>
        <w:spacing w:after="0" w:line="290" w:lineRule="auto"/>
        <w:rPr>
          <w:sz w:val="20"/>
          <w:szCs w:val="20"/>
          <w:color w:val="auto"/>
        </w:rPr>
      </w:pPr>
      <w:r>
        <w:rPr>
          <w:rFonts w:ascii="Arial" w:cs="Arial" w:eastAsia="Arial" w:hAnsi="Arial"/>
          <w:sz w:val="13"/>
          <w:szCs w:val="13"/>
          <w:color w:val="auto"/>
        </w:rPr>
        <w:t>Statements in this report regarding the proposed transaction between Vringo, Merger Sub and Innovate/Protect; the expected timetable for completing the transaction; the potential value created by the proposed merger for Vringo's and Innovate/Protect's stockholders; the potential of the combined companies' technology platform; our respective or combined ability to raise capital to fund our combined operations and business plan; the continued listing of Vringo's or the combined company's securities on the NYSE Amex; market acceptance of Vringo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Vringo's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Vringo and Innovate/Protect may not be able to complete the proposed transaction; the inability to realize the potential value created by the proposed merger for Vringo's and Innovate/Protect's stockholders; our respective or combined inability to raise capital to fund our combined operations and business plan; Vringo's or the combined company's inability to maintain the listing of our securities on the NYSE Amex; the potential lack of market acceptance of Vringo's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Vringo's Annual Report on Form 10-K for the year ended December 31, 2010 and its Quarterly Reports on Form 10-Q for the quarters ended March 31, 2011, June 30, 2011 and September 30, 2011, each as filed with the SEC, as well as the other filings that Vringo makes with the SEC. Investors and stockholders are also urged to read the risk factors set forth in the proxy statement/prospectus carefully when they are available.</w:t>
      </w:r>
    </w:p>
    <w:p>
      <w:pPr>
        <w:spacing w:after="0" w:line="320" w:lineRule="exact"/>
        <w:rPr>
          <w:sz w:val="20"/>
          <w:szCs w:val="20"/>
          <w:color w:val="auto"/>
        </w:rPr>
      </w:pPr>
    </w:p>
    <w:p>
      <w:pPr>
        <w:ind w:right="40" w:firstLine="535"/>
        <w:spacing w:after="0" w:line="255" w:lineRule="auto"/>
        <w:rPr>
          <w:sz w:val="20"/>
          <w:szCs w:val="20"/>
          <w:color w:val="auto"/>
        </w:rPr>
      </w:pPr>
      <w:r>
        <w:rPr>
          <w:rFonts w:ascii="Arial" w:cs="Arial" w:eastAsia="Arial" w:hAnsi="Arial"/>
          <w:sz w:val="15"/>
          <w:szCs w:val="15"/>
          <w:color w:val="auto"/>
        </w:rPr>
        <w:t>In addition, the statements in this report reflect our expectations and beliefs as of the date of this release.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70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8" w:lineRule="exact"/>
        <w:rPr>
          <w:sz w:val="20"/>
          <w:szCs w:val="20"/>
          <w:color w:val="auto"/>
        </w:rPr>
      </w:pPr>
    </w:p>
    <w:p>
      <w:pPr>
        <w:ind w:right="120" w:firstLine="535"/>
        <w:spacing w:after="0" w:line="301"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of Vringo, or Innovate/Protect or the solicitation of any vote or approval. In connection with the proposed transaction, Vringo will file with the SEC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32" w:lineRule="exact"/>
        <w:rPr>
          <w:sz w:val="20"/>
          <w:szCs w:val="20"/>
          <w:color w:val="auto"/>
        </w:rPr>
      </w:pPr>
    </w:p>
    <w:p>
      <w:pPr>
        <w:ind w:right="20" w:firstLine="535"/>
        <w:spacing w:after="0" w:line="294"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w:t>
      </w:r>
    </w:p>
    <w:p>
      <w:pPr>
        <w:ind w:right="60"/>
        <w:spacing w:after="0" w:line="232" w:lineRule="auto"/>
        <w:rPr>
          <w:sz w:val="20"/>
          <w:szCs w:val="20"/>
          <w:color w:val="auto"/>
        </w:rPr>
      </w:pPr>
      <w:r>
        <w:rPr>
          <w:rFonts w:ascii="Arial" w:cs="Arial" w:eastAsia="Arial" w:hAnsi="Arial"/>
          <w:sz w:val="14"/>
          <w:szCs w:val="14"/>
          <w:color w:val="auto"/>
        </w:rPr>
        <w:t>of the 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ind w:right="120" w:firstLine="535"/>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r>
        <w:rPr>
          <w:rFonts w:ascii="Arial" w:cs="Arial" w:eastAsia="Arial" w:hAnsi="Arial"/>
          <w:sz w:val="15"/>
          <w:szCs w:val="15"/>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(d) Exhibits</w:t>
            </w:r>
          </w:p>
        </w:tc>
        <w:tc>
          <w:tcPr>
            <w:tcW w:w="10580" w:type="dxa"/>
            <w:vAlign w:val="bottom"/>
          </w:tcPr>
          <w:p>
            <w:pPr>
              <w:spacing w:after="0"/>
              <w:rPr>
                <w:sz w:val="16"/>
                <w:szCs w:val="16"/>
                <w:color w:val="auto"/>
              </w:rPr>
            </w:pP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2.1</w:t>
            </w:r>
          </w:p>
        </w:tc>
        <w:tc>
          <w:tcPr>
            <w:tcW w:w="10580" w:type="dxa"/>
            <w:vAlign w:val="bottom"/>
          </w:tcPr>
          <w:p>
            <w:pPr>
              <w:ind w:left="160"/>
              <w:spacing w:after="0"/>
              <w:rPr>
                <w:sz w:val="20"/>
                <w:szCs w:val="20"/>
                <w:color w:val="auto"/>
              </w:rPr>
            </w:pPr>
            <w:r>
              <w:rPr>
                <w:rFonts w:ascii="Arial" w:cs="Arial" w:eastAsia="Arial" w:hAnsi="Arial"/>
                <w:sz w:val="15"/>
                <w:szCs w:val="15"/>
                <w:color w:val="auto"/>
              </w:rPr>
              <w:t>Agreement and Plan of Merger by and among Vringo, Inc., VIP Merger Sub, Inc. and Innovate/Protect, Inc., dated as of March 12,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99.1</w:t>
            </w:r>
          </w:p>
        </w:tc>
        <w:tc>
          <w:tcPr>
            <w:tcW w:w="10580" w:type="dxa"/>
            <w:vAlign w:val="bottom"/>
          </w:tcPr>
          <w:p>
            <w:pPr>
              <w:ind w:left="160"/>
              <w:spacing w:after="0"/>
              <w:rPr>
                <w:sz w:val="20"/>
                <w:szCs w:val="20"/>
                <w:color w:val="auto"/>
              </w:rPr>
            </w:pPr>
            <w:r>
              <w:rPr>
                <w:rFonts w:ascii="Arial" w:cs="Arial" w:eastAsia="Arial" w:hAnsi="Arial"/>
                <w:sz w:val="15"/>
                <w:szCs w:val="15"/>
                <w:color w:val="auto"/>
              </w:rPr>
              <w:t>Joint Press Release,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99.2</w:t>
            </w:r>
          </w:p>
        </w:tc>
        <w:tc>
          <w:tcPr>
            <w:tcW w:w="10580" w:type="dxa"/>
            <w:vAlign w:val="bottom"/>
          </w:tcPr>
          <w:p>
            <w:pPr>
              <w:ind w:left="160"/>
              <w:spacing w:after="0"/>
              <w:rPr>
                <w:sz w:val="20"/>
                <w:szCs w:val="20"/>
                <w:color w:val="auto"/>
              </w:rPr>
            </w:pPr>
            <w:r>
              <w:rPr>
                <w:rFonts w:ascii="Arial" w:cs="Arial" w:eastAsia="Arial" w:hAnsi="Arial"/>
                <w:sz w:val="15"/>
                <w:szCs w:val="15"/>
                <w:color w:val="auto"/>
              </w:rPr>
              <w:t>Investor Presentation Slides,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99.3</w:t>
            </w:r>
          </w:p>
        </w:tc>
        <w:tc>
          <w:tcPr>
            <w:tcW w:w="10580" w:type="dxa"/>
            <w:vAlign w:val="bottom"/>
          </w:tcPr>
          <w:p>
            <w:pPr>
              <w:ind w:left="160"/>
              <w:spacing w:after="0"/>
              <w:rPr>
                <w:sz w:val="20"/>
                <w:szCs w:val="20"/>
                <w:color w:val="auto"/>
              </w:rPr>
            </w:pPr>
            <w:r>
              <w:rPr>
                <w:rFonts w:ascii="Arial" w:cs="Arial" w:eastAsia="Arial" w:hAnsi="Arial"/>
                <w:sz w:val="15"/>
                <w:szCs w:val="15"/>
                <w:color w:val="auto"/>
              </w:rPr>
              <w:t>Press Release for Conference Call with Investors and Analysts,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99.4</w:t>
            </w:r>
          </w:p>
        </w:tc>
        <w:tc>
          <w:tcPr>
            <w:tcW w:w="10580" w:type="dxa"/>
            <w:vAlign w:val="bottom"/>
          </w:tcPr>
          <w:p>
            <w:pPr>
              <w:ind w:left="160"/>
              <w:spacing w:after="0"/>
              <w:rPr>
                <w:sz w:val="20"/>
                <w:szCs w:val="20"/>
                <w:color w:val="auto"/>
              </w:rPr>
            </w:pPr>
            <w:r>
              <w:rPr>
                <w:rFonts w:ascii="Arial" w:cs="Arial" w:eastAsia="Arial" w:hAnsi="Arial"/>
                <w:sz w:val="15"/>
                <w:szCs w:val="15"/>
                <w:color w:val="auto"/>
              </w:rPr>
              <w:t>Vringo unaudited financial results for the year ended December 31, 2011</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99.5</w:t>
            </w:r>
          </w:p>
        </w:tc>
        <w:tc>
          <w:tcPr>
            <w:tcW w:w="10580" w:type="dxa"/>
            <w:vAlign w:val="bottom"/>
          </w:tcPr>
          <w:p>
            <w:pPr>
              <w:ind w:left="160"/>
              <w:spacing w:after="0"/>
              <w:rPr>
                <w:sz w:val="20"/>
                <w:szCs w:val="20"/>
                <w:color w:val="auto"/>
              </w:rPr>
            </w:pPr>
            <w:r>
              <w:rPr>
                <w:rFonts w:ascii="Arial" w:cs="Arial" w:eastAsia="Arial" w:hAnsi="Arial"/>
                <w:sz w:val="15"/>
                <w:szCs w:val="15"/>
                <w:color w:val="auto"/>
              </w:rPr>
              <w:t>Separation Agreement between Jonathan Medved and Vringo (Israel) Ltd., dated as of March 8,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99.6</w:t>
            </w:r>
          </w:p>
        </w:tc>
        <w:tc>
          <w:tcPr>
            <w:tcW w:w="10580" w:type="dxa"/>
            <w:vAlign w:val="bottom"/>
          </w:tcPr>
          <w:p>
            <w:pPr>
              <w:ind w:left="160"/>
              <w:spacing w:after="0"/>
              <w:rPr>
                <w:sz w:val="20"/>
                <w:szCs w:val="20"/>
                <w:color w:val="auto"/>
              </w:rPr>
            </w:pPr>
            <w:r>
              <w:rPr>
                <w:rFonts w:ascii="Arial" w:cs="Arial" w:eastAsia="Arial" w:hAnsi="Arial"/>
                <w:sz w:val="15"/>
                <w:szCs w:val="15"/>
                <w:color w:val="auto"/>
              </w:rPr>
              <w:t>I/P Engine Complaint</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99.7</w:t>
            </w:r>
          </w:p>
        </w:tc>
        <w:tc>
          <w:tcPr>
            <w:tcW w:w="10580" w:type="dxa"/>
            <w:vAlign w:val="bottom"/>
          </w:tcPr>
          <w:p>
            <w:pPr>
              <w:ind w:left="160"/>
              <w:spacing w:after="0"/>
              <w:rPr>
                <w:sz w:val="20"/>
                <w:szCs w:val="20"/>
                <w:color w:val="auto"/>
              </w:rPr>
            </w:pPr>
            <w:r>
              <w:rPr>
                <w:rFonts w:ascii="Arial" w:cs="Arial" w:eastAsia="Arial" w:hAnsi="Arial"/>
                <w:sz w:val="15"/>
                <w:szCs w:val="15"/>
                <w:color w:val="auto"/>
              </w:rPr>
              <w:t>Description of I/P Engine Litigation</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99.8</w:t>
            </w:r>
          </w:p>
        </w:tc>
        <w:tc>
          <w:tcPr>
            <w:tcW w:w="10580" w:type="dxa"/>
            <w:vAlign w:val="bottom"/>
          </w:tcPr>
          <w:p>
            <w:pPr>
              <w:ind w:left="160"/>
              <w:spacing w:after="0"/>
              <w:rPr>
                <w:sz w:val="20"/>
                <w:szCs w:val="20"/>
                <w:color w:val="auto"/>
              </w:rPr>
            </w:pPr>
            <w:r>
              <w:rPr>
                <w:rFonts w:ascii="Arial" w:cs="Arial" w:eastAsia="Arial" w:hAnsi="Arial"/>
                <w:sz w:val="15"/>
                <w:szCs w:val="15"/>
                <w:color w:val="auto"/>
              </w:rPr>
              <w:t>Rule 16(b) Scheduling Order, dated February 15, 2012, relating to the I/P Engine Litigation</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99.9</w:t>
            </w:r>
          </w:p>
        </w:tc>
        <w:tc>
          <w:tcPr>
            <w:tcW w:w="10580" w:type="dxa"/>
            <w:vAlign w:val="bottom"/>
          </w:tcPr>
          <w:p>
            <w:pPr>
              <w:ind w:left="160"/>
              <w:spacing w:after="0"/>
              <w:rPr>
                <w:sz w:val="20"/>
                <w:szCs w:val="20"/>
                <w:color w:val="auto"/>
              </w:rPr>
            </w:pPr>
            <w:r>
              <w:rPr>
                <w:rFonts w:ascii="Arial" w:cs="Arial" w:eastAsia="Arial" w:hAnsi="Arial"/>
                <w:sz w:val="15"/>
                <w:szCs w:val="15"/>
                <w:color w:val="auto"/>
              </w:rPr>
              <w:t>Innovate/Protect Directors/Management/Significant Consultant Biographies</w:t>
            </w:r>
          </w:p>
        </w:tc>
      </w:tr>
      <w:tr>
        <w:trPr>
          <w:trHeight w:val="346"/>
        </w:trPr>
        <w:tc>
          <w:tcPr>
            <w:tcW w:w="880" w:type="dxa"/>
            <w:vAlign w:val="bottom"/>
          </w:tcPr>
          <w:p>
            <w:pPr>
              <w:spacing w:after="0"/>
              <w:rPr>
                <w:sz w:val="20"/>
                <w:szCs w:val="20"/>
                <w:color w:val="auto"/>
              </w:rPr>
            </w:pPr>
            <w:r>
              <w:rPr>
                <w:rFonts w:ascii="Arial" w:cs="Arial" w:eastAsia="Arial" w:hAnsi="Arial"/>
                <w:sz w:val="15"/>
                <w:szCs w:val="15"/>
                <w:color w:val="auto"/>
              </w:rPr>
              <w:t>99.10</w:t>
            </w:r>
          </w:p>
        </w:tc>
        <w:tc>
          <w:tcPr>
            <w:tcW w:w="10580" w:type="dxa"/>
            <w:vAlign w:val="bottom"/>
          </w:tcPr>
          <w:p>
            <w:pPr>
              <w:ind w:left="160"/>
              <w:spacing w:after="0"/>
              <w:rPr>
                <w:sz w:val="20"/>
                <w:szCs w:val="20"/>
                <w:color w:val="auto"/>
              </w:rPr>
            </w:pPr>
            <w:r>
              <w:rPr>
                <w:rFonts w:ascii="Arial" w:cs="Arial" w:eastAsia="Arial" w:hAnsi="Arial"/>
                <w:sz w:val="15"/>
                <w:szCs w:val="15"/>
                <w:color w:val="auto"/>
                <w:w w:val="92"/>
              </w:rPr>
              <w:t>Innovate/Protect’s Consolidated Financial Statements as of December 31, 2011 and for the period from June 8, 2011 (inception) to December 31, 2011, together with the</w:t>
            </w:r>
          </w:p>
        </w:tc>
      </w:tr>
      <w:tr>
        <w:trPr>
          <w:trHeight w:val="188"/>
        </w:trPr>
        <w:tc>
          <w:tcPr>
            <w:tcW w:w="880" w:type="dxa"/>
            <w:vAlign w:val="bottom"/>
          </w:tcPr>
          <w:p>
            <w:pPr>
              <w:spacing w:after="0"/>
              <w:rPr>
                <w:sz w:val="16"/>
                <w:szCs w:val="16"/>
                <w:color w:val="auto"/>
              </w:rPr>
            </w:pPr>
          </w:p>
        </w:tc>
        <w:tc>
          <w:tcPr>
            <w:tcW w:w="10580" w:type="dxa"/>
            <w:vAlign w:val="bottom"/>
          </w:tcPr>
          <w:p>
            <w:pPr>
              <w:ind w:left="160"/>
              <w:spacing w:after="0"/>
              <w:rPr>
                <w:sz w:val="20"/>
                <w:szCs w:val="20"/>
                <w:color w:val="auto"/>
              </w:rPr>
            </w:pPr>
            <w:r>
              <w:rPr>
                <w:rFonts w:ascii="Arial" w:cs="Arial" w:eastAsia="Arial" w:hAnsi="Arial"/>
                <w:sz w:val="15"/>
                <w:szCs w:val="15"/>
                <w:color w:val="auto"/>
              </w:rPr>
              <w:t>report of Independent Registered Public Accounting Firm, Grant Thornton LLP, dated March 2, 2012</w:t>
            </w:r>
          </w:p>
        </w:tc>
      </w:tr>
      <w:tr>
        <w:trPr>
          <w:trHeight w:val="535"/>
        </w:trPr>
        <w:tc>
          <w:tcPr>
            <w:tcW w:w="8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SIGNATURES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820" w:type="dxa"/>
            <w:vAlign w:val="bottom"/>
          </w:tcPr>
          <w:p>
            <w:pPr>
              <w:ind w:left="1780"/>
              <w:spacing w:after="0"/>
              <w:rPr>
                <w:sz w:val="20"/>
                <w:szCs w:val="20"/>
                <w:color w:val="auto"/>
              </w:rPr>
            </w:pPr>
            <w:r>
              <w:rPr>
                <w:rFonts w:ascii="Arial" w:cs="Arial" w:eastAsia="Arial" w:hAnsi="Arial"/>
                <w:sz w:val="15"/>
                <w:szCs w:val="15"/>
                <w:b w:val="1"/>
                <w:bCs w:val="1"/>
                <w:color w:val="auto"/>
              </w:rPr>
              <w:t>VRINGO, INC.</w:t>
            </w:r>
          </w:p>
        </w:tc>
        <w:tc>
          <w:tcPr>
            <w:tcW w:w="60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357"/>
        </w:trPr>
        <w:tc>
          <w:tcPr>
            <w:tcW w:w="3160" w:type="dxa"/>
            <w:vAlign w:val="bottom"/>
          </w:tcPr>
          <w:p>
            <w:pPr>
              <w:spacing w:after="0"/>
              <w:rPr>
                <w:sz w:val="20"/>
                <w:szCs w:val="20"/>
                <w:color w:val="auto"/>
              </w:rPr>
            </w:pPr>
            <w:r>
              <w:rPr>
                <w:rFonts w:ascii="Arial" w:cs="Arial" w:eastAsia="Arial" w:hAnsi="Arial"/>
                <w:sz w:val="15"/>
                <w:szCs w:val="15"/>
                <w:color w:val="auto"/>
              </w:rPr>
              <w:t>Dated: March 14, 2012</w:t>
            </w:r>
          </w:p>
        </w:tc>
        <w:tc>
          <w:tcPr>
            <w:tcW w:w="2820" w:type="dxa"/>
            <w:vAlign w:val="bottom"/>
          </w:tcPr>
          <w:p>
            <w:pPr>
              <w:ind w:left="1780"/>
              <w:spacing w:after="0"/>
              <w:rPr>
                <w:sz w:val="20"/>
                <w:szCs w:val="20"/>
                <w:color w:val="auto"/>
              </w:rPr>
            </w:pPr>
            <w:r>
              <w:rPr>
                <w:rFonts w:ascii="Arial" w:cs="Arial" w:eastAsia="Arial" w:hAnsi="Arial"/>
                <w:sz w:val="15"/>
                <w:szCs w:val="15"/>
                <w:color w:val="auto"/>
              </w:rPr>
              <w:t>By:</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Andrew D. Perlman</w:t>
            </w:r>
          </w:p>
        </w:tc>
      </w:tr>
      <w:tr>
        <w:trPr>
          <w:trHeight w:val="159"/>
        </w:trPr>
        <w:tc>
          <w:tcPr>
            <w:tcW w:w="3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Arial" w:cs="Arial" w:eastAsia="Arial" w:hAnsi="Arial"/>
                <w:sz w:val="15"/>
                <w:szCs w:val="15"/>
                <w:color w:val="auto"/>
              </w:rPr>
              <w:t>Name:</w:t>
            </w:r>
          </w:p>
        </w:tc>
        <w:tc>
          <w:tcPr>
            <w:tcW w:w="4880" w:type="dxa"/>
            <w:vAlign w:val="bottom"/>
          </w:tcPr>
          <w:p>
            <w:pPr>
              <w:ind w:left="180"/>
              <w:spacing w:after="0" w:line="159" w:lineRule="exact"/>
              <w:rPr>
                <w:sz w:val="20"/>
                <w:szCs w:val="20"/>
                <w:color w:val="auto"/>
              </w:rPr>
            </w:pPr>
            <w:r>
              <w:rPr>
                <w:rFonts w:ascii="Arial" w:cs="Arial" w:eastAsia="Arial" w:hAnsi="Arial"/>
                <w:sz w:val="15"/>
                <w:szCs w:val="15"/>
                <w:color w:val="auto"/>
              </w:rPr>
              <w:t>Andrew D. Perlman</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ind w:left="180"/>
              <w:spacing w:after="0"/>
              <w:rPr>
                <w:sz w:val="20"/>
                <w:szCs w:val="20"/>
                <w:color w:val="auto"/>
              </w:rPr>
            </w:pPr>
            <w:r>
              <w:rPr>
                <w:rFonts w:ascii="Arial" w:cs="Arial" w:eastAsia="Arial" w:hAnsi="Arial"/>
                <w:sz w:val="15"/>
                <w:szCs w:val="15"/>
                <w:color w:val="auto"/>
              </w:rPr>
              <w:t>Chief Executive Officer</w:t>
            </w:r>
          </w:p>
        </w:tc>
      </w:tr>
      <w:tr>
        <w:trPr>
          <w:trHeight w:val="535"/>
        </w:trPr>
        <w:tc>
          <w:tcPr>
            <w:tcW w:w="3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10760" w:type="dxa"/>
            <w:vAlign w:val="bottom"/>
          </w:tcPr>
          <w:p>
            <w:pPr>
              <w:ind w:left="4460"/>
              <w:spacing w:after="0"/>
              <w:rPr>
                <w:sz w:val="20"/>
                <w:szCs w:val="20"/>
                <w:color w:val="auto"/>
              </w:rPr>
            </w:pPr>
            <w:r>
              <w:rPr>
                <w:rFonts w:ascii="Arial" w:cs="Arial" w:eastAsia="Arial" w:hAnsi="Arial"/>
                <w:sz w:val="15"/>
                <w:szCs w:val="15"/>
                <w:b w:val="1"/>
                <w:bCs w:val="1"/>
                <w:color w:val="auto"/>
              </w:rPr>
              <w:t>EXHIBIT INDEX</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2.1</w:t>
            </w:r>
          </w:p>
        </w:tc>
        <w:tc>
          <w:tcPr>
            <w:tcW w:w="10760" w:type="dxa"/>
            <w:vAlign w:val="bottom"/>
          </w:tcPr>
          <w:p>
            <w:pPr>
              <w:ind w:left="340"/>
              <w:spacing w:after="0"/>
              <w:rPr>
                <w:sz w:val="20"/>
                <w:szCs w:val="20"/>
                <w:color w:val="auto"/>
              </w:rPr>
            </w:pPr>
            <w:r>
              <w:rPr>
                <w:rFonts w:ascii="Arial" w:cs="Arial" w:eastAsia="Arial" w:hAnsi="Arial"/>
                <w:sz w:val="15"/>
                <w:szCs w:val="15"/>
                <w:color w:val="auto"/>
              </w:rPr>
              <w:t>Agreement and Plan of Merger by and among Vringo, Inc., VIP Merger Sub, Inc. and Innovate/Protect, Inc., dated as of March 12,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99.1</w:t>
            </w:r>
          </w:p>
        </w:tc>
        <w:tc>
          <w:tcPr>
            <w:tcW w:w="10760" w:type="dxa"/>
            <w:vAlign w:val="bottom"/>
          </w:tcPr>
          <w:p>
            <w:pPr>
              <w:ind w:left="340"/>
              <w:spacing w:after="0"/>
              <w:rPr>
                <w:sz w:val="20"/>
                <w:szCs w:val="20"/>
                <w:color w:val="auto"/>
              </w:rPr>
            </w:pPr>
            <w:r>
              <w:rPr>
                <w:rFonts w:ascii="Arial" w:cs="Arial" w:eastAsia="Arial" w:hAnsi="Arial"/>
                <w:sz w:val="15"/>
                <w:szCs w:val="15"/>
                <w:color w:val="auto"/>
              </w:rPr>
              <w:t>Joint Press Release,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99.2</w:t>
            </w:r>
          </w:p>
        </w:tc>
        <w:tc>
          <w:tcPr>
            <w:tcW w:w="10760" w:type="dxa"/>
            <w:vAlign w:val="bottom"/>
          </w:tcPr>
          <w:p>
            <w:pPr>
              <w:ind w:left="340"/>
              <w:spacing w:after="0"/>
              <w:rPr>
                <w:sz w:val="20"/>
                <w:szCs w:val="20"/>
                <w:color w:val="auto"/>
              </w:rPr>
            </w:pPr>
            <w:r>
              <w:rPr>
                <w:rFonts w:ascii="Arial" w:cs="Arial" w:eastAsia="Arial" w:hAnsi="Arial"/>
                <w:sz w:val="15"/>
                <w:szCs w:val="15"/>
                <w:color w:val="auto"/>
              </w:rPr>
              <w:t>Investor Presentation Slides,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99.3</w:t>
            </w:r>
          </w:p>
        </w:tc>
        <w:tc>
          <w:tcPr>
            <w:tcW w:w="10760" w:type="dxa"/>
            <w:vAlign w:val="bottom"/>
          </w:tcPr>
          <w:p>
            <w:pPr>
              <w:ind w:left="340"/>
              <w:spacing w:after="0"/>
              <w:rPr>
                <w:sz w:val="20"/>
                <w:szCs w:val="20"/>
                <w:color w:val="auto"/>
              </w:rPr>
            </w:pPr>
            <w:r>
              <w:rPr>
                <w:rFonts w:ascii="Arial" w:cs="Arial" w:eastAsia="Arial" w:hAnsi="Arial"/>
                <w:sz w:val="15"/>
                <w:szCs w:val="15"/>
                <w:color w:val="auto"/>
              </w:rPr>
              <w:t>Press Release for Conference Call with Investors and Analysts,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99.4</w:t>
            </w:r>
          </w:p>
        </w:tc>
        <w:tc>
          <w:tcPr>
            <w:tcW w:w="10760" w:type="dxa"/>
            <w:vAlign w:val="bottom"/>
          </w:tcPr>
          <w:p>
            <w:pPr>
              <w:ind w:left="340"/>
              <w:spacing w:after="0"/>
              <w:rPr>
                <w:sz w:val="20"/>
                <w:szCs w:val="20"/>
                <w:color w:val="auto"/>
              </w:rPr>
            </w:pPr>
            <w:r>
              <w:rPr>
                <w:rFonts w:ascii="Arial" w:cs="Arial" w:eastAsia="Arial" w:hAnsi="Arial"/>
                <w:sz w:val="15"/>
                <w:szCs w:val="15"/>
                <w:color w:val="auto"/>
              </w:rPr>
              <w:t>Vringo unaudited financial results for the year ended December 31, 2011</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99.5</w:t>
            </w:r>
          </w:p>
        </w:tc>
        <w:tc>
          <w:tcPr>
            <w:tcW w:w="10760" w:type="dxa"/>
            <w:vAlign w:val="bottom"/>
          </w:tcPr>
          <w:p>
            <w:pPr>
              <w:ind w:left="340"/>
              <w:spacing w:after="0"/>
              <w:rPr>
                <w:sz w:val="20"/>
                <w:szCs w:val="20"/>
                <w:color w:val="auto"/>
              </w:rPr>
            </w:pPr>
            <w:r>
              <w:rPr>
                <w:rFonts w:ascii="Arial" w:cs="Arial" w:eastAsia="Arial" w:hAnsi="Arial"/>
                <w:sz w:val="15"/>
                <w:szCs w:val="15"/>
                <w:color w:val="auto"/>
              </w:rPr>
              <w:t>Separation Agreement between Jonathan Medved and Vringo (Israel) Ltd., dated as of March 8,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99.6</w:t>
            </w:r>
          </w:p>
        </w:tc>
        <w:tc>
          <w:tcPr>
            <w:tcW w:w="10760" w:type="dxa"/>
            <w:vAlign w:val="bottom"/>
          </w:tcPr>
          <w:p>
            <w:pPr>
              <w:ind w:left="340"/>
              <w:spacing w:after="0"/>
              <w:rPr>
                <w:sz w:val="20"/>
                <w:szCs w:val="20"/>
                <w:color w:val="auto"/>
              </w:rPr>
            </w:pPr>
            <w:r>
              <w:rPr>
                <w:rFonts w:ascii="Arial" w:cs="Arial" w:eastAsia="Arial" w:hAnsi="Arial"/>
                <w:sz w:val="15"/>
                <w:szCs w:val="15"/>
                <w:color w:val="auto"/>
              </w:rPr>
              <w:t>I/P Engine Complaint</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99.7</w:t>
            </w:r>
          </w:p>
        </w:tc>
        <w:tc>
          <w:tcPr>
            <w:tcW w:w="10760" w:type="dxa"/>
            <w:vAlign w:val="bottom"/>
          </w:tcPr>
          <w:p>
            <w:pPr>
              <w:ind w:left="340"/>
              <w:spacing w:after="0"/>
              <w:rPr>
                <w:sz w:val="20"/>
                <w:szCs w:val="20"/>
                <w:color w:val="auto"/>
              </w:rPr>
            </w:pPr>
            <w:r>
              <w:rPr>
                <w:rFonts w:ascii="Arial" w:cs="Arial" w:eastAsia="Arial" w:hAnsi="Arial"/>
                <w:sz w:val="15"/>
                <w:szCs w:val="15"/>
                <w:color w:val="auto"/>
              </w:rPr>
              <w:t>Description of I/P Engine Litigation</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99.8</w:t>
            </w:r>
          </w:p>
        </w:tc>
        <w:tc>
          <w:tcPr>
            <w:tcW w:w="10760" w:type="dxa"/>
            <w:vAlign w:val="bottom"/>
          </w:tcPr>
          <w:p>
            <w:pPr>
              <w:ind w:left="340"/>
              <w:spacing w:after="0"/>
              <w:rPr>
                <w:sz w:val="20"/>
                <w:szCs w:val="20"/>
                <w:color w:val="auto"/>
              </w:rPr>
            </w:pPr>
            <w:r>
              <w:rPr>
                <w:rFonts w:ascii="Arial" w:cs="Arial" w:eastAsia="Arial" w:hAnsi="Arial"/>
                <w:sz w:val="15"/>
                <w:szCs w:val="15"/>
                <w:color w:val="auto"/>
              </w:rPr>
              <w:t>Rule 16(b) Scheduling Order, dated February 15, 2012, relating to the I/P Engine Litigation</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99.9</w:t>
            </w:r>
          </w:p>
        </w:tc>
        <w:tc>
          <w:tcPr>
            <w:tcW w:w="10760" w:type="dxa"/>
            <w:vAlign w:val="bottom"/>
          </w:tcPr>
          <w:p>
            <w:pPr>
              <w:ind w:left="340"/>
              <w:spacing w:after="0"/>
              <w:rPr>
                <w:sz w:val="20"/>
                <w:szCs w:val="20"/>
                <w:color w:val="auto"/>
              </w:rPr>
            </w:pPr>
            <w:r>
              <w:rPr>
                <w:rFonts w:ascii="Arial" w:cs="Arial" w:eastAsia="Arial" w:hAnsi="Arial"/>
                <w:sz w:val="15"/>
                <w:szCs w:val="15"/>
                <w:color w:val="auto"/>
              </w:rPr>
              <w:t>Innovate/Protect Directors/Management/Significant Consultant Biographies</w:t>
            </w:r>
          </w:p>
        </w:tc>
      </w:tr>
      <w:tr>
        <w:trPr>
          <w:trHeight w:val="346"/>
        </w:trPr>
        <w:tc>
          <w:tcPr>
            <w:tcW w:w="700" w:type="dxa"/>
            <w:vAlign w:val="bottom"/>
          </w:tcPr>
          <w:p>
            <w:pPr>
              <w:spacing w:after="0"/>
              <w:rPr>
                <w:sz w:val="20"/>
                <w:szCs w:val="20"/>
                <w:color w:val="auto"/>
              </w:rPr>
            </w:pPr>
            <w:r>
              <w:rPr>
                <w:rFonts w:ascii="Arial" w:cs="Arial" w:eastAsia="Arial" w:hAnsi="Arial"/>
                <w:sz w:val="15"/>
                <w:szCs w:val="15"/>
                <w:color w:val="auto"/>
              </w:rPr>
              <w:t>99.10</w:t>
            </w:r>
          </w:p>
        </w:tc>
        <w:tc>
          <w:tcPr>
            <w:tcW w:w="10760" w:type="dxa"/>
            <w:vAlign w:val="bottom"/>
          </w:tcPr>
          <w:p>
            <w:pPr>
              <w:ind w:left="340"/>
              <w:spacing w:after="0"/>
              <w:rPr>
                <w:sz w:val="20"/>
                <w:szCs w:val="20"/>
                <w:color w:val="auto"/>
              </w:rPr>
            </w:pPr>
            <w:r>
              <w:rPr>
                <w:rFonts w:ascii="Arial" w:cs="Arial" w:eastAsia="Arial" w:hAnsi="Arial"/>
                <w:sz w:val="15"/>
                <w:szCs w:val="15"/>
                <w:color w:val="auto"/>
                <w:w w:val="92"/>
              </w:rPr>
              <w:t>Innovate/Protect’s Consolidated Financial Statements as of December 31, 2011 and for the period from June 8, 2011 (inception) to December 31, 2011, together with the</w:t>
            </w:r>
          </w:p>
        </w:tc>
      </w:tr>
      <w:tr>
        <w:trPr>
          <w:trHeight w:val="188"/>
        </w:trPr>
        <w:tc>
          <w:tcPr>
            <w:tcW w:w="700" w:type="dxa"/>
            <w:vAlign w:val="bottom"/>
          </w:tcPr>
          <w:p>
            <w:pPr>
              <w:spacing w:after="0"/>
              <w:rPr>
                <w:sz w:val="16"/>
                <w:szCs w:val="16"/>
                <w:color w:val="auto"/>
              </w:rPr>
            </w:pPr>
          </w:p>
        </w:tc>
        <w:tc>
          <w:tcPr>
            <w:tcW w:w="10760" w:type="dxa"/>
            <w:vAlign w:val="bottom"/>
          </w:tcPr>
          <w:p>
            <w:pPr>
              <w:ind w:left="340"/>
              <w:spacing w:after="0"/>
              <w:rPr>
                <w:sz w:val="20"/>
                <w:szCs w:val="20"/>
                <w:color w:val="auto"/>
              </w:rPr>
            </w:pPr>
            <w:r>
              <w:rPr>
                <w:rFonts w:ascii="Arial" w:cs="Arial" w:eastAsia="Arial" w:hAnsi="Arial"/>
                <w:sz w:val="15"/>
                <w:szCs w:val="15"/>
                <w:color w:val="auto"/>
              </w:rPr>
              <w:t>report of Independent Registered Public Accounting Firm, Grant Thornton LLP, dated March 2, 2012</w:t>
            </w:r>
          </w:p>
        </w:tc>
      </w:tr>
      <w:tr>
        <w:trPr>
          <w:trHeight w:val="892"/>
        </w:trPr>
        <w:tc>
          <w:tcPr>
            <w:tcW w:w="70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5"/>
          <w:szCs w:val="15"/>
          <w:b w:val="1"/>
          <w:bCs w:val="1"/>
          <w:color w:val="auto"/>
        </w:rPr>
        <w:t>EXECUTION COPY</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AGREEMENT AND PLAN OF MERGER</w:t>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BY AND AMONG</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VRINGO, INC.,</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VIP MERGER SUB, INC.</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AND</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349885</wp:posOffset>
            </wp:positionV>
            <wp:extent cx="72707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303"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EXHIBITS</w:t>
      </w:r>
    </w:p>
    <w:p>
      <w:pPr>
        <w:sectPr>
          <w:pgSz w:w="11900" w:h="16838" w:orient="portrait"/>
          <w:cols w:equalWidth="0" w:num="1">
            <w:col w:w="10239"/>
          </w:cols>
          <w:pgMar w:left="220" w:top="753" w:right="1440"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EXHIBIT 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EXHIBIT B</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I</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J</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Form of Certificate of Merger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Certificate of Designations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Series 1 Warrant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Series 2 Warrant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Form of Amended and Restated Senior Secured Promissory Note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Form of Amended and Restated Pledge and Security Agreement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Form of Amended and Restated Guaranty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Form of Certificate of Incorporation of Surviving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Form of Bylaws of Surviving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Hudson Bay Letter Agreement</w:t>
      </w:r>
    </w:p>
    <w:p>
      <w:pPr>
        <w:spacing w:after="0" w:line="200" w:lineRule="exact"/>
        <w:rPr>
          <w:sz w:val="20"/>
          <w:szCs w:val="20"/>
          <w:color w:val="auto"/>
        </w:rPr>
      </w:pPr>
    </w:p>
    <w:p>
      <w:pPr>
        <w:sectPr>
          <w:pgSz w:w="11900" w:h="16838" w:orient="portrait"/>
          <w:cols w:equalWidth="0" w:num="2">
            <w:col w:w="1020" w:space="720"/>
            <w:col w:w="8499"/>
          </w:cols>
          <w:pgMar w:left="220" w:top="753" w:right="1440" w:bottom="1440" w:gutter="0" w:footer="0" w:header="0"/>
          <w:type w:val="continuous"/>
        </w:sectPr>
      </w:pPr>
    </w:p>
    <w:p>
      <w:pPr>
        <w:spacing w:after="0" w:line="15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53"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6220" w:type="dxa"/>
            <w:vAlign w:val="bottom"/>
            <w:gridSpan w:val="2"/>
          </w:tcPr>
          <w:p>
            <w:pPr>
              <w:jc w:val="right"/>
              <w:ind w:right="4966"/>
              <w:spacing w:after="0"/>
              <w:rPr>
                <w:sz w:val="20"/>
                <w:szCs w:val="20"/>
                <w:color w:val="auto"/>
              </w:rPr>
            </w:pPr>
            <w:r>
              <w:rPr>
                <w:rFonts w:ascii="Arial" w:cs="Arial" w:eastAsia="Arial" w:hAnsi="Arial"/>
                <w:sz w:val="15"/>
                <w:szCs w:val="15"/>
                <w:color w:val="auto"/>
                <w:w w:val="97"/>
              </w:rPr>
              <w:t>D</w:t>
            </w:r>
            <w:r>
              <w:rPr>
                <w:rFonts w:ascii="Arial" w:cs="Arial" w:eastAsia="Arial" w:hAnsi="Arial"/>
                <w:sz w:val="10"/>
                <w:szCs w:val="10"/>
                <w:color w:val="auto"/>
                <w:w w:val="97"/>
              </w:rPr>
              <w:t>EFINED TERMS INDEX</w:t>
            </w:r>
          </w:p>
        </w:tc>
      </w:tr>
      <w:tr>
        <w:trPr>
          <w:trHeight w:val="359"/>
        </w:trPr>
        <w:tc>
          <w:tcPr>
            <w:tcW w:w="5240" w:type="dxa"/>
            <w:vAlign w:val="bottom"/>
          </w:tcPr>
          <w:p>
            <w:pPr>
              <w:spacing w:after="0"/>
              <w:rPr>
                <w:sz w:val="20"/>
                <w:szCs w:val="20"/>
                <w:color w:val="auto"/>
              </w:rPr>
            </w:pPr>
            <w:r>
              <w:rPr>
                <w:rFonts w:ascii="Arial" w:cs="Arial" w:eastAsia="Arial" w:hAnsi="Arial"/>
                <w:sz w:val="15"/>
                <w:szCs w:val="15"/>
                <w:color w:val="auto"/>
              </w:rPr>
              <w:t>Agreement</w:t>
            </w:r>
          </w:p>
        </w:tc>
        <w:tc>
          <w:tcPr>
            <w:tcW w:w="1180" w:type="dxa"/>
            <w:vAlign w:val="bottom"/>
            <w:tcBorders>
              <w:top w:val="single" w:sz="8" w:color="auto"/>
            </w:tcBorders>
          </w:tcPr>
          <w:p>
            <w:pPr>
              <w:spacing w:after="0"/>
              <w:rPr>
                <w:sz w:val="24"/>
                <w:szCs w:val="24"/>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Business Day</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Certificate of Merger</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Closing</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Closing Date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Code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Common Stock Exchange Ratio</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Capital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Certificate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Certificates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Common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Disclosure Schedule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Employee Plans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Intellectual Property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2.20(a)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Material Adverse Effect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Material Contracts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2.9(a)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Option Plan</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1.10(a)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Stock Options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2.3(b)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Warrant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2.3(b)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DGCL</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Effective Time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Equitable Exceptions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2.4(b)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ERISA</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ERISA Affiliate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Governmental Authority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2.4(d)</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Insurance Policies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2.19(a)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Interim Period</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4.1(a)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knowledge of the Company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Liens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2.2(d)</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Material Permits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2.11(a)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Consideration</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Shares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Sub</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Sub Common Stock</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1.11</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Most Recent Balance Sheet</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Most Recent Balance Sheet Date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Other Filings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5.1(b)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 Common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 Disclosure Schedule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III</w:t>
            </w: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Parent Material Contracts</w:t>
            </w:r>
          </w:p>
        </w:tc>
        <w:tc>
          <w:tcPr>
            <w:tcW w:w="1180" w:type="dxa"/>
            <w:vAlign w:val="bottom"/>
          </w:tcPr>
          <w:p>
            <w:pPr>
              <w:spacing w:after="0"/>
              <w:rPr>
                <w:sz w:val="16"/>
                <w:szCs w:val="16"/>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3.9(a)</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 SEC Reports</w:t>
            </w:r>
          </w:p>
        </w:tc>
        <w:tc>
          <w:tcPr>
            <w:tcW w:w="4780" w:type="dxa"/>
            <w:vAlign w:val="bottom"/>
          </w:tcPr>
          <w:p>
            <w:pPr>
              <w:jc w:val="right"/>
              <w:spacing w:after="0"/>
              <w:rPr>
                <w:sz w:val="20"/>
                <w:szCs w:val="20"/>
                <w:color w:val="auto"/>
              </w:rPr>
            </w:pPr>
            <w:r>
              <w:rPr>
                <w:rFonts w:ascii="Arial" w:cs="Arial" w:eastAsia="Arial" w:hAnsi="Arial"/>
                <w:sz w:val="15"/>
                <w:szCs w:val="15"/>
                <w:color w:val="auto"/>
              </w:rPr>
              <w:t>3.5(a)</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Parent’s Most Recent Balance Sheet</w:t>
            </w:r>
          </w:p>
        </w:tc>
        <w:tc>
          <w:tcPr>
            <w:tcW w:w="47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Parent’s Most Recent Balance Sheet Date</w:t>
            </w:r>
          </w:p>
        </w:tc>
        <w:tc>
          <w:tcPr>
            <w:tcW w:w="47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Parties</w:t>
            </w:r>
          </w:p>
        </w:tc>
        <w:tc>
          <w:tcPr>
            <w:tcW w:w="478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Party</w:t>
            </w:r>
          </w:p>
        </w:tc>
        <w:tc>
          <w:tcPr>
            <w:tcW w:w="478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Personal Property</w:t>
            </w:r>
          </w:p>
        </w:tc>
        <w:tc>
          <w:tcPr>
            <w:tcW w:w="4780" w:type="dxa"/>
            <w:vAlign w:val="bottom"/>
          </w:tcPr>
          <w:p>
            <w:pPr>
              <w:jc w:val="right"/>
              <w:spacing w:after="0"/>
              <w:rPr>
                <w:sz w:val="20"/>
                <w:szCs w:val="20"/>
                <w:color w:val="auto"/>
              </w:rPr>
            </w:pPr>
            <w:r>
              <w:rPr>
                <w:rFonts w:ascii="Arial" w:cs="Arial" w:eastAsia="Arial" w:hAnsi="Arial"/>
                <w:sz w:val="15"/>
                <w:szCs w:val="15"/>
                <w:color w:val="auto"/>
              </w:rPr>
              <w:t>3.24(b)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Returns</w:t>
            </w:r>
          </w:p>
        </w:tc>
        <w:tc>
          <w:tcPr>
            <w:tcW w:w="4780" w:type="dxa"/>
            <w:vAlign w:val="bottom"/>
          </w:tcPr>
          <w:p>
            <w:pPr>
              <w:jc w:val="right"/>
              <w:spacing w:after="0"/>
              <w:rPr>
                <w:sz w:val="20"/>
                <w:szCs w:val="20"/>
                <w:color w:val="auto"/>
              </w:rPr>
            </w:pPr>
            <w:r>
              <w:rPr>
                <w:rFonts w:ascii="Arial" w:cs="Arial" w:eastAsia="Arial" w:hAnsi="Arial"/>
                <w:sz w:val="15"/>
                <w:szCs w:val="15"/>
                <w:color w:val="auto"/>
              </w:rPr>
              <w:t>2.15(b)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Securities Act</w:t>
            </w:r>
          </w:p>
        </w:tc>
        <w:tc>
          <w:tcPr>
            <w:tcW w:w="4780" w:type="dxa"/>
            <w:vAlign w:val="bottom"/>
          </w:tcPr>
          <w:p>
            <w:pPr>
              <w:jc w:val="right"/>
              <w:spacing w:after="0"/>
              <w:rPr>
                <w:sz w:val="20"/>
                <w:szCs w:val="20"/>
                <w:color w:val="auto"/>
              </w:rPr>
            </w:pPr>
            <w:r>
              <w:rPr>
                <w:rFonts w:ascii="Arial" w:cs="Arial" w:eastAsia="Arial" w:hAnsi="Arial"/>
                <w:sz w:val="15"/>
                <w:szCs w:val="15"/>
                <w:color w:val="auto"/>
              </w:rPr>
              <w:t>2.2(d)</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Series A Stock</w:t>
            </w:r>
          </w:p>
        </w:tc>
        <w:tc>
          <w:tcPr>
            <w:tcW w:w="4780" w:type="dxa"/>
            <w:vAlign w:val="bottom"/>
          </w:tcPr>
          <w:p>
            <w:pPr>
              <w:jc w:val="right"/>
              <w:spacing w:after="0"/>
              <w:rPr>
                <w:sz w:val="20"/>
                <w:szCs w:val="20"/>
                <w:color w:val="auto"/>
              </w:rPr>
            </w:pPr>
            <w:r>
              <w:rPr>
                <w:rFonts w:ascii="Arial" w:cs="Arial" w:eastAsia="Arial" w:hAnsi="Arial"/>
                <w:sz w:val="15"/>
                <w:szCs w:val="15"/>
                <w:color w:val="auto"/>
              </w:rPr>
              <w:t>1.7(b)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Subsidiary</w:t>
            </w:r>
          </w:p>
        </w:tc>
        <w:tc>
          <w:tcPr>
            <w:tcW w:w="4780" w:type="dxa"/>
            <w:vAlign w:val="bottom"/>
          </w:tcPr>
          <w:p>
            <w:pPr>
              <w:jc w:val="right"/>
              <w:spacing w:after="0"/>
              <w:rPr>
                <w:sz w:val="20"/>
                <w:szCs w:val="20"/>
                <w:color w:val="auto"/>
              </w:rPr>
            </w:pPr>
            <w:r>
              <w:rPr>
                <w:rFonts w:ascii="Arial" w:cs="Arial" w:eastAsia="Arial" w:hAnsi="Arial"/>
                <w:sz w:val="15"/>
                <w:szCs w:val="15"/>
                <w:color w:val="auto"/>
              </w:rPr>
              <w:t>2.2(f)</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Surviving Corporation</w:t>
            </w:r>
          </w:p>
        </w:tc>
        <w:tc>
          <w:tcPr>
            <w:tcW w:w="47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Takeover Laws</w:t>
            </w:r>
          </w:p>
        </w:tc>
        <w:tc>
          <w:tcPr>
            <w:tcW w:w="4780" w:type="dxa"/>
            <w:vAlign w:val="bottom"/>
          </w:tcPr>
          <w:p>
            <w:pPr>
              <w:jc w:val="right"/>
              <w:spacing w:after="0"/>
              <w:rPr>
                <w:sz w:val="20"/>
                <w:szCs w:val="20"/>
                <w:color w:val="auto"/>
              </w:rPr>
            </w:pPr>
            <w:r>
              <w:rPr>
                <w:rFonts w:ascii="Arial" w:cs="Arial" w:eastAsia="Arial" w:hAnsi="Arial"/>
                <w:sz w:val="15"/>
                <w:szCs w:val="15"/>
                <w:color w:val="auto"/>
              </w:rPr>
              <w:t>4.2(a)</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Tax</w:t>
            </w:r>
          </w:p>
        </w:tc>
        <w:tc>
          <w:tcPr>
            <w:tcW w:w="4780" w:type="dxa"/>
            <w:vAlign w:val="bottom"/>
          </w:tcPr>
          <w:p>
            <w:pPr>
              <w:jc w:val="right"/>
              <w:spacing w:after="0"/>
              <w:rPr>
                <w:sz w:val="20"/>
                <w:szCs w:val="20"/>
                <w:color w:val="auto"/>
              </w:rPr>
            </w:pPr>
            <w:r>
              <w:rPr>
                <w:rFonts w:ascii="Arial" w:cs="Arial" w:eastAsia="Arial" w:hAnsi="Arial"/>
                <w:sz w:val="15"/>
                <w:szCs w:val="15"/>
                <w:color w:val="auto"/>
              </w:rPr>
              <w:t>2.15(a)</w:t>
            </w:r>
          </w:p>
        </w:tc>
      </w:tr>
      <w:tr>
        <w:trPr>
          <w:trHeight w:val="188"/>
        </w:trPr>
        <w:tc>
          <w:tcPr>
            <w:tcW w:w="6680" w:type="dxa"/>
            <w:vAlign w:val="bottom"/>
          </w:tcPr>
          <w:p>
            <w:pPr>
              <w:spacing w:after="0"/>
              <w:rPr>
                <w:sz w:val="20"/>
                <w:szCs w:val="20"/>
                <w:color w:val="auto"/>
              </w:rPr>
            </w:pPr>
            <w:r>
              <w:rPr>
                <w:rFonts w:ascii="Arial" w:cs="Arial" w:eastAsia="Arial" w:hAnsi="Arial"/>
                <w:sz w:val="15"/>
                <w:szCs w:val="15"/>
                <w:color w:val="auto"/>
              </w:rPr>
              <w:t>Termination Fee</w:t>
            </w:r>
          </w:p>
        </w:tc>
        <w:tc>
          <w:tcPr>
            <w:tcW w:w="4780" w:type="dxa"/>
            <w:vAlign w:val="bottom"/>
          </w:tcPr>
          <w:p>
            <w:pPr>
              <w:jc w:val="right"/>
              <w:spacing w:after="0"/>
              <w:rPr>
                <w:sz w:val="20"/>
                <w:szCs w:val="20"/>
                <w:color w:val="auto"/>
              </w:rPr>
            </w:pPr>
            <w:r>
              <w:rPr>
                <w:rFonts w:ascii="Arial" w:cs="Arial" w:eastAsia="Arial" w:hAnsi="Arial"/>
                <w:sz w:val="15"/>
                <w:szCs w:val="15"/>
                <w:color w:val="auto"/>
              </w:rPr>
              <w:t>7.3(b)</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 w:name="page14"/>
    <w:bookmarkEnd w:id="13"/>
    <w:p>
      <w:pPr>
        <w:jc w:val="both"/>
        <w:ind w:firstLine="535"/>
        <w:spacing w:after="0" w:line="261" w:lineRule="auto"/>
        <w:rPr>
          <w:sz w:val="20"/>
          <w:szCs w:val="20"/>
          <w:color w:val="auto"/>
        </w:rPr>
      </w:pPr>
      <w:r>
        <w:rPr>
          <w:rFonts w:ascii="Arial" w:cs="Arial" w:eastAsia="Arial" w:hAnsi="Arial"/>
          <w:sz w:val="15"/>
          <w:szCs w:val="15"/>
          <w:color w:val="auto"/>
        </w:rPr>
        <w:t>AGREEMENT AND PLAN OF MERGER (this “</w:t>
      </w:r>
      <w:r>
        <w:rPr>
          <w:rFonts w:ascii="Arial" w:cs="Arial" w:eastAsia="Arial" w:hAnsi="Arial"/>
          <w:sz w:val="15"/>
          <w:szCs w:val="15"/>
          <w:b w:val="1"/>
          <w:bCs w:val="1"/>
          <w:color w:val="auto"/>
        </w:rPr>
        <w:t>Agreement</w:t>
      </w:r>
      <w:r>
        <w:rPr>
          <w:rFonts w:ascii="Arial" w:cs="Arial" w:eastAsia="Arial" w:hAnsi="Arial"/>
          <w:sz w:val="15"/>
          <w:szCs w:val="15"/>
          <w:color w:val="auto"/>
        </w:rPr>
        <w:t>”), made and entered into as of March 12,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 MERGER SUB, INC., a Delaware corporation and wholly owned Subsidiary of Parent (“</w:t>
      </w:r>
      <w:r>
        <w:rPr>
          <w:rFonts w:ascii="Arial" w:cs="Arial" w:eastAsia="Arial" w:hAnsi="Arial"/>
          <w:sz w:val="15"/>
          <w:szCs w:val="15"/>
          <w:b w:val="1"/>
          <w:bCs w:val="1"/>
          <w:color w:val="auto"/>
        </w:rPr>
        <w:t>Merger Sub</w:t>
      </w:r>
      <w:r>
        <w:rPr>
          <w:rFonts w:ascii="Arial" w:cs="Arial" w:eastAsia="Arial" w:hAnsi="Arial"/>
          <w:sz w:val="15"/>
          <w:szCs w:val="15"/>
          <w:color w:val="auto"/>
        </w:rPr>
        <w:t>”), and 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Parent, Merger Sub and the Company are sometimes referred to herein each individually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54"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148"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4"/>
          <w:szCs w:val="14"/>
          <w:color w:val="auto"/>
        </w:rPr>
        <w:t>WHEREAS, the Boards of Directors of Parent, Merger Sub and the Company have each approved this Agreement and the merger of the Company with and into Merger Sub (the “</w:t>
      </w:r>
      <w:r>
        <w:rPr>
          <w:rFonts w:ascii="Arial" w:cs="Arial" w:eastAsia="Arial" w:hAnsi="Arial"/>
          <w:sz w:val="14"/>
          <w:szCs w:val="14"/>
          <w:b w:val="1"/>
          <w:bCs w:val="1"/>
          <w:color w:val="auto"/>
        </w:rPr>
        <w:t>Merger</w:t>
      </w:r>
      <w:r>
        <w:rPr>
          <w:rFonts w:ascii="Arial" w:cs="Arial" w:eastAsia="Arial" w:hAnsi="Arial"/>
          <w:sz w:val="14"/>
          <w:szCs w:val="14"/>
          <w:color w:val="auto"/>
        </w:rPr>
        <w:t>”), in accordance with the General Corporation Law of the State of Delaware (the “</w:t>
      </w:r>
      <w:r>
        <w:rPr>
          <w:rFonts w:ascii="Arial" w:cs="Arial" w:eastAsia="Arial" w:hAnsi="Arial"/>
          <w:sz w:val="14"/>
          <w:szCs w:val="14"/>
          <w:b w:val="1"/>
          <w:bCs w:val="1"/>
          <w:color w:val="auto"/>
        </w:rPr>
        <w:t>DGCL</w:t>
      </w:r>
      <w:r>
        <w:rPr>
          <w:rFonts w:ascii="Arial" w:cs="Arial" w:eastAsia="Arial" w:hAnsi="Arial"/>
          <w:sz w:val="14"/>
          <w:szCs w:val="14"/>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137"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and the regulations promulgated thereunder.</w:t>
      </w:r>
    </w:p>
    <w:p>
      <w:pPr>
        <w:spacing w:after="0" w:line="148"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MERGER</w:t>
      </w:r>
    </w:p>
    <w:p>
      <w:pPr>
        <w:spacing w:after="0" w:line="18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The Merger</w:t>
      </w:r>
      <w:r>
        <w:rPr>
          <w:rFonts w:ascii="Arial" w:cs="Arial" w:eastAsia="Arial" w:hAnsi="Arial"/>
          <w:sz w:val="15"/>
          <w:szCs w:val="15"/>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5"/>
          <w:szCs w:val="15"/>
          <w:b w:val="1"/>
          <w:bCs w:val="1"/>
          <w:color w:val="auto"/>
        </w:rPr>
        <w:t>Surviving</w:t>
      </w:r>
      <w:r>
        <w:rPr>
          <w:rFonts w:ascii="Arial" w:cs="Arial" w:eastAsia="Arial" w:hAnsi="Arial"/>
          <w:sz w:val="15"/>
          <w:szCs w:val="15"/>
          <w:color w:val="auto"/>
        </w:rPr>
        <w:t xml:space="preserve"> </w:t>
      </w:r>
      <w:r>
        <w:rPr>
          <w:rFonts w:ascii="Arial" w:cs="Arial" w:eastAsia="Arial" w:hAnsi="Arial"/>
          <w:sz w:val="15"/>
          <w:szCs w:val="15"/>
          <w:b w:val="1"/>
          <w:bCs w:val="1"/>
          <w:color w:val="auto"/>
        </w:rPr>
        <w:t>Corporation</w:t>
      </w:r>
      <w:r>
        <w:rPr>
          <w:rFonts w:ascii="Arial" w:cs="Arial" w:eastAsia="Arial" w:hAnsi="Arial"/>
          <w:sz w:val="15"/>
          <w:szCs w:val="15"/>
          <w:color w:val="auto"/>
        </w:rPr>
        <w:t>.”</w:t>
      </w:r>
    </w:p>
    <w:p>
      <w:pPr>
        <w:spacing w:after="0" w:line="158"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Closing</w:t>
      </w:r>
      <w:r>
        <w:rPr>
          <w:rFonts w:ascii="Arial" w:cs="Arial" w:eastAsia="Arial" w:hAnsi="Arial"/>
          <w:sz w:val="13"/>
          <w:szCs w:val="13"/>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3"/>
          <w:szCs w:val="13"/>
          <w:b w:val="1"/>
          <w:bCs w:val="1"/>
          <w:color w:val="auto"/>
        </w:rPr>
        <w:t>Closing</w:t>
      </w:r>
      <w:r>
        <w:rPr>
          <w:rFonts w:ascii="Arial" w:cs="Arial" w:eastAsia="Arial" w:hAnsi="Arial"/>
          <w:sz w:val="13"/>
          <w:szCs w:val="13"/>
          <w:color w:val="auto"/>
        </w:rPr>
        <w:t>”) shall take place at 10:00 a.m. (eastern standard time) on a date to be mutually agreed upon by the Parties (the “</w:t>
      </w:r>
      <w:r>
        <w:rPr>
          <w:rFonts w:ascii="Arial" w:cs="Arial" w:eastAsia="Arial" w:hAnsi="Arial"/>
          <w:sz w:val="13"/>
          <w:szCs w:val="13"/>
          <w:b w:val="1"/>
          <w:bCs w:val="1"/>
          <w:color w:val="auto"/>
        </w:rPr>
        <w:t>Closing Date</w:t>
      </w:r>
      <w:r>
        <w:rPr>
          <w:rFonts w:ascii="Arial" w:cs="Arial" w:eastAsia="Arial" w:hAnsi="Arial"/>
          <w:sz w:val="13"/>
          <w:szCs w:val="13"/>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3"/>
          <w:szCs w:val="13"/>
          <w:b w:val="1"/>
          <w:bCs w:val="1"/>
          <w:color w:val="auto"/>
        </w:rPr>
        <w:t>Business Day</w:t>
      </w:r>
      <w:r>
        <w:rPr>
          <w:rFonts w:ascii="Arial" w:cs="Arial" w:eastAsia="Arial" w:hAnsi="Arial"/>
          <w:sz w:val="13"/>
          <w:szCs w:val="13"/>
          <w:color w:val="auto"/>
        </w:rPr>
        <w:t>” shall mean any day on which banks are permitted to be open in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318135</wp:posOffset>
            </wp:positionV>
            <wp:extent cx="72707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27" w:right="219" w:bottom="1440" w:gutter="0" w:footer="0" w:header="0"/>
        </w:sectPr>
      </w:pPr>
    </w:p>
    <w:bookmarkStart w:id="14" w:name="page15"/>
    <w:bookmarkEnd w:id="14"/>
    <w:p>
      <w:pPr>
        <w:ind w:left="540"/>
        <w:spacing w:after="0"/>
        <w:tabs>
          <w:tab w:leader="none" w:pos="90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u w:val="single" w:color="auto"/>
          <w:color w:val="auto"/>
        </w:rPr>
        <w:t>Effective Time</w:t>
      </w:r>
      <w:r>
        <w:rPr>
          <w:rFonts w:ascii="Arial" w:cs="Arial" w:eastAsia="Arial" w:hAnsi="Arial"/>
          <w:sz w:val="13"/>
          <w:szCs w:val="13"/>
          <w:color w:val="auto"/>
        </w:rPr>
        <w:t>. Subject to the provisions of this Agreement, on the Closing Date or as soon thereafter as is practicable the Parties shall cause the Merger to become effective by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executing and filing in accordance with the DGCL a certificate of merger with the Secretary of State of the State of Delaware in substantially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Certificate of Merger</w:t>
      </w:r>
      <w:r>
        <w:rPr>
          <w:rFonts w:ascii="Arial" w:cs="Arial" w:eastAsia="Arial" w:hAnsi="Arial"/>
          <w:sz w:val="13"/>
          <w:szCs w:val="13"/>
          <w:color w:val="auto"/>
        </w:rPr>
        <w:t>”), the date and time of such filing, or such later date and time as may be agreed upon by the Parties and specified therein, being hereinafter referred to as the “</w:t>
      </w:r>
      <w:r>
        <w:rPr>
          <w:rFonts w:ascii="Arial" w:cs="Arial" w:eastAsia="Arial" w:hAnsi="Arial"/>
          <w:sz w:val="13"/>
          <w:szCs w:val="13"/>
          <w:b w:val="1"/>
          <w:bCs w:val="1"/>
          <w:color w:val="auto"/>
        </w:rPr>
        <w:t>Effective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Time</w:t>
      </w:r>
      <w:r>
        <w:rPr>
          <w:rFonts w:ascii="Arial" w:cs="Arial" w:eastAsia="Arial" w:hAnsi="Arial"/>
          <w:sz w:val="15"/>
          <w:szCs w:val="15"/>
          <w:color w:val="auto"/>
        </w:rPr>
        <w:t>.”</w:t>
      </w:r>
    </w:p>
    <w:p>
      <w:pPr>
        <w:spacing w:after="0" w:line="174" w:lineRule="exact"/>
        <w:rPr>
          <w:sz w:val="20"/>
          <w:szCs w:val="20"/>
          <w:color w:val="auto"/>
        </w:rPr>
      </w:pPr>
    </w:p>
    <w:p>
      <w:pPr>
        <w:ind w:right="100" w:firstLine="535"/>
        <w:spacing w:after="0" w:line="286"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Effect of the Merger</w:t>
      </w:r>
      <w:r>
        <w:rPr>
          <w:rFonts w:ascii="Arial" w:cs="Arial" w:eastAsia="Arial" w:hAnsi="Arial"/>
          <w:sz w:val="14"/>
          <w:szCs w:val="14"/>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37"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Certificate of Incorporation and Bylaws of the Surviving Corporation</w:t>
      </w:r>
      <w:r>
        <w:rPr>
          <w:rFonts w:ascii="Arial" w:cs="Arial" w:eastAsia="Arial" w:hAnsi="Arial"/>
          <w:sz w:val="15"/>
          <w:szCs w:val="15"/>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5"/>
          <w:szCs w:val="15"/>
          <w:u w:val="single" w:color="auto"/>
          <w:color w:val="auto"/>
        </w:rPr>
        <w:t>Exhibit K</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hereto, respectively, until amended in accordance with the respective terms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160"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Directors and Officers</w:t>
      </w:r>
      <w:r>
        <w:rPr>
          <w:rFonts w:ascii="Arial" w:cs="Arial" w:eastAsia="Arial" w:hAnsi="Arial"/>
          <w:sz w:val="15"/>
          <w:szCs w:val="15"/>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148" w:lineRule="exact"/>
        <w:rPr>
          <w:sz w:val="20"/>
          <w:szCs w:val="20"/>
          <w:color w:val="auto"/>
        </w:rPr>
      </w:pPr>
    </w:p>
    <w:p>
      <w:pPr>
        <w:ind w:right="300" w:firstLine="535"/>
        <w:spacing w:after="0" w:line="269"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Conversion of Company Common Stock, Etc</w:t>
      </w:r>
      <w:r>
        <w:rPr>
          <w:rFonts w:ascii="Arial" w:cs="Arial" w:eastAsia="Arial" w:hAnsi="Arial"/>
          <w:sz w:val="15"/>
          <w:szCs w:val="15"/>
          <w:color w:val="auto"/>
        </w:rPr>
        <w:t>. At the Effective Time, by virtue of the Merger and without any action on the part of the Parties or the holders of the following securities:</w:t>
      </w:r>
    </w:p>
    <w:p>
      <w:pPr>
        <w:spacing w:after="0" w:line="144" w:lineRule="exact"/>
        <w:rPr>
          <w:sz w:val="20"/>
          <w:szCs w:val="20"/>
          <w:color w:val="auto"/>
        </w:rPr>
      </w:pPr>
    </w:p>
    <w:p>
      <w:pPr>
        <w:jc w:val="both"/>
        <w:ind w:firstLine="1078"/>
        <w:spacing w:after="0" w:line="281" w:lineRule="auto"/>
        <w:tabs>
          <w:tab w:leader="none" w:pos="1475"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share of the Company’s common stock, par value $0.0001 per share (“</w:t>
      </w:r>
      <w:r>
        <w:rPr>
          <w:rFonts w:ascii="Arial" w:cs="Arial" w:eastAsia="Arial" w:hAnsi="Arial"/>
          <w:sz w:val="14"/>
          <w:szCs w:val="14"/>
          <w:b w:val="1"/>
          <w:bCs w:val="1"/>
          <w:color w:val="auto"/>
        </w:rPr>
        <w:t>Company Common Stock</w:t>
      </w:r>
      <w:r>
        <w:rPr>
          <w:rFonts w:ascii="Arial" w:cs="Arial" w:eastAsia="Arial" w:hAnsi="Arial"/>
          <w:sz w:val="14"/>
          <w:szCs w:val="14"/>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4"/>
          <w:szCs w:val="14"/>
          <w:b w:val="1"/>
          <w:bCs w:val="1"/>
          <w:color w:val="auto"/>
        </w:rPr>
        <w:t>Parent Common Stock</w:t>
      </w:r>
      <w:r>
        <w:rPr>
          <w:rFonts w:ascii="Arial" w:cs="Arial" w:eastAsia="Arial" w:hAnsi="Arial"/>
          <w:sz w:val="14"/>
          <w:szCs w:val="14"/>
          <w:color w:val="auto"/>
        </w:rPr>
        <w:t>”) equal to the Common Stock Exchange Ratio. For purposes of this Agreement, the “Common Stock Exchange Ratio” shall initially be 3.0176, subject to adjustment as set forth in Section 1.13.</w:t>
      </w:r>
    </w:p>
    <w:p>
      <w:pPr>
        <w:spacing w:after="0" w:line="319" w:lineRule="exact"/>
        <w:rPr>
          <w:rFonts w:ascii="Arial" w:cs="Arial" w:eastAsia="Arial" w:hAnsi="Arial"/>
          <w:sz w:val="14"/>
          <w:szCs w:val="14"/>
          <w:color w:val="auto"/>
        </w:rPr>
      </w:pPr>
    </w:p>
    <w:p>
      <w:pPr>
        <w:ind w:left="5700" w:hanging="90"/>
        <w:spacing w:after="0"/>
        <w:tabs>
          <w:tab w:leader="none" w:pos="5700" w:val="left"/>
        </w:tabs>
        <w:numPr>
          <w:ilvl w:val="1"/>
          <w:numId w:val="9"/>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5" w:name="page16"/>
    <w:bookmarkEnd w:id="15"/>
    <w:p>
      <w:pPr>
        <w:jc w:val="both"/>
        <w:ind w:firstLine="1078"/>
        <w:spacing w:after="0" w:line="253" w:lineRule="auto"/>
        <w:tabs>
          <w:tab w:leader="none" w:pos="14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share of the Company’s Series A Convertible Preferred Stock, par value $0.0001 per share (the “</w:t>
      </w:r>
      <w:r>
        <w:rPr>
          <w:rFonts w:ascii="Arial" w:cs="Arial" w:eastAsia="Arial" w:hAnsi="Arial"/>
          <w:sz w:val="15"/>
          <w:szCs w:val="15"/>
          <w:b w:val="1"/>
          <w:bCs w:val="1"/>
          <w:color w:val="auto"/>
        </w:rPr>
        <w:t>Series A Stock</w:t>
      </w:r>
      <w:r>
        <w:rPr>
          <w:rFonts w:ascii="Arial" w:cs="Arial" w:eastAsia="Arial" w:hAnsi="Arial"/>
          <w:sz w:val="15"/>
          <w:szCs w:val="15"/>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5"/>
          <w:szCs w:val="15"/>
          <w:b w:val="1"/>
          <w:bCs w:val="1"/>
          <w:color w:val="auto"/>
        </w:rPr>
        <w:t>Parent Preferred Stock</w:t>
      </w:r>
      <w:r>
        <w:rPr>
          <w:rFonts w:ascii="Arial" w:cs="Arial" w:eastAsia="Arial" w:hAnsi="Arial"/>
          <w:sz w:val="15"/>
          <w:szCs w:val="15"/>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w:t>
      </w:r>
    </w:p>
    <w:p>
      <w:pPr>
        <w:spacing w:after="0" w:line="156" w:lineRule="exact"/>
        <w:rPr>
          <w:rFonts w:ascii="Arial" w:cs="Arial" w:eastAsia="Arial" w:hAnsi="Arial"/>
          <w:sz w:val="15"/>
          <w:szCs w:val="15"/>
          <w:color w:val="auto"/>
        </w:rPr>
      </w:pPr>
    </w:p>
    <w:p>
      <w:pPr>
        <w:jc w:val="both"/>
        <w:ind w:firstLine="1078"/>
        <w:spacing w:after="0" w:line="272" w:lineRule="auto"/>
        <w:tabs>
          <w:tab w:leader="none" w:pos="1419" w:val="left"/>
        </w:tabs>
        <w:numPr>
          <w:ilvl w:val="0"/>
          <w:numId w:val="10"/>
        </w:numPr>
        <w:rPr>
          <w:rFonts w:ascii="Arial" w:cs="Arial" w:eastAsia="Arial" w:hAnsi="Arial"/>
          <w:sz w:val="14"/>
          <w:szCs w:val="14"/>
          <w:color w:val="auto"/>
        </w:rPr>
      </w:pPr>
      <w:r>
        <w:rPr>
          <w:rFonts w:ascii="Arial" w:cs="Arial" w:eastAsia="Arial" w:hAnsi="Arial"/>
          <w:sz w:val="14"/>
          <w:szCs w:val="14"/>
          <w:color w:val="auto"/>
        </w:rPr>
        <w:t>From and after the Effective Time, all shares of Company Common Stock and Series A Stock (together, “</w:t>
      </w:r>
      <w:r>
        <w:rPr>
          <w:rFonts w:ascii="Arial" w:cs="Arial" w:eastAsia="Arial" w:hAnsi="Arial"/>
          <w:sz w:val="14"/>
          <w:szCs w:val="14"/>
          <w:b w:val="1"/>
          <w:bCs w:val="1"/>
          <w:color w:val="auto"/>
        </w:rPr>
        <w:t>Company Capital Stock</w:t>
      </w:r>
      <w:r>
        <w:rPr>
          <w:rFonts w:ascii="Arial" w:cs="Arial" w:eastAsia="Arial" w:hAnsi="Arial"/>
          <w:sz w:val="14"/>
          <w:szCs w:val="14"/>
          <w:color w:val="auto"/>
        </w:rPr>
        <w:t>”) (other than any shares of Company Capital Stock to be canceled and retired pursuant to Section 1.8) shall be deemed canceled and shall cease to exist, and each holder (each, a “</w:t>
      </w:r>
      <w:r>
        <w:rPr>
          <w:rFonts w:ascii="Arial" w:cs="Arial" w:eastAsia="Arial" w:hAnsi="Arial"/>
          <w:sz w:val="14"/>
          <w:szCs w:val="14"/>
          <w:b w:val="1"/>
          <w:bCs w:val="1"/>
          <w:color w:val="auto"/>
        </w:rPr>
        <w:t>Company Stockholder</w:t>
      </w:r>
      <w:r>
        <w:rPr>
          <w:rFonts w:ascii="Arial" w:cs="Arial" w:eastAsia="Arial" w:hAnsi="Arial"/>
          <w:sz w:val="14"/>
          <w:szCs w:val="14"/>
          <w:color w:val="auto"/>
        </w:rPr>
        <w:t>”) of a certificate which previously represented any such share of Company Capital Stock (each, a “Company Certificate” and, collectively, the “</w:t>
      </w:r>
      <w:r>
        <w:rPr>
          <w:rFonts w:ascii="Arial" w:cs="Arial" w:eastAsia="Arial" w:hAnsi="Arial"/>
          <w:sz w:val="14"/>
          <w:szCs w:val="14"/>
          <w:b w:val="1"/>
          <w:bCs w:val="1"/>
          <w:color w:val="auto"/>
        </w:rPr>
        <w:t>Company Certificates</w:t>
      </w:r>
      <w:r>
        <w:rPr>
          <w:rFonts w:ascii="Arial" w:cs="Arial" w:eastAsia="Arial" w:hAnsi="Arial"/>
          <w:sz w:val="14"/>
          <w:szCs w:val="14"/>
          <w:color w:val="auto"/>
        </w:rPr>
        <w:t>”) shall cease to have any rights with respect thereto except for the right to receive the Merger Consideration in accordance with Section 1.15 or as otherwise set forth herein or under applicable law. The holders of Company Capital Stock immediately prior to the Effective Time shall be entitled to 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4"/>
          <w:szCs w:val="14"/>
          <w:b w:val="1"/>
          <w:bCs w:val="1"/>
          <w:color w:val="auto"/>
        </w:rPr>
        <w:t>Merger Shares</w:t>
      </w:r>
      <w:r>
        <w:rPr>
          <w:rFonts w:ascii="Arial" w:cs="Arial" w:eastAsia="Arial" w:hAnsi="Arial"/>
          <w:sz w:val="14"/>
          <w:szCs w:val="14"/>
          <w:color w:val="auto"/>
        </w:rPr>
        <w:t>.” The Merger Shares, together with the Series 1 Warrants and Series 2 Warrants are collectively referred to herein as the “</w:t>
      </w:r>
      <w:r>
        <w:rPr>
          <w:rFonts w:ascii="Arial" w:cs="Arial" w:eastAsia="Arial" w:hAnsi="Arial"/>
          <w:sz w:val="14"/>
          <w:szCs w:val="14"/>
          <w:b w:val="1"/>
          <w:bCs w:val="1"/>
          <w:color w:val="auto"/>
        </w:rPr>
        <w:t>Merger Consideration</w:t>
      </w:r>
      <w:r>
        <w:rPr>
          <w:rFonts w:ascii="Arial" w:cs="Arial" w:eastAsia="Arial" w:hAnsi="Arial"/>
          <w:sz w:val="14"/>
          <w:szCs w:val="14"/>
          <w:color w:val="auto"/>
        </w:rPr>
        <w:t>.”</w:t>
      </w:r>
    </w:p>
    <w:p>
      <w:pPr>
        <w:spacing w:after="0" w:line="148"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u w:val="single" w:color="auto"/>
          <w:color w:val="auto"/>
        </w:rPr>
        <w:t>Cancellation of Shares</w:t>
      </w:r>
      <w:r>
        <w:rPr>
          <w:rFonts w:ascii="Arial" w:cs="Arial" w:eastAsia="Arial" w:hAnsi="Arial"/>
          <w:sz w:val="15"/>
          <w:szCs w:val="15"/>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157" w:lineRule="exact"/>
        <w:rPr>
          <w:sz w:val="20"/>
          <w:szCs w:val="20"/>
          <w:color w:val="auto"/>
        </w:rPr>
      </w:pPr>
    </w:p>
    <w:p>
      <w:pPr>
        <w:ind w:right="20" w:firstLine="535"/>
        <w:spacing w:after="0" w:line="255" w:lineRule="auto"/>
        <w:rPr>
          <w:sz w:val="20"/>
          <w:szCs w:val="20"/>
          <w:color w:val="auto"/>
        </w:rPr>
      </w:pPr>
      <w:r>
        <w:rPr>
          <w:rFonts w:ascii="Arial" w:cs="Arial" w:eastAsia="Arial" w:hAnsi="Arial"/>
          <w:sz w:val="15"/>
          <w:szCs w:val="15"/>
          <w:color w:val="auto"/>
        </w:rPr>
        <w:t xml:space="preserve">1.9 </w:t>
      </w:r>
      <w:r>
        <w:rPr>
          <w:rFonts w:ascii="Arial" w:cs="Arial" w:eastAsia="Arial" w:hAnsi="Arial"/>
          <w:sz w:val="15"/>
          <w:szCs w:val="15"/>
          <w:u w:val="single" w:color="auto"/>
          <w:color w:val="auto"/>
        </w:rPr>
        <w:t>No Further Ownership Rights in Company Stock</w:t>
      </w:r>
      <w:r>
        <w:rPr>
          <w:rFonts w:ascii="Arial" w:cs="Arial" w:eastAsia="Arial" w:hAnsi="Arial"/>
          <w:sz w:val="15"/>
          <w:szCs w:val="15"/>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6" w:name="page17"/>
    <w:bookmarkEnd w:id="16"/>
    <w:p>
      <w:pPr>
        <w:ind w:left="540"/>
        <w:spacing w:after="0"/>
        <w:tabs>
          <w:tab w:leader="none" w:pos="960"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3"/>
          <w:szCs w:val="13"/>
          <w:u w:val="single" w:color="auto"/>
          <w:color w:val="auto"/>
        </w:rPr>
        <w:t>Company Stock Options And Warrants</w:t>
      </w:r>
      <w:r>
        <w:rPr>
          <w:rFonts w:ascii="Arial" w:cs="Arial" w:eastAsia="Arial" w:hAnsi="Arial"/>
          <w:sz w:val="13"/>
          <w:szCs w:val="13"/>
          <w:color w:val="auto"/>
        </w:rPr>
        <w:t>. At the Effective Time:</w:t>
      </w:r>
    </w:p>
    <w:p>
      <w:pPr>
        <w:spacing w:after="0" w:line="184" w:lineRule="exact"/>
        <w:rPr>
          <w:sz w:val="20"/>
          <w:szCs w:val="20"/>
          <w:color w:val="auto"/>
        </w:rPr>
      </w:pPr>
    </w:p>
    <w:p>
      <w:pPr>
        <w:jc w:val="both"/>
        <w:ind w:firstLine="1078"/>
        <w:spacing w:after="0" w:line="270" w:lineRule="auto"/>
        <w:tabs>
          <w:tab w:leader="none" w:pos="1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4"/>
          <w:szCs w:val="14"/>
          <w:b w:val="1"/>
          <w:bCs w:val="1"/>
          <w:color w:val="auto"/>
        </w:rPr>
        <w:t>New Company Option</w:t>
      </w:r>
      <w:r>
        <w:rPr>
          <w:rFonts w:ascii="Arial" w:cs="Arial" w:eastAsia="Arial" w:hAnsi="Arial"/>
          <w:sz w:val="14"/>
          <w:szCs w:val="14"/>
          <w:color w:val="auto"/>
        </w:rPr>
        <w:t>”) as set forth in this Section 1.10, and Parent shall assume such Company Stock Option in accordance with the terms of the Company’s 2011 Equity Incentive Plan (the “</w:t>
      </w:r>
      <w:r>
        <w:rPr>
          <w:rFonts w:ascii="Arial" w:cs="Arial" w:eastAsia="Arial" w:hAnsi="Arial"/>
          <w:sz w:val="14"/>
          <w:szCs w:val="14"/>
          <w:b w:val="1"/>
          <w:bCs w:val="1"/>
          <w:color w:val="auto"/>
        </w:rPr>
        <w:t>Company Option Plan</w:t>
      </w:r>
      <w:r>
        <w:rPr>
          <w:rFonts w:ascii="Arial" w:cs="Arial" w:eastAsia="Arial" w:hAnsi="Arial"/>
          <w:sz w:val="14"/>
          <w:szCs w:val="14"/>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153" w:lineRule="exact"/>
        <w:rPr>
          <w:rFonts w:ascii="Arial" w:cs="Arial" w:eastAsia="Arial" w:hAnsi="Arial"/>
          <w:sz w:val="14"/>
          <w:szCs w:val="14"/>
          <w:color w:val="auto"/>
        </w:rPr>
      </w:pPr>
    </w:p>
    <w:p>
      <w:pPr>
        <w:jc w:val="both"/>
        <w:ind w:firstLine="1078"/>
        <w:spacing w:after="0" w:line="255" w:lineRule="auto"/>
        <w:tabs>
          <w:tab w:leader="none" w:pos="14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5"/>
          <w:szCs w:val="15"/>
          <w:b w:val="1"/>
          <w:bCs w:val="1"/>
          <w:color w:val="auto"/>
        </w:rPr>
        <w:t>New Company Warrant</w:t>
      </w:r>
      <w:r>
        <w:rPr>
          <w:rFonts w:ascii="Arial" w:cs="Arial" w:eastAsia="Arial" w:hAnsi="Arial"/>
          <w:sz w:val="15"/>
          <w:szCs w:val="15"/>
          <w:color w:val="auto"/>
        </w:rPr>
        <w:t>”), with the form of the New Company Warrant to be in the form of the Series 2 Warrant. Prior to the Effective Time, the Company shall take all actions necessary or reasonably requested by Parent (including obtaining any necessary consents) to effectuate the provisions of this Section 1.10(b).</w:t>
      </w:r>
    </w:p>
    <w:p>
      <w:pPr>
        <w:spacing w:after="0" w:line="154" w:lineRule="exact"/>
        <w:rPr>
          <w:sz w:val="20"/>
          <w:szCs w:val="20"/>
          <w:color w:val="auto"/>
        </w:rPr>
      </w:pPr>
    </w:p>
    <w:p>
      <w:pPr>
        <w:ind w:right="200" w:firstLine="535"/>
        <w:spacing w:after="0" w:line="354"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Capital Stock of Company</w:t>
      </w:r>
      <w:r>
        <w:rPr>
          <w:rFonts w:ascii="Arial" w:cs="Arial" w:eastAsia="Arial" w:hAnsi="Arial"/>
          <w:sz w:val="13"/>
          <w:szCs w:val="13"/>
          <w:color w:val="auto"/>
        </w:rPr>
        <w:t>. Each share of common stock of Merger Sub, par value $0.01 per share (the “</w:t>
      </w:r>
      <w:r>
        <w:rPr>
          <w:rFonts w:ascii="Arial" w:cs="Arial" w:eastAsia="Arial" w:hAnsi="Arial"/>
          <w:sz w:val="13"/>
          <w:szCs w:val="13"/>
          <w:b w:val="1"/>
          <w:bCs w:val="1"/>
          <w:color w:val="auto"/>
        </w:rPr>
        <w:t>Merger Sub Common Stock</w:t>
      </w:r>
      <w:r>
        <w:rPr>
          <w:rFonts w:ascii="Arial" w:cs="Arial" w:eastAsia="Arial" w:hAnsi="Arial"/>
          <w:sz w:val="13"/>
          <w:szCs w:val="13"/>
          <w:color w:val="auto"/>
        </w:rPr>
        <w:t>”) issued and outstanding immediately prior to the Effective Time shall, from and after the Effective Time, remain outstanding and shall constitute the only outstanding shares of common stock of the Surviving Corporation.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7" w:name="page18"/>
    <w:bookmarkEnd w:id="17"/>
    <w:p>
      <w:pPr>
        <w:ind w:right="140" w:firstLine="535"/>
        <w:spacing w:after="0" w:line="269"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Issuance of Parent Warrants</w:t>
      </w:r>
      <w:r>
        <w:rPr>
          <w:rFonts w:ascii="Arial" w:cs="Arial" w:eastAsia="Arial" w:hAnsi="Arial"/>
          <w:sz w:val="15"/>
          <w:szCs w:val="15"/>
          <w:color w:val="auto"/>
        </w:rPr>
        <w:t xml:space="preserve">. At the Effective Time, Parent will issue to the Company stockholders including the holder of the Company Warrants,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the following:</w:t>
      </w:r>
    </w:p>
    <w:p>
      <w:pPr>
        <w:spacing w:after="0" w:line="148" w:lineRule="exact"/>
        <w:rPr>
          <w:sz w:val="20"/>
          <w:szCs w:val="20"/>
          <w:color w:val="auto"/>
        </w:rPr>
      </w:pPr>
    </w:p>
    <w:p>
      <w:pPr>
        <w:ind w:firstLine="1078"/>
        <w:spacing w:after="0" w:line="269" w:lineRule="auto"/>
        <w:tabs>
          <w:tab w:leader="none" w:pos="14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(the “</w:t>
      </w:r>
      <w:r>
        <w:rPr>
          <w:rFonts w:ascii="Arial" w:cs="Arial" w:eastAsia="Arial" w:hAnsi="Arial"/>
          <w:sz w:val="15"/>
          <w:szCs w:val="15"/>
          <w:b w:val="1"/>
          <w:bCs w:val="1"/>
          <w:color w:val="auto"/>
        </w:rPr>
        <w:t>Series 1 Warrants</w:t>
      </w:r>
      <w:r>
        <w:rPr>
          <w:rFonts w:ascii="Arial" w:cs="Arial" w:eastAsia="Arial" w:hAnsi="Arial"/>
          <w:sz w:val="15"/>
          <w:szCs w:val="15"/>
          <w:color w:val="auto"/>
        </w:rPr>
        <w:t>”); and</w:t>
      </w:r>
    </w:p>
    <w:p>
      <w:pPr>
        <w:spacing w:after="0" w:line="147" w:lineRule="exact"/>
        <w:rPr>
          <w:rFonts w:ascii="Arial" w:cs="Arial" w:eastAsia="Arial" w:hAnsi="Arial"/>
          <w:sz w:val="15"/>
          <w:szCs w:val="15"/>
          <w:color w:val="auto"/>
        </w:rPr>
      </w:pPr>
    </w:p>
    <w:p>
      <w:pPr>
        <w:ind w:right="20" w:firstLine="1078"/>
        <w:spacing w:after="0" w:line="269" w:lineRule="auto"/>
        <w:tabs>
          <w:tab w:leader="none" w:pos="1506"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(the “</w:t>
      </w:r>
      <w:r>
        <w:rPr>
          <w:rFonts w:ascii="Arial" w:cs="Arial" w:eastAsia="Arial" w:hAnsi="Arial"/>
          <w:sz w:val="15"/>
          <w:szCs w:val="15"/>
          <w:b w:val="1"/>
          <w:bCs w:val="1"/>
          <w:color w:val="auto"/>
        </w:rPr>
        <w:t>Series 2 Warrants</w:t>
      </w:r>
      <w:r>
        <w:rPr>
          <w:rFonts w:ascii="Arial" w:cs="Arial" w:eastAsia="Arial" w:hAnsi="Arial"/>
          <w:sz w:val="15"/>
          <w:szCs w:val="15"/>
          <w:color w:val="auto"/>
        </w:rPr>
        <w:t>”).</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Adjustments to Exchange Ratios</w:t>
      </w:r>
      <w:r>
        <w:rPr>
          <w:rFonts w:ascii="Arial" w:cs="Arial" w:eastAsia="Arial" w:hAnsi="Arial"/>
          <w:sz w:val="15"/>
          <w:szCs w:val="15"/>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158"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No Fractional Shares</w:t>
      </w:r>
      <w:r>
        <w:rPr>
          <w:rFonts w:ascii="Arial" w:cs="Arial" w:eastAsia="Arial" w:hAnsi="Arial"/>
          <w:sz w:val="15"/>
          <w:szCs w:val="15"/>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160" w:lineRule="exact"/>
        <w:rPr>
          <w:sz w:val="20"/>
          <w:szCs w:val="20"/>
          <w:color w:val="auto"/>
        </w:rPr>
      </w:pPr>
    </w:p>
    <w:p>
      <w:pPr>
        <w:ind w:right="40" w:firstLine="535"/>
        <w:spacing w:after="0" w:line="270"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Exchange of Certificates</w:t>
      </w:r>
      <w:r>
        <w:rPr>
          <w:rFonts w:ascii="Arial" w:cs="Arial" w:eastAsia="Arial" w:hAnsi="Arial"/>
          <w:sz w:val="14"/>
          <w:szCs w:val="14"/>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 w:name="page19"/>
    <w:bookmarkEnd w:id="18"/>
    <w:p>
      <w:pPr>
        <w:ind w:right="120" w:firstLine="535"/>
        <w:spacing w:after="0" w:line="306"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u w:val="single" w:color="auto"/>
          <w:color w:val="auto"/>
        </w:rPr>
        <w:t>No Liability</w:t>
      </w:r>
      <w:r>
        <w:rPr>
          <w:rFonts w:ascii="Arial" w:cs="Arial" w:eastAsia="Arial" w:hAnsi="Arial"/>
          <w:sz w:val="14"/>
          <w:szCs w:val="14"/>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124" w:lineRule="exact"/>
        <w:rPr>
          <w:sz w:val="20"/>
          <w:szCs w:val="20"/>
          <w:color w:val="auto"/>
        </w:rPr>
      </w:pPr>
    </w:p>
    <w:p>
      <w:pPr>
        <w:jc w:val="both"/>
        <w:ind w:firstLine="535"/>
        <w:spacing w:after="0" w:line="301"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Lost Certificates</w:t>
      </w:r>
      <w:r>
        <w:rPr>
          <w:rFonts w:ascii="Arial" w:cs="Arial" w:eastAsia="Arial" w:hAnsi="Arial"/>
          <w:sz w:val="13"/>
          <w:szCs w:val="13"/>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3"/>
          <w:szCs w:val="13"/>
          <w:b w:val="1"/>
          <w:bCs w:val="1"/>
          <w:color w:val="auto"/>
        </w:rPr>
        <w:t>Person</w:t>
      </w:r>
      <w:r>
        <w:rPr>
          <w:rFonts w:ascii="Arial" w:cs="Arial" w:eastAsia="Arial" w:hAnsi="Arial"/>
          <w:sz w:val="13"/>
          <w:szCs w:val="13"/>
          <w:color w:val="auto"/>
        </w:rPr>
        <w:t>” means any natural person, Governmental Authority, corporation, general or limited partnership, limited liability company, joint venture, trust, association or unincorporated entity of any kind.</w:t>
      </w:r>
    </w:p>
    <w:p>
      <w:pPr>
        <w:spacing w:after="0" w:line="132"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REPRESENTATIONS AND WARRANTIES OF THE COMPANY</w:t>
      </w:r>
    </w:p>
    <w:p>
      <w:pPr>
        <w:spacing w:after="0" w:line="184"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4"/>
          <w:szCs w:val="14"/>
          <w:color w:val="auto"/>
        </w:rPr>
        <w:t>Except as set forth in the disclosure schedule provided by the Company to Parent on the date hereof and accepted in writing by Parent (the “</w:t>
      </w:r>
      <w:r>
        <w:rPr>
          <w:rFonts w:ascii="Arial" w:cs="Arial" w:eastAsia="Arial" w:hAnsi="Arial"/>
          <w:sz w:val="14"/>
          <w:szCs w:val="14"/>
          <w:b w:val="1"/>
          <w:bCs w:val="1"/>
          <w:color w:val="auto"/>
        </w:rPr>
        <w:t>Company Disclosure Schedule</w:t>
      </w:r>
      <w:r>
        <w:rPr>
          <w:rFonts w:ascii="Arial" w:cs="Arial" w:eastAsia="Arial" w:hAnsi="Arial"/>
          <w:sz w:val="14"/>
          <w:szCs w:val="14"/>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4"/>
          <w:szCs w:val="14"/>
          <w:b w:val="1"/>
          <w:bCs w:val="1"/>
          <w:color w:val="auto"/>
        </w:rPr>
        <w:t>Company Material Adverse Effect</w:t>
      </w:r>
      <w:r>
        <w:rPr>
          <w:rFonts w:ascii="Arial" w:cs="Arial" w:eastAsia="Arial" w:hAnsi="Arial"/>
          <w:sz w:val="14"/>
          <w:szCs w:val="14"/>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 w:name="page20"/>
    <w:bookmarkEnd w:id="19"/>
    <w:p>
      <w:pPr>
        <w:spacing w:after="0"/>
        <w:tabs>
          <w:tab w:leader="none" w:pos="3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3"/>
          <w:szCs w:val="13"/>
          <w:u w:val="single" w:color="auto"/>
          <w:color w:val="auto"/>
        </w:rPr>
        <w:t>Organization and Qualification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jc w:val="both"/>
        <w:ind w:left="-540" w:firstLine="1078"/>
        <w:spacing w:after="0" w:line="249" w:lineRule="auto"/>
        <w:tabs>
          <w:tab w:leader="none" w:pos="913"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164" w:lineRule="exact"/>
        <w:rPr>
          <w:rFonts w:ascii="Arial" w:cs="Arial" w:eastAsia="Arial" w:hAnsi="Arial"/>
          <w:sz w:val="15"/>
          <w:szCs w:val="15"/>
          <w:color w:val="auto"/>
        </w:rPr>
      </w:pPr>
    </w:p>
    <w:p>
      <w:pPr>
        <w:jc w:val="both"/>
        <w:ind w:left="-540" w:firstLine="1078"/>
        <w:spacing w:after="0" w:line="258" w:lineRule="auto"/>
        <w:tabs>
          <w:tab w:leader="none" w:pos="89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u w:val="single" w:color="auto"/>
          <w:color w:val="auto"/>
        </w:rPr>
        <w:t>Subsidiaries</w:t>
      </w:r>
      <w:r>
        <w:rPr>
          <w:rFonts w:ascii="Arial" w:cs="Arial" w:eastAsia="Arial" w:hAnsi="Arial"/>
          <w:sz w:val="13"/>
          <w:szCs w:val="13"/>
          <w:color w:val="auto"/>
        </w:rPr>
        <w:t>.</w:t>
      </w:r>
    </w:p>
    <w:p>
      <w:pPr>
        <w:spacing w:after="0" w:line="184" w:lineRule="exact"/>
        <w:rPr>
          <w:sz w:val="20"/>
          <w:szCs w:val="20"/>
          <w:color w:val="auto"/>
        </w:rPr>
      </w:pPr>
    </w:p>
    <w:p>
      <w:pPr>
        <w:ind w:left="880" w:hanging="342"/>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Section 2.2(a) of the Company Disclosure Schedule sets forth a true, complete and correct list of each Subsidiary of the Company.</w:t>
      </w:r>
    </w:p>
    <w:p>
      <w:pPr>
        <w:spacing w:after="0" w:line="183" w:lineRule="exact"/>
        <w:rPr>
          <w:rFonts w:ascii="Arial" w:cs="Arial" w:eastAsia="Arial" w:hAnsi="Arial"/>
          <w:sz w:val="15"/>
          <w:szCs w:val="15"/>
          <w:color w:val="auto"/>
        </w:rPr>
      </w:pPr>
    </w:p>
    <w:p>
      <w:pPr>
        <w:jc w:val="both"/>
        <w:ind w:left="-540" w:firstLine="1078"/>
        <w:spacing w:after="0" w:line="253" w:lineRule="auto"/>
        <w:tabs>
          <w:tab w:leader="none" w:pos="966" w:val="left"/>
        </w:tabs>
        <w:numPr>
          <w:ilvl w:val="0"/>
          <w:numId w:val="14"/>
        </w:numPr>
        <w:rPr>
          <w:rFonts w:ascii="Arial" w:cs="Arial" w:eastAsia="Arial" w:hAnsi="Arial"/>
          <w:sz w:val="15"/>
          <w:szCs w:val="15"/>
          <w:color w:val="auto"/>
        </w:rPr>
      </w:pPr>
      <w:r>
        <w:rPr>
          <w:rFonts w:ascii="Arial" w:cs="Arial" w:eastAsia="Arial" w:hAnsi="Arial"/>
          <w:sz w:val="15"/>
          <w:szCs w:val="15"/>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160" w:lineRule="exact"/>
        <w:rPr>
          <w:rFonts w:ascii="Arial" w:cs="Arial" w:eastAsia="Arial" w:hAnsi="Arial"/>
          <w:sz w:val="15"/>
          <w:szCs w:val="15"/>
          <w:color w:val="auto"/>
        </w:rPr>
      </w:pPr>
    </w:p>
    <w:p>
      <w:pPr>
        <w:ind w:left="5160" w:hanging="90"/>
        <w:spacing w:after="0"/>
        <w:tabs>
          <w:tab w:leader="none" w:pos="51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20" w:name="page21"/>
    <w:bookmarkEnd w:id="20"/>
    <w:p>
      <w:pPr>
        <w:jc w:val="both"/>
        <w:ind w:left="-1078" w:firstLine="1078"/>
        <w:spacing w:after="0" w:line="317" w:lineRule="auto"/>
        <w:tabs>
          <w:tab w:leader="none" w:pos="385" w:val="left"/>
        </w:tabs>
        <w:numPr>
          <w:ilvl w:val="0"/>
          <w:numId w:val="15"/>
        </w:numPr>
        <w:rPr>
          <w:rFonts w:ascii="Arial" w:cs="Arial" w:eastAsia="Arial" w:hAnsi="Arial"/>
          <w:sz w:val="13"/>
          <w:szCs w:val="13"/>
          <w:color w:val="auto"/>
        </w:rPr>
      </w:pPr>
      <w:r>
        <w:rPr>
          <w:rFonts w:ascii="Arial" w:cs="Arial" w:eastAsia="Arial" w:hAnsi="Arial"/>
          <w:sz w:val="13"/>
          <w:szCs w:val="13"/>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120" w:lineRule="exact"/>
        <w:rPr>
          <w:rFonts w:ascii="Arial" w:cs="Arial" w:eastAsia="Arial" w:hAnsi="Arial"/>
          <w:sz w:val="13"/>
          <w:szCs w:val="13"/>
          <w:color w:val="auto"/>
        </w:rPr>
      </w:pPr>
    </w:p>
    <w:p>
      <w:pPr>
        <w:jc w:val="both"/>
        <w:ind w:left="-1078" w:firstLine="1078"/>
        <w:spacing w:after="0" w:line="250"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5"/>
          <w:szCs w:val="15"/>
          <w:b w:val="1"/>
          <w:bCs w:val="1"/>
          <w:color w:val="auto"/>
        </w:rPr>
        <w:t>Liens</w:t>
      </w:r>
      <w:r>
        <w:rPr>
          <w:rFonts w:ascii="Arial" w:cs="Arial" w:eastAsia="Arial" w:hAnsi="Arial"/>
          <w:sz w:val="15"/>
          <w:szCs w:val="15"/>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165" w:lineRule="exact"/>
        <w:rPr>
          <w:rFonts w:ascii="Arial" w:cs="Arial" w:eastAsia="Arial" w:hAnsi="Arial"/>
          <w:sz w:val="15"/>
          <w:szCs w:val="15"/>
          <w:color w:val="auto"/>
        </w:rPr>
      </w:pPr>
    </w:p>
    <w:p>
      <w:pPr>
        <w:ind w:left="-1078" w:firstLine="1078"/>
        <w:spacing w:after="0" w:line="269" w:lineRule="auto"/>
        <w:tabs>
          <w:tab w:leader="none" w:pos="419"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143" w:lineRule="exact"/>
        <w:rPr>
          <w:rFonts w:ascii="Arial" w:cs="Arial" w:eastAsia="Arial" w:hAnsi="Arial"/>
          <w:sz w:val="15"/>
          <w:szCs w:val="15"/>
          <w:color w:val="auto"/>
        </w:rPr>
      </w:pPr>
    </w:p>
    <w:p>
      <w:pPr>
        <w:jc w:val="both"/>
        <w:ind w:left="-1078" w:firstLine="1078"/>
        <w:spacing w:after="0" w:line="277" w:lineRule="auto"/>
        <w:tabs>
          <w:tab w:leader="none" w:pos="4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purposes of this Agreement, the term “</w:t>
      </w:r>
      <w:r>
        <w:rPr>
          <w:rFonts w:ascii="Arial" w:cs="Arial" w:eastAsia="Arial" w:hAnsi="Arial"/>
          <w:sz w:val="14"/>
          <w:szCs w:val="14"/>
          <w:b w:val="1"/>
          <w:bCs w:val="1"/>
          <w:color w:val="auto"/>
        </w:rPr>
        <w:t>Subsidiary</w:t>
      </w:r>
      <w:r>
        <w:rPr>
          <w:rFonts w:ascii="Arial" w:cs="Arial" w:eastAsia="Arial" w:hAnsi="Arial"/>
          <w:sz w:val="14"/>
          <w:szCs w:val="14"/>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322" w:lineRule="exact"/>
        <w:rPr>
          <w:rFonts w:ascii="Arial" w:cs="Arial" w:eastAsia="Arial" w:hAnsi="Arial"/>
          <w:sz w:val="14"/>
          <w:szCs w:val="14"/>
          <w:color w:val="auto"/>
        </w:rPr>
      </w:pPr>
    </w:p>
    <w:p>
      <w:pPr>
        <w:ind w:left="4622" w:hanging="90"/>
        <w:spacing w:after="0"/>
        <w:tabs>
          <w:tab w:leader="none" w:pos="4622" w:val="left"/>
        </w:tabs>
        <w:numPr>
          <w:ilvl w:val="1"/>
          <w:numId w:val="15"/>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21" w:name="page22"/>
    <w:bookmarkEnd w:id="21"/>
    <w:p>
      <w:pPr>
        <w:ind w:left="540"/>
        <w:spacing w:after="0"/>
        <w:tabs>
          <w:tab w:leader="none" w:pos="90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u w:val="single" w:color="auto"/>
          <w:color w:val="auto"/>
        </w:rPr>
        <w:t>Capital Structure</w:t>
      </w:r>
      <w:r>
        <w:rPr>
          <w:rFonts w:ascii="Arial" w:cs="Arial" w:eastAsia="Arial" w:hAnsi="Arial"/>
          <w:sz w:val="13"/>
          <w:szCs w:val="13"/>
          <w:color w:val="auto"/>
        </w:rPr>
        <w:t>.</w:t>
      </w:r>
    </w:p>
    <w:p>
      <w:pPr>
        <w:spacing w:after="0" w:line="184" w:lineRule="exact"/>
        <w:rPr>
          <w:sz w:val="20"/>
          <w:szCs w:val="20"/>
          <w:color w:val="auto"/>
        </w:rPr>
      </w:pPr>
    </w:p>
    <w:p>
      <w:pPr>
        <w:ind w:left="1420" w:hanging="342"/>
        <w:spacing w:after="0"/>
        <w:tabs>
          <w:tab w:leader="none" w:pos="1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authorized Company Capital Stock consists of (i) 100,000,000 shares of Company Common Stock; and (ii) 10,000,000 shares of Series A Stock.</w:t>
      </w:r>
    </w:p>
    <w:p>
      <w:pPr>
        <w:spacing w:after="0" w:line="183" w:lineRule="exact"/>
        <w:rPr>
          <w:rFonts w:ascii="Arial" w:cs="Arial" w:eastAsia="Arial" w:hAnsi="Arial"/>
          <w:sz w:val="15"/>
          <w:szCs w:val="15"/>
          <w:color w:val="auto"/>
        </w:rPr>
      </w:pPr>
    </w:p>
    <w:p>
      <w:pPr>
        <w:jc w:val="both"/>
        <w:ind w:firstLine="1078"/>
        <w:spacing w:after="0" w:line="271" w:lineRule="auto"/>
        <w:tabs>
          <w:tab w:leader="none" w:pos="145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4"/>
          <w:szCs w:val="14"/>
          <w:b w:val="1"/>
          <w:bCs w:val="1"/>
          <w:color w:val="auto"/>
        </w:rPr>
        <w:t>Company Stock Options</w:t>
      </w:r>
      <w:r>
        <w:rPr>
          <w:rFonts w:ascii="Arial" w:cs="Arial" w:eastAsia="Arial" w:hAnsi="Arial"/>
          <w:sz w:val="14"/>
          <w:szCs w:val="14"/>
          <w:color w:val="auto"/>
        </w:rPr>
        <w:t>”); and (v) 250,000 shares of Company Common Stock are duly reserved for future issuance upon exercise of warrants to purchase shares of the Company Capital Stock (the “</w:t>
      </w:r>
      <w:r>
        <w:rPr>
          <w:rFonts w:ascii="Arial" w:cs="Arial" w:eastAsia="Arial" w:hAnsi="Arial"/>
          <w:sz w:val="14"/>
          <w:szCs w:val="14"/>
          <w:b w:val="1"/>
          <w:bCs w:val="1"/>
          <w:color w:val="auto"/>
        </w:rPr>
        <w:t>Company Warrants</w:t>
      </w:r>
      <w:r>
        <w:rPr>
          <w:rFonts w:ascii="Arial" w:cs="Arial" w:eastAsia="Arial" w:hAnsi="Arial"/>
          <w:sz w:val="14"/>
          <w:szCs w:val="14"/>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149" w:lineRule="exact"/>
        <w:rPr>
          <w:rFonts w:ascii="Arial" w:cs="Arial" w:eastAsia="Arial" w:hAnsi="Arial"/>
          <w:sz w:val="14"/>
          <w:szCs w:val="14"/>
          <w:color w:val="auto"/>
        </w:rPr>
      </w:pPr>
    </w:p>
    <w:p>
      <w:pPr>
        <w:jc w:val="both"/>
        <w:ind w:firstLine="1078"/>
        <w:spacing w:after="0" w:line="286" w:lineRule="auto"/>
        <w:tabs>
          <w:tab w:leader="none" w:pos="1475"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137" w:lineRule="exact"/>
        <w:rPr>
          <w:rFonts w:ascii="Arial" w:cs="Arial" w:eastAsia="Arial" w:hAnsi="Arial"/>
          <w:sz w:val="14"/>
          <w:szCs w:val="14"/>
          <w:color w:val="auto"/>
        </w:rPr>
      </w:pPr>
    </w:p>
    <w:p>
      <w:pPr>
        <w:jc w:val="both"/>
        <w:ind w:firstLine="1078"/>
        <w:spacing w:after="0" w:line="251" w:lineRule="auto"/>
        <w:tabs>
          <w:tab w:leader="none" w:pos="14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162" w:lineRule="exact"/>
        <w:rPr>
          <w:rFonts w:ascii="Arial" w:cs="Arial" w:eastAsia="Arial" w:hAnsi="Arial"/>
          <w:sz w:val="15"/>
          <w:szCs w:val="15"/>
          <w:color w:val="auto"/>
        </w:rPr>
      </w:pPr>
    </w:p>
    <w:p>
      <w:pPr>
        <w:ind w:left="1480" w:hanging="402"/>
        <w:spacing w:after="0"/>
        <w:tabs>
          <w:tab w:leader="none" w:pos="1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Section 2.3(e) of the Company Disclosure Schedule sets forth a true, complete and correct list of the holders of all Company Stock Options and Company Warrants,</w:t>
      </w:r>
    </w:p>
    <w:p>
      <w:pPr>
        <w:spacing w:after="0" w:line="38" w:lineRule="exact"/>
        <w:rPr>
          <w:rFonts w:ascii="Arial" w:cs="Arial" w:eastAsia="Arial" w:hAnsi="Arial"/>
          <w:sz w:val="13"/>
          <w:szCs w:val="13"/>
          <w:color w:val="auto"/>
        </w:rPr>
      </w:pPr>
    </w:p>
    <w:p>
      <w:pPr>
        <w:spacing w:after="0" w:line="291" w:lineRule="auto"/>
        <w:rPr>
          <w:rFonts w:ascii="Arial" w:cs="Arial" w:eastAsia="Arial" w:hAnsi="Arial"/>
          <w:sz w:val="13"/>
          <w:szCs w:val="13"/>
          <w:color w:val="auto"/>
        </w:rPr>
      </w:pPr>
      <w:r>
        <w:rPr>
          <w:rFonts w:ascii="Arial" w:cs="Arial" w:eastAsia="Arial" w:hAnsi="Arial"/>
          <w:sz w:val="14"/>
          <w:szCs w:val="14"/>
          <w:color w:val="auto"/>
        </w:rPr>
        <w:t>including: (i) the number and class of Company Capital Stock subject to each such Company Stock Option or Company Warrant; (ii) the date of grant; (iii) the exercise price; (iv) the date of grant, the vesting schedule, as applicable, and expiration date; and (v) any other material terms, including, without limitation, any terms regarding the acceleration of vesting.</w:t>
      </w:r>
    </w:p>
    <w:p>
      <w:pPr>
        <w:spacing w:after="0" w:line="312" w:lineRule="exact"/>
        <w:rPr>
          <w:rFonts w:ascii="Arial" w:cs="Arial" w:eastAsia="Arial" w:hAnsi="Arial"/>
          <w:sz w:val="13"/>
          <w:szCs w:val="13"/>
          <w:color w:val="auto"/>
        </w:rPr>
      </w:pPr>
    </w:p>
    <w:p>
      <w:pPr>
        <w:ind w:left="5700" w:hanging="90"/>
        <w:spacing w:after="0"/>
        <w:tabs>
          <w:tab w:leader="none" w:pos="57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2" w:name="page23"/>
    <w:bookmarkEnd w:id="22"/>
    <w:p>
      <w:pPr>
        <w:jc w:val="both"/>
        <w:ind w:firstLine="1078"/>
        <w:spacing w:after="0" w:line="252" w:lineRule="auto"/>
        <w:tabs>
          <w:tab w:leader="none" w:pos="141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160" w:lineRule="exact"/>
        <w:rPr>
          <w:rFonts w:ascii="Arial" w:cs="Arial" w:eastAsia="Arial" w:hAnsi="Arial"/>
          <w:sz w:val="15"/>
          <w:szCs w:val="15"/>
          <w:color w:val="auto"/>
        </w:rPr>
      </w:pPr>
    </w:p>
    <w:p>
      <w:pPr>
        <w:jc w:val="both"/>
        <w:ind w:firstLine="1078"/>
        <w:spacing w:after="0" w:line="286" w:lineRule="auto"/>
        <w:tabs>
          <w:tab w:leader="none" w:pos="150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137"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Authority; No Conflict; Required Filings</w:t>
      </w:r>
      <w:r>
        <w:rPr>
          <w:rFonts w:ascii="Arial" w:cs="Arial" w:eastAsia="Arial" w:hAnsi="Arial"/>
          <w:sz w:val="13"/>
          <w:szCs w:val="13"/>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3"/>
          <w:szCs w:val="13"/>
          <w:b w:val="1"/>
          <w:bCs w:val="1"/>
          <w:color w:val="auto"/>
        </w:rPr>
        <w:t>Company Stockholder Approval</w:t>
      </w:r>
      <w:r>
        <w:rPr>
          <w:rFonts w:ascii="Arial" w:cs="Arial" w:eastAsia="Arial" w:hAnsi="Arial"/>
          <w:sz w:val="13"/>
          <w:szCs w:val="13"/>
          <w:color w:val="auto"/>
        </w:rPr>
        <w:t>”).</w:t>
      </w:r>
    </w:p>
    <w:p>
      <w:pPr>
        <w:spacing w:after="0" w:line="134" w:lineRule="exact"/>
        <w:rPr>
          <w:sz w:val="20"/>
          <w:szCs w:val="20"/>
          <w:color w:val="auto"/>
        </w:rPr>
      </w:pPr>
    </w:p>
    <w:p>
      <w:pPr>
        <w:jc w:val="both"/>
        <w:ind w:firstLine="1078"/>
        <w:spacing w:after="0" w:line="291" w:lineRule="auto"/>
        <w:tabs>
          <w:tab w:leader="none" w:pos="1517"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w:t>
      </w:r>
    </w:p>
    <w:p>
      <w:pPr>
        <w:ind w:firstLine="9"/>
        <w:spacing w:after="0" w:line="255" w:lineRule="auto"/>
        <w:tabs>
          <w:tab w:leader="none" w:pos="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extent that any provision relating to indemnity and/or contribution is contrary to law or public policy as interpreted or applied by any court or governmental agency (collectively, the “</w:t>
      </w:r>
      <w:r>
        <w:rPr>
          <w:rFonts w:ascii="Arial" w:cs="Arial" w:eastAsia="Arial" w:hAnsi="Arial"/>
          <w:sz w:val="15"/>
          <w:szCs w:val="15"/>
          <w:b w:val="1"/>
          <w:bCs w:val="1"/>
          <w:color w:val="auto"/>
        </w:rPr>
        <w:t>Equitable Exceptions</w:t>
      </w:r>
      <w:r>
        <w:rPr>
          <w:rFonts w:ascii="Arial" w:cs="Arial" w:eastAsia="Arial" w:hAnsi="Arial"/>
          <w:sz w:val="15"/>
          <w:szCs w:val="15"/>
          <w:color w:val="auto"/>
        </w:rPr>
        <w:t>”).</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19"/>
        </w:numPr>
        <w:rPr>
          <w:rFonts w:ascii="Arial" w:cs="Arial" w:eastAsia="Arial" w:hAnsi="Arial"/>
          <w:sz w:val="15"/>
          <w:szCs w:val="15"/>
          <w:color w:val="auto"/>
        </w:rPr>
      </w:pPr>
      <w:r>
        <w:rPr>
          <w:rFonts w:ascii="Arial" w:cs="Arial" w:eastAsia="Arial" w:hAnsi="Arial"/>
          <w:sz w:val="15"/>
          <w:szCs w:val="15"/>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3" w:name="page24"/>
    <w:bookmarkEnd w:id="23"/>
    <w:p>
      <w:pPr>
        <w:jc w:val="both"/>
        <w:ind w:left="-540" w:firstLine="1078"/>
        <w:spacing w:after="0" w:line="270" w:lineRule="auto"/>
        <w:tabs>
          <w:tab w:leader="none" w:pos="89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 (i) 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149" w:lineRule="exact"/>
        <w:rPr>
          <w:rFonts w:ascii="Arial" w:cs="Arial" w:eastAsia="Arial" w:hAnsi="Arial"/>
          <w:sz w:val="14"/>
          <w:szCs w:val="14"/>
          <w:color w:val="auto"/>
        </w:rPr>
      </w:pPr>
    </w:p>
    <w:p>
      <w:pPr>
        <w:jc w:val="both"/>
        <w:ind w:left="-540" w:firstLine="1078"/>
        <w:spacing w:after="0" w:line="273" w:lineRule="auto"/>
        <w:tabs>
          <w:tab w:leader="none" w:pos="988"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4"/>
          <w:szCs w:val="14"/>
          <w:b w:val="1"/>
          <w:bCs w:val="1"/>
          <w:color w:val="auto"/>
        </w:rPr>
        <w:t>Governmental Authority</w:t>
      </w:r>
      <w:r>
        <w:rPr>
          <w:rFonts w:ascii="Arial" w:cs="Arial" w:eastAsia="Arial" w:hAnsi="Arial"/>
          <w:sz w:val="14"/>
          <w:szCs w:val="14"/>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u w:val="single" w:color="auto"/>
          <w:color w:val="auto"/>
        </w:rPr>
        <w:t>Board Approval; Required Vote</w:t>
      </w:r>
      <w:r>
        <w:rPr>
          <w:rFonts w:ascii="Arial" w:cs="Arial" w:eastAsia="Arial" w:hAnsi="Arial"/>
          <w:sz w:val="13"/>
          <w:szCs w:val="13"/>
          <w:color w:val="auto"/>
        </w:rPr>
        <w:t>.</w:t>
      </w:r>
    </w:p>
    <w:p>
      <w:pPr>
        <w:spacing w:after="0" w:line="184" w:lineRule="exact"/>
        <w:rPr>
          <w:sz w:val="20"/>
          <w:szCs w:val="20"/>
          <w:color w:val="auto"/>
        </w:rPr>
      </w:pPr>
    </w:p>
    <w:p>
      <w:pPr>
        <w:jc w:val="both"/>
        <w:ind w:left="-540" w:firstLine="922"/>
        <w:spacing w:after="0" w:line="255" w:lineRule="auto"/>
        <w:tabs>
          <w:tab w:leader="none" w:pos="57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336" w:lineRule="exact"/>
        <w:rPr>
          <w:rFonts w:ascii="Arial" w:cs="Arial" w:eastAsia="Arial" w:hAnsi="Arial"/>
          <w:sz w:val="15"/>
          <w:szCs w:val="15"/>
          <w:color w:val="auto"/>
        </w:rPr>
      </w:pPr>
    </w:p>
    <w:p>
      <w:pPr>
        <w:ind w:left="5120" w:hanging="84"/>
        <w:spacing w:after="0"/>
        <w:tabs>
          <w:tab w:leader="none" w:pos="5120" w:val="left"/>
        </w:tabs>
        <w:numPr>
          <w:ilvl w:val="1"/>
          <w:numId w:val="21"/>
        </w:numPr>
        <w:rPr>
          <w:rFonts w:ascii="Arial" w:cs="Arial" w:eastAsia="Arial" w:hAnsi="Arial"/>
          <w:sz w:val="15"/>
          <w:szCs w:val="15"/>
          <w:color w:val="auto"/>
        </w:rPr>
      </w:pPr>
      <w:r>
        <w:rPr>
          <w:rFonts w:ascii="Arial" w:cs="Arial" w:eastAsia="Arial" w:hAnsi="Arial"/>
          <w:sz w:val="15"/>
          <w:szCs w:val="15"/>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24" w:name="page25"/>
    <w:bookmarkEnd w:id="24"/>
    <w:p>
      <w:pPr>
        <w:ind w:right="20" w:firstLine="1078"/>
        <w:spacing w:after="0" w:line="269" w:lineRule="auto"/>
        <w:tabs>
          <w:tab w:leader="none" w:pos="197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148"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Financial Statements and Information</w:t>
      </w:r>
      <w:r>
        <w:rPr>
          <w:rFonts w:ascii="Arial" w:cs="Arial" w:eastAsia="Arial" w:hAnsi="Arial"/>
          <w:sz w:val="13"/>
          <w:szCs w:val="13"/>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3"/>
          <w:szCs w:val="13"/>
          <w:b w:val="1"/>
          <w:bCs w:val="1"/>
          <w:color w:val="auto"/>
        </w:rPr>
        <w:t>Most Recent Balance Sheet Date</w:t>
      </w:r>
      <w:r>
        <w:rPr>
          <w:rFonts w:ascii="Arial" w:cs="Arial" w:eastAsia="Arial" w:hAnsi="Arial"/>
          <w:sz w:val="13"/>
          <w:szCs w:val="13"/>
          <w:color w:val="auto"/>
        </w:rPr>
        <w:t>”) (including the notes thereto, the “</w:t>
      </w:r>
      <w:r>
        <w:rPr>
          <w:rFonts w:ascii="Arial" w:cs="Arial" w:eastAsia="Arial" w:hAnsi="Arial"/>
          <w:sz w:val="13"/>
          <w:szCs w:val="13"/>
          <w:b w:val="1"/>
          <w:bCs w:val="1"/>
          <w:color w:val="auto"/>
        </w:rPr>
        <w:t>Most Recent Balance Sheet</w:t>
      </w:r>
      <w:r>
        <w:rPr>
          <w:rFonts w:ascii="Arial" w:cs="Arial" w:eastAsia="Arial" w:hAnsi="Arial"/>
          <w:sz w:val="13"/>
          <w:szCs w:val="13"/>
          <w:color w:val="auto"/>
        </w:rPr>
        <w:t>”), and the related consolidated statements of income, changes in stockholders’ equity, and cash flow as of 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135" w:lineRule="exact"/>
        <w:rPr>
          <w:sz w:val="20"/>
          <w:szCs w:val="20"/>
          <w:color w:val="auto"/>
        </w:rPr>
      </w:pPr>
    </w:p>
    <w:p>
      <w:pPr>
        <w:jc w:val="both"/>
        <w:ind w:firstLine="535"/>
        <w:spacing w:after="0" w:line="252"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 and at the Effective Time will have at least $2,500,000 in cash on hand and the Company and its Subsidiaries (taken as a whole) are solvent, able to pay their indebtedness as it matures and has capital sufficient to carry on its business.</w:t>
      </w:r>
    </w:p>
    <w:p>
      <w:pPr>
        <w:spacing w:after="0" w:line="161"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Absence of Certain Changes or Events</w:t>
      </w:r>
      <w:r>
        <w:rPr>
          <w:rFonts w:ascii="Arial" w:cs="Arial" w:eastAsia="Arial" w:hAnsi="Arial"/>
          <w:sz w:val="14"/>
          <w:szCs w:val="14"/>
          <w:color w:val="auto"/>
        </w:rPr>
        <w:t>. Since the Most Recent Balance Sheet Date, the Company and its Subsidiaries have conducted their respective businesses only in the ordinary course of business consistent with past practice, and there has not been: (i) 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25" w:name="page26"/>
    <w:bookmarkEnd w:id="25"/>
    <w:p>
      <w:pPr>
        <w:ind w:left="540"/>
        <w:spacing w:after="0"/>
        <w:tabs>
          <w:tab w:leader="none" w:pos="104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u w:val="single" w:color="auto"/>
          <w:color w:val="auto"/>
        </w:rPr>
        <w:t>Agreements, Contracts and Commitments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94" w:lineRule="auto"/>
        <w:tabs>
          <w:tab w:leader="none" w:pos="1650" w:val="left"/>
        </w:tabs>
        <w:numPr>
          <w:ilvl w:val="1"/>
          <w:numId w:val="23"/>
        </w:numPr>
        <w:rPr>
          <w:rFonts w:ascii="Arial" w:cs="Arial" w:eastAsia="Arial" w:hAnsi="Arial"/>
          <w:sz w:val="13"/>
          <w:szCs w:val="13"/>
          <w:color w:val="auto"/>
        </w:rPr>
      </w:pPr>
      <w:r>
        <w:rPr>
          <w:rFonts w:ascii="Arial" w:cs="Arial" w:eastAsia="Arial" w:hAnsi="Arial"/>
          <w:sz w:val="13"/>
          <w:szCs w:val="13"/>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w:t>
      </w:r>
    </w:p>
    <w:p>
      <w:pPr>
        <w:jc w:val="both"/>
        <w:ind w:firstLine="9"/>
        <w:spacing w:after="0" w:line="270" w:lineRule="auto"/>
        <w:tabs>
          <w:tab w:leader="none" w:pos="2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4"/>
          <w:szCs w:val="14"/>
          <w:b w:val="1"/>
          <w:bCs w:val="1"/>
          <w:color w:val="auto"/>
        </w:rPr>
        <w:t>Company Material Contracts</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firstLine="1078"/>
        <w:spacing w:after="0" w:line="348" w:lineRule="auto"/>
        <w:tabs>
          <w:tab w:leader="none" w:pos="1613" w:val="left"/>
        </w:tabs>
        <w:numPr>
          <w:ilvl w:val="1"/>
          <w:numId w:val="24"/>
        </w:numPr>
        <w:rPr>
          <w:rFonts w:ascii="Arial" w:cs="Arial" w:eastAsia="Arial" w:hAnsi="Arial"/>
          <w:sz w:val="13"/>
          <w:szCs w:val="13"/>
          <w:color w:val="auto"/>
        </w:rPr>
      </w:pPr>
      <w:r>
        <w:rPr>
          <w:rFonts w:ascii="Arial" w:cs="Arial" w:eastAsia="Arial" w:hAnsi="Arial"/>
          <w:sz w:val="13"/>
          <w:szCs w:val="13"/>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101" w:lineRule="exact"/>
        <w:rPr>
          <w:rFonts w:ascii="Arial" w:cs="Arial" w:eastAsia="Arial" w:hAnsi="Arial"/>
          <w:sz w:val="13"/>
          <w:szCs w:val="13"/>
          <w:color w:val="auto"/>
        </w:rPr>
      </w:pPr>
    </w:p>
    <w:p>
      <w:pPr>
        <w:ind w:firstLine="1078"/>
        <w:spacing w:after="0" w:line="269" w:lineRule="auto"/>
        <w:tabs>
          <w:tab w:leader="none" w:pos="165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Company has delivered to Parent a true, complete and correct copy of each agreement listed in Section 2.9(a) of the Company Disclosure Schedule.</w:t>
      </w:r>
    </w:p>
    <w:p>
      <w:pPr>
        <w:spacing w:after="0" w:line="195" w:lineRule="exact"/>
        <w:rPr>
          <w:sz w:val="20"/>
          <w:szCs w:val="20"/>
          <w:color w:val="auto"/>
        </w:rPr>
      </w:pPr>
    </w:p>
    <w:p>
      <w:pPr>
        <w:jc w:val="both"/>
        <w:ind w:firstLine="535"/>
        <w:spacing w:after="0" w:line="317"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120"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u w:val="single" w:color="auto"/>
          <w:color w:val="auto"/>
        </w:rPr>
        <w:t>Material Permits</w:t>
      </w:r>
      <w:r>
        <w:rPr>
          <w:rFonts w:ascii="Arial" w:cs="Arial" w:eastAsia="Arial" w:hAnsi="Arial"/>
          <w:sz w:val="13"/>
          <w:szCs w:val="13"/>
          <w:color w:val="auto"/>
        </w:rPr>
        <w:t>.</w:t>
      </w:r>
    </w:p>
    <w:p>
      <w:pPr>
        <w:spacing w:after="0" w:line="184" w:lineRule="exact"/>
        <w:rPr>
          <w:sz w:val="20"/>
          <w:szCs w:val="20"/>
          <w:color w:val="auto"/>
        </w:rPr>
      </w:pPr>
    </w:p>
    <w:p>
      <w:pPr>
        <w:ind w:firstLine="1078"/>
        <w:spacing w:after="0" w:line="269" w:lineRule="auto"/>
        <w:tabs>
          <w:tab w:leader="none" w:pos="16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5"/>
          <w:szCs w:val="15"/>
          <w:b w:val="1"/>
          <w:bCs w:val="1"/>
          <w:color w:val="auto"/>
        </w:rPr>
        <w:t>Material Permits</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of the Company and its Subsidiaries is in compliance in all material respects with the terms and conditions of the Material Permits.</w:t>
      </w:r>
    </w:p>
    <w:p>
      <w:pPr>
        <w:spacing w:after="0" w:line="362" w:lineRule="exact"/>
        <w:rPr>
          <w:rFonts w:ascii="Arial" w:cs="Arial" w:eastAsia="Arial" w:hAnsi="Arial"/>
          <w:sz w:val="15"/>
          <w:szCs w:val="15"/>
          <w:color w:val="auto"/>
        </w:rPr>
      </w:pPr>
    </w:p>
    <w:p>
      <w:pPr>
        <w:ind w:left="5660" w:hanging="87"/>
        <w:spacing w:after="0"/>
        <w:tabs>
          <w:tab w:leader="none" w:pos="5660" w:val="left"/>
        </w:tabs>
        <w:numPr>
          <w:ilvl w:val="1"/>
          <w:numId w:val="25"/>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6" w:name="page27"/>
    <w:bookmarkEnd w:id="26"/>
    <w:p>
      <w:pPr>
        <w:ind w:right="20" w:firstLine="1078"/>
        <w:spacing w:after="0" w:line="269" w:lineRule="auto"/>
        <w:tabs>
          <w:tab w:leader="none" w:pos="1661"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147" w:lineRule="exact"/>
        <w:rPr>
          <w:rFonts w:ascii="Arial" w:cs="Arial" w:eastAsia="Arial" w:hAnsi="Arial"/>
          <w:sz w:val="15"/>
          <w:szCs w:val="15"/>
          <w:color w:val="auto"/>
        </w:rPr>
      </w:pPr>
    </w:p>
    <w:p>
      <w:pPr>
        <w:ind w:right="20" w:firstLine="1078"/>
        <w:spacing w:after="0" w:line="269" w:lineRule="auto"/>
        <w:tabs>
          <w:tab w:leader="none" w:pos="169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148" w:lineRule="exact"/>
        <w:rPr>
          <w:sz w:val="20"/>
          <w:szCs w:val="20"/>
          <w:color w:val="auto"/>
        </w:rPr>
      </w:pPr>
    </w:p>
    <w:p>
      <w:pPr>
        <w:jc w:val="both"/>
        <w:ind w:right="20" w:firstLine="535"/>
        <w:spacing w:after="0" w:line="279"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u w:val="single" w:color="auto"/>
          <w:color w:val="auto"/>
        </w:rPr>
        <w:t>Litigation</w:t>
      </w:r>
      <w:r>
        <w:rPr>
          <w:rFonts w:ascii="Arial" w:cs="Arial" w:eastAsia="Arial" w:hAnsi="Arial"/>
          <w:sz w:val="14"/>
          <w:szCs w:val="14"/>
          <w:color w:val="auto"/>
        </w:rPr>
        <w:t>. Except as set forth in Section 2.12 of the Company Disclosure Schedule, there is no suit, action, arbitration, claim, governmental or other proceeding (collectively, “</w:t>
      </w:r>
      <w:r>
        <w:rPr>
          <w:rFonts w:ascii="Arial" w:cs="Arial" w:eastAsia="Arial" w:hAnsi="Arial"/>
          <w:sz w:val="14"/>
          <w:szCs w:val="14"/>
          <w:b w:val="1"/>
          <w:bCs w:val="1"/>
          <w:color w:val="auto"/>
        </w:rPr>
        <w:t>Action</w:t>
      </w:r>
      <w:r>
        <w:rPr>
          <w:rFonts w:ascii="Arial" w:cs="Arial" w:eastAsia="Arial" w:hAnsi="Arial"/>
          <w:sz w:val="14"/>
          <w:szCs w:val="14"/>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142" w:lineRule="exact"/>
        <w:rPr>
          <w:sz w:val="20"/>
          <w:szCs w:val="20"/>
          <w:color w:val="auto"/>
        </w:rPr>
      </w:pPr>
    </w:p>
    <w:p>
      <w:pPr>
        <w:jc w:val="both"/>
        <w:ind w:right="20" w:firstLine="535"/>
        <w:spacing w:after="0" w:line="258"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157"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u w:val="single" w:color="auto"/>
          <w:color w:val="auto"/>
        </w:rPr>
        <w:t>Employees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5" w:lineRule="auto"/>
        <w:tabs>
          <w:tab w:leader="none" w:pos="1683" w:val="left"/>
        </w:tabs>
        <w:numPr>
          <w:ilvl w:val="1"/>
          <w:numId w:val="27"/>
        </w:numPr>
        <w:rPr>
          <w:rFonts w:ascii="Arial" w:cs="Arial" w:eastAsia="Arial" w:hAnsi="Arial"/>
          <w:sz w:val="15"/>
          <w:szCs w:val="15"/>
          <w:color w:val="auto"/>
        </w:rPr>
      </w:pPr>
      <w:r>
        <w:rPr>
          <w:rFonts w:ascii="Arial" w:cs="Arial" w:eastAsia="Arial" w:hAnsi="Arial"/>
          <w:sz w:val="15"/>
          <w:szCs w:val="15"/>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157" w:lineRule="exact"/>
        <w:rPr>
          <w:rFonts w:ascii="Arial" w:cs="Arial" w:eastAsia="Arial" w:hAnsi="Arial"/>
          <w:sz w:val="15"/>
          <w:szCs w:val="15"/>
          <w:color w:val="auto"/>
        </w:rPr>
      </w:pPr>
    </w:p>
    <w:p>
      <w:pPr>
        <w:ind w:firstLine="1078"/>
        <w:spacing w:after="0" w:line="269" w:lineRule="auto"/>
        <w:tabs>
          <w:tab w:leader="none" w:pos="1691" w:val="left"/>
        </w:tabs>
        <w:numPr>
          <w:ilvl w:val="1"/>
          <w:numId w:val="27"/>
        </w:numPr>
        <w:rPr>
          <w:rFonts w:ascii="Arial" w:cs="Arial" w:eastAsia="Arial" w:hAnsi="Arial"/>
          <w:sz w:val="15"/>
          <w:szCs w:val="15"/>
          <w:color w:val="auto"/>
        </w:rPr>
      </w:pPr>
      <w:r>
        <w:rPr>
          <w:rFonts w:ascii="Arial" w:cs="Arial" w:eastAsia="Arial" w:hAnsi="Arial"/>
          <w:sz w:val="15"/>
          <w:szCs w:val="15"/>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147" w:lineRule="exact"/>
        <w:rPr>
          <w:rFonts w:ascii="Arial" w:cs="Arial" w:eastAsia="Arial" w:hAnsi="Arial"/>
          <w:sz w:val="15"/>
          <w:szCs w:val="15"/>
          <w:color w:val="auto"/>
        </w:rPr>
      </w:pPr>
    </w:p>
    <w:p>
      <w:pPr>
        <w:jc w:val="both"/>
        <w:ind w:firstLine="1078"/>
        <w:spacing w:after="0" w:line="294" w:lineRule="auto"/>
        <w:tabs>
          <w:tab w:leader="none" w:pos="1683" w:val="left"/>
        </w:tabs>
        <w:numPr>
          <w:ilvl w:val="1"/>
          <w:numId w:val="27"/>
        </w:numPr>
        <w:rPr>
          <w:rFonts w:ascii="Arial" w:cs="Arial" w:eastAsia="Arial" w:hAnsi="Arial"/>
          <w:sz w:val="13"/>
          <w:szCs w:val="13"/>
          <w:color w:val="auto"/>
        </w:rPr>
      </w:pPr>
      <w:r>
        <w:rPr>
          <w:rFonts w:ascii="Arial" w:cs="Arial" w:eastAsia="Arial" w:hAnsi="Arial"/>
          <w:sz w:val="13"/>
          <w:szCs w:val="13"/>
          <w:color w:val="auto"/>
        </w:rPr>
        <w:t>Neither the Company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w:t>
      </w:r>
    </w:p>
    <w:p>
      <w:pPr>
        <w:jc w:val="both"/>
        <w:ind w:firstLine="9"/>
        <w:spacing w:after="0" w:line="251" w:lineRule="auto"/>
        <w:tabs>
          <w:tab w:leader="none" w:pos="266" w:val="left"/>
        </w:tabs>
        <w:numPr>
          <w:ilvl w:val="0"/>
          <w:numId w:val="28"/>
        </w:numPr>
        <w:rPr>
          <w:rFonts w:ascii="Arial" w:cs="Arial" w:eastAsia="Arial" w:hAnsi="Arial"/>
          <w:sz w:val="15"/>
          <w:szCs w:val="15"/>
          <w:color w:val="auto"/>
        </w:rPr>
      </w:pPr>
      <w:r>
        <w:rPr>
          <w:rFonts w:ascii="Arial" w:cs="Arial" w:eastAsia="Arial" w:hAnsi="Arial"/>
          <w:sz w:val="15"/>
          <w:szCs w:val="15"/>
          <w:color w:val="auto"/>
        </w:rPr>
        <w:t>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339" w:lineRule="exact"/>
        <w:rPr>
          <w:rFonts w:ascii="Arial" w:cs="Arial" w:eastAsia="Arial" w:hAnsi="Arial"/>
          <w:sz w:val="15"/>
          <w:szCs w:val="15"/>
          <w:color w:val="auto"/>
        </w:rPr>
      </w:pPr>
    </w:p>
    <w:p>
      <w:pPr>
        <w:ind w:left="5660" w:hanging="87"/>
        <w:spacing w:after="0"/>
        <w:tabs>
          <w:tab w:leader="none" w:pos="5660" w:val="left"/>
        </w:tabs>
        <w:numPr>
          <w:ilvl w:val="2"/>
          <w:numId w:val="28"/>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7" w:name="page28"/>
    <w:bookmarkEnd w:id="27"/>
    <w:p>
      <w:pPr>
        <w:spacing w:after="0"/>
        <w:tabs>
          <w:tab w:leader="none" w:pos="50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0" w:lineRule="exact"/>
        <w:rPr>
          <w:sz w:val="20"/>
          <w:szCs w:val="20"/>
          <w:color w:val="auto"/>
        </w:rPr>
      </w:pPr>
    </w:p>
    <w:p>
      <w:pPr>
        <w:jc w:val="both"/>
        <w:ind w:left="-540" w:firstLine="1078"/>
        <w:spacing w:after="0" w:line="281" w:lineRule="auto"/>
        <w:tabs>
          <w:tab w:leader="none" w:pos="111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purposes of this Agreement, a “</w:t>
      </w:r>
      <w:r>
        <w:rPr>
          <w:rFonts w:ascii="Arial" w:cs="Arial" w:eastAsia="Arial" w:hAnsi="Arial"/>
          <w:sz w:val="14"/>
          <w:szCs w:val="14"/>
          <w:b w:val="1"/>
          <w:bCs w:val="1"/>
          <w:color w:val="auto"/>
        </w:rPr>
        <w:t>Tax</w:t>
      </w:r>
      <w:r>
        <w:rPr>
          <w:rFonts w:ascii="Arial" w:cs="Arial" w:eastAsia="Arial" w:hAnsi="Arial"/>
          <w:sz w:val="14"/>
          <w:szCs w:val="14"/>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141" w:lineRule="exact"/>
        <w:rPr>
          <w:rFonts w:ascii="Arial" w:cs="Arial" w:eastAsia="Arial" w:hAnsi="Arial"/>
          <w:sz w:val="14"/>
          <w:szCs w:val="14"/>
          <w:color w:val="auto"/>
        </w:rPr>
      </w:pPr>
    </w:p>
    <w:p>
      <w:pPr>
        <w:jc w:val="both"/>
        <w:ind w:left="-540" w:firstLine="1078"/>
        <w:spacing w:after="0" w:line="255" w:lineRule="auto"/>
        <w:tabs>
          <w:tab w:leader="none" w:pos="116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5"/>
          <w:szCs w:val="15"/>
          <w:b w:val="1"/>
          <w:bCs w:val="1"/>
          <w:color w:val="auto"/>
        </w:rPr>
        <w:t>Returns</w:t>
      </w:r>
      <w:r>
        <w:rPr>
          <w:rFonts w:ascii="Arial" w:cs="Arial" w:eastAsia="Arial" w:hAnsi="Arial"/>
          <w:sz w:val="15"/>
          <w:szCs w:val="15"/>
          <w:color w:val="auto"/>
        </w:rPr>
        <w:t>”) relating to any and all Taxes concerning or attributable to the Company or its Subsidiaries or to their operations, and all such Returns are or will be, to the knowledge and belief of the signer, true, complete and correct in all material respects. Copies of all such returns have been previously provided to Parent or will be provided to Parent when filed.</w:t>
      </w:r>
    </w:p>
    <w:p>
      <w:pPr>
        <w:spacing w:after="0" w:line="157" w:lineRule="exact"/>
        <w:rPr>
          <w:rFonts w:ascii="Arial" w:cs="Arial" w:eastAsia="Arial" w:hAnsi="Arial"/>
          <w:sz w:val="15"/>
          <w:szCs w:val="15"/>
          <w:color w:val="auto"/>
        </w:rPr>
      </w:pPr>
    </w:p>
    <w:p>
      <w:pPr>
        <w:ind w:left="-540" w:firstLine="1078"/>
        <w:spacing w:after="0" w:line="269"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147" w:lineRule="exact"/>
        <w:rPr>
          <w:rFonts w:ascii="Arial" w:cs="Arial" w:eastAsia="Arial" w:hAnsi="Arial"/>
          <w:sz w:val="15"/>
          <w:szCs w:val="15"/>
          <w:color w:val="auto"/>
        </w:rPr>
      </w:pPr>
    </w:p>
    <w:p>
      <w:pPr>
        <w:ind w:left="-540" w:firstLine="1078"/>
        <w:spacing w:after="0" w:line="306" w:lineRule="auto"/>
        <w:tabs>
          <w:tab w:leader="none" w:pos="1073"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124" w:lineRule="exact"/>
        <w:rPr>
          <w:rFonts w:ascii="Arial" w:cs="Arial" w:eastAsia="Arial" w:hAnsi="Arial"/>
          <w:sz w:val="14"/>
          <w:szCs w:val="14"/>
          <w:color w:val="auto"/>
        </w:rPr>
      </w:pPr>
    </w:p>
    <w:p>
      <w:pPr>
        <w:ind w:left="-540" w:firstLine="1078"/>
        <w:spacing w:after="0" w:line="269"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147" w:lineRule="exact"/>
        <w:rPr>
          <w:rFonts w:ascii="Arial" w:cs="Arial" w:eastAsia="Arial" w:hAnsi="Arial"/>
          <w:sz w:val="15"/>
          <w:szCs w:val="15"/>
          <w:color w:val="auto"/>
        </w:rPr>
      </w:pPr>
    </w:p>
    <w:p>
      <w:pPr>
        <w:jc w:val="both"/>
        <w:ind w:left="-540" w:firstLine="1078"/>
        <w:spacing w:after="0" w:line="255" w:lineRule="auto"/>
        <w:tabs>
          <w:tab w:leader="none" w:pos="11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157" w:lineRule="exact"/>
        <w:rPr>
          <w:rFonts w:ascii="Arial" w:cs="Arial" w:eastAsia="Arial" w:hAnsi="Arial"/>
          <w:sz w:val="15"/>
          <w:szCs w:val="15"/>
          <w:color w:val="auto"/>
        </w:rPr>
      </w:pPr>
    </w:p>
    <w:p>
      <w:pPr>
        <w:ind w:left="-540" w:right="20" w:firstLine="1078"/>
        <w:spacing w:after="0" w:line="269" w:lineRule="auto"/>
        <w:tabs>
          <w:tab w:leader="none" w:pos="1107"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Neither the Company nor its Subsidiaries is, or has ever been, a party to or bound by any tax indemnity agreement, tax sharing agreement, tax allocation agreement or similar contract or agreement.</w:t>
      </w:r>
    </w:p>
    <w:p>
      <w:pPr>
        <w:spacing w:after="0" w:line="326" w:lineRule="exact"/>
        <w:rPr>
          <w:rFonts w:ascii="Arial" w:cs="Arial" w:eastAsia="Arial" w:hAnsi="Arial"/>
          <w:sz w:val="15"/>
          <w:szCs w:val="15"/>
          <w:color w:val="auto"/>
        </w:rPr>
      </w:pPr>
    </w:p>
    <w:p>
      <w:pPr>
        <w:ind w:left="5120" w:hanging="87"/>
        <w:spacing w:after="0"/>
        <w:tabs>
          <w:tab w:leader="none" w:pos="51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931" w:right="219" w:bottom="1440" w:gutter="0" w:footer="0" w:header="0"/>
        </w:sectPr>
      </w:pPr>
    </w:p>
    <w:bookmarkStart w:id="28" w:name="page29"/>
    <w:bookmarkEnd w:id="28"/>
    <w:p>
      <w:pPr>
        <w:ind w:left="540"/>
        <w:spacing w:after="0"/>
        <w:tabs>
          <w:tab w:leader="none" w:pos="104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u w:val="single" w:color="auto"/>
          <w:color w:val="auto"/>
        </w:rPr>
        <w:t>Employee Benefit Plans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3" w:lineRule="auto"/>
        <w:tabs>
          <w:tab w:leader="none" w:pos="163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Company does not participate in any employee benefit plans (as defined in Section 3(3)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5"/>
          <w:szCs w:val="15"/>
          <w:b w:val="1"/>
          <w:bCs w:val="1"/>
          <w:color w:val="auto"/>
        </w:rPr>
        <w:t>Company Employee Plans</w:t>
      </w:r>
      <w:r>
        <w:rPr>
          <w:rFonts w:ascii="Arial" w:cs="Arial" w:eastAsia="Arial" w:hAnsi="Arial"/>
          <w:sz w:val="15"/>
          <w:szCs w:val="15"/>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5"/>
          <w:szCs w:val="15"/>
          <w:b w:val="1"/>
          <w:bCs w:val="1"/>
          <w:color w:val="auto"/>
        </w:rPr>
        <w:t>ERISA Affiliate</w:t>
      </w:r>
      <w:r>
        <w:rPr>
          <w:rFonts w:ascii="Arial" w:cs="Arial" w:eastAsia="Arial" w:hAnsi="Arial"/>
          <w:sz w:val="15"/>
          <w:szCs w:val="15"/>
          <w:color w:val="auto"/>
        </w:rPr>
        <w:t>”).</w:t>
      </w:r>
    </w:p>
    <w:p>
      <w:pPr>
        <w:spacing w:after="0" w:line="160"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u w:val="single" w:color="auto"/>
          <w:color w:val="auto"/>
        </w:rPr>
        <w:t>Tangible Assets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8" w:lineRule="auto"/>
        <w:tabs>
          <w:tab w:leader="none" w:pos="1661"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156" w:lineRule="exact"/>
        <w:rPr>
          <w:rFonts w:ascii="Arial" w:cs="Arial" w:eastAsia="Arial" w:hAnsi="Arial"/>
          <w:sz w:val="15"/>
          <w:szCs w:val="15"/>
          <w:color w:val="auto"/>
        </w:rPr>
      </w:pPr>
    </w:p>
    <w:p>
      <w:pPr>
        <w:jc w:val="both"/>
        <w:ind w:firstLine="1078"/>
        <w:spacing w:after="0" w:line="255" w:lineRule="auto"/>
        <w:tabs>
          <w:tab w:leader="none" w:pos="16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157" w:lineRule="exact"/>
        <w:rPr>
          <w:rFonts w:ascii="Arial" w:cs="Arial" w:eastAsia="Arial" w:hAnsi="Arial"/>
          <w:sz w:val="15"/>
          <w:szCs w:val="15"/>
          <w:color w:val="auto"/>
        </w:rPr>
      </w:pPr>
    </w:p>
    <w:p>
      <w:pPr>
        <w:jc w:val="both"/>
        <w:ind w:firstLine="1078"/>
        <w:spacing w:after="0" w:line="258" w:lineRule="auto"/>
        <w:tabs>
          <w:tab w:leader="none" w:pos="1672"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 its Subsidiaries and the owner or lessor thereof, the obligations of the Company or its Subsidiaries to such owner or lessor will be discharged.</w:t>
      </w:r>
    </w:p>
    <w:p>
      <w:pPr>
        <w:spacing w:after="0" w:line="156" w:lineRule="exact"/>
        <w:rPr>
          <w:rFonts w:ascii="Arial" w:cs="Arial" w:eastAsia="Arial" w:hAnsi="Arial"/>
          <w:sz w:val="15"/>
          <w:szCs w:val="15"/>
          <w:color w:val="auto"/>
        </w:rPr>
      </w:pPr>
    </w:p>
    <w:p>
      <w:pPr>
        <w:jc w:val="both"/>
        <w:ind w:firstLine="1078"/>
        <w:spacing w:after="0" w:line="258" w:lineRule="auto"/>
        <w:tabs>
          <w:tab w:leader="none" w:pos="1624"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157"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2.18 </w:t>
      </w:r>
      <w:r>
        <w:rPr>
          <w:rFonts w:ascii="Arial" w:cs="Arial" w:eastAsia="Arial" w:hAnsi="Arial"/>
          <w:sz w:val="15"/>
          <w:szCs w:val="15"/>
          <w:u w:val="single" w:color="auto"/>
          <w:color w:val="auto"/>
        </w:rPr>
        <w:t>Real Property Leases</w:t>
      </w:r>
      <w:r>
        <w:rPr>
          <w:rFonts w:ascii="Arial" w:cs="Arial" w:eastAsia="Arial" w:hAnsi="Arial"/>
          <w:sz w:val="15"/>
          <w:szCs w:val="15"/>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9" w:name="page30"/>
    <w:bookmarkEnd w:id="29"/>
    <w:p>
      <w:pPr>
        <w:ind w:firstLine="1650"/>
        <w:spacing w:after="0" w:line="269" w:lineRule="auto"/>
        <w:tabs>
          <w:tab w:leader="none" w:pos="217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147" w:lineRule="exact"/>
        <w:rPr>
          <w:rFonts w:ascii="Arial" w:cs="Arial" w:eastAsia="Arial" w:hAnsi="Arial"/>
          <w:sz w:val="15"/>
          <w:szCs w:val="15"/>
          <w:color w:val="auto"/>
        </w:rPr>
      </w:pPr>
    </w:p>
    <w:p>
      <w:pPr>
        <w:jc w:val="both"/>
        <w:ind w:firstLine="1613"/>
        <w:spacing w:after="0" w:line="258" w:lineRule="auto"/>
        <w:tabs>
          <w:tab w:leader="none" w:pos="22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156" w:lineRule="exact"/>
        <w:rPr>
          <w:rFonts w:ascii="Arial" w:cs="Arial" w:eastAsia="Arial" w:hAnsi="Arial"/>
          <w:sz w:val="15"/>
          <w:szCs w:val="15"/>
          <w:color w:val="auto"/>
        </w:rPr>
      </w:pPr>
    </w:p>
    <w:p>
      <w:pPr>
        <w:ind w:left="2160" w:hanging="547"/>
        <w:spacing w:after="0"/>
        <w:tabs>
          <w:tab w:leader="none" w:pos="21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neither the Company nor its Subsidiaries has assigned, transferred, conveyed, mortgaged, deeded in trust or encumbered any interest in any lease, sublease</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or license; and</w:t>
      </w:r>
    </w:p>
    <w:p>
      <w:pPr>
        <w:spacing w:after="0" w:line="173" w:lineRule="exact"/>
        <w:rPr>
          <w:rFonts w:ascii="Arial" w:cs="Arial" w:eastAsia="Arial" w:hAnsi="Arial"/>
          <w:sz w:val="13"/>
          <w:szCs w:val="13"/>
          <w:color w:val="auto"/>
        </w:rPr>
      </w:pPr>
    </w:p>
    <w:p>
      <w:pPr>
        <w:ind w:firstLine="1613"/>
        <w:spacing w:after="0" w:line="306" w:lineRule="auto"/>
        <w:tabs>
          <w:tab w:leader="none" w:pos="2137"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124"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2" w:lineRule="auto"/>
        <w:tabs>
          <w:tab w:leader="none" w:pos="1605" w:val="left"/>
        </w:tabs>
        <w:numPr>
          <w:ilvl w:val="1"/>
          <w:numId w:val="33"/>
        </w:numPr>
        <w:rPr>
          <w:rFonts w:ascii="Arial" w:cs="Arial" w:eastAsia="Arial" w:hAnsi="Arial"/>
          <w:sz w:val="15"/>
          <w:szCs w:val="15"/>
          <w:color w:val="auto"/>
        </w:rPr>
      </w:pPr>
      <w:r>
        <w:rPr>
          <w:rFonts w:ascii="Arial" w:cs="Arial" w:eastAsia="Arial" w:hAnsi="Arial"/>
          <w:sz w:val="15"/>
          <w:szCs w:val="15"/>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5"/>
          <w:szCs w:val="15"/>
          <w:b w:val="1"/>
          <w:bCs w:val="1"/>
          <w:color w:val="auto"/>
        </w:rPr>
        <w:t>Insurance</w:t>
      </w:r>
      <w:r>
        <w:rPr>
          <w:rFonts w:ascii="Arial" w:cs="Arial" w:eastAsia="Arial" w:hAnsi="Arial"/>
          <w:sz w:val="15"/>
          <w:szCs w:val="15"/>
          <w:color w:val="auto"/>
        </w:rPr>
        <w:t xml:space="preserve"> </w:t>
      </w:r>
      <w:r>
        <w:rPr>
          <w:rFonts w:ascii="Arial" w:cs="Arial" w:eastAsia="Arial" w:hAnsi="Arial"/>
          <w:sz w:val="15"/>
          <w:szCs w:val="15"/>
          <w:b w:val="1"/>
          <w:bCs w:val="1"/>
          <w:color w:val="auto"/>
        </w:rPr>
        <w:t>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160" w:lineRule="exact"/>
        <w:rPr>
          <w:rFonts w:ascii="Arial" w:cs="Arial" w:eastAsia="Arial" w:hAnsi="Arial"/>
          <w:sz w:val="15"/>
          <w:szCs w:val="15"/>
          <w:color w:val="auto"/>
        </w:rPr>
      </w:pPr>
    </w:p>
    <w:p>
      <w:pPr>
        <w:jc w:val="both"/>
        <w:ind w:firstLine="1078"/>
        <w:spacing w:after="0" w:line="294" w:lineRule="auto"/>
        <w:tabs>
          <w:tab w:leader="none" w:pos="1725" w:val="left"/>
        </w:tabs>
        <w:numPr>
          <w:ilvl w:val="1"/>
          <w:numId w:val="33"/>
        </w:numPr>
        <w:rPr>
          <w:rFonts w:ascii="Arial" w:cs="Arial" w:eastAsia="Arial" w:hAnsi="Arial"/>
          <w:sz w:val="13"/>
          <w:szCs w:val="13"/>
          <w:color w:val="auto"/>
        </w:rPr>
      </w:pPr>
      <w:r>
        <w:rPr>
          <w:rFonts w:ascii="Arial" w:cs="Arial" w:eastAsia="Arial" w:hAnsi="Arial"/>
          <w:sz w:val="13"/>
          <w:szCs w:val="13"/>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w:t>
      </w:r>
    </w:p>
    <w:p>
      <w:pPr>
        <w:ind w:firstLine="9"/>
        <w:spacing w:after="0" w:line="255" w:lineRule="auto"/>
        <w:tabs>
          <w:tab w:leader="none" w:pos="194"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34"/>
        </w:numPr>
        <w:rPr>
          <w:rFonts w:ascii="Arial" w:cs="Arial" w:eastAsia="Arial" w:hAnsi="Arial"/>
          <w:sz w:val="15"/>
          <w:szCs w:val="15"/>
          <w:color w:val="auto"/>
        </w:rPr>
      </w:pPr>
      <w:r>
        <w:rPr>
          <w:rFonts w:ascii="Arial" w:cs="Arial" w:eastAsia="Arial" w:hAnsi="Arial"/>
          <w:sz w:val="15"/>
          <w:szCs w:val="15"/>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0" w:name="page31"/>
    <w:bookmarkEnd w:id="30"/>
    <w:p>
      <w:pPr>
        <w:ind w:left="540"/>
        <w:spacing w:after="0"/>
        <w:tabs>
          <w:tab w:leader="none" w:pos="1040"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70" w:lineRule="auto"/>
        <w:tabs>
          <w:tab w:leader="none" w:pos="16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4"/>
          <w:szCs w:val="14"/>
          <w:b w:val="1"/>
          <w:bCs w:val="1"/>
          <w:color w:val="auto"/>
        </w:rPr>
        <w:t>Company Intellectual Property</w:t>
      </w:r>
      <w:r>
        <w:rPr>
          <w:rFonts w:ascii="Arial" w:cs="Arial" w:eastAsia="Arial" w:hAnsi="Arial"/>
          <w:sz w:val="14"/>
          <w:szCs w:val="14"/>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149" w:lineRule="exact"/>
        <w:rPr>
          <w:rFonts w:ascii="Arial" w:cs="Arial" w:eastAsia="Arial" w:hAnsi="Arial"/>
          <w:sz w:val="14"/>
          <w:szCs w:val="14"/>
          <w:color w:val="auto"/>
        </w:rPr>
      </w:pPr>
    </w:p>
    <w:p>
      <w:pPr>
        <w:jc w:val="both"/>
        <w:ind w:firstLine="1078"/>
        <w:spacing w:after="0" w:line="258" w:lineRule="auto"/>
        <w:tabs>
          <w:tab w:leader="none" w:pos="16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156" w:lineRule="exact"/>
        <w:rPr>
          <w:rFonts w:ascii="Arial" w:cs="Arial" w:eastAsia="Arial" w:hAnsi="Arial"/>
          <w:sz w:val="15"/>
          <w:szCs w:val="15"/>
          <w:color w:val="auto"/>
        </w:rPr>
      </w:pPr>
    </w:p>
    <w:p>
      <w:pPr>
        <w:ind w:right="20" w:firstLine="1078"/>
        <w:spacing w:after="0" w:line="306" w:lineRule="auto"/>
        <w:tabs>
          <w:tab w:leader="none" w:pos="16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124"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3"/>
          <w:szCs w:val="13"/>
          <w:u w:val="single" w:color="auto"/>
          <w:color w:val="auto"/>
        </w:rPr>
        <w:t>Additional Tax Matters</w:t>
      </w:r>
      <w:r>
        <w:rPr>
          <w:rFonts w:ascii="Arial" w:cs="Arial" w:eastAsia="Arial" w:hAnsi="Arial"/>
          <w:sz w:val="13"/>
          <w:szCs w:val="13"/>
          <w:color w:val="auto"/>
        </w:rPr>
        <w:t>.</w:t>
      </w:r>
    </w:p>
    <w:p>
      <w:pPr>
        <w:spacing w:after="0" w:line="180" w:lineRule="exact"/>
        <w:rPr>
          <w:sz w:val="20"/>
          <w:szCs w:val="20"/>
          <w:color w:val="auto"/>
        </w:rPr>
      </w:pPr>
    </w:p>
    <w:p>
      <w:pPr>
        <w:jc w:val="both"/>
        <w:ind w:firstLine="1078"/>
        <w:spacing w:after="0" w:line="261" w:lineRule="auto"/>
        <w:tabs>
          <w:tab w:leader="none" w:pos="1627"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Neither the Company nor, to the knowledge of the Company, any of its affiliates (“</w:t>
      </w:r>
      <w:r>
        <w:rPr>
          <w:rFonts w:ascii="Arial" w:cs="Arial" w:eastAsia="Arial" w:hAnsi="Arial"/>
          <w:sz w:val="15"/>
          <w:szCs w:val="15"/>
          <w:b w:val="1"/>
          <w:bCs w:val="1"/>
          <w:color w:val="auto"/>
        </w:rPr>
        <w:t>Affiliates</w:t>
      </w:r>
      <w:r>
        <w:rPr>
          <w:rFonts w:ascii="Arial" w:cs="Arial" w:eastAsia="Arial" w:hAnsi="Arial"/>
          <w:sz w:val="15"/>
          <w:szCs w:val="15"/>
          <w:color w:val="auto"/>
        </w:rPr>
        <w:t>”), as defined by Rule 12b-2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154" w:lineRule="exact"/>
        <w:rPr>
          <w:rFonts w:ascii="Arial" w:cs="Arial" w:eastAsia="Arial" w:hAnsi="Arial"/>
          <w:sz w:val="15"/>
          <w:szCs w:val="15"/>
          <w:color w:val="auto"/>
        </w:rPr>
      </w:pPr>
    </w:p>
    <w:p>
      <w:pPr>
        <w:ind w:right="20" w:firstLine="1078"/>
        <w:spacing w:after="0" w:line="269" w:lineRule="auto"/>
        <w:tabs>
          <w:tab w:leader="none" w:pos="17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Certain Business Practices</w:t>
      </w:r>
      <w:r>
        <w:rPr>
          <w:rFonts w:ascii="Arial" w:cs="Arial" w:eastAsia="Arial" w:hAnsi="Arial"/>
          <w:sz w:val="15"/>
          <w:szCs w:val="15"/>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1" w:name="page32"/>
    <w:bookmarkEnd w:id="31"/>
    <w:p>
      <w:pPr>
        <w:ind w:left="540"/>
        <w:spacing w:after="0"/>
        <w:tabs>
          <w:tab w:leader="none" w:pos="1040" w:val="left"/>
          <w:tab w:leader="none" w:pos="2380" w:val="left"/>
        </w:tabs>
        <w:rPr>
          <w:sz w:val="20"/>
          <w:szCs w:val="20"/>
          <w:color w:val="auto"/>
        </w:rPr>
      </w:pPr>
      <w:r>
        <w:rPr>
          <w:rFonts w:ascii="Arial" w:cs="Arial" w:eastAsia="Arial" w:hAnsi="Arial"/>
          <w:sz w:val="15"/>
          <w:szCs w:val="15"/>
          <w:color w:val="auto"/>
        </w:rPr>
        <w:t>2.23</w:t>
      </w:r>
      <w:r>
        <w:rPr>
          <w:sz w:val="20"/>
          <w:szCs w:val="20"/>
          <w:color w:val="auto"/>
        </w:rPr>
        <w:tab/>
      </w:r>
      <w:r>
        <w:rPr>
          <w:rFonts w:ascii="Arial" w:cs="Arial" w:eastAsia="Arial" w:hAnsi="Arial"/>
          <w:sz w:val="15"/>
          <w:szCs w:val="15"/>
          <w:u w:val="single" w:color="auto"/>
          <w:color w:val="auto"/>
        </w:rPr>
        <w:t>Powers of Attorney</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There are no outstanding powers of attorney executed on behalf of the Company or its Subsidiaries.</w:t>
      </w:r>
    </w:p>
    <w:p>
      <w:pPr>
        <w:spacing w:after="0" w:line="184"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4"/>
          <w:szCs w:val="14"/>
          <w:color w:val="auto"/>
        </w:rPr>
        <w:t xml:space="preserve">2.24 </w:t>
      </w:r>
      <w:r>
        <w:rPr>
          <w:rFonts w:ascii="Arial" w:cs="Arial" w:eastAsia="Arial" w:hAnsi="Arial"/>
          <w:sz w:val="14"/>
          <w:szCs w:val="14"/>
          <w:u w:val="single" w:color="auto"/>
          <w:color w:val="auto"/>
        </w:rPr>
        <w:t>Interested Party Transactions</w:t>
      </w:r>
      <w:r>
        <w:rPr>
          <w:rFonts w:ascii="Arial" w:cs="Arial" w:eastAsia="Arial" w:hAnsi="Arial"/>
          <w:sz w:val="14"/>
          <w:szCs w:val="14"/>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12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2.25 </w:t>
      </w:r>
      <w:r>
        <w:rPr>
          <w:rFonts w:ascii="Arial" w:cs="Arial" w:eastAsia="Arial" w:hAnsi="Arial"/>
          <w:sz w:val="15"/>
          <w:szCs w:val="15"/>
          <w:u w:val="single" w:color="auto"/>
          <w:color w:val="auto"/>
        </w:rPr>
        <w:t>Books and Records</w:t>
      </w:r>
      <w:r>
        <w:rPr>
          <w:rFonts w:ascii="Arial" w:cs="Arial" w:eastAsia="Arial" w:hAnsi="Arial"/>
          <w:sz w:val="15"/>
          <w:szCs w:val="15"/>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158"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2.26 </w:t>
      </w:r>
      <w:r>
        <w:rPr>
          <w:rFonts w:ascii="Arial" w:cs="Arial" w:eastAsia="Arial" w:hAnsi="Arial"/>
          <w:sz w:val="15"/>
          <w:szCs w:val="15"/>
          <w:u w:val="single" w:color="auto"/>
          <w:color w:val="auto"/>
        </w:rPr>
        <w:t>Brokers</w:t>
      </w:r>
      <w:r>
        <w:rPr>
          <w:rFonts w:ascii="Arial" w:cs="Arial" w:eastAsia="Arial" w:hAnsi="Arial"/>
          <w:sz w:val="15"/>
          <w:szCs w:val="15"/>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148"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3"/>
          <w:szCs w:val="13"/>
          <w:color w:val="auto"/>
        </w:rPr>
        <w:t xml:space="preserve">2.27 </w:t>
      </w:r>
      <w:r>
        <w:rPr>
          <w:rFonts w:ascii="Arial" w:cs="Arial" w:eastAsia="Arial" w:hAnsi="Arial"/>
          <w:sz w:val="13"/>
          <w:szCs w:val="13"/>
          <w:u w:val="single" w:color="auto"/>
          <w:color w:val="auto"/>
        </w:rPr>
        <w:t>Proxy Statement</w:t>
      </w:r>
      <w:r>
        <w:rPr>
          <w:rFonts w:ascii="Arial" w:cs="Arial" w:eastAsia="Arial" w:hAnsi="Arial"/>
          <w:sz w:val="13"/>
          <w:szCs w:val="13"/>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3"/>
          <w:szCs w:val="13"/>
          <w:b w:val="1"/>
          <w:bCs w:val="1"/>
          <w:color w:val="auto"/>
        </w:rPr>
        <w:t>Proxy Statement</w:t>
      </w:r>
      <w:r>
        <w:rPr>
          <w:rFonts w:ascii="Arial" w:cs="Arial" w:eastAsia="Arial" w:hAnsi="Arial"/>
          <w:sz w:val="13"/>
          <w:szCs w:val="13"/>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5"/>
          <w:szCs w:val="15"/>
          <w:b w:val="1"/>
          <w:bCs w:val="1"/>
          <w:color w:val="auto"/>
        </w:rPr>
        <w:t>ARTICLE III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PARENT AND MERGER SUB</w:t>
      </w:r>
    </w:p>
    <w:p>
      <w:pPr>
        <w:spacing w:after="0" w:line="184"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Except as set forth in the disclosure schedule provided by Parent to the Company on the date hereof and accepted in writing by the Company (the “</w:t>
      </w:r>
      <w:r>
        <w:rPr>
          <w:rFonts w:ascii="Arial" w:cs="Arial" w:eastAsia="Arial" w:hAnsi="Arial"/>
          <w:sz w:val="13"/>
          <w:szCs w:val="13"/>
          <w:b w:val="1"/>
          <w:bCs w:val="1"/>
          <w:color w:val="auto"/>
        </w:rPr>
        <w:t>Parent Disclosure Schedule</w:t>
      </w:r>
      <w:r>
        <w:rPr>
          <w:rFonts w:ascii="Arial" w:cs="Arial" w:eastAsia="Arial" w:hAnsi="Arial"/>
          <w:sz w:val="13"/>
          <w:szCs w:val="13"/>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3"/>
          <w:szCs w:val="13"/>
          <w:b w:val="1"/>
          <w:bCs w:val="1"/>
          <w:color w:val="auto"/>
        </w:rPr>
        <w:t>Parent Material Adverse Effect</w:t>
      </w:r>
      <w:r>
        <w:rPr>
          <w:rFonts w:ascii="Arial" w:cs="Arial" w:eastAsia="Arial" w:hAnsi="Arial"/>
          <w:sz w:val="13"/>
          <w:szCs w:val="13"/>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33" w:name="page34"/>
    <w:bookmarkEnd w:id="33"/>
    <w:p>
      <w:pPr>
        <w:jc w:val="both"/>
        <w:ind w:firstLine="535"/>
        <w:spacing w:after="0" w:line="27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Organization and Qualification</w:t>
      </w:r>
      <w:r>
        <w:rPr>
          <w:rFonts w:ascii="Arial" w:cs="Arial" w:eastAsia="Arial" w:hAnsi="Arial"/>
          <w:sz w:val="14"/>
          <w:szCs w:val="14"/>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149"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Subsidiaries</w:t>
      </w:r>
      <w:r>
        <w:rPr>
          <w:rFonts w:ascii="Arial" w:cs="Arial" w:eastAsia="Arial" w:hAnsi="Arial"/>
          <w:sz w:val="15"/>
          <w:szCs w:val="15"/>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148"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Capital Structure</w:t>
      </w:r>
      <w:r>
        <w:rPr>
          <w:rFonts w:ascii="Arial" w:cs="Arial" w:eastAsia="Arial" w:hAnsi="Arial"/>
          <w:sz w:val="13"/>
          <w:szCs w:val="13"/>
          <w:color w:val="auto"/>
        </w:rPr>
        <w:t>.</w:t>
      </w:r>
    </w:p>
    <w:p>
      <w:pPr>
        <w:spacing w:after="0" w:line="184" w:lineRule="exact"/>
        <w:rPr>
          <w:sz w:val="20"/>
          <w:szCs w:val="20"/>
          <w:color w:val="auto"/>
        </w:rPr>
      </w:pPr>
    </w:p>
    <w:p>
      <w:pPr>
        <w:ind w:left="1660" w:hanging="582"/>
        <w:spacing w:after="0"/>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authorized capital stock of Parent consists of (i) 28,000,000 shares of Parent Common Stock; and (ii) 5,000,000 shares of preferred stock, $0.01 par value per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share.</w:t>
      </w:r>
    </w:p>
    <w:p>
      <w:pPr>
        <w:spacing w:after="0" w:line="174" w:lineRule="exact"/>
        <w:rPr>
          <w:sz w:val="20"/>
          <w:szCs w:val="20"/>
          <w:color w:val="auto"/>
        </w:rPr>
      </w:pPr>
    </w:p>
    <w:p>
      <w:pPr>
        <w:jc w:val="both"/>
        <w:ind w:firstLine="1078"/>
        <w:spacing w:after="0" w:line="253" w:lineRule="auto"/>
        <w:tabs>
          <w:tab w:leader="none" w:pos="16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160" w:lineRule="exact"/>
        <w:rPr>
          <w:rFonts w:ascii="Arial" w:cs="Arial" w:eastAsia="Arial" w:hAnsi="Arial"/>
          <w:sz w:val="15"/>
          <w:szCs w:val="15"/>
          <w:color w:val="auto"/>
        </w:rPr>
      </w:pPr>
    </w:p>
    <w:p>
      <w:pPr>
        <w:jc w:val="both"/>
        <w:ind w:firstLine="1078"/>
        <w:spacing w:after="0" w:line="258" w:lineRule="auto"/>
        <w:tabs>
          <w:tab w:leader="none" w:pos="1694"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-27305</wp:posOffset>
            </wp:positionV>
            <wp:extent cx="234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pacing w:after="0" w:line="137"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4"/>
          <w:szCs w:val="14"/>
          <w:u w:val="single" w:color="auto"/>
          <w:color w:val="auto"/>
        </w:rPr>
        <w:t>Authority; No Conflict; Required Filings</w:t>
      </w:r>
      <w:r>
        <w:rPr>
          <w:rFonts w:ascii="Arial" w:cs="Arial" w:eastAsia="Arial" w:hAnsi="Arial"/>
          <w:sz w:val="14"/>
          <w:szCs w:val="14"/>
          <w:color w:val="auto"/>
        </w:rPr>
        <w:t>.</w:t>
      </w:r>
    </w:p>
    <w:p>
      <w:pPr>
        <w:spacing w:after="0" w:line="184" w:lineRule="exact"/>
        <w:rPr>
          <w:sz w:val="20"/>
          <w:szCs w:val="20"/>
          <w:color w:val="auto"/>
        </w:rPr>
      </w:pPr>
    </w:p>
    <w:p>
      <w:pPr>
        <w:jc w:val="both"/>
        <w:ind w:firstLine="1078"/>
        <w:spacing w:after="0" w:line="296" w:lineRule="auto"/>
        <w:tabs>
          <w:tab w:leader="none" w:pos="1683" w:val="left"/>
        </w:tabs>
        <w:numPr>
          <w:ilvl w:val="0"/>
          <w:numId w:val="39"/>
        </w:numPr>
        <w:rPr>
          <w:rFonts w:ascii="Arial" w:cs="Arial" w:eastAsia="Arial" w:hAnsi="Arial"/>
          <w:sz w:val="13"/>
          <w:szCs w:val="13"/>
          <w:color w:val="auto"/>
        </w:rPr>
      </w:pPr>
      <w:r>
        <w:rPr>
          <w:rFonts w:ascii="Arial" w:cs="Arial" w:eastAsia="Arial" w:hAnsi="Arial"/>
          <w:sz w:val="13"/>
          <w:szCs w:val="13"/>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3"/>
          <w:szCs w:val="13"/>
          <w:b w:val="1"/>
          <w:bCs w:val="1"/>
          <w:color w:val="auto"/>
        </w:rPr>
        <w:t>Restated Parent</w:t>
      </w:r>
      <w:r>
        <w:rPr>
          <w:rFonts w:ascii="Arial" w:cs="Arial" w:eastAsia="Arial" w:hAnsi="Arial"/>
          <w:sz w:val="13"/>
          <w:szCs w:val="13"/>
          <w:color w:val="auto"/>
        </w:rPr>
        <w:t xml:space="preserve"> </w:t>
      </w:r>
      <w:r>
        <w:rPr>
          <w:rFonts w:ascii="Arial" w:cs="Arial" w:eastAsia="Arial" w:hAnsi="Arial"/>
          <w:sz w:val="13"/>
          <w:szCs w:val="13"/>
          <w:b w:val="1"/>
          <w:bCs w:val="1"/>
          <w:color w:val="auto"/>
        </w:rPr>
        <w:t>Certificate</w:t>
      </w:r>
      <w:r>
        <w:rPr>
          <w:rFonts w:ascii="Arial" w:cs="Arial" w:eastAsia="Arial" w:hAnsi="Arial"/>
          <w:sz w:val="13"/>
          <w:szCs w:val="13"/>
          <w:color w:val="auto"/>
        </w:rPr>
        <w:t>”), increasing the number of authorized shares of Parent Common Stock to up to 150,000,000 shares and effecting a reverse split of the shares of Parent Common Stock, if the Parent</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3"/>
          <w:szCs w:val="13"/>
          <w:b w:val="1"/>
          <w:bCs w:val="1"/>
          <w:color w:val="auto"/>
        </w:rPr>
        <w:t>Parent Stockholder Approval</w:t>
      </w:r>
      <w:r>
        <w:rPr>
          <w:rFonts w:ascii="Arial" w:cs="Arial" w:eastAsia="Arial" w:hAnsi="Arial"/>
          <w:sz w:val="13"/>
          <w:szCs w:val="13"/>
          <w:color w:val="auto"/>
        </w:rPr>
        <w:t>”).</w:t>
      </w:r>
    </w:p>
    <w:p>
      <w:pPr>
        <w:spacing w:after="0" w:line="313" w:lineRule="exact"/>
        <w:rPr>
          <w:rFonts w:ascii="Arial" w:cs="Arial" w:eastAsia="Arial" w:hAnsi="Arial"/>
          <w:sz w:val="13"/>
          <w:szCs w:val="13"/>
          <w:color w:val="auto"/>
        </w:rPr>
      </w:pPr>
    </w:p>
    <w:p>
      <w:pPr>
        <w:ind w:left="5660" w:hanging="87"/>
        <w:spacing w:after="0"/>
        <w:tabs>
          <w:tab w:leader="none" w:pos="56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4" w:name="page35"/>
    <w:bookmarkEnd w:id="34"/>
    <w:p>
      <w:pPr>
        <w:jc w:val="both"/>
        <w:ind w:left="-1078" w:firstLine="1078"/>
        <w:spacing w:after="0" w:line="251" w:lineRule="auto"/>
        <w:tabs>
          <w:tab w:leader="none" w:pos="416"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 (iii) 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160" w:lineRule="exact"/>
        <w:rPr>
          <w:rFonts w:ascii="Arial" w:cs="Arial" w:eastAsia="Arial" w:hAnsi="Arial"/>
          <w:sz w:val="15"/>
          <w:szCs w:val="15"/>
          <w:color w:val="auto"/>
        </w:rPr>
      </w:pPr>
    </w:p>
    <w:p>
      <w:pPr>
        <w:jc w:val="both"/>
        <w:ind w:left="-1078" w:firstLine="1078"/>
        <w:spacing w:after="0" w:line="270" w:lineRule="auto"/>
        <w:tabs>
          <w:tab w:leader="none" w:pos="3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 (ii) 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327" w:lineRule="exact"/>
        <w:rPr>
          <w:rFonts w:ascii="Arial" w:cs="Arial" w:eastAsia="Arial" w:hAnsi="Arial"/>
          <w:sz w:val="14"/>
          <w:szCs w:val="14"/>
          <w:color w:val="auto"/>
        </w:rPr>
      </w:pPr>
    </w:p>
    <w:p>
      <w:pPr>
        <w:ind w:left="4582" w:hanging="87"/>
        <w:spacing w:after="0"/>
        <w:tabs>
          <w:tab w:leader="none" w:pos="4582" w:val="left"/>
        </w:tabs>
        <w:numPr>
          <w:ilvl w:val="1"/>
          <w:numId w:val="40"/>
        </w:numPr>
        <w:rPr>
          <w:rFonts w:ascii="Arial" w:cs="Arial" w:eastAsia="Arial" w:hAnsi="Arial"/>
          <w:sz w:val="15"/>
          <w:szCs w:val="15"/>
          <w:color w:val="auto"/>
        </w:rPr>
      </w:pPr>
      <w:r>
        <w:rPr>
          <w:rFonts w:ascii="Arial" w:cs="Arial" w:eastAsia="Arial" w:hAnsi="Arial"/>
          <w:sz w:val="15"/>
          <w:szCs w:val="15"/>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35" w:name="page36"/>
    <w:bookmarkEnd w:id="35"/>
    <w:p>
      <w:pPr>
        <w:jc w:val="both"/>
        <w:ind w:firstLine="1078"/>
        <w:spacing w:after="0" w:line="288" w:lineRule="auto"/>
        <w:tabs>
          <w:tab w:leader="none" w:pos="1472" w:val="left"/>
        </w:tabs>
        <w:numPr>
          <w:ilvl w:val="1"/>
          <w:numId w:val="41"/>
        </w:numPr>
        <w:rPr>
          <w:rFonts w:ascii="Arial" w:cs="Arial" w:eastAsia="Arial" w:hAnsi="Arial"/>
          <w:sz w:val="13"/>
          <w:szCs w:val="13"/>
          <w:color w:val="auto"/>
        </w:rPr>
      </w:pPr>
      <w:r>
        <w:rPr>
          <w:rFonts w:ascii="Arial" w:cs="Arial" w:eastAsia="Arial" w:hAnsi="Arial"/>
          <w:sz w:val="13"/>
          <w:szCs w:val="13"/>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3"/>
          <w:szCs w:val="13"/>
          <w:b w:val="1"/>
          <w:bCs w:val="1"/>
          <w:color w:val="auto"/>
        </w:rPr>
        <w:t>Blue Sky</w:t>
      </w:r>
      <w:r>
        <w:rPr>
          <w:rFonts w:ascii="Arial" w:cs="Arial" w:eastAsia="Arial" w:hAnsi="Arial"/>
          <w:sz w:val="13"/>
          <w:szCs w:val="13"/>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w:t>
      </w:r>
    </w:p>
    <w:p>
      <w:pPr>
        <w:spacing w:after="0" w:line="2" w:lineRule="exact"/>
        <w:rPr>
          <w:rFonts w:ascii="Arial" w:cs="Arial" w:eastAsia="Arial" w:hAnsi="Arial"/>
          <w:sz w:val="13"/>
          <w:szCs w:val="13"/>
          <w:color w:val="auto"/>
        </w:rPr>
      </w:pPr>
    </w:p>
    <w:p>
      <w:pPr>
        <w:ind w:left="240" w:hanging="231"/>
        <w:spacing w:after="0"/>
        <w:tabs>
          <w:tab w:leader="none" w:pos="2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impair in any material respect the ability of the Parties to consummate the Merger and the other transactions contemplated hereby on a timely basis.</w:t>
      </w:r>
    </w:p>
    <w:p>
      <w:pPr>
        <w:spacing w:after="0" w:line="174"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u w:val="single" w:color="auto"/>
          <w:color w:val="auto"/>
        </w:rPr>
        <w:t>SEC Filings; Financial Statements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1" w:lineRule="auto"/>
        <w:tabs>
          <w:tab w:leader="none" w:pos="1475"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5"/>
          <w:szCs w:val="15"/>
          <w:b w:val="1"/>
          <w:bCs w:val="1"/>
          <w:color w:val="auto"/>
        </w:rPr>
        <w:t>Parent SEC Reports</w:t>
      </w:r>
      <w:r>
        <w:rPr>
          <w:rFonts w:ascii="Arial" w:cs="Arial" w:eastAsia="Arial" w:hAnsi="Arial"/>
          <w:sz w:val="15"/>
          <w:szCs w:val="15"/>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162" w:lineRule="exact"/>
        <w:rPr>
          <w:rFonts w:ascii="Arial" w:cs="Arial" w:eastAsia="Arial" w:hAnsi="Arial"/>
          <w:sz w:val="15"/>
          <w:szCs w:val="15"/>
          <w:color w:val="auto"/>
        </w:rPr>
      </w:pPr>
    </w:p>
    <w:p>
      <w:pPr>
        <w:jc w:val="both"/>
        <w:ind w:firstLine="1078"/>
        <w:spacing w:after="0" w:line="273" w:lineRule="auto"/>
        <w:tabs>
          <w:tab w:leader="none" w:pos="145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149"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Absence of Undisclosed Liabilities; Cash</w:t>
      </w:r>
      <w:r>
        <w:rPr>
          <w:rFonts w:ascii="Arial" w:cs="Arial" w:eastAsia="Arial" w:hAnsi="Arial"/>
          <w:sz w:val="13"/>
          <w:szCs w:val="13"/>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3"/>
          <w:szCs w:val="13"/>
          <w:b w:val="1"/>
          <w:bCs w:val="1"/>
          <w:color w:val="auto"/>
        </w:rPr>
        <w:t>Parent’s</w:t>
      </w:r>
      <w:r>
        <w:rPr>
          <w:rFonts w:ascii="Arial" w:cs="Arial" w:eastAsia="Arial" w:hAnsi="Arial"/>
          <w:sz w:val="13"/>
          <w:szCs w:val="13"/>
          <w:color w:val="auto"/>
        </w:rPr>
        <w:t xml:space="preserve"> </w:t>
      </w:r>
      <w:r>
        <w:rPr>
          <w:rFonts w:ascii="Arial" w:cs="Arial" w:eastAsia="Arial" w:hAnsi="Arial"/>
          <w:sz w:val="13"/>
          <w:szCs w:val="13"/>
          <w:b w:val="1"/>
          <w:bCs w:val="1"/>
          <w:color w:val="auto"/>
        </w:rPr>
        <w:t>Most Recent Balance Sheet</w:t>
      </w:r>
      <w:r>
        <w:rPr>
          <w:rFonts w:ascii="Arial" w:cs="Arial" w:eastAsia="Arial" w:hAnsi="Arial"/>
          <w:sz w:val="13"/>
          <w:szCs w:val="13"/>
          <w:color w:val="auto"/>
        </w:rPr>
        <w:t>”) for the quarter ended September 30, 2011 (the “Parent’s</w:t>
      </w:r>
      <w:r>
        <w:rPr>
          <w:rFonts w:ascii="Arial" w:cs="Arial" w:eastAsia="Arial" w:hAnsi="Arial"/>
          <w:sz w:val="13"/>
          <w:szCs w:val="13"/>
          <w:b w:val="1"/>
          <w:bCs w:val="1"/>
          <w:color w:val="auto"/>
        </w:rPr>
        <w:t xml:space="preserve"> Most Recent Balance Sheet Date</w:t>
      </w:r>
      <w:r>
        <w:rPr>
          <w:rFonts w:ascii="Arial" w:cs="Arial" w:eastAsia="Arial" w:hAnsi="Arial"/>
          <w:sz w:val="13"/>
          <w:szCs w:val="13"/>
          <w:color w:val="auto"/>
        </w:rPr>
        <w:t>”); (ii) obligations under any Parent Material Contract (as defined in</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3.8); (iii) liabilities or obligations incurred since Parent’s Most Recent Balance Sheet Date in the ordinary course of business, consistent with past practice in both type and amount; and</w:t>
      </w:r>
    </w:p>
    <w:p>
      <w:pPr>
        <w:ind w:firstLine="9"/>
        <w:spacing w:after="0" w:line="332" w:lineRule="auto"/>
        <w:tabs>
          <w:tab w:leader="none" w:pos="252" w:val="left"/>
        </w:tabs>
        <w:numPr>
          <w:ilvl w:val="0"/>
          <w:numId w:val="44"/>
        </w:numPr>
        <w:rPr>
          <w:rFonts w:ascii="Arial" w:cs="Arial" w:eastAsia="Arial" w:hAnsi="Arial"/>
          <w:sz w:val="13"/>
          <w:szCs w:val="13"/>
          <w:color w:val="auto"/>
        </w:rPr>
      </w:pPr>
      <w:r>
        <w:rPr>
          <w:rFonts w:ascii="Arial" w:cs="Arial" w:eastAsia="Arial" w:hAnsi="Arial"/>
          <w:sz w:val="13"/>
          <w:szCs w:val="13"/>
          <w:color w:val="auto"/>
        </w:rPr>
        <w:t>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289" w:lineRule="exact"/>
        <w:rPr>
          <w:rFonts w:ascii="Arial" w:cs="Arial" w:eastAsia="Arial" w:hAnsi="Arial"/>
          <w:sz w:val="13"/>
          <w:szCs w:val="13"/>
          <w:color w:val="auto"/>
        </w:rPr>
      </w:pPr>
    </w:p>
    <w:p>
      <w:pPr>
        <w:ind w:left="5660" w:hanging="87"/>
        <w:spacing w:after="0"/>
        <w:tabs>
          <w:tab w:leader="none" w:pos="5660" w:val="left"/>
        </w:tabs>
        <w:numPr>
          <w:ilvl w:val="1"/>
          <w:numId w:val="44"/>
        </w:numPr>
        <w:rPr>
          <w:rFonts w:ascii="Arial" w:cs="Arial" w:eastAsia="Arial" w:hAnsi="Arial"/>
          <w:sz w:val="15"/>
          <w:szCs w:val="15"/>
          <w:color w:val="auto"/>
        </w:rPr>
      </w:pPr>
      <w:r>
        <w:rPr>
          <w:rFonts w:ascii="Arial" w:cs="Arial" w:eastAsia="Arial" w:hAnsi="Arial"/>
          <w:sz w:val="15"/>
          <w:szCs w:val="15"/>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6" w:name="page37"/>
    <w:bookmarkEnd w:id="36"/>
    <w:p>
      <w:pPr>
        <w:jc w:val="both"/>
        <w:ind w:firstLine="535"/>
        <w:spacing w:after="0" w:line="275"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Absence of Certain Changes or Events</w:t>
      </w:r>
      <w:r>
        <w:rPr>
          <w:rFonts w:ascii="Arial" w:cs="Arial" w:eastAsia="Arial" w:hAnsi="Arial"/>
          <w:sz w:val="14"/>
          <w:szCs w:val="14"/>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147" w:lineRule="exact"/>
        <w:rPr>
          <w:sz w:val="20"/>
          <w:szCs w:val="20"/>
          <w:color w:val="auto"/>
        </w:rPr>
      </w:pPr>
    </w:p>
    <w:p>
      <w:pPr>
        <w:jc w:val="both"/>
        <w:ind w:firstLine="535"/>
        <w:spacing w:after="0" w:line="317"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Parent Material Adverse Effect.</w:t>
      </w:r>
    </w:p>
    <w:p>
      <w:pPr>
        <w:spacing w:after="0" w:line="12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3.9</w:t>
      </w:r>
      <w:r>
        <w:rPr>
          <w:sz w:val="20"/>
          <w:szCs w:val="20"/>
          <w:color w:val="auto"/>
        </w:rPr>
        <w:tab/>
      </w:r>
      <w:r>
        <w:rPr>
          <w:rFonts w:ascii="Arial" w:cs="Arial" w:eastAsia="Arial" w:hAnsi="Arial"/>
          <w:sz w:val="13"/>
          <w:szCs w:val="13"/>
          <w:u w:val="single" w:color="auto"/>
          <w:color w:val="auto"/>
        </w:rPr>
        <w:t>Agreements, Contracts and Commitments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5" w:lineRule="auto"/>
        <w:tabs>
          <w:tab w:leader="none" w:pos="1442" w:val="left"/>
        </w:tabs>
        <w:numPr>
          <w:ilvl w:val="0"/>
          <w:numId w:val="45"/>
        </w:numPr>
        <w:rPr>
          <w:rFonts w:ascii="Arial" w:cs="Arial" w:eastAsia="Arial" w:hAnsi="Arial"/>
          <w:sz w:val="15"/>
          <w:szCs w:val="15"/>
          <w:color w:val="auto"/>
        </w:rPr>
      </w:pPr>
      <w:r>
        <w:rPr>
          <w:rFonts w:ascii="Arial" w:cs="Arial" w:eastAsia="Arial" w:hAnsi="Arial"/>
          <w:sz w:val="15"/>
          <w:szCs w:val="15"/>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5"/>
          <w:szCs w:val="15"/>
          <w:b w:val="1"/>
          <w:bCs w:val="1"/>
          <w:color w:val="auto"/>
        </w:rPr>
        <w:t>Parent Material Contracts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right="20" w:firstLine="1078"/>
        <w:spacing w:after="0" w:line="306" w:lineRule="auto"/>
        <w:tabs>
          <w:tab w:leader="none" w:pos="1483"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124" w:lineRule="exact"/>
        <w:rPr>
          <w:rFonts w:ascii="Arial" w:cs="Arial" w:eastAsia="Arial" w:hAnsi="Arial"/>
          <w:sz w:val="14"/>
          <w:szCs w:val="14"/>
          <w:color w:val="auto"/>
        </w:rPr>
      </w:pPr>
    </w:p>
    <w:p>
      <w:pPr>
        <w:ind w:firstLine="1078"/>
        <w:spacing w:after="0" w:line="269" w:lineRule="auto"/>
        <w:tabs>
          <w:tab w:leader="none" w:pos="1442" w:val="left"/>
        </w:tabs>
        <w:numPr>
          <w:ilvl w:val="0"/>
          <w:numId w:val="45"/>
        </w:numPr>
        <w:rPr>
          <w:rFonts w:ascii="Arial" w:cs="Arial" w:eastAsia="Arial" w:hAnsi="Arial"/>
          <w:sz w:val="15"/>
          <w:szCs w:val="15"/>
          <w:color w:val="auto"/>
        </w:rPr>
      </w:pPr>
      <w:r>
        <w:rPr>
          <w:rFonts w:ascii="Arial" w:cs="Arial" w:eastAsia="Arial" w:hAnsi="Arial"/>
          <w:sz w:val="15"/>
          <w:szCs w:val="15"/>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3"/>
          <w:szCs w:val="13"/>
          <w:u w:val="single" w:color="auto"/>
          <w:color w:val="auto"/>
        </w:rPr>
        <w:t>Material Permits</w:t>
      </w:r>
      <w:r>
        <w:rPr>
          <w:rFonts w:ascii="Arial" w:cs="Arial" w:eastAsia="Arial" w:hAnsi="Arial"/>
          <w:sz w:val="13"/>
          <w:szCs w:val="13"/>
          <w:color w:val="auto"/>
        </w:rPr>
        <w:t>.</w:t>
      </w:r>
    </w:p>
    <w:p>
      <w:pPr>
        <w:spacing w:after="0" w:line="184" w:lineRule="exact"/>
        <w:rPr>
          <w:sz w:val="20"/>
          <w:szCs w:val="20"/>
          <w:color w:val="auto"/>
        </w:rPr>
      </w:pPr>
    </w:p>
    <w:p>
      <w:pPr>
        <w:ind w:firstLine="1078"/>
        <w:spacing w:after="0" w:line="269" w:lineRule="auto"/>
        <w:tabs>
          <w:tab w:leader="none" w:pos="1486"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5"/>
          <w:szCs w:val="15"/>
          <w:b w:val="1"/>
          <w:bCs w:val="1"/>
          <w:color w:val="auto"/>
        </w:rPr>
        <w:t>Parent Permits</w:t>
      </w:r>
      <w:r>
        <w:rPr>
          <w:rFonts w:ascii="Arial" w:cs="Arial" w:eastAsia="Arial" w:hAnsi="Arial"/>
          <w:sz w:val="15"/>
          <w:szCs w:val="15"/>
          <w:color w:val="auto"/>
        </w:rPr>
        <w:t>”).</w:t>
      </w:r>
    </w:p>
    <w:p>
      <w:pPr>
        <w:spacing w:after="0" w:line="326" w:lineRule="exact"/>
        <w:rPr>
          <w:rFonts w:ascii="Arial" w:cs="Arial" w:eastAsia="Arial" w:hAnsi="Arial"/>
          <w:sz w:val="15"/>
          <w:szCs w:val="15"/>
          <w:color w:val="auto"/>
        </w:rPr>
      </w:pPr>
    </w:p>
    <w:p>
      <w:pPr>
        <w:ind w:left="5660" w:hanging="87"/>
        <w:spacing w:after="0"/>
        <w:tabs>
          <w:tab w:leader="none" w:pos="56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7" w:name="page38"/>
    <w:bookmarkEnd w:id="37"/>
    <w:p>
      <w:pPr>
        <w:ind w:left="1440" w:hanging="362"/>
        <w:spacing w:after="0"/>
        <w:tabs>
          <w:tab w:leader="none" w:pos="1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of the Parent and its Subsidiaries is in compliance in all material respects with the terms and conditions of the Parent Permits.</w:t>
      </w:r>
    </w:p>
    <w:p>
      <w:pPr>
        <w:spacing w:after="0" w:line="183" w:lineRule="exact"/>
        <w:rPr>
          <w:rFonts w:ascii="Arial" w:cs="Arial" w:eastAsia="Arial" w:hAnsi="Arial"/>
          <w:sz w:val="15"/>
          <w:szCs w:val="15"/>
          <w:color w:val="auto"/>
        </w:rPr>
      </w:pPr>
    </w:p>
    <w:p>
      <w:pPr>
        <w:ind w:firstLine="1078"/>
        <w:spacing w:after="0" w:line="269" w:lineRule="auto"/>
        <w:tabs>
          <w:tab w:leader="none" w:pos="1464"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147" w:lineRule="exact"/>
        <w:rPr>
          <w:rFonts w:ascii="Arial" w:cs="Arial" w:eastAsia="Arial" w:hAnsi="Arial"/>
          <w:sz w:val="15"/>
          <w:szCs w:val="15"/>
          <w:color w:val="auto"/>
        </w:rPr>
      </w:pPr>
    </w:p>
    <w:p>
      <w:pPr>
        <w:ind w:firstLine="1078"/>
        <w:spacing w:after="0" w:line="269" w:lineRule="auto"/>
        <w:tabs>
          <w:tab w:leader="none" w:pos="1528"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148"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137"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157"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5"/>
          <w:szCs w:val="15"/>
          <w:color w:val="auto"/>
        </w:rPr>
        <w:t>3.13</w:t>
      </w:r>
      <w:r>
        <w:rPr>
          <w:sz w:val="20"/>
          <w:szCs w:val="20"/>
          <w:color w:val="auto"/>
        </w:rPr>
        <w:tab/>
      </w:r>
      <w:r>
        <w:rPr>
          <w:rFonts w:ascii="Arial" w:cs="Arial" w:eastAsia="Arial" w:hAnsi="Arial"/>
          <w:sz w:val="13"/>
          <w:szCs w:val="13"/>
          <w:u w:val="single" w:color="auto"/>
          <w:color w:val="auto"/>
        </w:rPr>
        <w:t>Employees</w:t>
      </w:r>
      <w:r>
        <w:rPr>
          <w:rFonts w:ascii="Arial" w:cs="Arial" w:eastAsia="Arial" w:hAnsi="Arial"/>
          <w:sz w:val="13"/>
          <w:szCs w:val="13"/>
          <w:color w:val="auto"/>
        </w:rPr>
        <w:t>.</w:t>
      </w:r>
    </w:p>
    <w:p>
      <w:pPr>
        <w:spacing w:after="0" w:line="184" w:lineRule="exact"/>
        <w:rPr>
          <w:sz w:val="20"/>
          <w:szCs w:val="20"/>
          <w:color w:val="auto"/>
        </w:rPr>
      </w:pPr>
    </w:p>
    <w:p>
      <w:pPr>
        <w:jc w:val="both"/>
        <w:ind w:right="20" w:firstLine="1078"/>
        <w:spacing w:after="0" w:line="255" w:lineRule="auto"/>
        <w:tabs>
          <w:tab w:leader="none" w:pos="1464" w:val="left"/>
        </w:tabs>
        <w:numPr>
          <w:ilvl w:val="0"/>
          <w:numId w:val="48"/>
        </w:numPr>
        <w:rPr>
          <w:rFonts w:ascii="Arial" w:cs="Arial" w:eastAsia="Arial" w:hAnsi="Arial"/>
          <w:sz w:val="15"/>
          <w:szCs w:val="15"/>
          <w:color w:val="auto"/>
        </w:rPr>
      </w:pPr>
      <w:r>
        <w:rPr>
          <w:rFonts w:ascii="Arial" w:cs="Arial" w:eastAsia="Arial" w:hAnsi="Arial"/>
          <w:sz w:val="15"/>
          <w:szCs w:val="15"/>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157" w:lineRule="exact"/>
        <w:rPr>
          <w:rFonts w:ascii="Arial" w:cs="Arial" w:eastAsia="Arial" w:hAnsi="Arial"/>
          <w:sz w:val="15"/>
          <w:szCs w:val="15"/>
          <w:color w:val="auto"/>
        </w:rPr>
      </w:pPr>
    </w:p>
    <w:p>
      <w:pPr>
        <w:ind w:firstLine="1078"/>
        <w:spacing w:after="0" w:line="269" w:lineRule="auto"/>
        <w:tabs>
          <w:tab w:leader="none" w:pos="1439"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147" w:lineRule="exact"/>
        <w:rPr>
          <w:rFonts w:ascii="Arial" w:cs="Arial" w:eastAsia="Arial" w:hAnsi="Arial"/>
          <w:sz w:val="15"/>
          <w:szCs w:val="15"/>
          <w:color w:val="auto"/>
        </w:rPr>
      </w:pPr>
    </w:p>
    <w:p>
      <w:pPr>
        <w:jc w:val="both"/>
        <w:ind w:firstLine="1078"/>
        <w:spacing w:after="0" w:line="275" w:lineRule="auto"/>
        <w:tabs>
          <w:tab w:leader="none" w:pos="1419"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325" w:lineRule="exact"/>
        <w:rPr>
          <w:rFonts w:ascii="Arial" w:cs="Arial" w:eastAsia="Arial" w:hAnsi="Arial"/>
          <w:sz w:val="14"/>
          <w:szCs w:val="14"/>
          <w:color w:val="auto"/>
        </w:rPr>
      </w:pPr>
    </w:p>
    <w:p>
      <w:pPr>
        <w:ind w:left="5660" w:hanging="87"/>
        <w:spacing w:after="0"/>
        <w:tabs>
          <w:tab w:leader="none" w:pos="5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5"/>
          <w:szCs w:val="15"/>
          <w:color w:val="auto"/>
        </w:rPr>
        <w:t>3.14</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4" w:lineRule="exact"/>
        <w:rPr>
          <w:sz w:val="20"/>
          <w:szCs w:val="20"/>
          <w:color w:val="auto"/>
        </w:rPr>
      </w:pPr>
    </w:p>
    <w:p>
      <w:pPr>
        <w:jc w:val="both"/>
        <w:ind w:left="-540" w:firstLine="1078"/>
        <w:spacing w:after="0" w:line="258" w:lineRule="auto"/>
        <w:tabs>
          <w:tab w:leader="none" w:pos="935"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156" w:lineRule="exact"/>
        <w:rPr>
          <w:rFonts w:ascii="Arial" w:cs="Arial" w:eastAsia="Arial" w:hAnsi="Arial"/>
          <w:sz w:val="15"/>
          <w:szCs w:val="15"/>
          <w:color w:val="auto"/>
        </w:rPr>
      </w:pPr>
    </w:p>
    <w:p>
      <w:pPr>
        <w:ind w:left="-540" w:firstLine="1078"/>
        <w:spacing w:after="0" w:line="269" w:lineRule="auto"/>
        <w:tabs>
          <w:tab w:leader="none" w:pos="899"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147" w:lineRule="exact"/>
        <w:rPr>
          <w:rFonts w:ascii="Arial" w:cs="Arial" w:eastAsia="Arial" w:hAnsi="Arial"/>
          <w:sz w:val="15"/>
          <w:szCs w:val="15"/>
          <w:color w:val="auto"/>
        </w:rPr>
      </w:pPr>
    </w:p>
    <w:p>
      <w:pPr>
        <w:ind w:left="-540" w:firstLine="1078"/>
        <w:spacing w:after="0" w:line="306" w:lineRule="auto"/>
        <w:tabs>
          <w:tab w:leader="none" w:pos="9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124" w:lineRule="exact"/>
        <w:rPr>
          <w:rFonts w:ascii="Arial" w:cs="Arial" w:eastAsia="Arial" w:hAnsi="Arial"/>
          <w:sz w:val="14"/>
          <w:szCs w:val="14"/>
          <w:color w:val="auto"/>
        </w:rPr>
      </w:pPr>
    </w:p>
    <w:p>
      <w:pPr>
        <w:ind w:left="-540" w:firstLine="1078"/>
        <w:spacing w:after="0" w:line="269" w:lineRule="auto"/>
        <w:tabs>
          <w:tab w:leader="none" w:pos="899"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147" w:lineRule="exact"/>
        <w:rPr>
          <w:rFonts w:ascii="Arial" w:cs="Arial" w:eastAsia="Arial" w:hAnsi="Arial"/>
          <w:sz w:val="15"/>
          <w:szCs w:val="15"/>
          <w:color w:val="auto"/>
        </w:rPr>
      </w:pPr>
    </w:p>
    <w:p>
      <w:pPr>
        <w:jc w:val="both"/>
        <w:ind w:left="-540" w:firstLine="1078"/>
        <w:spacing w:after="0" w:line="286" w:lineRule="auto"/>
        <w:tabs>
          <w:tab w:leader="none" w:pos="935"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137" w:lineRule="exact"/>
        <w:rPr>
          <w:rFonts w:ascii="Arial" w:cs="Arial" w:eastAsia="Arial" w:hAnsi="Arial"/>
          <w:sz w:val="14"/>
          <w:szCs w:val="14"/>
          <w:color w:val="auto"/>
        </w:rPr>
      </w:pPr>
    </w:p>
    <w:p>
      <w:pPr>
        <w:ind w:left="-540" w:firstLine="1078"/>
        <w:spacing w:after="0" w:line="269" w:lineRule="auto"/>
        <w:tabs>
          <w:tab w:leader="none" w:pos="919"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Parent nor its Subsidiaries is, or has ever been, a party to or bound by any tax indemnity agreement, tax sharing agreement, tax allocation agreement or similar contract or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3.15</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58" w:lineRule="auto"/>
        <w:tabs>
          <w:tab w:leader="none" w:pos="946"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156" w:lineRule="exact"/>
        <w:rPr>
          <w:rFonts w:ascii="Arial" w:cs="Arial" w:eastAsia="Arial" w:hAnsi="Arial"/>
          <w:sz w:val="15"/>
          <w:szCs w:val="15"/>
          <w:color w:val="auto"/>
        </w:rPr>
      </w:pPr>
    </w:p>
    <w:p>
      <w:pPr>
        <w:jc w:val="both"/>
        <w:ind w:left="-540" w:firstLine="1078"/>
        <w:spacing w:after="0" w:line="258" w:lineRule="auto"/>
        <w:tabs>
          <w:tab w:leader="none" w:pos="91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334" w:lineRule="exact"/>
        <w:rPr>
          <w:rFonts w:ascii="Arial" w:cs="Arial" w:eastAsia="Arial" w:hAnsi="Arial"/>
          <w:sz w:val="15"/>
          <w:szCs w:val="15"/>
          <w:color w:val="auto"/>
        </w:rPr>
      </w:pPr>
    </w:p>
    <w:p>
      <w:pPr>
        <w:ind w:left="5120" w:hanging="87"/>
        <w:spacing w:after="0"/>
        <w:tabs>
          <w:tab w:leader="none" w:pos="51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39" w:name="page40"/>
    <w:bookmarkEnd w:id="39"/>
    <w:p>
      <w:pPr>
        <w:jc w:val="both"/>
        <w:ind w:firstLine="535"/>
        <w:spacing w:after="0" w:line="306" w:lineRule="auto"/>
        <w:rPr>
          <w:sz w:val="20"/>
          <w:szCs w:val="20"/>
          <w:color w:val="auto"/>
        </w:rPr>
      </w:pPr>
      <w:r>
        <w:rPr>
          <w:rFonts w:ascii="Arial" w:cs="Arial" w:eastAsia="Arial" w:hAnsi="Arial"/>
          <w:sz w:val="14"/>
          <w:szCs w:val="14"/>
          <w:color w:val="auto"/>
        </w:rPr>
        <w:t xml:space="preserve">3.16 </w:t>
      </w:r>
      <w:r>
        <w:rPr>
          <w:rFonts w:ascii="Arial" w:cs="Arial" w:eastAsia="Arial" w:hAnsi="Arial"/>
          <w:sz w:val="14"/>
          <w:szCs w:val="14"/>
          <w:u w:val="single" w:color="auto"/>
          <w:color w:val="auto"/>
        </w:rPr>
        <w:t>Brokers</w:t>
      </w:r>
      <w:r>
        <w:rPr>
          <w:rFonts w:ascii="Arial" w:cs="Arial" w:eastAsia="Arial" w:hAnsi="Arial"/>
          <w:sz w:val="14"/>
          <w:szCs w:val="14"/>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124"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3.17 </w:t>
      </w:r>
      <w:r>
        <w:rPr>
          <w:rFonts w:ascii="Arial" w:cs="Arial" w:eastAsia="Arial" w:hAnsi="Arial"/>
          <w:sz w:val="15"/>
          <w:szCs w:val="15"/>
          <w:u w:val="single" w:color="auto"/>
          <w:color w:val="auto"/>
        </w:rPr>
        <w:t>Interim Operations of Merger Sub</w:t>
      </w:r>
      <w:r>
        <w:rPr>
          <w:rFonts w:ascii="Arial" w:cs="Arial" w:eastAsia="Arial" w:hAnsi="Arial"/>
          <w:sz w:val="15"/>
          <w:szCs w:val="15"/>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148"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 xml:space="preserve">3.19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14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auto"/>
        </w:rPr>
        <w:t>3.20</w:t>
      </w:r>
      <w:r>
        <w:rPr>
          <w:sz w:val="20"/>
          <w:szCs w:val="20"/>
          <w:color w:val="auto"/>
        </w:rPr>
        <w:tab/>
      </w:r>
      <w:r>
        <w:rPr>
          <w:rFonts w:ascii="Arial" w:cs="Arial" w:eastAsia="Arial" w:hAnsi="Arial"/>
          <w:sz w:val="13"/>
          <w:szCs w:val="13"/>
          <w:u w:val="single" w:color="auto"/>
          <w:color w:val="auto"/>
        </w:rPr>
        <w:t>Certain Business Practices</w:t>
      </w:r>
      <w:r>
        <w:rPr>
          <w:rFonts w:ascii="Arial" w:cs="Arial" w:eastAsia="Arial" w:hAnsi="Arial"/>
          <w:sz w:val="13"/>
          <w:szCs w:val="13"/>
          <w:color w:val="auto"/>
        </w:rPr>
        <w:t>. Neither the Parent, its Subsidiaries nor, to the knowledge of the Parent, any director, officer, employee or agent of the Parent or Affiliate thereof</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0" w:name="page41"/>
    <w:bookmarkEnd w:id="40"/>
    <w:p>
      <w:pPr>
        <w:ind w:left="540"/>
        <w:spacing w:after="0"/>
        <w:tabs>
          <w:tab w:leader="none" w:pos="116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3"/>
          <w:szCs w:val="13"/>
          <w:u w:val="single" w:color="auto"/>
          <w:color w:val="auto"/>
        </w:rPr>
        <w:t>Powers of Attorney</w:t>
      </w:r>
      <w:r>
        <w:rPr>
          <w:rFonts w:ascii="Arial" w:cs="Arial" w:eastAsia="Arial" w:hAnsi="Arial"/>
          <w:sz w:val="13"/>
          <w:szCs w:val="13"/>
          <w:color w:val="auto"/>
        </w:rPr>
        <w:t>. There are no outstanding powers of attorney executed on behalf of the Parent or its Subsidiaries.</w:t>
      </w:r>
    </w:p>
    <w:p>
      <w:pPr>
        <w:spacing w:after="0" w:line="18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Books and Records</w:t>
      </w:r>
      <w:r>
        <w:rPr>
          <w:rFonts w:ascii="Arial" w:cs="Arial" w:eastAsia="Arial" w:hAnsi="Arial"/>
          <w:sz w:val="15"/>
          <w:szCs w:val="15"/>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158"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Employee Benefit Plans</w:t>
      </w:r>
      <w:r>
        <w:rPr>
          <w:rFonts w:ascii="Arial" w:cs="Arial" w:eastAsia="Arial" w:hAnsi="Arial"/>
          <w:sz w:val="14"/>
          <w:szCs w:val="14"/>
          <w:color w:val="auto"/>
        </w:rPr>
        <w:t>. Section 3.23 of the Parent Disclosure Schedule sets forth the employee benefit plans (as defined in Section 3(3) of the Employee Retirement Income Security Act of 1974, as amended (“</w:t>
      </w:r>
      <w:r>
        <w:rPr>
          <w:rFonts w:ascii="Arial" w:cs="Arial" w:eastAsia="Arial" w:hAnsi="Arial"/>
          <w:sz w:val="14"/>
          <w:szCs w:val="14"/>
          <w:b w:val="1"/>
          <w:bCs w:val="1"/>
          <w:color w:val="auto"/>
        </w:rPr>
        <w:t>ERISA</w:t>
      </w:r>
      <w:r>
        <w:rPr>
          <w:rFonts w:ascii="Arial" w:cs="Arial" w:eastAsia="Arial" w:hAnsi="Arial"/>
          <w:sz w:val="14"/>
          <w:szCs w:val="14"/>
          <w:color w:val="auto"/>
        </w:rPr>
        <w:t>”) or any bonus, stock option, stock purchase, incentive, deferred compensation, supplemental retirement, severance and other similar employee benefit plans, and all unexpired severance agreements (pursuant to which any payments are still due and payable by the Parent), written or otherwise (together, the “</w:t>
      </w:r>
      <w:r>
        <w:rPr>
          <w:rFonts w:ascii="Arial" w:cs="Arial" w:eastAsia="Arial" w:hAnsi="Arial"/>
          <w:sz w:val="14"/>
          <w:szCs w:val="14"/>
          <w:b w:val="1"/>
          <w:bCs w:val="1"/>
          <w:color w:val="auto"/>
        </w:rPr>
        <w:t>Parent</w:t>
      </w:r>
      <w:r>
        <w:rPr>
          <w:rFonts w:ascii="Arial" w:cs="Arial" w:eastAsia="Arial" w:hAnsi="Arial"/>
          <w:sz w:val="14"/>
          <w:szCs w:val="14"/>
          <w:color w:val="auto"/>
        </w:rPr>
        <w:t xml:space="preserve"> </w:t>
      </w:r>
      <w:r>
        <w:rPr>
          <w:rFonts w:ascii="Arial" w:cs="Arial" w:eastAsia="Arial" w:hAnsi="Arial"/>
          <w:sz w:val="14"/>
          <w:szCs w:val="14"/>
          <w:b w:val="1"/>
          <w:bCs w:val="1"/>
          <w:color w:val="auto"/>
        </w:rPr>
        <w:t>Employee Plans</w:t>
      </w:r>
      <w:r>
        <w:rPr>
          <w:rFonts w:ascii="Arial" w:cs="Arial" w:eastAsia="Arial" w:hAnsi="Arial"/>
          <w:sz w:val="14"/>
          <w:szCs w:val="14"/>
          <w:color w:val="auto"/>
        </w:rPr>
        <w:t>”), for the benefit of, or relating to, any current or former employee of the Parent or its Subsidiaries or any trade or business (whether or not incorporated) which is a member</w:t>
      </w:r>
      <w:r>
        <w:rPr>
          <w:rFonts w:ascii="Arial" w:cs="Arial" w:eastAsia="Arial" w:hAnsi="Arial"/>
          <w:sz w:val="14"/>
          <w:szCs w:val="14"/>
          <w:b w:val="1"/>
          <w:bCs w:val="1"/>
          <w:color w:val="auto"/>
        </w:rPr>
        <w:t xml:space="preserve"> </w:t>
      </w:r>
      <w:r>
        <w:rPr>
          <w:rFonts w:ascii="Arial" w:cs="Arial" w:eastAsia="Arial" w:hAnsi="Arial"/>
          <w:sz w:val="14"/>
          <w:szCs w:val="14"/>
          <w:color w:val="auto"/>
        </w:rPr>
        <w:t>or which is under common control with the Parent within the meaning of Section 414 of the Code (an “</w:t>
      </w:r>
      <w:r>
        <w:rPr>
          <w:rFonts w:ascii="Arial" w:cs="Arial" w:eastAsia="Arial" w:hAnsi="Arial"/>
          <w:sz w:val="14"/>
          <w:szCs w:val="14"/>
          <w:b w:val="1"/>
          <w:bCs w:val="1"/>
          <w:color w:val="auto"/>
        </w:rPr>
        <w:t>ERISA Affiliate</w:t>
      </w:r>
      <w:r>
        <w:rPr>
          <w:rFonts w:ascii="Arial" w:cs="Arial" w:eastAsia="Arial" w:hAnsi="Arial"/>
          <w:sz w:val="14"/>
          <w:szCs w:val="14"/>
          <w:color w:val="auto"/>
        </w:rPr>
        <w:t>”).</w:t>
      </w:r>
    </w:p>
    <w:p>
      <w:pPr>
        <w:spacing w:after="0" w:line="147"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3.24</w:t>
      </w:r>
      <w:r>
        <w:rPr>
          <w:sz w:val="20"/>
          <w:szCs w:val="20"/>
          <w:color w:val="auto"/>
        </w:rPr>
        <w:tab/>
      </w:r>
      <w:r>
        <w:rPr>
          <w:rFonts w:ascii="Arial" w:cs="Arial" w:eastAsia="Arial" w:hAnsi="Arial"/>
          <w:sz w:val="13"/>
          <w:szCs w:val="13"/>
          <w:u w:val="single" w:color="auto"/>
          <w:color w:val="auto"/>
        </w:rPr>
        <w:t>Tangible Assets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8" w:lineRule="auto"/>
        <w:tabs>
          <w:tab w:leader="none" w:pos="1508" w:val="left"/>
        </w:tabs>
        <w:numPr>
          <w:ilvl w:val="0"/>
          <w:numId w:val="51"/>
        </w:numPr>
        <w:rPr>
          <w:rFonts w:ascii="Arial" w:cs="Arial" w:eastAsia="Arial" w:hAnsi="Arial"/>
          <w:sz w:val="15"/>
          <w:szCs w:val="15"/>
          <w:color w:val="auto"/>
        </w:rPr>
      </w:pPr>
      <w:r>
        <w:rPr>
          <w:rFonts w:ascii="Arial" w:cs="Arial" w:eastAsia="Arial" w:hAnsi="Arial"/>
          <w:sz w:val="15"/>
          <w:szCs w:val="15"/>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156" w:lineRule="exact"/>
        <w:rPr>
          <w:rFonts w:ascii="Arial" w:cs="Arial" w:eastAsia="Arial" w:hAnsi="Arial"/>
          <w:sz w:val="15"/>
          <w:szCs w:val="15"/>
          <w:color w:val="auto"/>
        </w:rPr>
      </w:pPr>
    </w:p>
    <w:p>
      <w:pPr>
        <w:jc w:val="both"/>
        <w:ind w:firstLine="1078"/>
        <w:spacing w:after="0" w:line="255" w:lineRule="auto"/>
        <w:tabs>
          <w:tab w:leader="none" w:pos="1472"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15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3.25 </w:t>
      </w:r>
      <w:r>
        <w:rPr>
          <w:rFonts w:ascii="Arial" w:cs="Arial" w:eastAsia="Arial" w:hAnsi="Arial"/>
          <w:sz w:val="15"/>
          <w:szCs w:val="15"/>
          <w:u w:val="single" w:color="auto"/>
          <w:color w:val="auto"/>
        </w:rPr>
        <w:t>Real Property Leases</w:t>
      </w:r>
      <w:r>
        <w:rPr>
          <w:rFonts w:ascii="Arial" w:cs="Arial" w:eastAsia="Arial" w:hAnsi="Arial"/>
          <w:sz w:val="15"/>
          <w:szCs w:val="15"/>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1" w:name="page42"/>
    <w:bookmarkEnd w:id="41"/>
    <w:p>
      <w:pPr>
        <w:ind w:left="-540" w:firstLine="1078"/>
        <w:spacing w:after="0" w:line="269" w:lineRule="auto"/>
        <w:tabs>
          <w:tab w:leader="none" w:pos="946"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147" w:lineRule="exact"/>
        <w:rPr>
          <w:rFonts w:ascii="Arial" w:cs="Arial" w:eastAsia="Arial" w:hAnsi="Arial"/>
          <w:sz w:val="15"/>
          <w:szCs w:val="15"/>
          <w:color w:val="auto"/>
        </w:rPr>
      </w:pPr>
    </w:p>
    <w:p>
      <w:pPr>
        <w:jc w:val="both"/>
        <w:ind w:left="-540" w:firstLine="1078"/>
        <w:spacing w:after="0" w:line="258" w:lineRule="auto"/>
        <w:tabs>
          <w:tab w:leader="none" w:pos="932"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156" w:lineRule="exact"/>
        <w:rPr>
          <w:rFonts w:ascii="Arial" w:cs="Arial" w:eastAsia="Arial" w:hAnsi="Arial"/>
          <w:sz w:val="15"/>
          <w:szCs w:val="15"/>
          <w:color w:val="auto"/>
        </w:rPr>
      </w:pPr>
    </w:p>
    <w:p>
      <w:pPr>
        <w:ind w:left="880" w:hanging="342"/>
        <w:spacing w:after="0"/>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neither the Parent nor its Subsidiaries has assigned, transferred, conveyed, mortgaged, deeded in trust or encumbered any interest in any lease, sublease or license;</w:t>
      </w:r>
    </w:p>
    <w:p>
      <w:pPr>
        <w:spacing w:after="0" w:line="206" w:lineRule="exact"/>
        <w:rPr>
          <w:rFonts w:ascii="Arial" w:cs="Arial" w:eastAsia="Arial" w:hAnsi="Arial"/>
          <w:sz w:val="13"/>
          <w:szCs w:val="13"/>
          <w:color w:val="auto"/>
        </w:rPr>
      </w:pPr>
    </w:p>
    <w:p>
      <w:pPr>
        <w:ind w:left="-540" w:firstLine="1078"/>
        <w:spacing w:after="0" w:line="269" w:lineRule="auto"/>
        <w:tabs>
          <w:tab w:leader="none" w:pos="9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148"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3.26</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52" w:lineRule="auto"/>
        <w:tabs>
          <w:tab w:leader="none" w:pos="946" w:val="left"/>
        </w:tabs>
        <w:numPr>
          <w:ilvl w:val="0"/>
          <w:numId w:val="53"/>
        </w:numPr>
        <w:rPr>
          <w:rFonts w:ascii="Arial" w:cs="Arial" w:eastAsia="Arial" w:hAnsi="Arial"/>
          <w:sz w:val="15"/>
          <w:szCs w:val="15"/>
          <w:color w:val="auto"/>
        </w:rPr>
      </w:pPr>
      <w:r>
        <w:rPr>
          <w:rFonts w:ascii="Arial" w:cs="Arial" w:eastAsia="Arial" w:hAnsi="Arial"/>
          <w:sz w:val="15"/>
          <w:szCs w:val="15"/>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160" w:lineRule="exact"/>
        <w:rPr>
          <w:rFonts w:ascii="Arial" w:cs="Arial" w:eastAsia="Arial" w:hAnsi="Arial"/>
          <w:sz w:val="15"/>
          <w:szCs w:val="15"/>
          <w:color w:val="auto"/>
        </w:rPr>
      </w:pPr>
    </w:p>
    <w:p>
      <w:pPr>
        <w:jc w:val="both"/>
        <w:ind w:left="-540" w:firstLine="1078"/>
        <w:spacing w:after="0" w:line="255" w:lineRule="auto"/>
        <w:tabs>
          <w:tab w:leader="none" w:pos="91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336" w:lineRule="exact"/>
        <w:rPr>
          <w:rFonts w:ascii="Arial" w:cs="Arial" w:eastAsia="Arial" w:hAnsi="Arial"/>
          <w:sz w:val="15"/>
          <w:szCs w:val="15"/>
          <w:color w:val="auto"/>
        </w:rPr>
      </w:pPr>
    </w:p>
    <w:p>
      <w:pPr>
        <w:ind w:left="5120" w:hanging="87"/>
        <w:spacing w:after="0"/>
        <w:tabs>
          <w:tab w:leader="none" w:pos="51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ARTICLE IV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CONDUCT OF BUSINESS PENDING THE MERGER</w:t>
      </w:r>
    </w:p>
    <w:p>
      <w:pPr>
        <w:spacing w:after="0" w:line="188"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auto"/>
        </w:rPr>
        <w:t>Conduct of Business Pending the Merger</w:t>
      </w:r>
      <w:r>
        <w:rPr>
          <w:rFonts w:ascii="Arial" w:cs="Arial" w:eastAsia="Arial" w:hAnsi="Arial"/>
          <w:sz w:val="13"/>
          <w:szCs w:val="13"/>
          <w:color w:val="auto"/>
        </w:rPr>
        <w:t>.</w:t>
      </w:r>
    </w:p>
    <w:p>
      <w:pPr>
        <w:spacing w:after="0" w:line="184" w:lineRule="exact"/>
        <w:rPr>
          <w:sz w:val="20"/>
          <w:szCs w:val="20"/>
          <w:color w:val="auto"/>
        </w:rPr>
      </w:pPr>
    </w:p>
    <w:p>
      <w:pPr>
        <w:jc w:val="both"/>
        <w:ind w:left="-20" w:firstLine="544"/>
        <w:spacing w:after="0" w:line="270" w:lineRule="auto"/>
        <w:tabs>
          <w:tab w:leader="none" w:pos="8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4"/>
          <w:szCs w:val="14"/>
          <w:b w:val="1"/>
          <w:bCs w:val="1"/>
          <w:color w:val="auto"/>
        </w:rPr>
        <w:t>Interim Period</w:t>
      </w:r>
      <w:r>
        <w:rPr>
          <w:rFonts w:ascii="Arial" w:cs="Arial" w:eastAsia="Arial" w:hAnsi="Arial"/>
          <w:sz w:val="14"/>
          <w:szCs w:val="14"/>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152" w:lineRule="exact"/>
        <w:rPr>
          <w:rFonts w:ascii="Arial" w:cs="Arial" w:eastAsia="Arial" w:hAnsi="Arial"/>
          <w:sz w:val="14"/>
          <w:szCs w:val="14"/>
          <w:color w:val="auto"/>
        </w:rPr>
      </w:pPr>
    </w:p>
    <w:p>
      <w:pPr>
        <w:ind w:left="-20" w:firstLine="1613"/>
        <w:spacing w:after="0" w:line="269" w:lineRule="auto"/>
        <w:tabs>
          <w:tab w:leader="none" w:pos="2032" w:val="left"/>
        </w:tabs>
        <w:numPr>
          <w:ilvl w:val="1"/>
          <w:numId w:val="54"/>
        </w:numPr>
        <w:rPr>
          <w:rFonts w:ascii="Arial" w:cs="Arial" w:eastAsia="Arial" w:hAnsi="Arial"/>
          <w:sz w:val="15"/>
          <w:szCs w:val="15"/>
          <w:color w:val="auto"/>
        </w:rPr>
      </w:pPr>
      <w:r>
        <w:rPr>
          <w:rFonts w:ascii="Arial" w:cs="Arial" w:eastAsia="Arial" w:hAnsi="Arial"/>
          <w:sz w:val="15"/>
          <w:szCs w:val="15"/>
          <w:color w:val="auto"/>
        </w:rPr>
        <w:t>amend its Certificate of Incorporation, Bylaws or other equivalent organizational documents, or otherwise alter its corporate structure through merger, liquidation, reorganization or otherwise;</w:t>
      </w:r>
    </w:p>
    <w:p>
      <w:pPr>
        <w:spacing w:after="0" w:line="147" w:lineRule="exact"/>
        <w:rPr>
          <w:rFonts w:ascii="Arial" w:cs="Arial" w:eastAsia="Arial" w:hAnsi="Arial"/>
          <w:sz w:val="15"/>
          <w:szCs w:val="15"/>
          <w:color w:val="auto"/>
        </w:rPr>
      </w:pPr>
    </w:p>
    <w:p>
      <w:pPr>
        <w:jc w:val="both"/>
        <w:ind w:left="-20" w:firstLine="1613"/>
        <w:spacing w:after="0" w:line="258" w:lineRule="auto"/>
        <w:tabs>
          <w:tab w:leader="none" w:pos="2029" w:val="left"/>
        </w:tabs>
        <w:numPr>
          <w:ilvl w:val="1"/>
          <w:numId w:val="54"/>
        </w:numPr>
        <w:rPr>
          <w:rFonts w:ascii="Arial" w:cs="Arial" w:eastAsia="Arial" w:hAnsi="Arial"/>
          <w:sz w:val="15"/>
          <w:szCs w:val="15"/>
          <w:color w:val="auto"/>
        </w:rPr>
      </w:pPr>
      <w:r>
        <w:rPr>
          <w:rFonts w:ascii="Arial" w:cs="Arial" w:eastAsia="Arial" w:hAnsi="Arial"/>
          <w:sz w:val="15"/>
          <w:szCs w:val="15"/>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156" w:lineRule="exact"/>
        <w:rPr>
          <w:rFonts w:ascii="Arial" w:cs="Arial" w:eastAsia="Arial" w:hAnsi="Arial"/>
          <w:sz w:val="15"/>
          <w:szCs w:val="15"/>
          <w:color w:val="auto"/>
        </w:rPr>
      </w:pPr>
    </w:p>
    <w:p>
      <w:pPr>
        <w:ind w:left="2000" w:hanging="407"/>
        <w:spacing w:after="0"/>
        <w:tabs>
          <w:tab w:leader="none" w:pos="2000" w:val="left"/>
        </w:tabs>
        <w:numPr>
          <w:ilvl w:val="1"/>
          <w:numId w:val="54"/>
        </w:numPr>
        <w:rPr>
          <w:rFonts w:ascii="Arial" w:cs="Arial" w:eastAsia="Arial" w:hAnsi="Arial"/>
          <w:sz w:val="15"/>
          <w:szCs w:val="15"/>
          <w:color w:val="auto"/>
        </w:rPr>
      </w:pPr>
      <w:r>
        <w:rPr>
          <w:rFonts w:ascii="Arial" w:cs="Arial" w:eastAsia="Arial" w:hAnsi="Arial"/>
          <w:sz w:val="15"/>
          <w:szCs w:val="15"/>
          <w:color w:val="auto"/>
        </w:rPr>
        <w:t>redeem, repurchase or otherwise acquire, directly or indirectly, any shares of their capital stock or interest in or securities of its Subsidiaries;</w:t>
      </w:r>
    </w:p>
    <w:p>
      <w:pPr>
        <w:spacing w:after="0" w:line="183" w:lineRule="exact"/>
        <w:rPr>
          <w:rFonts w:ascii="Arial" w:cs="Arial" w:eastAsia="Arial" w:hAnsi="Arial"/>
          <w:sz w:val="15"/>
          <w:szCs w:val="15"/>
          <w:color w:val="auto"/>
        </w:rPr>
      </w:pPr>
    </w:p>
    <w:p>
      <w:pPr>
        <w:ind w:left="-20" w:firstLine="1613"/>
        <w:spacing w:after="0" w:line="269" w:lineRule="auto"/>
        <w:tabs>
          <w:tab w:leader="none" w:pos="1995" w:val="left"/>
        </w:tabs>
        <w:numPr>
          <w:ilvl w:val="1"/>
          <w:numId w:val="54"/>
        </w:numPr>
        <w:rPr>
          <w:rFonts w:ascii="Arial" w:cs="Arial" w:eastAsia="Arial" w:hAnsi="Arial"/>
          <w:sz w:val="15"/>
          <w:szCs w:val="15"/>
          <w:color w:val="auto"/>
        </w:rPr>
      </w:pPr>
      <w:r>
        <w:rPr>
          <w:rFonts w:ascii="Arial" w:cs="Arial" w:eastAsia="Arial" w:hAnsi="Arial"/>
          <w:sz w:val="15"/>
          <w:szCs w:val="15"/>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147" w:lineRule="exact"/>
        <w:rPr>
          <w:rFonts w:ascii="Arial" w:cs="Arial" w:eastAsia="Arial" w:hAnsi="Arial"/>
          <w:sz w:val="15"/>
          <w:szCs w:val="15"/>
          <w:color w:val="auto"/>
        </w:rPr>
      </w:pPr>
    </w:p>
    <w:p>
      <w:pPr>
        <w:ind w:left="1960" w:hanging="367"/>
        <w:spacing w:after="0"/>
        <w:tabs>
          <w:tab w:leader="none" w:pos="1960" w:val="left"/>
        </w:tabs>
        <w:numPr>
          <w:ilvl w:val="1"/>
          <w:numId w:val="54"/>
        </w:numPr>
        <w:rPr>
          <w:rFonts w:ascii="Arial" w:cs="Arial" w:eastAsia="Arial" w:hAnsi="Arial"/>
          <w:sz w:val="15"/>
          <w:szCs w:val="15"/>
          <w:color w:val="auto"/>
        </w:rPr>
      </w:pPr>
      <w:r>
        <w:rPr>
          <w:rFonts w:ascii="Arial" w:cs="Arial" w:eastAsia="Arial" w:hAnsi="Arial"/>
          <w:sz w:val="15"/>
          <w:szCs w:val="15"/>
          <w:color w:val="auto"/>
        </w:rPr>
        <w:t>declare, set aside or pay any dividend or other distribution in respect of any of its capital stock or other equity interests;</w:t>
      </w:r>
    </w:p>
    <w:p>
      <w:pPr>
        <w:spacing w:after="0" w:line="183" w:lineRule="exact"/>
        <w:rPr>
          <w:rFonts w:ascii="Arial" w:cs="Arial" w:eastAsia="Arial" w:hAnsi="Arial"/>
          <w:sz w:val="15"/>
          <w:szCs w:val="15"/>
          <w:color w:val="auto"/>
        </w:rPr>
      </w:pPr>
    </w:p>
    <w:p>
      <w:pPr>
        <w:ind w:left="-20" w:firstLine="1613"/>
        <w:spacing w:after="0" w:line="269" w:lineRule="auto"/>
        <w:tabs>
          <w:tab w:leader="none" w:pos="2039" w:val="left"/>
        </w:tabs>
        <w:numPr>
          <w:ilvl w:val="1"/>
          <w:numId w:val="54"/>
        </w:numPr>
        <w:rPr>
          <w:rFonts w:ascii="Arial" w:cs="Arial" w:eastAsia="Arial" w:hAnsi="Arial"/>
          <w:sz w:val="15"/>
          <w:szCs w:val="15"/>
          <w:color w:val="auto"/>
        </w:rPr>
      </w:pPr>
      <w:r>
        <w:rPr>
          <w:rFonts w:ascii="Arial" w:cs="Arial" w:eastAsia="Arial" w:hAnsi="Arial"/>
          <w:sz w:val="15"/>
          <w:szCs w:val="15"/>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326" w:lineRule="exact"/>
        <w:rPr>
          <w:rFonts w:ascii="Arial" w:cs="Arial" w:eastAsia="Arial" w:hAnsi="Arial"/>
          <w:sz w:val="15"/>
          <w:szCs w:val="15"/>
          <w:color w:val="auto"/>
        </w:rPr>
      </w:pPr>
    </w:p>
    <w:p>
      <w:pPr>
        <w:ind w:left="5640" w:hanging="87"/>
        <w:spacing w:after="0"/>
        <w:tabs>
          <w:tab w:leader="none" w:pos="5640" w:val="left"/>
        </w:tabs>
        <w:numPr>
          <w:ilvl w:val="2"/>
          <w:numId w:val="54"/>
        </w:numPr>
        <w:rPr>
          <w:rFonts w:ascii="Arial" w:cs="Arial" w:eastAsia="Arial" w:hAnsi="Arial"/>
          <w:sz w:val="15"/>
          <w:szCs w:val="15"/>
          <w:color w:val="auto"/>
        </w:rPr>
      </w:pPr>
      <w:r>
        <w:rPr>
          <w:rFonts w:ascii="Arial" w:cs="Arial" w:eastAsia="Arial" w:hAnsi="Arial"/>
          <w:sz w:val="15"/>
          <w:szCs w:val="15"/>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49" w:right="219" w:bottom="1440" w:gutter="0" w:footer="0" w:header="0"/>
        </w:sectPr>
      </w:pPr>
    </w:p>
    <w:bookmarkStart w:id="43" w:name="page44"/>
    <w:bookmarkEnd w:id="43"/>
    <w:p>
      <w:pPr>
        <w:ind w:left="2051" w:hanging="447"/>
        <w:spacing w:after="0"/>
        <w:tabs>
          <w:tab w:leader="none" w:pos="2051" w:val="left"/>
        </w:tabs>
        <w:numPr>
          <w:ilvl w:val="2"/>
          <w:numId w:val="55"/>
        </w:numPr>
        <w:rPr>
          <w:rFonts w:ascii="Arial" w:cs="Arial" w:eastAsia="Arial" w:hAnsi="Arial"/>
          <w:sz w:val="15"/>
          <w:szCs w:val="15"/>
          <w:color w:val="auto"/>
        </w:rPr>
      </w:pPr>
      <w:r>
        <w:rPr>
          <w:rFonts w:ascii="Arial" w:cs="Arial" w:eastAsia="Arial" w:hAnsi="Arial"/>
          <w:sz w:val="15"/>
          <w:szCs w:val="15"/>
          <w:color w:val="auto"/>
        </w:rPr>
        <w:t>acquire (by merger, consolidation, acquisition of stock or assets or otherwise) any Person;</w:t>
      </w:r>
    </w:p>
    <w:p>
      <w:pPr>
        <w:spacing w:after="0" w:line="183" w:lineRule="exact"/>
        <w:rPr>
          <w:rFonts w:ascii="Arial" w:cs="Arial" w:eastAsia="Arial" w:hAnsi="Arial"/>
          <w:sz w:val="15"/>
          <w:szCs w:val="15"/>
          <w:color w:val="auto"/>
        </w:rPr>
      </w:pPr>
    </w:p>
    <w:p>
      <w:pPr>
        <w:ind w:left="-9" w:firstLine="1613"/>
        <w:spacing w:after="0" w:line="269" w:lineRule="auto"/>
        <w:tabs>
          <w:tab w:leader="none" w:pos="2088" w:val="left"/>
        </w:tabs>
        <w:numPr>
          <w:ilvl w:val="2"/>
          <w:numId w:val="55"/>
        </w:numPr>
        <w:rPr>
          <w:rFonts w:ascii="Arial" w:cs="Arial" w:eastAsia="Arial" w:hAnsi="Arial"/>
          <w:sz w:val="15"/>
          <w:szCs w:val="15"/>
          <w:color w:val="auto"/>
        </w:rPr>
      </w:pPr>
      <w:r>
        <w:rPr>
          <w:rFonts w:ascii="Arial" w:cs="Arial" w:eastAsia="Arial" w:hAnsi="Arial"/>
          <w:sz w:val="15"/>
          <w:szCs w:val="15"/>
          <w:color w:val="auto"/>
        </w:rPr>
        <w:t>incur indebtedness for borrowed money or issue debt securities or assume, guarantee or endorse or become responsible for the obligations of any Person, or make any loans, advances or enter into any financial commitments;</w:t>
      </w:r>
    </w:p>
    <w:p>
      <w:pPr>
        <w:spacing w:after="0" w:line="147" w:lineRule="exact"/>
        <w:rPr>
          <w:rFonts w:ascii="Arial" w:cs="Arial" w:eastAsia="Arial" w:hAnsi="Arial"/>
          <w:sz w:val="15"/>
          <w:szCs w:val="15"/>
          <w:color w:val="auto"/>
        </w:rPr>
      </w:pPr>
    </w:p>
    <w:p>
      <w:pPr>
        <w:ind w:left="2071" w:hanging="467"/>
        <w:spacing w:after="0"/>
        <w:tabs>
          <w:tab w:leader="none" w:pos="2071" w:val="left"/>
        </w:tabs>
        <w:numPr>
          <w:ilvl w:val="2"/>
          <w:numId w:val="55"/>
        </w:numPr>
        <w:rPr>
          <w:rFonts w:ascii="Arial" w:cs="Arial" w:eastAsia="Arial" w:hAnsi="Arial"/>
          <w:sz w:val="15"/>
          <w:szCs w:val="15"/>
          <w:color w:val="auto"/>
        </w:rPr>
      </w:pPr>
      <w:r>
        <w:rPr>
          <w:rFonts w:ascii="Arial" w:cs="Arial" w:eastAsia="Arial" w:hAnsi="Arial"/>
          <w:sz w:val="15"/>
          <w:szCs w:val="15"/>
          <w:color w:val="auto"/>
        </w:rPr>
        <w:t>authorize any capital expenditure in excess of $50,000 individually or $125,000 in the aggregate;</w:t>
      </w:r>
    </w:p>
    <w:p>
      <w:pPr>
        <w:spacing w:after="0" w:line="183" w:lineRule="exact"/>
        <w:rPr>
          <w:rFonts w:ascii="Arial" w:cs="Arial" w:eastAsia="Arial" w:hAnsi="Arial"/>
          <w:sz w:val="15"/>
          <w:szCs w:val="15"/>
          <w:color w:val="auto"/>
        </w:rPr>
      </w:pPr>
    </w:p>
    <w:p>
      <w:pPr>
        <w:jc w:val="both"/>
        <w:ind w:left="-9" w:firstLine="1613"/>
        <w:spacing w:after="0" w:line="301" w:lineRule="auto"/>
        <w:tabs>
          <w:tab w:leader="none" w:pos="2064" w:val="left"/>
        </w:tabs>
        <w:numPr>
          <w:ilvl w:val="2"/>
          <w:numId w:val="55"/>
        </w:numPr>
        <w:rPr>
          <w:rFonts w:ascii="Arial" w:cs="Arial" w:eastAsia="Arial" w:hAnsi="Arial"/>
          <w:sz w:val="13"/>
          <w:szCs w:val="13"/>
          <w:color w:val="auto"/>
        </w:rPr>
      </w:pPr>
      <w:r>
        <w:rPr>
          <w:rFonts w:ascii="Arial" w:cs="Arial" w:eastAsia="Arial" w:hAnsi="Arial"/>
          <w:sz w:val="13"/>
          <w:szCs w:val="13"/>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131" w:lineRule="exact"/>
        <w:rPr>
          <w:rFonts w:ascii="Arial" w:cs="Arial" w:eastAsia="Arial" w:hAnsi="Arial"/>
          <w:sz w:val="13"/>
          <w:szCs w:val="13"/>
          <w:color w:val="auto"/>
        </w:rPr>
      </w:pPr>
    </w:p>
    <w:p>
      <w:pPr>
        <w:ind w:left="2111" w:hanging="507"/>
        <w:spacing w:after="0"/>
        <w:tabs>
          <w:tab w:leader="none" w:pos="2111" w:val="left"/>
        </w:tabs>
        <w:numPr>
          <w:ilvl w:val="2"/>
          <w:numId w:val="55"/>
        </w:numPr>
        <w:rPr>
          <w:rFonts w:ascii="Arial" w:cs="Arial" w:eastAsia="Arial" w:hAnsi="Arial"/>
          <w:sz w:val="15"/>
          <w:szCs w:val="15"/>
          <w:color w:val="auto"/>
        </w:rPr>
      </w:pPr>
      <w:r>
        <w:rPr>
          <w:rFonts w:ascii="Arial" w:cs="Arial" w:eastAsia="Arial" w:hAnsi="Arial"/>
          <w:sz w:val="15"/>
          <w:szCs w:val="15"/>
          <w:color w:val="auto"/>
        </w:rPr>
        <w:t>change any accounting policies or procedures unless required by statutory accounting principles or GAAP;</w:t>
      </w:r>
    </w:p>
    <w:p>
      <w:pPr>
        <w:spacing w:after="0" w:line="183" w:lineRule="exact"/>
        <w:rPr>
          <w:rFonts w:ascii="Arial" w:cs="Arial" w:eastAsia="Arial" w:hAnsi="Arial"/>
          <w:sz w:val="15"/>
          <w:szCs w:val="15"/>
          <w:color w:val="auto"/>
        </w:rPr>
      </w:pPr>
    </w:p>
    <w:p>
      <w:pPr>
        <w:ind w:left="2111" w:hanging="507"/>
        <w:spacing w:after="0"/>
        <w:tabs>
          <w:tab w:leader="none" w:pos="2111" w:val="left"/>
        </w:tabs>
        <w:numPr>
          <w:ilvl w:val="2"/>
          <w:numId w:val="55"/>
        </w:numPr>
        <w:rPr>
          <w:rFonts w:ascii="Arial" w:cs="Arial" w:eastAsia="Arial" w:hAnsi="Arial"/>
          <w:sz w:val="13"/>
          <w:szCs w:val="13"/>
          <w:color w:val="auto"/>
        </w:rPr>
      </w:pPr>
      <w:r>
        <w:rPr>
          <w:rFonts w:ascii="Arial" w:cs="Arial" w:eastAsia="Arial" w:hAnsi="Arial"/>
          <w:sz w:val="13"/>
          <w:szCs w:val="13"/>
          <w:color w:val="auto"/>
        </w:rPr>
        <w:t>make any payments to any Affiliate, except normal recurring payments pursuant to any existing employment agreement as of the date of this Agreement;</w:t>
      </w:r>
    </w:p>
    <w:p>
      <w:pPr>
        <w:spacing w:after="0" w:line="206" w:lineRule="exact"/>
        <w:rPr>
          <w:rFonts w:ascii="Arial" w:cs="Arial" w:eastAsia="Arial" w:hAnsi="Arial"/>
          <w:sz w:val="13"/>
          <w:szCs w:val="13"/>
          <w:color w:val="auto"/>
        </w:rPr>
      </w:pPr>
    </w:p>
    <w:p>
      <w:pPr>
        <w:ind w:left="-9" w:firstLine="1613"/>
        <w:spacing w:after="0" w:line="269" w:lineRule="auto"/>
        <w:tabs>
          <w:tab w:leader="none" w:pos="2203" w:val="left"/>
        </w:tabs>
        <w:numPr>
          <w:ilvl w:val="2"/>
          <w:numId w:val="55"/>
        </w:numPr>
        <w:rPr>
          <w:rFonts w:ascii="Arial" w:cs="Arial" w:eastAsia="Arial" w:hAnsi="Arial"/>
          <w:sz w:val="15"/>
          <w:szCs w:val="15"/>
          <w:color w:val="auto"/>
        </w:rPr>
      </w:pPr>
      <w:r>
        <w:rPr>
          <w:rFonts w:ascii="Arial" w:cs="Arial" w:eastAsia="Arial" w:hAnsi="Arial"/>
          <w:sz w:val="15"/>
          <w:szCs w:val="15"/>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147" w:lineRule="exact"/>
        <w:rPr>
          <w:rFonts w:ascii="Arial" w:cs="Arial" w:eastAsia="Arial" w:hAnsi="Arial"/>
          <w:sz w:val="15"/>
          <w:szCs w:val="15"/>
          <w:color w:val="auto"/>
        </w:rPr>
      </w:pPr>
    </w:p>
    <w:p>
      <w:pPr>
        <w:ind w:left="2131" w:hanging="527"/>
        <w:spacing w:after="0"/>
        <w:tabs>
          <w:tab w:leader="none" w:pos="2131" w:val="left"/>
        </w:tabs>
        <w:numPr>
          <w:ilvl w:val="2"/>
          <w:numId w:val="55"/>
        </w:numPr>
        <w:rPr>
          <w:rFonts w:ascii="Arial" w:cs="Arial" w:eastAsia="Arial" w:hAnsi="Arial"/>
          <w:sz w:val="13"/>
          <w:szCs w:val="13"/>
          <w:color w:val="auto"/>
        </w:rPr>
      </w:pPr>
      <w:r>
        <w:rPr>
          <w:rFonts w:ascii="Arial" w:cs="Arial" w:eastAsia="Arial" w:hAnsi="Arial"/>
          <w:sz w:val="13"/>
          <w:szCs w:val="13"/>
          <w:color w:val="auto"/>
        </w:rPr>
        <w:t>take any action or fail to take any action permitted by this Agreement if such action or failure to take action could reasonably be expected to result in either</w:t>
      </w:r>
    </w:p>
    <w:p>
      <w:pPr>
        <w:spacing w:after="0" w:line="38" w:lineRule="exact"/>
        <w:rPr>
          <w:rFonts w:ascii="Arial" w:cs="Arial" w:eastAsia="Arial" w:hAnsi="Arial"/>
          <w:sz w:val="13"/>
          <w:szCs w:val="13"/>
          <w:color w:val="auto"/>
        </w:rPr>
      </w:pPr>
    </w:p>
    <w:p>
      <w:pPr>
        <w:ind w:left="251" w:hanging="251"/>
        <w:spacing w:after="0"/>
        <w:tabs>
          <w:tab w:leader="none" w:pos="251"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of their representations and warranties of set forth in this Agreement becoming untrue or (B) any of the conditions to the Closing set forth in Article VI not being satisfied; or</w:t>
      </w:r>
    </w:p>
    <w:p>
      <w:pPr>
        <w:spacing w:after="0" w:line="185" w:lineRule="exact"/>
        <w:rPr>
          <w:rFonts w:ascii="Arial" w:cs="Arial" w:eastAsia="Arial" w:hAnsi="Arial"/>
          <w:sz w:val="14"/>
          <w:szCs w:val="14"/>
          <w:color w:val="auto"/>
        </w:rPr>
      </w:pPr>
    </w:p>
    <w:p>
      <w:pPr>
        <w:ind w:left="2071" w:hanging="467"/>
        <w:spacing w:after="0"/>
        <w:tabs>
          <w:tab w:leader="none" w:pos="2071" w:val="left"/>
        </w:tabs>
        <w:numPr>
          <w:ilvl w:val="2"/>
          <w:numId w:val="56"/>
        </w:numPr>
        <w:rPr>
          <w:rFonts w:ascii="Arial" w:cs="Arial" w:eastAsia="Arial" w:hAnsi="Arial"/>
          <w:sz w:val="15"/>
          <w:szCs w:val="15"/>
          <w:color w:val="auto"/>
        </w:rPr>
      </w:pPr>
      <w:r>
        <w:rPr>
          <w:rFonts w:ascii="Arial" w:cs="Arial" w:eastAsia="Arial" w:hAnsi="Arial"/>
          <w:sz w:val="15"/>
          <w:szCs w:val="15"/>
          <w:color w:val="auto"/>
        </w:rPr>
        <w:t>authorize, recommend, propose, announce or enter into any agreement, contract, commitment or arrangement to do any of the foregoing.</w:t>
      </w:r>
    </w:p>
    <w:p>
      <w:pPr>
        <w:spacing w:after="0" w:line="183" w:lineRule="exact"/>
        <w:rPr>
          <w:rFonts w:ascii="Arial" w:cs="Arial" w:eastAsia="Arial" w:hAnsi="Arial"/>
          <w:sz w:val="15"/>
          <w:szCs w:val="15"/>
          <w:color w:val="auto"/>
        </w:rPr>
      </w:pPr>
    </w:p>
    <w:p>
      <w:pPr>
        <w:jc w:val="both"/>
        <w:ind w:left="-9" w:firstLine="1078"/>
        <w:spacing w:after="0" w:line="258" w:lineRule="auto"/>
        <w:tabs>
          <w:tab w:leader="none" w:pos="1441" w:val="left"/>
        </w:tabs>
        <w:numPr>
          <w:ilvl w:val="1"/>
          <w:numId w:val="56"/>
        </w:numPr>
        <w:rPr>
          <w:rFonts w:ascii="Arial" w:cs="Arial" w:eastAsia="Arial" w:hAnsi="Arial"/>
          <w:sz w:val="15"/>
          <w:szCs w:val="15"/>
          <w:color w:val="auto"/>
        </w:rPr>
      </w:pPr>
      <w:r>
        <w:rPr>
          <w:rFonts w:ascii="Arial" w:cs="Arial" w:eastAsia="Arial" w:hAnsi="Arial"/>
          <w:sz w:val="15"/>
          <w:szCs w:val="15"/>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334" w:lineRule="exact"/>
        <w:rPr>
          <w:rFonts w:ascii="Arial" w:cs="Arial" w:eastAsia="Arial" w:hAnsi="Arial"/>
          <w:sz w:val="15"/>
          <w:szCs w:val="15"/>
          <w:color w:val="auto"/>
        </w:rPr>
      </w:pPr>
    </w:p>
    <w:p>
      <w:pPr>
        <w:ind w:left="5651" w:hanging="87"/>
        <w:spacing w:after="0"/>
        <w:tabs>
          <w:tab w:leader="none" w:pos="5651" w:val="left"/>
        </w:tabs>
        <w:numPr>
          <w:ilvl w:val="3"/>
          <w:numId w:val="56"/>
        </w:numPr>
        <w:rPr>
          <w:rFonts w:ascii="Arial" w:cs="Arial" w:eastAsia="Arial" w:hAnsi="Arial"/>
          <w:sz w:val="15"/>
          <w:szCs w:val="15"/>
          <w:color w:val="auto"/>
        </w:rPr>
      </w:pPr>
      <w:r>
        <w:rPr>
          <w:rFonts w:ascii="Arial" w:cs="Arial" w:eastAsia="Arial" w:hAnsi="Arial"/>
          <w:sz w:val="15"/>
          <w:szCs w:val="15"/>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4" w:name="page45"/>
    <w:bookmarkEnd w:id="44"/>
    <w:p>
      <w:pPr>
        <w:ind w:left="531"/>
        <w:spacing w:after="0"/>
        <w:tabs>
          <w:tab w:leader="none" w:pos="107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auto"/>
        </w:rPr>
        <w:t>No Solicitation of Other Proposals by Company</w:t>
      </w:r>
      <w:r>
        <w:rPr>
          <w:rFonts w:ascii="Arial" w:cs="Arial" w:eastAsia="Arial" w:hAnsi="Arial"/>
          <w:sz w:val="13"/>
          <w:szCs w:val="13"/>
          <w:color w:val="auto"/>
        </w:rPr>
        <w:t>.</w:t>
      </w:r>
    </w:p>
    <w:p>
      <w:pPr>
        <w:spacing w:after="0" w:line="184" w:lineRule="exact"/>
        <w:rPr>
          <w:sz w:val="20"/>
          <w:szCs w:val="20"/>
          <w:color w:val="auto"/>
        </w:rPr>
      </w:pPr>
    </w:p>
    <w:p>
      <w:pPr>
        <w:jc w:val="both"/>
        <w:ind w:left="-9" w:firstLine="1078"/>
        <w:spacing w:after="0" w:line="287" w:lineRule="auto"/>
        <w:tabs>
          <w:tab w:leader="none" w:pos="1466" w:val="left"/>
        </w:tabs>
        <w:numPr>
          <w:ilvl w:val="1"/>
          <w:numId w:val="57"/>
        </w:numPr>
        <w:rPr>
          <w:rFonts w:ascii="Arial" w:cs="Arial" w:eastAsia="Arial" w:hAnsi="Arial"/>
          <w:sz w:val="13"/>
          <w:szCs w:val="13"/>
          <w:color w:val="auto"/>
        </w:rPr>
      </w:pPr>
      <w:r>
        <w:rPr>
          <w:rFonts w:ascii="Arial" w:cs="Arial" w:eastAsia="Arial" w:hAnsi="Arial"/>
          <w:sz w:val="13"/>
          <w:szCs w:val="13"/>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3"/>
          <w:szCs w:val="13"/>
          <w:b w:val="1"/>
          <w:bCs w:val="1"/>
          <w:color w:val="auto"/>
        </w:rPr>
        <w:t>Representatives</w:t>
      </w:r>
      <w:r>
        <w:rPr>
          <w:rFonts w:ascii="Arial" w:cs="Arial" w:eastAsia="Arial" w:hAnsi="Arial"/>
          <w:sz w:val="13"/>
          <w:szCs w:val="13"/>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 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3"/>
          <w:szCs w:val="13"/>
          <w:b w:val="1"/>
          <w:bCs w:val="1"/>
          <w:color w:val="auto"/>
        </w:rPr>
        <w:t>NDA</w:t>
      </w:r>
      <w:r>
        <w:rPr>
          <w:rFonts w:ascii="Arial" w:cs="Arial" w:eastAsia="Arial" w:hAnsi="Arial"/>
          <w:sz w:val="13"/>
          <w:szCs w:val="13"/>
          <w:color w:val="auto"/>
        </w:rPr>
        <w:t>”), by and between the Company and the Parent, dated as of February 3, 2012 (an “</w:t>
      </w:r>
      <w:r>
        <w:rPr>
          <w:rFonts w:ascii="Arial" w:cs="Arial" w:eastAsia="Arial" w:hAnsi="Arial"/>
          <w:sz w:val="13"/>
          <w:szCs w:val="13"/>
          <w:b w:val="1"/>
          <w:bCs w:val="1"/>
          <w:color w:val="auto"/>
        </w:rPr>
        <w:t>Acceptable NDA</w:t>
      </w:r>
      <w:r>
        <w:rPr>
          <w:rFonts w:ascii="Arial" w:cs="Arial" w:eastAsia="Arial" w:hAnsi="Arial"/>
          <w:sz w:val="13"/>
          <w:szCs w:val="13"/>
          <w:color w:val="auto"/>
        </w:rPr>
        <w:t>”)); or</w:t>
      </w:r>
    </w:p>
    <w:p>
      <w:pPr>
        <w:spacing w:after="0" w:line="2" w:lineRule="exact"/>
        <w:rPr>
          <w:rFonts w:ascii="Arial" w:cs="Arial" w:eastAsia="Arial" w:hAnsi="Arial"/>
          <w:sz w:val="13"/>
          <w:szCs w:val="13"/>
          <w:color w:val="auto"/>
        </w:rPr>
      </w:pPr>
    </w:p>
    <w:p>
      <w:pPr>
        <w:jc w:val="both"/>
        <w:ind w:left="-9" w:firstLine="9"/>
        <w:spacing w:after="0" w:line="249" w:lineRule="auto"/>
        <w:tabs>
          <w:tab w:leader="none" w:pos="256" w:val="left"/>
        </w:tabs>
        <w:numPr>
          <w:ilvl w:val="0"/>
          <w:numId w:val="58"/>
        </w:numPr>
        <w:rPr>
          <w:rFonts w:ascii="Arial" w:cs="Arial" w:eastAsia="Arial" w:hAnsi="Arial"/>
          <w:sz w:val="15"/>
          <w:szCs w:val="15"/>
          <w:color w:val="auto"/>
        </w:rPr>
      </w:pPr>
      <w:r>
        <w:rPr>
          <w:rFonts w:ascii="Arial" w:cs="Arial" w:eastAsia="Arial" w:hAnsi="Arial"/>
          <w:sz w:val="15"/>
          <w:szCs w:val="15"/>
          <w:color w:val="auto"/>
        </w:rPr>
        <w:t>grant any approval pursuant to any "moratorium," "control share acquisition," "business combination," "fair price" or other form of anti-takeover law (collectively, “</w:t>
      </w:r>
      <w:r>
        <w:rPr>
          <w:rFonts w:ascii="Arial" w:cs="Arial" w:eastAsia="Arial" w:hAnsi="Arial"/>
          <w:sz w:val="15"/>
          <w:szCs w:val="15"/>
          <w:b w:val="1"/>
          <w:bCs w:val="1"/>
          <w:color w:val="auto"/>
        </w:rPr>
        <w:t>Takeover Laws</w:t>
      </w:r>
      <w:r>
        <w:rPr>
          <w:rFonts w:ascii="Arial" w:cs="Arial" w:eastAsia="Arial" w:hAnsi="Arial"/>
          <w:sz w:val="15"/>
          <w:szCs w:val="15"/>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340" w:lineRule="exact"/>
        <w:rPr>
          <w:rFonts w:ascii="Arial" w:cs="Arial" w:eastAsia="Arial" w:hAnsi="Arial"/>
          <w:sz w:val="15"/>
          <w:szCs w:val="15"/>
          <w:color w:val="auto"/>
        </w:rPr>
      </w:pPr>
    </w:p>
    <w:p>
      <w:pPr>
        <w:ind w:left="5651" w:hanging="87"/>
        <w:spacing w:after="0"/>
        <w:tabs>
          <w:tab w:leader="none" w:pos="5651" w:val="left"/>
        </w:tabs>
        <w:numPr>
          <w:ilvl w:val="2"/>
          <w:numId w:val="58"/>
        </w:numPr>
        <w:rPr>
          <w:rFonts w:ascii="Arial" w:cs="Arial" w:eastAsia="Arial" w:hAnsi="Arial"/>
          <w:sz w:val="15"/>
          <w:szCs w:val="15"/>
          <w:color w:val="auto"/>
        </w:rPr>
      </w:pPr>
      <w:r>
        <w:rPr>
          <w:rFonts w:ascii="Arial" w:cs="Arial" w:eastAsia="Arial" w:hAnsi="Arial"/>
          <w:sz w:val="15"/>
          <w:szCs w:val="15"/>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5" w:name="page46"/>
    <w:bookmarkEnd w:id="45"/>
    <w:p>
      <w:pPr>
        <w:jc w:val="both"/>
        <w:ind w:left="-1078" w:firstLine="1078"/>
        <w:spacing w:after="0" w:line="272" w:lineRule="auto"/>
        <w:tabs>
          <w:tab w:leader="none" w:pos="61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148" w:lineRule="exact"/>
        <w:rPr>
          <w:rFonts w:ascii="Arial" w:cs="Arial" w:eastAsia="Arial" w:hAnsi="Arial"/>
          <w:sz w:val="14"/>
          <w:szCs w:val="14"/>
          <w:color w:val="auto"/>
        </w:rPr>
      </w:pPr>
    </w:p>
    <w:p>
      <w:pPr>
        <w:jc w:val="both"/>
        <w:ind w:left="-1078" w:firstLine="1078"/>
        <w:spacing w:after="0" w:line="253" w:lineRule="auto"/>
        <w:tabs>
          <w:tab w:leader="none" w:pos="564" w:val="left"/>
        </w:tabs>
        <w:numPr>
          <w:ilvl w:val="0"/>
          <w:numId w:val="59"/>
        </w:numPr>
        <w:rPr>
          <w:rFonts w:ascii="Arial" w:cs="Arial" w:eastAsia="Arial" w:hAnsi="Arial"/>
          <w:sz w:val="15"/>
          <w:szCs w:val="15"/>
          <w:color w:val="auto"/>
        </w:rPr>
      </w:pPr>
      <w:r>
        <w:rPr>
          <w:rFonts w:ascii="Arial" w:cs="Arial" w:eastAsia="Arial" w:hAnsi="Arial"/>
          <w:sz w:val="15"/>
          <w:szCs w:val="15"/>
          <w:color w:val="auto"/>
        </w:rPr>
        <w:t>Subject to the provisions of this Section 4.2, neither the Company's Board of Directors nor any committee thereof shall (i) (A)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160" w:lineRule="exact"/>
        <w:rPr>
          <w:rFonts w:ascii="Arial" w:cs="Arial" w:eastAsia="Arial" w:hAnsi="Arial"/>
          <w:sz w:val="15"/>
          <w:szCs w:val="15"/>
          <w:color w:val="auto"/>
        </w:rPr>
      </w:pPr>
    </w:p>
    <w:p>
      <w:pPr>
        <w:jc w:val="both"/>
        <w:ind w:left="-1078" w:firstLine="1078"/>
        <w:spacing w:after="0" w:line="275" w:lineRule="auto"/>
        <w:tabs>
          <w:tab w:leader="none" w:pos="572"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146" w:lineRule="exact"/>
        <w:rPr>
          <w:rFonts w:ascii="Arial" w:cs="Arial" w:eastAsia="Arial" w:hAnsi="Arial"/>
          <w:sz w:val="14"/>
          <w:szCs w:val="14"/>
          <w:color w:val="auto"/>
        </w:rPr>
      </w:pPr>
    </w:p>
    <w:p>
      <w:pPr>
        <w:ind w:left="582" w:hanging="582"/>
        <w:spacing w:after="0"/>
        <w:tabs>
          <w:tab w:leader="none" w:pos="582" w:val="left"/>
        </w:tabs>
        <w:numPr>
          <w:ilvl w:val="0"/>
          <w:numId w:val="59"/>
        </w:numPr>
        <w:rPr>
          <w:rFonts w:ascii="Arial" w:cs="Arial" w:eastAsia="Arial" w:hAnsi="Arial"/>
          <w:sz w:val="15"/>
          <w:szCs w:val="15"/>
          <w:color w:val="auto"/>
        </w:rPr>
      </w:pPr>
      <w:r>
        <w:rPr>
          <w:rFonts w:ascii="Arial" w:cs="Arial" w:eastAsia="Arial" w:hAnsi="Arial"/>
          <w:sz w:val="15"/>
          <w:szCs w:val="15"/>
          <w:color w:val="auto"/>
        </w:rPr>
        <w:t>For purposes of this Agreement:</w:t>
      </w:r>
    </w:p>
    <w:p>
      <w:pPr>
        <w:spacing w:after="0" w:line="179" w:lineRule="exact"/>
        <w:rPr>
          <w:rFonts w:ascii="Arial" w:cs="Arial" w:eastAsia="Arial" w:hAnsi="Arial"/>
          <w:sz w:val="15"/>
          <w:szCs w:val="15"/>
          <w:color w:val="auto"/>
        </w:rPr>
      </w:pPr>
    </w:p>
    <w:p>
      <w:pPr>
        <w:jc w:val="both"/>
        <w:ind w:left="-1078" w:firstLine="1613"/>
        <w:spacing w:after="0" w:line="251" w:lineRule="auto"/>
        <w:tabs>
          <w:tab w:leader="none" w:pos="873" w:val="left"/>
        </w:tabs>
        <w:numPr>
          <w:ilvl w:val="1"/>
          <w:numId w:val="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342" w:lineRule="exact"/>
        <w:rPr>
          <w:rFonts w:ascii="Arial" w:cs="Arial" w:eastAsia="Arial" w:hAnsi="Arial"/>
          <w:sz w:val="15"/>
          <w:szCs w:val="15"/>
          <w:color w:val="auto"/>
        </w:rPr>
      </w:pPr>
    </w:p>
    <w:p>
      <w:pPr>
        <w:ind w:left="4582" w:hanging="87"/>
        <w:spacing w:after="0"/>
        <w:tabs>
          <w:tab w:leader="none" w:pos="4582" w:val="left"/>
        </w:tabs>
        <w:numPr>
          <w:ilvl w:val="2"/>
          <w:numId w:val="59"/>
        </w:numPr>
        <w:rPr>
          <w:rFonts w:ascii="Arial" w:cs="Arial" w:eastAsia="Arial" w:hAnsi="Arial"/>
          <w:sz w:val="15"/>
          <w:szCs w:val="15"/>
          <w:color w:val="auto"/>
        </w:rPr>
      </w:pPr>
      <w:r>
        <w:rPr>
          <w:rFonts w:ascii="Arial" w:cs="Arial" w:eastAsia="Arial" w:hAnsi="Arial"/>
          <w:sz w:val="15"/>
          <w:szCs w:val="15"/>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46" w:name="page47"/>
    <w:bookmarkEnd w:id="46"/>
    <w:p>
      <w:pPr>
        <w:jc w:val="both"/>
        <w:ind w:left="-540" w:firstLine="1613"/>
        <w:spacing w:after="0" w:line="253" w:lineRule="auto"/>
        <w:tabs>
          <w:tab w:leader="none" w:pos="1442" w:val="left"/>
        </w:tabs>
        <w:numPr>
          <w:ilvl w:val="0"/>
          <w:numId w:val="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Superior Proposal</w:t>
      </w:r>
      <w:r>
        <w:rPr>
          <w:rFonts w:ascii="Arial" w:cs="Arial" w:eastAsia="Arial" w:hAnsi="Arial"/>
          <w:sz w:val="15"/>
          <w:szCs w:val="15"/>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 the references to “20%” in the definition of “Company Acquisition Proposal” shall be deemed to be references to “more than 50%.”</w:t>
      </w:r>
    </w:p>
    <w:p>
      <w:pPr>
        <w:spacing w:after="0" w:line="1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u w:val="single" w:color="auto"/>
          <w:color w:val="auto"/>
        </w:rPr>
        <w:t>No Solicitation of other Proposals by Parent</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9" w:lineRule="auto"/>
        <w:tabs>
          <w:tab w:leader="none" w:pos="879"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 Person in response to an unsolicited </w:t>
      </w:r>
      <w:r>
        <w:rPr>
          <w:rFonts w:ascii="Arial" w:cs="Arial" w:eastAsia="Arial" w:hAnsi="Arial"/>
          <w:sz w:val="13"/>
          <w:szCs w:val="13"/>
          <w:u w:val="single" w:color="auto"/>
          <w:color w:val="auto"/>
        </w:rPr>
        <w:t>bona fide</w:t>
      </w:r>
      <w:r>
        <w:rPr>
          <w:rFonts w:ascii="Arial" w:cs="Arial" w:eastAsia="Arial" w:hAnsi="Arial"/>
          <w:sz w:val="13"/>
          <w:szCs w:val="13"/>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325" w:lineRule="exact"/>
        <w:rPr>
          <w:rFonts w:ascii="Arial" w:cs="Arial" w:eastAsia="Arial" w:hAnsi="Arial"/>
          <w:sz w:val="13"/>
          <w:szCs w:val="13"/>
          <w:color w:val="auto"/>
        </w:rPr>
      </w:pPr>
    </w:p>
    <w:p>
      <w:pPr>
        <w:ind w:left="5120" w:hanging="87"/>
        <w:spacing w:after="0"/>
        <w:tabs>
          <w:tab w:leader="none" w:pos="5120" w:val="left"/>
        </w:tabs>
        <w:numPr>
          <w:ilvl w:val="1"/>
          <w:numId w:val="61"/>
        </w:numPr>
        <w:rPr>
          <w:rFonts w:ascii="Arial" w:cs="Arial" w:eastAsia="Arial" w:hAnsi="Arial"/>
          <w:sz w:val="15"/>
          <w:szCs w:val="15"/>
          <w:color w:val="auto"/>
        </w:rPr>
      </w:pPr>
      <w:r>
        <w:rPr>
          <w:rFonts w:ascii="Arial" w:cs="Arial" w:eastAsia="Arial" w:hAnsi="Arial"/>
          <w:sz w:val="15"/>
          <w:szCs w:val="15"/>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47" w:name="page48"/>
    <w:bookmarkEnd w:id="47"/>
    <w:p>
      <w:pPr>
        <w:jc w:val="both"/>
        <w:ind w:left="-9" w:firstLine="1078"/>
        <w:spacing w:after="0" w:line="251" w:lineRule="auto"/>
        <w:tabs>
          <w:tab w:leader="none" w:pos="1463"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162" w:lineRule="exact"/>
        <w:rPr>
          <w:rFonts w:ascii="Arial" w:cs="Arial" w:eastAsia="Arial" w:hAnsi="Arial"/>
          <w:sz w:val="15"/>
          <w:szCs w:val="15"/>
          <w:color w:val="auto"/>
        </w:rPr>
      </w:pPr>
    </w:p>
    <w:p>
      <w:pPr>
        <w:jc w:val="both"/>
        <w:ind w:left="-9" w:firstLine="1078"/>
        <w:spacing w:after="0" w:line="294" w:lineRule="auto"/>
        <w:tabs>
          <w:tab w:leader="none" w:pos="1477" w:val="left"/>
        </w:tabs>
        <w:numPr>
          <w:ilvl w:val="1"/>
          <w:numId w:val="62"/>
        </w:numPr>
        <w:rPr>
          <w:rFonts w:ascii="Arial" w:cs="Arial" w:eastAsia="Arial" w:hAnsi="Arial"/>
          <w:sz w:val="13"/>
          <w:szCs w:val="13"/>
          <w:color w:val="auto"/>
        </w:rPr>
      </w:pPr>
      <w:r>
        <w:rPr>
          <w:rFonts w:ascii="Arial" w:cs="Arial" w:eastAsia="Arial" w:hAnsi="Arial"/>
          <w:sz w:val="13"/>
          <w:szCs w:val="13"/>
          <w:color w:val="auto"/>
        </w:rPr>
        <w:t>Subject to the provisions of this Section 4.3, neither the Parent's Board of Directors nor any committee thereof shall (i) (A) withhold, withdraw, amend, qualify or modify in a manner adverse to the Company, or publicly propose to withhold, withdraw, amend, qualify or modify in a manner adverse to the Company, the Parent Board Recommendation, or</w:t>
      </w:r>
    </w:p>
    <w:p>
      <w:pPr>
        <w:jc w:val="both"/>
        <w:ind w:left="-9" w:firstLine="9"/>
        <w:spacing w:after="0" w:line="267" w:lineRule="auto"/>
        <w:tabs>
          <w:tab w:leader="none" w:pos="229" w:val="left"/>
        </w:tabs>
        <w:numPr>
          <w:ilvl w:val="0"/>
          <w:numId w:val="63"/>
        </w:numPr>
        <w:rPr>
          <w:rFonts w:ascii="Arial" w:cs="Arial" w:eastAsia="Arial" w:hAnsi="Arial"/>
          <w:sz w:val="14"/>
          <w:szCs w:val="14"/>
          <w:color w:val="auto"/>
        </w:rPr>
      </w:pPr>
      <w:r>
        <w:rPr>
          <w:rFonts w:ascii="Arial" w:cs="Arial" w:eastAsia="Arial" w:hAnsi="Arial"/>
          <w:sz w:val="14"/>
          <w:szCs w:val="14"/>
          <w:color w:val="auto"/>
        </w:rPr>
        <w:t>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4"/>
          <w:szCs w:val="14"/>
          <w:b w:val="1"/>
          <w:bCs w:val="1"/>
          <w:color w:val="auto"/>
        </w:rPr>
        <w:t>Parent Board Recommendation Change</w:t>
      </w:r>
      <w:r>
        <w:rPr>
          <w:rFonts w:ascii="Arial" w:cs="Arial" w:eastAsia="Arial" w:hAnsi="Arial"/>
          <w:sz w:val="14"/>
          <w:szCs w:val="14"/>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332" w:lineRule="exact"/>
        <w:rPr>
          <w:rFonts w:ascii="Arial" w:cs="Arial" w:eastAsia="Arial" w:hAnsi="Arial"/>
          <w:sz w:val="14"/>
          <w:szCs w:val="14"/>
          <w:color w:val="auto"/>
        </w:rPr>
      </w:pPr>
    </w:p>
    <w:p>
      <w:pPr>
        <w:ind w:left="5651" w:hanging="87"/>
        <w:spacing w:after="0"/>
        <w:tabs>
          <w:tab w:leader="none" w:pos="5651" w:val="left"/>
        </w:tabs>
        <w:numPr>
          <w:ilvl w:val="2"/>
          <w:numId w:val="63"/>
        </w:numPr>
        <w:rPr>
          <w:rFonts w:ascii="Arial" w:cs="Arial" w:eastAsia="Arial" w:hAnsi="Arial"/>
          <w:sz w:val="15"/>
          <w:szCs w:val="15"/>
          <w:color w:val="auto"/>
        </w:rPr>
      </w:pPr>
      <w:r>
        <w:rPr>
          <w:rFonts w:ascii="Arial" w:cs="Arial" w:eastAsia="Arial" w:hAnsi="Arial"/>
          <w:sz w:val="15"/>
          <w:szCs w:val="15"/>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8" w:name="page49"/>
    <w:bookmarkEnd w:id="48"/>
    <w:p>
      <w:pPr>
        <w:jc w:val="both"/>
        <w:ind w:left="-1078" w:firstLine="1078"/>
        <w:spacing w:after="0" w:line="306" w:lineRule="auto"/>
        <w:tabs>
          <w:tab w:leader="none" w:pos="65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Nothing in this Agreement shall prohibit Parent's Board of Directors (or any committee thereof) from (i) taking and disclosing to Parent's stockholders a position contemplated by Rule 14e-2(a) under the Exchange Act or complying with the provisions of Rule 14d-9 promulgated under the Exchange Act with respect to any tender offer or exchange offer not made in violation of this </w:t>
      </w:r>
      <w:r>
        <w:rPr>
          <w:rFonts w:ascii="Arial" w:cs="Arial" w:eastAsia="Arial" w:hAnsi="Arial"/>
          <w:sz w:val="13"/>
          <w:szCs w:val="13"/>
          <w:u w:val="single" w:color="auto"/>
          <w:color w:val="auto"/>
        </w:rPr>
        <w:t>Section 4.3</w:t>
      </w:r>
      <w:r>
        <w:rPr>
          <w:rFonts w:ascii="Arial" w:cs="Arial" w:eastAsia="Arial" w:hAnsi="Arial"/>
          <w:sz w:val="13"/>
          <w:szCs w:val="13"/>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128" w:lineRule="exact"/>
        <w:rPr>
          <w:rFonts w:ascii="Arial" w:cs="Arial" w:eastAsia="Arial" w:hAnsi="Arial"/>
          <w:sz w:val="13"/>
          <w:szCs w:val="13"/>
          <w:color w:val="auto"/>
        </w:rPr>
      </w:pPr>
    </w:p>
    <w:p>
      <w:pPr>
        <w:ind w:left="582" w:hanging="582"/>
        <w:spacing w:after="0"/>
        <w:tabs>
          <w:tab w:leader="none" w:pos="582"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purposes of this Agreement:</w:t>
      </w:r>
    </w:p>
    <w:p>
      <w:pPr>
        <w:spacing w:after="0" w:line="179" w:lineRule="exact"/>
        <w:rPr>
          <w:rFonts w:ascii="Arial" w:cs="Arial" w:eastAsia="Arial" w:hAnsi="Arial"/>
          <w:sz w:val="15"/>
          <w:szCs w:val="15"/>
          <w:color w:val="auto"/>
        </w:rPr>
      </w:pPr>
    </w:p>
    <w:p>
      <w:pPr>
        <w:jc w:val="both"/>
        <w:ind w:left="-1078" w:firstLine="1613"/>
        <w:spacing w:after="0" w:line="270" w:lineRule="auto"/>
        <w:tabs>
          <w:tab w:leader="none" w:pos="862" w:val="left"/>
        </w:tabs>
        <w:numPr>
          <w:ilvl w:val="1"/>
          <w:numId w:val="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Acquisition Proposal</w:t>
      </w:r>
      <w:r>
        <w:rPr>
          <w:rFonts w:ascii="Arial" w:cs="Arial" w:eastAsia="Arial" w:hAnsi="Arial"/>
          <w:sz w:val="14"/>
          <w:szCs w:val="14"/>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149" w:lineRule="exact"/>
        <w:rPr>
          <w:rFonts w:ascii="Arial" w:cs="Arial" w:eastAsia="Arial" w:hAnsi="Arial"/>
          <w:sz w:val="14"/>
          <w:szCs w:val="14"/>
          <w:color w:val="auto"/>
        </w:rPr>
      </w:pPr>
    </w:p>
    <w:p>
      <w:pPr>
        <w:jc w:val="both"/>
        <w:ind w:left="-1078" w:firstLine="1613"/>
        <w:spacing w:after="0" w:line="253" w:lineRule="auto"/>
        <w:tabs>
          <w:tab w:leader="none" w:pos="903" w:val="left"/>
        </w:tabs>
        <w:numPr>
          <w:ilvl w:val="1"/>
          <w:numId w:val="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Superior Proposal</w:t>
      </w:r>
      <w:r>
        <w:rPr>
          <w:rFonts w:ascii="Arial" w:cs="Arial" w:eastAsia="Arial" w:hAnsi="Arial"/>
          <w:sz w:val="15"/>
          <w:szCs w:val="15"/>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338" w:lineRule="exact"/>
        <w:rPr>
          <w:rFonts w:ascii="Arial" w:cs="Arial" w:eastAsia="Arial" w:hAnsi="Arial"/>
          <w:sz w:val="15"/>
          <w:szCs w:val="15"/>
          <w:color w:val="auto"/>
        </w:rPr>
      </w:pPr>
    </w:p>
    <w:p>
      <w:pPr>
        <w:ind w:left="4582" w:hanging="87"/>
        <w:spacing w:after="0"/>
        <w:tabs>
          <w:tab w:leader="none" w:pos="4582" w:val="left"/>
        </w:tabs>
        <w:numPr>
          <w:ilvl w:val="2"/>
          <w:numId w:val="64"/>
        </w:numPr>
        <w:rPr>
          <w:rFonts w:ascii="Arial" w:cs="Arial" w:eastAsia="Arial" w:hAnsi="Arial"/>
          <w:sz w:val="15"/>
          <w:szCs w:val="15"/>
          <w:color w:val="auto"/>
        </w:rPr>
      </w:pPr>
      <w:r>
        <w:rPr>
          <w:rFonts w:ascii="Arial" w:cs="Arial" w:eastAsia="Arial" w:hAnsi="Arial"/>
          <w:sz w:val="15"/>
          <w:szCs w:val="15"/>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ARTICLE 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AGREEMENTS</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Stockholder Approvals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90" w:lineRule="auto"/>
        <w:tabs>
          <w:tab w:leader="none" w:pos="1464"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 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144" w:lineRule="exact"/>
        <w:rPr>
          <w:rFonts w:ascii="Arial" w:cs="Arial" w:eastAsia="Arial" w:hAnsi="Arial"/>
          <w:sz w:val="13"/>
          <w:szCs w:val="13"/>
          <w:color w:val="auto"/>
        </w:rPr>
      </w:pPr>
    </w:p>
    <w:p>
      <w:pPr>
        <w:jc w:val="both"/>
        <w:ind w:firstLine="1078"/>
        <w:spacing w:after="0" w:line="269" w:lineRule="auto"/>
        <w:tabs>
          <w:tab w:leader="none" w:pos="1461"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4"/>
          <w:szCs w:val="14"/>
          <w:b w:val="1"/>
          <w:bCs w:val="1"/>
          <w:color w:val="auto"/>
        </w:rPr>
        <w:t>Other Filings</w:t>
      </w:r>
      <w:r>
        <w:rPr>
          <w:rFonts w:ascii="Arial" w:cs="Arial" w:eastAsia="Arial" w:hAnsi="Arial"/>
          <w:sz w:val="14"/>
          <w:szCs w:val="14"/>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4"/>
          <w:szCs w:val="14"/>
          <w:b w:val="1"/>
          <w:bCs w:val="1"/>
          <w:color w:val="auto"/>
        </w:rPr>
        <w:t>Merger Form 8-K</w:t>
      </w:r>
      <w:r>
        <w:rPr>
          <w:rFonts w:ascii="Arial" w:cs="Arial" w:eastAsia="Arial" w:hAnsi="Arial"/>
          <w:sz w:val="14"/>
          <w:szCs w:val="14"/>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4"/>
          <w:szCs w:val="14"/>
          <w:b w:val="1"/>
          <w:bCs w:val="1"/>
          <w:color w:val="auto"/>
        </w:rPr>
        <w:t>Press Release</w:t>
      </w:r>
      <w:r>
        <w:rPr>
          <w:rFonts w:ascii="Arial" w:cs="Arial" w:eastAsia="Arial" w:hAnsi="Arial"/>
          <w:sz w:val="14"/>
          <w:szCs w:val="14"/>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4"/>
          <w:szCs w:val="14"/>
          <w:b w:val="1"/>
          <w:bCs w:val="1"/>
          <w:color w:val="auto"/>
        </w:rPr>
        <w:t>Agreement Press Release</w:t>
      </w:r>
      <w:r>
        <w:rPr>
          <w:rFonts w:ascii="Arial" w:cs="Arial" w:eastAsia="Arial" w:hAnsi="Arial"/>
          <w:sz w:val="14"/>
          <w:szCs w:val="14"/>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329" w:lineRule="exact"/>
        <w:rPr>
          <w:rFonts w:ascii="Arial" w:cs="Arial" w:eastAsia="Arial" w:hAnsi="Arial"/>
          <w:sz w:val="14"/>
          <w:szCs w:val="14"/>
          <w:color w:val="auto"/>
        </w:rPr>
      </w:pPr>
    </w:p>
    <w:p>
      <w:pPr>
        <w:ind w:left="5660" w:hanging="87"/>
        <w:spacing w:after="0"/>
        <w:tabs>
          <w:tab w:leader="none" w:pos="56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50" w:name="page51"/>
    <w:bookmarkEnd w:id="50"/>
    <w:p>
      <w:pPr>
        <w:jc w:val="both"/>
        <w:ind w:left="-1078" w:firstLine="1078"/>
        <w:spacing w:after="0" w:line="253" w:lineRule="auto"/>
        <w:tabs>
          <w:tab w:leader="none" w:pos="385"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160" w:lineRule="exact"/>
        <w:rPr>
          <w:rFonts w:ascii="Arial" w:cs="Arial" w:eastAsia="Arial" w:hAnsi="Arial"/>
          <w:sz w:val="15"/>
          <w:szCs w:val="15"/>
          <w:color w:val="auto"/>
        </w:rPr>
      </w:pPr>
    </w:p>
    <w:p>
      <w:pPr>
        <w:jc w:val="both"/>
        <w:ind w:left="-1078" w:firstLine="1078"/>
        <w:spacing w:after="0" w:line="269" w:lineRule="auto"/>
        <w:tabs>
          <w:tab w:leader="none" w:pos="349"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4"/>
          <w:szCs w:val="14"/>
          <w:b w:val="1"/>
          <w:bCs w:val="1"/>
          <w:color w:val="auto"/>
        </w:rPr>
        <w:t>Parent Special Meeting</w:t>
      </w:r>
      <w:r>
        <w:rPr>
          <w:rFonts w:ascii="Arial" w:cs="Arial" w:eastAsia="Arial" w:hAnsi="Arial"/>
          <w:sz w:val="14"/>
          <w:szCs w:val="14"/>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 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4"/>
          <w:szCs w:val="14"/>
          <w:b w:val="1"/>
          <w:bCs w:val="1"/>
          <w:color w:val="auto"/>
        </w:rPr>
        <w:t>Parent Board Recommendation</w:t>
      </w:r>
      <w:r>
        <w:rPr>
          <w:rFonts w:ascii="Arial" w:cs="Arial" w:eastAsia="Arial" w:hAnsi="Arial"/>
          <w:sz w:val="14"/>
          <w:szCs w:val="14"/>
          <w:color w:val="auto"/>
        </w:rPr>
        <w:t>”); and (ii) the Proxy Statement shall include the Parent Board Recommendation.</w:t>
      </w:r>
    </w:p>
    <w:p>
      <w:pPr>
        <w:spacing w:after="0" w:line="327" w:lineRule="exact"/>
        <w:rPr>
          <w:rFonts w:ascii="Arial" w:cs="Arial" w:eastAsia="Arial" w:hAnsi="Arial"/>
          <w:sz w:val="14"/>
          <w:szCs w:val="14"/>
          <w:color w:val="auto"/>
        </w:rPr>
      </w:pPr>
    </w:p>
    <w:p>
      <w:pPr>
        <w:ind w:left="4582" w:hanging="87"/>
        <w:spacing w:after="0"/>
        <w:tabs>
          <w:tab w:leader="none" w:pos="4582" w:val="left"/>
        </w:tabs>
        <w:numPr>
          <w:ilvl w:val="1"/>
          <w:numId w:val="66"/>
        </w:numPr>
        <w:rPr>
          <w:rFonts w:ascii="Arial" w:cs="Arial" w:eastAsia="Arial" w:hAnsi="Arial"/>
          <w:sz w:val="15"/>
          <w:szCs w:val="15"/>
          <w:color w:val="auto"/>
        </w:rPr>
      </w:pPr>
      <w:r>
        <w:rPr>
          <w:rFonts w:ascii="Arial" w:cs="Arial" w:eastAsia="Arial" w:hAnsi="Arial"/>
          <w:sz w:val="15"/>
          <w:szCs w:val="15"/>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51" w:name="page52"/>
    <w:bookmarkEnd w:id="51"/>
    <w:p>
      <w:pPr>
        <w:jc w:val="both"/>
        <w:ind w:left="-540" w:firstLine="1078"/>
        <w:spacing w:after="0" w:line="293" w:lineRule="auto"/>
        <w:tabs>
          <w:tab w:leader="none" w:pos="913" w:val="left"/>
        </w:tabs>
        <w:numPr>
          <w:ilvl w:val="0"/>
          <w:numId w:val="67"/>
        </w:numPr>
        <w:rPr>
          <w:rFonts w:ascii="Arial" w:cs="Arial" w:eastAsia="Arial" w:hAnsi="Arial"/>
          <w:sz w:val="13"/>
          <w:szCs w:val="13"/>
          <w:color w:val="auto"/>
        </w:rPr>
      </w:pPr>
      <w:r>
        <w:rPr>
          <w:rFonts w:ascii="Arial" w:cs="Arial" w:eastAsia="Arial" w:hAnsi="Arial"/>
          <w:sz w:val="13"/>
          <w:szCs w:val="13"/>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3"/>
          <w:szCs w:val="13"/>
          <w:b w:val="1"/>
          <w:bCs w:val="1"/>
          <w:color w:val="auto"/>
        </w:rPr>
        <w:t>Company Special Meeting</w:t>
      </w:r>
      <w:r>
        <w:rPr>
          <w:rFonts w:ascii="Arial" w:cs="Arial" w:eastAsia="Arial" w:hAnsi="Arial"/>
          <w:sz w:val="13"/>
          <w:szCs w:val="13"/>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w:t>
      </w:r>
      <w:r>
        <w:rPr>
          <w:rFonts w:ascii="Arial" w:cs="Arial" w:eastAsia="Arial" w:hAnsi="Arial"/>
          <w:sz w:val="13"/>
          <w:szCs w:val="13"/>
          <w:b w:val="1"/>
          <w:bCs w:val="1"/>
          <w:color w:val="auto"/>
        </w:rPr>
        <w:t>Board Recommendation</w:t>
      </w:r>
      <w:r>
        <w:rPr>
          <w:rFonts w:ascii="Arial" w:cs="Arial" w:eastAsia="Arial" w:hAnsi="Arial"/>
          <w:sz w:val="13"/>
          <w:szCs w:val="13"/>
          <w:color w:val="auto"/>
        </w:rPr>
        <w:t>”); and (ii) any written communication to the Company’s stockholders regarding the Company Special Meeting shall include the Company Board Recommendation..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Access to Information; Confidentiality</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96" w:lineRule="auto"/>
        <w:tabs>
          <w:tab w:leader="none" w:pos="890"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3"/>
          <w:szCs w:val="13"/>
          <w:i w:val="1"/>
          <w:iCs w:val="1"/>
          <w:color w:val="auto"/>
        </w:rPr>
        <w:t>I/P Engine, Inc. v. AOL, Inc.</w:t>
      </w:r>
      <w:r>
        <w:rPr>
          <w:rFonts w:ascii="Arial" w:cs="Arial" w:eastAsia="Arial" w:hAnsi="Arial"/>
          <w:sz w:val="13"/>
          <w:szCs w:val="13"/>
          <w:color w:val="auto"/>
        </w:rPr>
        <w:t>, Civ. Action No. 2:11-cv-512, filed in United States District Court for the Eastern District of Virginia, Norfolk Division on September 15, 2011 (the “</w:t>
      </w:r>
      <w:r>
        <w:rPr>
          <w:rFonts w:ascii="Arial" w:cs="Arial" w:eastAsia="Arial" w:hAnsi="Arial"/>
          <w:sz w:val="13"/>
          <w:szCs w:val="13"/>
          <w:b w:val="1"/>
          <w:bCs w:val="1"/>
          <w:color w:val="auto"/>
        </w:rPr>
        <w:t>Litigation</w:t>
      </w:r>
      <w:r>
        <w:rPr>
          <w:rFonts w:ascii="Arial" w:cs="Arial" w:eastAsia="Arial" w:hAnsi="Arial"/>
          <w:sz w:val="13"/>
          <w:szCs w:val="13"/>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313" w:lineRule="exact"/>
        <w:rPr>
          <w:rFonts w:ascii="Arial" w:cs="Arial" w:eastAsia="Arial" w:hAnsi="Arial"/>
          <w:sz w:val="13"/>
          <w:szCs w:val="13"/>
          <w:color w:val="auto"/>
        </w:rPr>
      </w:pPr>
    </w:p>
    <w:p>
      <w:pPr>
        <w:ind w:left="5120" w:hanging="87"/>
        <w:spacing w:after="0"/>
        <w:tabs>
          <w:tab w:leader="none" w:pos="51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2" w:name="page53"/>
    <w:bookmarkEnd w:id="52"/>
    <w:p>
      <w:pPr>
        <w:jc w:val="both"/>
        <w:ind w:left="-540" w:firstLine="1078"/>
        <w:spacing w:after="0" w:line="299" w:lineRule="auto"/>
        <w:tabs>
          <w:tab w:leader="none" w:pos="888" w:val="left"/>
        </w:tabs>
        <w:numPr>
          <w:ilvl w:val="0"/>
          <w:numId w:val="69"/>
        </w:numPr>
        <w:rPr>
          <w:rFonts w:ascii="Arial" w:cs="Arial" w:eastAsia="Arial" w:hAnsi="Arial"/>
          <w:sz w:val="13"/>
          <w:szCs w:val="13"/>
          <w:color w:val="auto"/>
        </w:rPr>
      </w:pPr>
      <w:r>
        <w:rPr>
          <w:rFonts w:ascii="Arial" w:cs="Arial" w:eastAsia="Arial" w:hAnsi="Arial"/>
          <w:sz w:val="13"/>
          <w:szCs w:val="13"/>
          <w:color w:val="auto"/>
        </w:rPr>
        <w:t>Each party agrees to maintain in confidence any non-public information received from the other party (such information,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 (iii) information acquired by a party or their respective agents from a third party who was not bound to an obligation of confidentiality; and (iv) disclosure required by applicable law. In the event this Agreement is terminated as provided in Article VII hereof, each party (x) 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134"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u w:val="single" w:color="auto"/>
          <w:color w:val="auto"/>
        </w:rPr>
        <w:t>Reasonable Efforts; Further Assurances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6" w:lineRule="auto"/>
        <w:tabs>
          <w:tab w:leader="none" w:pos="902"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137" w:lineRule="exact"/>
        <w:rPr>
          <w:rFonts w:ascii="Arial" w:cs="Arial" w:eastAsia="Arial" w:hAnsi="Arial"/>
          <w:sz w:val="14"/>
          <w:szCs w:val="14"/>
          <w:color w:val="auto"/>
        </w:rPr>
      </w:pPr>
    </w:p>
    <w:p>
      <w:pPr>
        <w:jc w:val="both"/>
        <w:ind w:left="-540" w:firstLine="1078"/>
        <w:spacing w:after="0" w:line="270" w:lineRule="auto"/>
        <w:tabs>
          <w:tab w:leader="none" w:pos="91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14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Employee Benefits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6" w:lineRule="auto"/>
        <w:tabs>
          <w:tab w:leader="none" w:pos="879"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agrees that individuals who are employed on a full-time basis by the Company or its Subsidiaries immediately prior to the Effective Time (each such employee, a “</w:t>
      </w:r>
      <w:r>
        <w:rPr>
          <w:rFonts w:ascii="Arial" w:cs="Arial" w:eastAsia="Arial" w:hAnsi="Arial"/>
          <w:sz w:val="14"/>
          <w:szCs w:val="14"/>
          <w:b w:val="1"/>
          <w:bCs w:val="1"/>
          <w:color w:val="auto"/>
        </w:rPr>
        <w:t>Company Employee</w:t>
      </w:r>
      <w:r>
        <w:rPr>
          <w:rFonts w:ascii="Arial" w:cs="Arial" w:eastAsia="Arial" w:hAnsi="Arial"/>
          <w:sz w:val="14"/>
          <w:szCs w:val="14"/>
          <w:color w:val="auto"/>
        </w:rPr>
        <w:t xml:space="preserve">”) shall remain employees of the Surviving Corporation or any of its Subsidiaries upon the Effective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this Section 5.4(a) shall not be construed to limit the ability of the Surviving Corporation, Parent or any of its Subsidiaries to terminate the employment of any Company Employee at any time.</w:t>
      </w:r>
    </w:p>
    <w:p>
      <w:pPr>
        <w:spacing w:after="0" w:line="315" w:lineRule="exact"/>
        <w:rPr>
          <w:rFonts w:ascii="Arial" w:cs="Arial" w:eastAsia="Arial" w:hAnsi="Arial"/>
          <w:sz w:val="14"/>
          <w:szCs w:val="14"/>
          <w:color w:val="auto"/>
        </w:rPr>
      </w:pPr>
    </w:p>
    <w:p>
      <w:pPr>
        <w:ind w:left="5120" w:hanging="87"/>
        <w:spacing w:after="0"/>
        <w:tabs>
          <w:tab w:leader="none" w:pos="51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53" w:name="page54"/>
    <w:bookmarkEnd w:id="53"/>
    <w:p>
      <w:pPr>
        <w:ind w:firstLine="1078"/>
        <w:spacing w:after="0" w:line="269" w:lineRule="auto"/>
        <w:tabs>
          <w:tab w:leader="none" w:pos="1428" w:val="left"/>
        </w:tabs>
        <w:numPr>
          <w:ilvl w:val="0"/>
          <w:numId w:val="72"/>
        </w:numPr>
        <w:rPr>
          <w:rFonts w:ascii="Arial" w:cs="Arial" w:eastAsia="Arial" w:hAnsi="Arial"/>
          <w:sz w:val="15"/>
          <w:szCs w:val="15"/>
          <w:color w:val="auto"/>
        </w:rPr>
      </w:pPr>
      <w:r>
        <w:rPr>
          <w:rFonts w:ascii="Arial" w:cs="Arial" w:eastAsia="Arial" w:hAnsi="Arial"/>
          <w:sz w:val="15"/>
          <w:szCs w:val="15"/>
          <w:color w:val="auto"/>
        </w:rPr>
        <w:t>After the Effective Time the Company Employees shall be eligible to participate in the employee benefit plans of Parent to the same extent as any similarly situated and geographically located employee of Parent.</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u w:val="single" w:color="auto"/>
          <w:color w:val="auto"/>
        </w:rPr>
        <w:t>Reorganization</w:t>
      </w:r>
      <w:r>
        <w:rPr>
          <w:rFonts w:ascii="Arial" w:cs="Arial" w:eastAsia="Arial" w:hAnsi="Arial"/>
          <w:sz w:val="13"/>
          <w:szCs w:val="13"/>
          <w:color w:val="auto"/>
        </w:rPr>
        <w:t>.</w:t>
      </w:r>
    </w:p>
    <w:p>
      <w:pPr>
        <w:spacing w:after="0" w:line="184" w:lineRule="exact"/>
        <w:rPr>
          <w:sz w:val="20"/>
          <w:szCs w:val="20"/>
          <w:color w:val="auto"/>
        </w:rPr>
      </w:pPr>
    </w:p>
    <w:p>
      <w:pPr>
        <w:ind w:right="20" w:firstLine="1078"/>
        <w:spacing w:after="0" w:line="269" w:lineRule="auto"/>
        <w:tabs>
          <w:tab w:leader="none" w:pos="1442"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147" w:lineRule="exact"/>
        <w:rPr>
          <w:rFonts w:ascii="Arial" w:cs="Arial" w:eastAsia="Arial" w:hAnsi="Arial"/>
          <w:sz w:val="15"/>
          <w:szCs w:val="15"/>
          <w:color w:val="auto"/>
        </w:rPr>
      </w:pPr>
    </w:p>
    <w:p>
      <w:pPr>
        <w:ind w:right="20" w:firstLine="1078"/>
        <w:spacing w:after="0" w:line="269" w:lineRule="auto"/>
        <w:tabs>
          <w:tab w:leader="none" w:pos="1461" w:val="left"/>
        </w:tabs>
        <w:numPr>
          <w:ilvl w:val="0"/>
          <w:numId w:val="73"/>
        </w:numPr>
        <w:rPr>
          <w:rFonts w:ascii="Arial" w:cs="Arial" w:eastAsia="Arial" w:hAnsi="Arial"/>
          <w:sz w:val="15"/>
          <w:szCs w:val="15"/>
          <w:color w:val="auto"/>
        </w:rPr>
      </w:pPr>
      <w:r>
        <w:rPr>
          <w:rFonts w:ascii="Arial" w:cs="Arial" w:eastAsia="Arial" w:hAnsi="Arial"/>
          <w:sz w:val="15"/>
          <w:szCs w:val="15"/>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Notification of Certain Matters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75" w:lineRule="auto"/>
        <w:tabs>
          <w:tab w:leader="none" w:pos="143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delivery of any notice pursuant to this Section 5.6(a) shall not limit or otherwise affect the remedies available hereunder to the Party receiving such notice.</w:t>
      </w:r>
    </w:p>
    <w:p>
      <w:pPr>
        <w:spacing w:after="0" w:line="146" w:lineRule="exact"/>
        <w:rPr>
          <w:rFonts w:ascii="Arial" w:cs="Arial" w:eastAsia="Arial" w:hAnsi="Arial"/>
          <w:sz w:val="14"/>
          <w:szCs w:val="14"/>
          <w:color w:val="auto"/>
        </w:rPr>
      </w:pPr>
    </w:p>
    <w:p>
      <w:pPr>
        <w:jc w:val="both"/>
        <w:ind w:firstLine="1078"/>
        <w:spacing w:after="0" w:line="251" w:lineRule="auto"/>
        <w:tabs>
          <w:tab w:leader="none" w:pos="1483" w:val="left"/>
        </w:tabs>
        <w:numPr>
          <w:ilvl w:val="0"/>
          <w:numId w:val="74"/>
        </w:numPr>
        <w:rPr>
          <w:rFonts w:ascii="Arial" w:cs="Arial" w:eastAsia="Arial" w:hAnsi="Arial"/>
          <w:sz w:val="15"/>
          <w:szCs w:val="15"/>
          <w:color w:val="auto"/>
        </w:rPr>
      </w:pPr>
      <w:r>
        <w:rPr>
          <w:rFonts w:ascii="Arial" w:cs="Arial" w:eastAsia="Arial" w:hAnsi="Arial"/>
          <w:sz w:val="15"/>
          <w:szCs w:val="15"/>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163"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Quotation on the NYSE Amex</w:t>
      </w:r>
      <w:r>
        <w:rPr>
          <w:rFonts w:ascii="Arial" w:cs="Arial" w:eastAsia="Arial" w:hAnsi="Arial"/>
          <w:sz w:val="15"/>
          <w:szCs w:val="15"/>
          <w:color w:val="auto"/>
        </w:rPr>
        <w:t>. Parent shall use its reasonable best efforts to cause the shares of Parent Common Stock to be issued in the Merger to be approved for quotation on the NYSE Amex.</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4" w:name="page55"/>
    <w:bookmarkEnd w:id="54"/>
    <w:p>
      <w:pPr>
        <w:spacing w:after="0"/>
        <w:tabs>
          <w:tab w:leader="none" w:pos="540" w:val="left"/>
        </w:tabs>
        <w:rPr>
          <w:sz w:val="20"/>
          <w:szCs w:val="20"/>
          <w:color w:val="auto"/>
        </w:rPr>
      </w:pPr>
      <w:r>
        <w:rPr>
          <w:rFonts w:ascii="Arial" w:cs="Arial" w:eastAsia="Arial" w:hAnsi="Arial"/>
          <w:sz w:val="15"/>
          <w:szCs w:val="15"/>
          <w:color w:val="auto"/>
        </w:rPr>
        <w:t>5.9</w:t>
      </w:r>
      <w:r>
        <w:rPr>
          <w:sz w:val="20"/>
          <w:szCs w:val="20"/>
          <w:color w:val="auto"/>
        </w:rPr>
        <w:tab/>
      </w:r>
      <w:r>
        <w:rPr>
          <w:rFonts w:ascii="Arial" w:cs="Arial" w:eastAsia="Arial" w:hAnsi="Arial"/>
          <w:sz w:val="13"/>
          <w:szCs w:val="13"/>
          <w:u w:val="single" w:color="auto"/>
          <w:color w:val="auto"/>
        </w:rPr>
        <w:t>Indemnification of Parent Directors and Officers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94" w:lineRule="auto"/>
        <w:tabs>
          <w:tab w:leader="none" w:pos="890" w:val="left"/>
        </w:tabs>
        <w:numPr>
          <w:ilvl w:val="0"/>
          <w:numId w:val="75"/>
        </w:numPr>
        <w:rPr>
          <w:rFonts w:ascii="Arial" w:cs="Arial" w:eastAsia="Arial" w:hAnsi="Arial"/>
          <w:sz w:val="13"/>
          <w:szCs w:val="13"/>
          <w:color w:val="auto"/>
        </w:rPr>
      </w:pPr>
      <w:r>
        <w:rPr>
          <w:rFonts w:ascii="Arial" w:cs="Arial" w:eastAsia="Arial" w:hAnsi="Arial"/>
          <w:sz w:val="13"/>
          <w:szCs w:val="13"/>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3"/>
          <w:szCs w:val="13"/>
          <w:b w:val="1"/>
          <w:bCs w:val="1"/>
          <w:color w:val="auto"/>
        </w:rPr>
        <w:t>Parent Indemnified Person</w:t>
      </w:r>
      <w:r>
        <w:rPr>
          <w:rFonts w:ascii="Arial" w:cs="Arial" w:eastAsia="Arial" w:hAnsi="Arial"/>
          <w:sz w:val="13"/>
          <w:szCs w:val="13"/>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138" w:lineRule="exact"/>
        <w:rPr>
          <w:rFonts w:ascii="Arial" w:cs="Arial" w:eastAsia="Arial" w:hAnsi="Arial"/>
          <w:sz w:val="13"/>
          <w:szCs w:val="13"/>
          <w:color w:val="auto"/>
        </w:rPr>
      </w:pPr>
    </w:p>
    <w:p>
      <w:pPr>
        <w:ind w:left="900" w:hanging="362"/>
        <w:spacing w:after="0"/>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[RESERVED]</w:t>
      </w:r>
    </w:p>
    <w:p>
      <w:pPr>
        <w:spacing w:after="0" w:line="183" w:lineRule="exact"/>
        <w:rPr>
          <w:rFonts w:ascii="Arial" w:cs="Arial" w:eastAsia="Arial" w:hAnsi="Arial"/>
          <w:sz w:val="15"/>
          <w:szCs w:val="15"/>
          <w:color w:val="auto"/>
        </w:rPr>
      </w:pPr>
    </w:p>
    <w:p>
      <w:pPr>
        <w:jc w:val="both"/>
        <w:ind w:left="-540" w:firstLine="1078"/>
        <w:spacing w:after="0" w:line="293" w:lineRule="auto"/>
        <w:tabs>
          <w:tab w:leader="none" w:pos="879"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 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313" w:lineRule="exact"/>
        <w:rPr>
          <w:rFonts w:ascii="Arial" w:cs="Arial" w:eastAsia="Arial" w:hAnsi="Arial"/>
          <w:sz w:val="13"/>
          <w:szCs w:val="13"/>
          <w:color w:val="auto"/>
        </w:rPr>
      </w:pPr>
    </w:p>
    <w:p>
      <w:pPr>
        <w:ind w:left="5120" w:hanging="87"/>
        <w:spacing w:after="0"/>
        <w:tabs>
          <w:tab w:leader="none" w:pos="5120" w:val="left"/>
        </w:tabs>
        <w:numPr>
          <w:ilvl w:val="1"/>
          <w:numId w:val="75"/>
        </w:numPr>
        <w:rPr>
          <w:rFonts w:ascii="Arial" w:cs="Arial" w:eastAsia="Arial" w:hAnsi="Arial"/>
          <w:sz w:val="15"/>
          <w:szCs w:val="15"/>
          <w:color w:val="auto"/>
        </w:rPr>
      </w:pPr>
      <w:r>
        <w:rPr>
          <w:rFonts w:ascii="Arial" w:cs="Arial" w:eastAsia="Arial" w:hAnsi="Arial"/>
          <w:sz w:val="15"/>
          <w:szCs w:val="15"/>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5" w:name="page56"/>
    <w:bookmarkEnd w:id="55"/>
    <w:p>
      <w:pPr>
        <w:spacing w:after="0"/>
        <w:tabs>
          <w:tab w:leader="none" w:pos="620" w:val="left"/>
        </w:tabs>
        <w:rPr>
          <w:sz w:val="20"/>
          <w:szCs w:val="20"/>
          <w:color w:val="auto"/>
        </w:rPr>
      </w:pPr>
      <w:r>
        <w:rPr>
          <w:rFonts w:ascii="Arial" w:cs="Arial" w:eastAsia="Arial" w:hAnsi="Arial"/>
          <w:sz w:val="15"/>
          <w:szCs w:val="15"/>
          <w:color w:val="auto"/>
        </w:rPr>
        <w:t>5.10</w:t>
      </w:r>
      <w:r>
        <w:rPr>
          <w:sz w:val="20"/>
          <w:szCs w:val="20"/>
          <w:color w:val="auto"/>
        </w:rPr>
        <w:tab/>
      </w:r>
      <w:r>
        <w:rPr>
          <w:rFonts w:ascii="Arial" w:cs="Arial" w:eastAsia="Arial" w:hAnsi="Arial"/>
          <w:sz w:val="13"/>
          <w:szCs w:val="13"/>
          <w:u w:val="single" w:color="auto"/>
          <w:color w:val="auto"/>
        </w:rPr>
        <w:t>Indemnification of Company Directors and Officers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70" w:lineRule="auto"/>
        <w:tabs>
          <w:tab w:leader="none" w:pos="924"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152" w:lineRule="exact"/>
        <w:rPr>
          <w:rFonts w:ascii="Arial" w:cs="Arial" w:eastAsia="Arial" w:hAnsi="Arial"/>
          <w:sz w:val="14"/>
          <w:szCs w:val="14"/>
          <w:color w:val="auto"/>
        </w:rPr>
      </w:pPr>
    </w:p>
    <w:p>
      <w:pPr>
        <w:jc w:val="both"/>
        <w:ind w:left="-540" w:firstLine="1078"/>
        <w:spacing w:after="0" w:line="272" w:lineRule="auto"/>
        <w:tabs>
          <w:tab w:leader="none" w:pos="943" w:val="left"/>
        </w:tabs>
        <w:numPr>
          <w:ilvl w:val="0"/>
          <w:numId w:val="76"/>
        </w:numPr>
        <w:rPr>
          <w:rFonts w:ascii="Arial" w:cs="Arial" w:eastAsia="Arial" w:hAnsi="Arial"/>
          <w:sz w:val="14"/>
          <w:szCs w:val="14"/>
          <w:color w:val="auto"/>
        </w:rPr>
      </w:pPr>
      <w:r>
        <w:rPr>
          <w:rFonts w:ascii="Arial" w:cs="Arial" w:eastAsia="Arial" w:hAnsi="Arial"/>
          <w:sz w:val="14"/>
          <w:szCs w:val="14"/>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4"/>
          <w:szCs w:val="14"/>
          <w:b w:val="1"/>
          <w:bCs w:val="1"/>
          <w:color w:val="auto"/>
        </w:rPr>
        <w:t>Company Indemnified Person</w:t>
      </w:r>
      <w:r>
        <w:rPr>
          <w:rFonts w:ascii="Arial" w:cs="Arial" w:eastAsia="Arial" w:hAnsi="Arial"/>
          <w:sz w:val="14"/>
          <w:szCs w:val="14"/>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148" w:lineRule="exact"/>
        <w:rPr>
          <w:rFonts w:ascii="Arial" w:cs="Arial" w:eastAsia="Arial" w:hAnsi="Arial"/>
          <w:sz w:val="14"/>
          <w:szCs w:val="14"/>
          <w:color w:val="auto"/>
        </w:rPr>
      </w:pPr>
    </w:p>
    <w:p>
      <w:pPr>
        <w:jc w:val="both"/>
        <w:ind w:left="-540" w:firstLine="1078"/>
        <w:spacing w:after="0" w:line="255" w:lineRule="auto"/>
        <w:tabs>
          <w:tab w:leader="none" w:pos="935"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336" w:lineRule="exact"/>
        <w:rPr>
          <w:rFonts w:ascii="Arial" w:cs="Arial" w:eastAsia="Arial" w:hAnsi="Arial"/>
          <w:sz w:val="15"/>
          <w:szCs w:val="15"/>
          <w:color w:val="auto"/>
        </w:rPr>
      </w:pPr>
    </w:p>
    <w:p>
      <w:pPr>
        <w:ind w:left="5120" w:hanging="87"/>
        <w:spacing w:after="0"/>
        <w:tabs>
          <w:tab w:leader="none" w:pos="5120" w:val="left"/>
        </w:tabs>
        <w:numPr>
          <w:ilvl w:val="1"/>
          <w:numId w:val="76"/>
        </w:numPr>
        <w:rPr>
          <w:rFonts w:ascii="Arial" w:cs="Arial" w:eastAsia="Arial" w:hAnsi="Arial"/>
          <w:sz w:val="15"/>
          <w:szCs w:val="15"/>
          <w:color w:val="auto"/>
        </w:rPr>
      </w:pPr>
      <w:r>
        <w:rPr>
          <w:rFonts w:ascii="Arial" w:cs="Arial" w:eastAsia="Arial" w:hAnsi="Arial"/>
          <w:sz w:val="15"/>
          <w:szCs w:val="15"/>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6" w:name="page57"/>
    <w:bookmarkEnd w:id="56"/>
    <w:p>
      <w:pPr>
        <w:jc w:val="both"/>
        <w:ind w:firstLine="1078"/>
        <w:spacing w:after="0" w:line="288" w:lineRule="auto"/>
        <w:tabs>
          <w:tab w:leader="none" w:pos="1472" w:val="left"/>
        </w:tabs>
        <w:numPr>
          <w:ilvl w:val="1"/>
          <w:numId w:val="77"/>
        </w:numPr>
        <w:rPr>
          <w:rFonts w:ascii="Arial" w:cs="Arial" w:eastAsia="Arial" w:hAnsi="Arial"/>
          <w:sz w:val="13"/>
          <w:szCs w:val="13"/>
          <w:color w:val="auto"/>
        </w:rPr>
      </w:pPr>
      <w:r>
        <w:rPr>
          <w:rFonts w:ascii="Arial" w:cs="Arial" w:eastAsia="Arial" w:hAnsi="Arial"/>
          <w:sz w:val="13"/>
          <w:szCs w:val="13"/>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w:t>
      </w:r>
    </w:p>
    <w:p>
      <w:pPr>
        <w:spacing w:after="0" w:line="2" w:lineRule="exact"/>
        <w:rPr>
          <w:rFonts w:ascii="Arial" w:cs="Arial" w:eastAsia="Arial" w:hAnsi="Arial"/>
          <w:sz w:val="13"/>
          <w:szCs w:val="13"/>
          <w:color w:val="auto"/>
        </w:rPr>
      </w:pPr>
    </w:p>
    <w:p>
      <w:pPr>
        <w:jc w:val="both"/>
        <w:ind w:firstLine="9"/>
        <w:spacing w:after="0" w:line="249"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164" w:lineRule="exact"/>
        <w:rPr>
          <w:sz w:val="20"/>
          <w:szCs w:val="20"/>
          <w:color w:val="auto"/>
        </w:rPr>
      </w:pPr>
    </w:p>
    <w:p>
      <w:pPr>
        <w:jc w:val="both"/>
        <w:ind w:firstLine="535"/>
        <w:spacing w:after="0" w:line="301"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Directors and Officers of Parent.</w:t>
      </w:r>
      <w:r>
        <w:rPr>
          <w:rFonts w:ascii="Arial" w:cs="Arial" w:eastAsia="Arial" w:hAnsi="Arial"/>
          <w:sz w:val="13"/>
          <w:szCs w:val="13"/>
          <w:color w:val="auto"/>
        </w:rPr>
        <w:t xml:space="preserve">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132"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Disclosure of Licenses</w:t>
      </w:r>
      <w:r>
        <w:rPr>
          <w:rFonts w:ascii="Arial" w:cs="Arial" w:eastAsia="Arial" w:hAnsi="Arial"/>
          <w:sz w:val="15"/>
          <w:szCs w:val="15"/>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CONDITIONS OF MERGER</w:t>
      </w:r>
    </w:p>
    <w:p>
      <w:pPr>
        <w:spacing w:after="0" w:line="174"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Conditions to Obligation of Each Party to Effect the Merger</w:t>
      </w:r>
      <w:r>
        <w:rPr>
          <w:rFonts w:ascii="Arial" w:cs="Arial" w:eastAsia="Arial" w:hAnsi="Arial"/>
          <w:sz w:val="15"/>
          <w:szCs w:val="15"/>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7" w:name="page58"/>
    <w:bookmarkEnd w:id="57"/>
    <w:p>
      <w:pPr>
        <w:ind w:left="1420" w:hanging="342"/>
        <w:spacing w:after="0"/>
        <w:tabs>
          <w:tab w:leader="none" w:pos="1420"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Parent Stockholder Approval and the Company Stockholder Approval shall have been obtained;</w:t>
      </w:r>
    </w:p>
    <w:p>
      <w:pPr>
        <w:spacing w:after="0" w:line="183" w:lineRule="exact"/>
        <w:rPr>
          <w:rFonts w:ascii="Arial" w:cs="Arial" w:eastAsia="Arial" w:hAnsi="Arial"/>
          <w:sz w:val="15"/>
          <w:szCs w:val="15"/>
          <w:color w:val="auto"/>
        </w:rPr>
      </w:pPr>
    </w:p>
    <w:p>
      <w:pPr>
        <w:jc w:val="both"/>
        <w:ind w:firstLine="1078"/>
        <w:spacing w:after="0" w:line="258" w:lineRule="auto"/>
        <w:tabs>
          <w:tab w:leader="none" w:pos="1450"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Effectiveness of Registration Statement</w:t>
      </w:r>
      <w:r>
        <w:rPr>
          <w:rFonts w:ascii="Arial" w:cs="Arial" w:eastAsia="Arial" w:hAnsi="Arial"/>
          <w:sz w:val="15"/>
          <w:szCs w:val="15"/>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156" w:lineRule="exact"/>
        <w:rPr>
          <w:rFonts w:ascii="Arial" w:cs="Arial" w:eastAsia="Arial" w:hAnsi="Arial"/>
          <w:sz w:val="15"/>
          <w:szCs w:val="15"/>
          <w:color w:val="auto"/>
        </w:rPr>
      </w:pPr>
    </w:p>
    <w:p>
      <w:pPr>
        <w:ind w:firstLine="1078"/>
        <w:spacing w:after="0" w:line="269" w:lineRule="auto"/>
        <w:tabs>
          <w:tab w:leader="none" w:pos="1486"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Approval for Listing of Shares</w:t>
      </w:r>
      <w:r>
        <w:rPr>
          <w:rFonts w:ascii="Arial" w:cs="Arial" w:eastAsia="Arial" w:hAnsi="Arial"/>
          <w:sz w:val="15"/>
          <w:szCs w:val="15"/>
          <w:color w:val="auto"/>
        </w:rPr>
        <w:t>. The shares of Parent Common Stock shall have been approved for listing (subject only to notice of issuance) on the NYSE Amex, effective at the Effective Time.</w:t>
      </w:r>
    </w:p>
    <w:p>
      <w:pPr>
        <w:spacing w:after="0" w:line="143" w:lineRule="exact"/>
        <w:rPr>
          <w:rFonts w:ascii="Arial" w:cs="Arial" w:eastAsia="Arial" w:hAnsi="Arial"/>
          <w:sz w:val="15"/>
          <w:szCs w:val="15"/>
          <w:color w:val="auto"/>
        </w:rPr>
      </w:pPr>
    </w:p>
    <w:p>
      <w:pPr>
        <w:ind w:firstLine="1078"/>
        <w:spacing w:after="0" w:line="275" w:lineRule="auto"/>
        <w:tabs>
          <w:tab w:leader="none" w:pos="1506"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Hudson Bay Letter Agreement</w:t>
      </w:r>
      <w:r>
        <w:rPr>
          <w:rFonts w:ascii="Arial" w:cs="Arial" w:eastAsia="Arial" w:hAnsi="Arial"/>
          <w:sz w:val="15"/>
          <w:szCs w:val="15"/>
          <w:color w:val="auto"/>
        </w:rPr>
        <w:t>. Hudson Bay Master Fund Ltd. (“</w:t>
      </w:r>
      <w:r>
        <w:rPr>
          <w:rFonts w:ascii="Arial" w:cs="Arial" w:eastAsia="Arial" w:hAnsi="Arial"/>
          <w:sz w:val="15"/>
          <w:szCs w:val="15"/>
          <w:b w:val="1"/>
          <w:bCs w:val="1"/>
          <w:color w:val="auto"/>
        </w:rPr>
        <w:t>Hudson Bay</w:t>
      </w:r>
      <w:r>
        <w:rPr>
          <w:rFonts w:ascii="Arial" w:cs="Arial" w:eastAsia="Arial" w:hAnsi="Arial"/>
          <w:sz w:val="15"/>
          <w:szCs w:val="15"/>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5"/>
          <w:szCs w:val="15"/>
          <w:u w:val="single" w:color="auto"/>
          <w:color w:val="auto"/>
        </w:rPr>
        <w:t>Exhibit M</w:t>
      </w:r>
      <w:r>
        <w:rPr>
          <w:rFonts w:ascii="Arial" w:cs="Arial" w:eastAsia="Arial" w:hAnsi="Arial"/>
          <w:sz w:val="15"/>
          <w:szCs w:val="15"/>
          <w:color w:val="auto"/>
        </w:rPr>
        <w:t>.</w:t>
      </w:r>
    </w:p>
    <w:p>
      <w:pPr>
        <w:spacing w:after="0" w:line="143" w:lineRule="exact"/>
        <w:rPr>
          <w:rFonts w:ascii="Arial" w:cs="Arial" w:eastAsia="Arial" w:hAnsi="Arial"/>
          <w:sz w:val="15"/>
          <w:szCs w:val="15"/>
          <w:color w:val="auto"/>
        </w:rPr>
      </w:pPr>
    </w:p>
    <w:p>
      <w:pPr>
        <w:jc w:val="both"/>
        <w:ind w:firstLine="1078"/>
        <w:spacing w:after="0" w:line="275" w:lineRule="auto"/>
        <w:tabs>
          <w:tab w:leader="none" w:pos="1542"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No Injunctions or Restraints; Illegality</w:t>
      </w:r>
      <w:r>
        <w:rPr>
          <w:rFonts w:ascii="Arial" w:cs="Arial" w:eastAsia="Arial" w:hAnsi="Arial"/>
          <w:sz w:val="14"/>
          <w:szCs w:val="14"/>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146" w:lineRule="exact"/>
        <w:rPr>
          <w:rFonts w:ascii="Arial" w:cs="Arial" w:eastAsia="Arial" w:hAnsi="Arial"/>
          <w:sz w:val="14"/>
          <w:szCs w:val="14"/>
          <w:color w:val="auto"/>
        </w:rPr>
      </w:pPr>
    </w:p>
    <w:p>
      <w:pPr>
        <w:jc w:val="both"/>
        <w:ind w:firstLine="1078"/>
        <w:spacing w:after="0" w:line="294" w:lineRule="auto"/>
        <w:tabs>
          <w:tab w:leader="none" w:pos="1459" w:val="left"/>
        </w:tabs>
        <w:numPr>
          <w:ilvl w:val="1"/>
          <w:numId w:val="79"/>
        </w:numPr>
        <w:rPr>
          <w:rFonts w:ascii="Arial" w:cs="Arial" w:eastAsia="Arial" w:hAnsi="Arial"/>
          <w:sz w:val="13"/>
          <w:szCs w:val="13"/>
          <w:color w:val="auto"/>
        </w:rPr>
      </w:pPr>
      <w:r>
        <w:rPr>
          <w:rFonts w:ascii="Arial" w:cs="Arial" w:eastAsia="Arial" w:hAnsi="Arial"/>
          <w:sz w:val="13"/>
          <w:szCs w:val="13"/>
          <w:u w:val="single" w:color="auto"/>
          <w:color w:val="auto"/>
        </w:rPr>
        <w:t>Company Debt Instruments</w:t>
      </w:r>
      <w:r>
        <w:rPr>
          <w:rFonts w:ascii="Arial" w:cs="Arial" w:eastAsia="Arial" w:hAnsi="Arial"/>
          <w:sz w:val="13"/>
          <w:szCs w:val="13"/>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attached hereto, (ii) the Amended and Restated Pledge and Security Agreement in substantially the form of </w:t>
      </w:r>
      <w:r>
        <w:rPr>
          <w:rFonts w:ascii="Arial" w:cs="Arial" w:eastAsia="Arial" w:hAnsi="Arial"/>
          <w:sz w:val="13"/>
          <w:szCs w:val="13"/>
          <w:u w:val="single" w:color="auto"/>
          <w:color w:val="auto"/>
        </w:rPr>
        <w:t>Exhibit I</w:t>
      </w:r>
      <w:r>
        <w:rPr>
          <w:rFonts w:ascii="Arial" w:cs="Arial" w:eastAsia="Arial" w:hAnsi="Arial"/>
          <w:sz w:val="13"/>
          <w:szCs w:val="13"/>
          <w:color w:val="auto"/>
        </w:rPr>
        <w:t xml:space="preserve"> attached hereto, and</w:t>
      </w:r>
    </w:p>
    <w:p>
      <w:pPr>
        <w:ind w:left="260" w:hanging="251"/>
        <w:spacing w:after="0"/>
        <w:tabs>
          <w:tab w:leader="none" w:pos="2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the Amended and Restated Guaranty in substantially the form of </w:t>
      </w:r>
      <w:r>
        <w:rPr>
          <w:rFonts w:ascii="Arial" w:cs="Arial" w:eastAsia="Arial" w:hAnsi="Arial"/>
          <w:sz w:val="15"/>
          <w:szCs w:val="15"/>
          <w:u w:val="single" w:color="auto"/>
          <w:color w:val="auto"/>
        </w:rPr>
        <w:t>Exhibit J</w:t>
      </w:r>
      <w:r>
        <w:rPr>
          <w:rFonts w:ascii="Arial" w:cs="Arial" w:eastAsia="Arial" w:hAnsi="Arial"/>
          <w:sz w:val="15"/>
          <w:szCs w:val="15"/>
          <w:color w:val="auto"/>
        </w:rPr>
        <w:t xml:space="preserve"> attached hereto.</w:t>
      </w:r>
    </w:p>
    <w:p>
      <w:pPr>
        <w:spacing w:after="0" w:line="174" w:lineRule="exact"/>
        <w:rPr>
          <w:sz w:val="20"/>
          <w:szCs w:val="20"/>
          <w:color w:val="auto"/>
        </w:rPr>
      </w:pPr>
    </w:p>
    <w:p>
      <w:pPr>
        <w:ind w:right="20" w:firstLine="535"/>
        <w:spacing w:after="0" w:line="269"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Additional Conditions to Obligations of Parent</w:t>
      </w:r>
      <w:r>
        <w:rPr>
          <w:rFonts w:ascii="Arial" w:cs="Arial" w:eastAsia="Arial" w:hAnsi="Arial"/>
          <w:sz w:val="15"/>
          <w:szCs w:val="15"/>
          <w:color w:val="auto"/>
        </w:rPr>
        <w:t>. The obligations of Parent to effect the Merger are also subject to the following conditions, any and all of which may be waived in writing by Parent, in whole or in part, to the extent permitted by the applicable law:</w:t>
      </w:r>
    </w:p>
    <w:p>
      <w:pPr>
        <w:spacing w:after="0" w:line="148" w:lineRule="exact"/>
        <w:rPr>
          <w:sz w:val="20"/>
          <w:szCs w:val="20"/>
          <w:color w:val="auto"/>
        </w:rPr>
      </w:pPr>
    </w:p>
    <w:p>
      <w:pPr>
        <w:jc w:val="both"/>
        <w:ind w:firstLine="1078"/>
        <w:spacing w:after="0" w:line="317" w:lineRule="auto"/>
        <w:tabs>
          <w:tab w:leader="none" w:pos="1419"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298" w:lineRule="exact"/>
        <w:rPr>
          <w:rFonts w:ascii="Arial" w:cs="Arial" w:eastAsia="Arial" w:hAnsi="Arial"/>
          <w:sz w:val="13"/>
          <w:szCs w:val="13"/>
          <w:color w:val="auto"/>
        </w:rPr>
      </w:pPr>
    </w:p>
    <w:p>
      <w:pPr>
        <w:ind w:left="5660" w:hanging="87"/>
        <w:spacing w:after="0"/>
        <w:tabs>
          <w:tab w:leader="none" w:pos="5660" w:val="left"/>
        </w:tabs>
        <w:numPr>
          <w:ilvl w:val="1"/>
          <w:numId w:val="81"/>
        </w:numPr>
        <w:rPr>
          <w:rFonts w:ascii="Arial" w:cs="Arial" w:eastAsia="Arial" w:hAnsi="Arial"/>
          <w:sz w:val="15"/>
          <w:szCs w:val="15"/>
          <w:color w:val="auto"/>
        </w:rPr>
      </w:pPr>
      <w:r>
        <w:rPr>
          <w:rFonts w:ascii="Arial" w:cs="Arial" w:eastAsia="Arial" w:hAnsi="Arial"/>
          <w:sz w:val="15"/>
          <w:szCs w:val="15"/>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8" w:name="page59"/>
    <w:bookmarkEnd w:id="58"/>
    <w:p>
      <w:pPr>
        <w:jc w:val="both"/>
        <w:ind w:left="-9" w:firstLine="1078"/>
        <w:spacing w:after="0" w:line="258" w:lineRule="auto"/>
        <w:tabs>
          <w:tab w:leader="none" w:pos="144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Agreements and Covenants</w:t>
      </w:r>
      <w:r>
        <w:rPr>
          <w:rFonts w:ascii="Arial" w:cs="Arial" w:eastAsia="Arial" w:hAnsi="Arial"/>
          <w:sz w:val="15"/>
          <w:szCs w:val="15"/>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156" w:lineRule="exact"/>
        <w:rPr>
          <w:rFonts w:ascii="Arial" w:cs="Arial" w:eastAsia="Arial" w:hAnsi="Arial"/>
          <w:sz w:val="15"/>
          <w:szCs w:val="15"/>
          <w:color w:val="auto"/>
        </w:rPr>
      </w:pPr>
    </w:p>
    <w:p>
      <w:pPr>
        <w:jc w:val="both"/>
        <w:ind w:left="-9" w:firstLine="1078"/>
        <w:spacing w:after="0" w:line="306" w:lineRule="auto"/>
        <w:tabs>
          <w:tab w:leader="none" w:pos="1466" w:val="left"/>
        </w:tabs>
        <w:numPr>
          <w:ilvl w:val="1"/>
          <w:numId w:val="82"/>
        </w:numPr>
        <w:rPr>
          <w:rFonts w:ascii="Arial" w:cs="Arial" w:eastAsia="Arial" w:hAnsi="Arial"/>
          <w:sz w:val="13"/>
          <w:szCs w:val="13"/>
          <w:color w:val="auto"/>
        </w:rPr>
      </w:pPr>
      <w:r>
        <w:rPr>
          <w:rFonts w:ascii="Arial" w:cs="Arial" w:eastAsia="Arial" w:hAnsi="Arial"/>
          <w:sz w:val="13"/>
          <w:szCs w:val="13"/>
          <w:u w:val="single" w:color="auto"/>
          <w:color w:val="auto"/>
        </w:rPr>
        <w:t>Third Party Consents</w:t>
      </w:r>
      <w:r>
        <w:rPr>
          <w:rFonts w:ascii="Arial" w:cs="Arial" w:eastAsia="Arial" w:hAnsi="Arial"/>
          <w:sz w:val="13"/>
          <w:szCs w:val="13"/>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128" w:lineRule="exact"/>
        <w:rPr>
          <w:rFonts w:ascii="Arial" w:cs="Arial" w:eastAsia="Arial" w:hAnsi="Arial"/>
          <w:sz w:val="13"/>
          <w:szCs w:val="13"/>
          <w:color w:val="auto"/>
        </w:rPr>
      </w:pPr>
    </w:p>
    <w:p>
      <w:pPr>
        <w:jc w:val="both"/>
        <w:ind w:left="-9" w:firstLine="1078"/>
        <w:spacing w:after="0" w:line="258" w:lineRule="auto"/>
        <w:tabs>
          <w:tab w:leader="none" w:pos="144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New Company Options: Warrants</w:t>
      </w:r>
      <w:r>
        <w:rPr>
          <w:rFonts w:ascii="Arial" w:cs="Arial" w:eastAsia="Arial" w:hAnsi="Arial"/>
          <w:sz w:val="15"/>
          <w:szCs w:val="15"/>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156" w:lineRule="exact"/>
        <w:rPr>
          <w:rFonts w:ascii="Arial" w:cs="Arial" w:eastAsia="Arial" w:hAnsi="Arial"/>
          <w:sz w:val="15"/>
          <w:szCs w:val="15"/>
          <w:color w:val="auto"/>
        </w:rPr>
      </w:pPr>
    </w:p>
    <w:p>
      <w:pPr>
        <w:ind w:left="1411" w:hanging="342"/>
        <w:spacing w:after="0"/>
        <w:tabs>
          <w:tab w:leader="none" w:pos="141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No Company Material Adverse Effect</w:t>
      </w:r>
      <w:r>
        <w:rPr>
          <w:rFonts w:ascii="Arial" w:cs="Arial" w:eastAsia="Arial" w:hAnsi="Arial"/>
          <w:sz w:val="15"/>
          <w:szCs w:val="15"/>
          <w:color w:val="auto"/>
        </w:rPr>
        <w:t>. Since the date of this Agreement there shall not have occurred any Company Material Adverse Effect;</w:t>
      </w:r>
    </w:p>
    <w:p>
      <w:pPr>
        <w:spacing w:after="0" w:line="183" w:lineRule="exact"/>
        <w:rPr>
          <w:rFonts w:ascii="Arial" w:cs="Arial" w:eastAsia="Arial" w:hAnsi="Arial"/>
          <w:sz w:val="15"/>
          <w:szCs w:val="15"/>
          <w:color w:val="auto"/>
        </w:rPr>
      </w:pPr>
    </w:p>
    <w:p>
      <w:pPr>
        <w:jc w:val="both"/>
        <w:ind w:left="-9" w:firstLine="1078"/>
        <w:spacing w:after="0" w:line="255" w:lineRule="auto"/>
        <w:tabs>
          <w:tab w:leader="none" w:pos="1438"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 dismiss or summary judgment) of the Litigation. For purposes of this Section, the word “claims” means all claims or counterclaims that arise out of the same facts and circumstances that are at issue in the Litigation.</w:t>
      </w:r>
    </w:p>
    <w:p>
      <w:pPr>
        <w:spacing w:after="0" w:line="157" w:lineRule="exact"/>
        <w:rPr>
          <w:rFonts w:ascii="Arial" w:cs="Arial" w:eastAsia="Arial" w:hAnsi="Arial"/>
          <w:sz w:val="15"/>
          <w:szCs w:val="15"/>
          <w:color w:val="auto"/>
        </w:rPr>
      </w:pPr>
    </w:p>
    <w:p>
      <w:pPr>
        <w:ind w:left="-9" w:firstLine="1078"/>
        <w:spacing w:after="0" w:line="269" w:lineRule="auto"/>
        <w:tabs>
          <w:tab w:leader="none" w:pos="1418"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Dissenters’ Rights</w:t>
      </w:r>
      <w:r>
        <w:rPr>
          <w:rFonts w:ascii="Arial" w:cs="Arial" w:eastAsia="Arial" w:hAnsi="Arial"/>
          <w:sz w:val="15"/>
          <w:szCs w:val="15"/>
          <w:color w:val="auto"/>
        </w:rPr>
        <w:t>. Holders of no more than 10% of the issued and outstanding Company Capital Stock shall have demanded and perfected their right to an appraisal of the Company Capital Stock in accordance with the DGCL;</w:t>
      </w:r>
    </w:p>
    <w:p>
      <w:pPr>
        <w:spacing w:after="0" w:line="147" w:lineRule="exact"/>
        <w:rPr>
          <w:rFonts w:ascii="Arial" w:cs="Arial" w:eastAsia="Arial" w:hAnsi="Arial"/>
          <w:sz w:val="15"/>
          <w:szCs w:val="15"/>
          <w:color w:val="auto"/>
        </w:rPr>
      </w:pPr>
    </w:p>
    <w:p>
      <w:pPr>
        <w:ind w:left="-9" w:firstLine="1078"/>
        <w:spacing w:after="0" w:line="269" w:lineRule="auto"/>
        <w:tabs>
          <w:tab w:leader="none" w:pos="1474"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Resignation of Directors and Officers</w:t>
      </w:r>
      <w:r>
        <w:rPr>
          <w:rFonts w:ascii="Arial" w:cs="Arial" w:eastAsia="Arial" w:hAnsi="Arial"/>
          <w:sz w:val="15"/>
          <w:szCs w:val="15"/>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147" w:lineRule="exact"/>
        <w:rPr>
          <w:rFonts w:ascii="Arial" w:cs="Arial" w:eastAsia="Arial" w:hAnsi="Arial"/>
          <w:sz w:val="15"/>
          <w:szCs w:val="15"/>
          <w:color w:val="auto"/>
        </w:rPr>
      </w:pPr>
    </w:p>
    <w:p>
      <w:pPr>
        <w:ind w:left="1411" w:hanging="342"/>
        <w:spacing w:after="0"/>
        <w:tabs>
          <w:tab w:leader="none" w:pos="1411" w:val="left"/>
        </w:tabs>
        <w:numPr>
          <w:ilvl w:val="1"/>
          <w:numId w:val="82"/>
        </w:numPr>
        <w:rPr>
          <w:rFonts w:ascii="Arial" w:cs="Arial" w:eastAsia="Arial" w:hAnsi="Arial"/>
          <w:sz w:val="13"/>
          <w:szCs w:val="13"/>
          <w:color w:val="auto"/>
        </w:rPr>
      </w:pPr>
      <w:r>
        <w:rPr>
          <w:rFonts w:ascii="Arial" w:cs="Arial" w:eastAsia="Arial" w:hAnsi="Arial"/>
          <w:sz w:val="13"/>
          <w:szCs w:val="13"/>
          <w:u w:val="single" w:color="auto"/>
          <w:color w:val="auto"/>
        </w:rPr>
        <w:t>Officer’s Certificate</w:t>
      </w:r>
      <w:r>
        <w:rPr>
          <w:rFonts w:ascii="Arial" w:cs="Arial" w:eastAsia="Arial" w:hAnsi="Arial"/>
          <w:sz w:val="13"/>
          <w:szCs w:val="13"/>
          <w:color w:val="auto"/>
        </w:rPr>
        <w:t>. The Company shall have delivered to Parent and Merger Sub a certificate, signed by the chief executive officer of the Company, to the effect that</w:t>
      </w:r>
    </w:p>
    <w:p>
      <w:pPr>
        <w:spacing w:after="0" w:line="38" w:lineRule="exact"/>
        <w:rPr>
          <w:rFonts w:ascii="Arial" w:cs="Arial" w:eastAsia="Arial" w:hAnsi="Arial"/>
          <w:sz w:val="13"/>
          <w:szCs w:val="13"/>
          <w:color w:val="auto"/>
        </w:rPr>
      </w:pPr>
    </w:p>
    <w:p>
      <w:pPr>
        <w:ind w:left="-9" w:firstLine="9"/>
        <w:spacing w:after="0" w:line="291" w:lineRule="auto"/>
        <w:tabs>
          <w:tab w:leader="none" w:pos="172" w:val="left"/>
        </w:tabs>
        <w:numPr>
          <w:ilvl w:val="0"/>
          <w:numId w:val="83"/>
        </w:numPr>
        <w:rPr>
          <w:rFonts w:ascii="Arial" w:cs="Arial" w:eastAsia="Arial" w:hAnsi="Arial"/>
          <w:sz w:val="14"/>
          <w:szCs w:val="14"/>
          <w:color w:val="auto"/>
        </w:rPr>
      </w:pPr>
      <w:r>
        <w:rPr>
          <w:rFonts w:ascii="Arial" w:cs="Arial" w:eastAsia="Arial" w:hAnsi="Arial"/>
          <w:sz w:val="14"/>
          <w:szCs w:val="14"/>
          <w:color w:val="auto"/>
        </w:rPr>
        <w:t>each of the conditions specified in clause (a) of Section 6.1 and clauses (a) 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312" w:lineRule="exact"/>
        <w:rPr>
          <w:rFonts w:ascii="Arial" w:cs="Arial" w:eastAsia="Arial" w:hAnsi="Arial"/>
          <w:sz w:val="14"/>
          <w:szCs w:val="14"/>
          <w:color w:val="auto"/>
        </w:rPr>
      </w:pPr>
    </w:p>
    <w:p>
      <w:pPr>
        <w:ind w:left="5651" w:hanging="87"/>
        <w:spacing w:after="0"/>
        <w:tabs>
          <w:tab w:leader="none" w:pos="56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59" w:name="page60"/>
    <w:bookmarkEnd w:id="59"/>
    <w:p>
      <w:pPr>
        <w:ind w:firstLine="1078"/>
        <w:spacing w:after="0" w:line="269" w:lineRule="auto"/>
        <w:tabs>
          <w:tab w:leader="none" w:pos="145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Patents</w:t>
      </w:r>
      <w:r>
        <w:rPr>
          <w:rFonts w:ascii="Arial" w:cs="Arial" w:eastAsia="Arial" w:hAnsi="Arial"/>
          <w:sz w:val="15"/>
          <w:szCs w:val="15"/>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147" w:lineRule="exact"/>
        <w:rPr>
          <w:rFonts w:ascii="Arial" w:cs="Arial" w:eastAsia="Arial" w:hAnsi="Arial"/>
          <w:sz w:val="15"/>
          <w:szCs w:val="15"/>
          <w:color w:val="auto"/>
        </w:rPr>
      </w:pPr>
    </w:p>
    <w:p>
      <w:pPr>
        <w:ind w:left="1440" w:hanging="362"/>
        <w:spacing w:after="0"/>
        <w:tabs>
          <w:tab w:leader="none" w:pos="144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Subscription Agreement</w:t>
      </w:r>
      <w:r>
        <w:rPr>
          <w:rFonts w:ascii="Arial" w:cs="Arial" w:eastAsia="Arial" w:hAnsi="Arial"/>
          <w:sz w:val="13"/>
          <w:szCs w:val="13"/>
          <w:color w:val="auto"/>
        </w:rPr>
        <w:t>. The Subscription Agreement, dated as of June 22, 2011, by and between the Company and Hudson Bay shall have been terminated and of no</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further force or effect;</w:t>
      </w:r>
    </w:p>
    <w:p>
      <w:pPr>
        <w:spacing w:after="0" w:line="173" w:lineRule="exact"/>
        <w:rPr>
          <w:rFonts w:ascii="Arial" w:cs="Arial" w:eastAsia="Arial" w:hAnsi="Arial"/>
          <w:sz w:val="13"/>
          <w:szCs w:val="13"/>
          <w:color w:val="auto"/>
        </w:rPr>
      </w:pPr>
    </w:p>
    <w:p>
      <w:pPr>
        <w:ind w:firstLine="1078"/>
        <w:spacing w:after="0" w:line="269" w:lineRule="auto"/>
        <w:tabs>
          <w:tab w:leader="none" w:pos="1506"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The Registration Rights Agreement, dated as of June 22, 2011, by and between the Company and Hudson Bay shall have been terminated and of no further force or effect;</w:t>
      </w:r>
    </w:p>
    <w:p>
      <w:pPr>
        <w:spacing w:after="0" w:line="147" w:lineRule="exact"/>
        <w:rPr>
          <w:rFonts w:ascii="Arial" w:cs="Arial" w:eastAsia="Arial" w:hAnsi="Arial"/>
          <w:sz w:val="15"/>
          <w:szCs w:val="15"/>
          <w:color w:val="auto"/>
        </w:rPr>
      </w:pPr>
    </w:p>
    <w:p>
      <w:pPr>
        <w:jc w:val="both"/>
        <w:ind w:firstLine="1078"/>
        <w:spacing w:after="0" w:line="255" w:lineRule="auto"/>
        <w:tabs>
          <w:tab w:leader="none" w:pos="1491"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Hudson Bay Certificate</w:t>
      </w:r>
      <w:r>
        <w:rPr>
          <w:rFonts w:ascii="Arial" w:cs="Arial" w:eastAsia="Arial" w:hAnsi="Arial"/>
          <w:sz w:val="15"/>
          <w:szCs w:val="15"/>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157" w:lineRule="exact"/>
        <w:rPr>
          <w:rFonts w:ascii="Arial" w:cs="Arial" w:eastAsia="Arial" w:hAnsi="Arial"/>
          <w:sz w:val="15"/>
          <w:szCs w:val="15"/>
          <w:color w:val="auto"/>
        </w:rPr>
      </w:pPr>
    </w:p>
    <w:p>
      <w:pPr>
        <w:jc w:val="both"/>
        <w:ind w:firstLine="1078"/>
        <w:spacing w:after="0" w:line="258" w:lineRule="auto"/>
        <w:tabs>
          <w:tab w:leader="none" w:pos="1461"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Other Deliveries</w:t>
      </w:r>
      <w:r>
        <w:rPr>
          <w:rFonts w:ascii="Arial" w:cs="Arial" w:eastAsia="Arial" w:hAnsi="Arial"/>
          <w:sz w:val="15"/>
          <w:szCs w:val="15"/>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57"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Additional Conditions to Obligations of the Company</w:t>
      </w:r>
      <w:r>
        <w:rPr>
          <w:rFonts w:ascii="Arial" w:cs="Arial" w:eastAsia="Arial" w:hAnsi="Arial"/>
          <w:sz w:val="15"/>
          <w:szCs w:val="15"/>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148" w:lineRule="exact"/>
        <w:rPr>
          <w:sz w:val="20"/>
          <w:szCs w:val="20"/>
          <w:color w:val="auto"/>
        </w:rPr>
      </w:pPr>
    </w:p>
    <w:p>
      <w:pPr>
        <w:jc w:val="both"/>
        <w:ind w:firstLine="1078"/>
        <w:spacing w:after="0" w:line="258" w:lineRule="auto"/>
        <w:tabs>
          <w:tab w:leader="none" w:pos="1419"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156" w:lineRule="exact"/>
        <w:rPr>
          <w:rFonts w:ascii="Arial" w:cs="Arial" w:eastAsia="Arial" w:hAnsi="Arial"/>
          <w:sz w:val="15"/>
          <w:szCs w:val="15"/>
          <w:color w:val="auto"/>
        </w:rPr>
      </w:pPr>
    </w:p>
    <w:p>
      <w:pPr>
        <w:jc w:val="both"/>
        <w:ind w:firstLine="1078"/>
        <w:spacing w:after="0" w:line="258" w:lineRule="auto"/>
        <w:tabs>
          <w:tab w:leader="none" w:pos="1506"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Agreements and Covenants</w:t>
      </w:r>
      <w:r>
        <w:rPr>
          <w:rFonts w:ascii="Arial" w:cs="Arial" w:eastAsia="Arial" w:hAnsi="Arial"/>
          <w:sz w:val="15"/>
          <w:szCs w:val="15"/>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 with such agreements and covenants which would not, individually or in the aggregate, reasonably be expected to have a Parent Material Adverse Effect;</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85"/>
        </w:numPr>
        <w:rPr>
          <w:rFonts w:ascii="Arial" w:cs="Arial" w:eastAsia="Arial" w:hAnsi="Arial"/>
          <w:sz w:val="15"/>
          <w:szCs w:val="15"/>
          <w:color w:val="auto"/>
        </w:rPr>
      </w:pPr>
      <w:r>
        <w:rPr>
          <w:rFonts w:ascii="Arial" w:cs="Arial" w:eastAsia="Arial" w:hAnsi="Arial"/>
          <w:sz w:val="15"/>
          <w:szCs w:val="15"/>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0" w:name="page61"/>
    <w:bookmarkEnd w:id="60"/>
    <w:p>
      <w:pPr>
        <w:jc w:val="both"/>
        <w:ind w:firstLine="1078"/>
        <w:spacing w:after="0" w:line="301" w:lineRule="auto"/>
        <w:tabs>
          <w:tab w:leader="none" w:pos="15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Third Party Consents</w:t>
      </w:r>
      <w:r>
        <w:rPr>
          <w:rFonts w:ascii="Arial" w:cs="Arial" w:eastAsia="Arial" w:hAnsi="Arial"/>
          <w:sz w:val="13"/>
          <w:szCs w:val="13"/>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131" w:lineRule="exact"/>
        <w:rPr>
          <w:rFonts w:ascii="Arial" w:cs="Arial" w:eastAsia="Arial" w:hAnsi="Arial"/>
          <w:sz w:val="13"/>
          <w:szCs w:val="13"/>
          <w:color w:val="auto"/>
        </w:rPr>
      </w:pPr>
    </w:p>
    <w:p>
      <w:pPr>
        <w:ind w:left="1440" w:hanging="362"/>
        <w:spacing w:after="0"/>
        <w:tabs>
          <w:tab w:leader="none" w:pos="144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Since the date of this Agreement, there shall not have occurred any Parent Material Adverse Effect;</w:t>
      </w:r>
    </w:p>
    <w:p>
      <w:pPr>
        <w:spacing w:after="0" w:line="183" w:lineRule="exact"/>
        <w:rPr>
          <w:rFonts w:ascii="Arial" w:cs="Arial" w:eastAsia="Arial" w:hAnsi="Arial"/>
          <w:sz w:val="15"/>
          <w:szCs w:val="15"/>
          <w:color w:val="auto"/>
        </w:rPr>
      </w:pPr>
    </w:p>
    <w:p>
      <w:pPr>
        <w:ind w:right="20" w:firstLine="1078"/>
        <w:spacing w:after="0" w:line="269" w:lineRule="auto"/>
        <w:tabs>
          <w:tab w:leader="none" w:pos="1453"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147" w:lineRule="exact"/>
        <w:rPr>
          <w:rFonts w:ascii="Arial" w:cs="Arial" w:eastAsia="Arial" w:hAnsi="Arial"/>
          <w:sz w:val="15"/>
          <w:szCs w:val="15"/>
          <w:color w:val="auto"/>
        </w:rPr>
      </w:pPr>
    </w:p>
    <w:p>
      <w:pPr>
        <w:ind w:firstLine="1078"/>
        <w:spacing w:after="0" w:line="269" w:lineRule="auto"/>
        <w:tabs>
          <w:tab w:leader="none" w:pos="1436"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Employment and Board Agreements</w:t>
      </w:r>
      <w:r>
        <w:rPr>
          <w:rFonts w:ascii="Arial" w:cs="Arial" w:eastAsia="Arial" w:hAnsi="Arial"/>
          <w:sz w:val="15"/>
          <w:szCs w:val="15"/>
          <w:color w:val="auto"/>
        </w:rPr>
        <w:t>. The (i) employment and board agreements set forth on Schedule 2.14 and (ii) client service agreement with Ambrose Employer Group each shall have been assigned to, and assumed by, Parent; and</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472"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Other Deliveries</w:t>
      </w:r>
      <w:r>
        <w:rPr>
          <w:rFonts w:ascii="Arial" w:cs="Arial" w:eastAsia="Arial" w:hAnsi="Arial"/>
          <w:sz w:val="15"/>
          <w:szCs w:val="15"/>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 AMENDMENT AND WAIVER</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and the Merger and other transactions contemplated hereby may be abandoned at any time prior to the Effective Time:</w:t>
      </w:r>
    </w:p>
    <w:p>
      <w:pPr>
        <w:spacing w:after="0" w:line="184" w:lineRule="exact"/>
        <w:rPr>
          <w:sz w:val="20"/>
          <w:szCs w:val="20"/>
          <w:color w:val="auto"/>
        </w:rPr>
      </w:pPr>
    </w:p>
    <w:p>
      <w:pPr>
        <w:ind w:left="1420" w:hanging="342"/>
        <w:spacing w:after="0"/>
        <w:tabs>
          <w:tab w:leader="none" w:pos="14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by mutual written consent of the Company, Parent and Merger Sub duly authorized by each of the Boards of Directors of each;</w:t>
      </w:r>
    </w:p>
    <w:p>
      <w:pPr>
        <w:spacing w:after="0" w:line="183" w:lineRule="exact"/>
        <w:rPr>
          <w:rFonts w:ascii="Arial" w:cs="Arial" w:eastAsia="Arial" w:hAnsi="Arial"/>
          <w:sz w:val="15"/>
          <w:szCs w:val="15"/>
          <w:color w:val="auto"/>
        </w:rPr>
      </w:pPr>
    </w:p>
    <w:p>
      <w:pPr>
        <w:jc w:val="both"/>
        <w:ind w:firstLine="1078"/>
        <w:spacing w:after="0" w:line="258" w:lineRule="auto"/>
        <w:tabs>
          <w:tab w:leader="none" w:pos="1461"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by either Parent or the Company if the Merger shall not have been consummated on or before September 30, 2012;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1" w:name="page62"/>
    <w:bookmarkEnd w:id="61"/>
    <w:p>
      <w:pPr>
        <w:ind w:left="-1078" w:firstLine="1078"/>
        <w:spacing w:after="0" w:line="306" w:lineRule="auto"/>
        <w:tabs>
          <w:tab w:leader="none" w:pos="463" w:val="left"/>
        </w:tabs>
        <w:numPr>
          <w:ilvl w:val="0"/>
          <w:numId w:val="88"/>
        </w:numPr>
        <w:rPr>
          <w:rFonts w:ascii="Arial" w:cs="Arial" w:eastAsia="Arial" w:hAnsi="Arial"/>
          <w:sz w:val="14"/>
          <w:szCs w:val="14"/>
          <w:color w:val="auto"/>
        </w:rPr>
      </w:pPr>
      <w:r>
        <w:rPr>
          <w:rFonts w:ascii="Arial" w:cs="Arial" w:eastAsia="Arial" w:hAnsi="Arial"/>
          <w:sz w:val="14"/>
          <w:szCs w:val="14"/>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124" w:lineRule="exact"/>
        <w:rPr>
          <w:rFonts w:ascii="Arial" w:cs="Arial" w:eastAsia="Arial" w:hAnsi="Arial"/>
          <w:sz w:val="14"/>
          <w:szCs w:val="14"/>
          <w:color w:val="auto"/>
        </w:rPr>
      </w:pPr>
    </w:p>
    <w:p>
      <w:pPr>
        <w:jc w:val="both"/>
        <w:ind w:left="-1078" w:firstLine="1078"/>
        <w:spacing w:after="0" w:line="253" w:lineRule="auto"/>
        <w:tabs>
          <w:tab w:leader="none" w:pos="461"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160" w:lineRule="exact"/>
        <w:rPr>
          <w:rFonts w:ascii="Arial" w:cs="Arial" w:eastAsia="Arial" w:hAnsi="Arial"/>
          <w:sz w:val="15"/>
          <w:szCs w:val="15"/>
          <w:color w:val="auto"/>
        </w:rPr>
      </w:pPr>
    </w:p>
    <w:p>
      <w:pPr>
        <w:jc w:val="both"/>
        <w:ind w:left="-1078" w:firstLine="1078"/>
        <w:spacing w:after="0" w:line="253" w:lineRule="auto"/>
        <w:tabs>
          <w:tab w:leader="none" w:pos="341" w:val="left"/>
        </w:tabs>
        <w:numPr>
          <w:ilvl w:val="0"/>
          <w:numId w:val="88"/>
        </w:numPr>
        <w:rPr>
          <w:rFonts w:ascii="Arial" w:cs="Arial" w:eastAsia="Arial" w:hAnsi="Arial"/>
          <w:sz w:val="15"/>
          <w:szCs w:val="15"/>
          <w:color w:val="auto"/>
        </w:rPr>
      </w:pPr>
      <w:r>
        <w:rPr>
          <w:rFonts w:ascii="Arial" w:cs="Arial" w:eastAsia="Arial" w:hAnsi="Arial"/>
          <w:sz w:val="15"/>
          <w:szCs w:val="15"/>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160" w:lineRule="exact"/>
        <w:rPr>
          <w:rFonts w:ascii="Arial" w:cs="Arial" w:eastAsia="Arial" w:hAnsi="Arial"/>
          <w:sz w:val="15"/>
          <w:szCs w:val="15"/>
          <w:color w:val="auto"/>
        </w:rPr>
      </w:pPr>
    </w:p>
    <w:p>
      <w:pPr>
        <w:jc w:val="both"/>
        <w:ind w:left="-1078" w:firstLine="1078"/>
        <w:spacing w:after="0" w:line="252"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160" w:lineRule="exact"/>
        <w:rPr>
          <w:rFonts w:ascii="Arial" w:cs="Arial" w:eastAsia="Arial" w:hAnsi="Arial"/>
          <w:sz w:val="15"/>
          <w:szCs w:val="15"/>
          <w:color w:val="auto"/>
        </w:rPr>
      </w:pPr>
    </w:p>
    <w:p>
      <w:pPr>
        <w:jc w:val="both"/>
        <w:ind w:left="-1078" w:firstLine="1078"/>
        <w:spacing w:after="0" w:line="273" w:lineRule="auto"/>
        <w:tabs>
          <w:tab w:leader="none" w:pos="349" w:val="left"/>
        </w:tabs>
        <w:numPr>
          <w:ilvl w:val="0"/>
          <w:numId w:val="88"/>
        </w:numPr>
        <w:rPr>
          <w:rFonts w:ascii="Arial" w:cs="Arial" w:eastAsia="Arial" w:hAnsi="Arial"/>
          <w:sz w:val="14"/>
          <w:szCs w:val="14"/>
          <w:color w:val="auto"/>
        </w:rPr>
      </w:pPr>
      <w:r>
        <w:rPr>
          <w:rFonts w:ascii="Arial" w:cs="Arial" w:eastAsia="Arial" w:hAnsi="Arial"/>
          <w:sz w:val="14"/>
          <w:szCs w:val="14"/>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 (iii) 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326" w:lineRule="exact"/>
        <w:rPr>
          <w:rFonts w:ascii="Arial" w:cs="Arial" w:eastAsia="Arial" w:hAnsi="Arial"/>
          <w:sz w:val="14"/>
          <w:szCs w:val="14"/>
          <w:color w:val="auto"/>
        </w:rPr>
      </w:pPr>
    </w:p>
    <w:p>
      <w:pPr>
        <w:ind w:left="4582" w:hanging="87"/>
        <w:spacing w:after="0"/>
        <w:tabs>
          <w:tab w:leader="none" w:pos="4582" w:val="left"/>
        </w:tabs>
        <w:numPr>
          <w:ilvl w:val="1"/>
          <w:numId w:val="88"/>
        </w:numPr>
        <w:rPr>
          <w:rFonts w:ascii="Arial" w:cs="Arial" w:eastAsia="Arial" w:hAnsi="Arial"/>
          <w:sz w:val="15"/>
          <w:szCs w:val="15"/>
          <w:color w:val="auto"/>
        </w:rPr>
      </w:pPr>
      <w:r>
        <w:rPr>
          <w:rFonts w:ascii="Arial" w:cs="Arial" w:eastAsia="Arial" w:hAnsi="Arial"/>
          <w:sz w:val="15"/>
          <w:szCs w:val="15"/>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62" w:name="page63"/>
    <w:bookmarkEnd w:id="62"/>
    <w:p>
      <w:pPr>
        <w:jc w:val="both"/>
        <w:ind w:firstLine="1078"/>
        <w:spacing w:after="0" w:line="255" w:lineRule="auto"/>
        <w:tabs>
          <w:tab w:leader="none" w:pos="1439"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157" w:lineRule="exact"/>
        <w:rPr>
          <w:rFonts w:ascii="Arial" w:cs="Arial" w:eastAsia="Arial" w:hAnsi="Arial"/>
          <w:sz w:val="15"/>
          <w:szCs w:val="15"/>
          <w:color w:val="auto"/>
        </w:rPr>
      </w:pPr>
    </w:p>
    <w:p>
      <w:pPr>
        <w:jc w:val="both"/>
        <w:ind w:firstLine="1078"/>
        <w:spacing w:after="0" w:line="255" w:lineRule="auto"/>
        <w:tabs>
          <w:tab w:leader="none" w:pos="1473"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157" w:lineRule="exact"/>
        <w:rPr>
          <w:rFonts w:ascii="Arial" w:cs="Arial" w:eastAsia="Arial" w:hAnsi="Arial"/>
          <w:sz w:val="15"/>
          <w:szCs w:val="15"/>
          <w:color w:val="auto"/>
        </w:rPr>
      </w:pPr>
    </w:p>
    <w:p>
      <w:pPr>
        <w:jc w:val="both"/>
        <w:ind w:firstLine="1078"/>
        <w:spacing w:after="0" w:line="270" w:lineRule="auto"/>
        <w:tabs>
          <w:tab w:leader="none" w:pos="1417"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 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152" w:lineRule="exact"/>
        <w:rPr>
          <w:rFonts w:ascii="Arial" w:cs="Arial" w:eastAsia="Arial" w:hAnsi="Arial"/>
          <w:sz w:val="14"/>
          <w:szCs w:val="14"/>
          <w:color w:val="auto"/>
        </w:rPr>
      </w:pPr>
    </w:p>
    <w:p>
      <w:pPr>
        <w:ind w:left="1440" w:hanging="362"/>
        <w:spacing w:after="0"/>
        <w:tabs>
          <w:tab w:leader="none" w:pos="14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the Company, at any time, upon the payment to Parent of the fee set forth in Section 7.3(b).</w:t>
      </w:r>
    </w:p>
    <w:p>
      <w:pPr>
        <w:spacing w:after="0" w:line="184"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3" w:name="page64"/>
    <w:bookmarkEnd w:id="63"/>
    <w:p>
      <w:pPr>
        <w:ind w:left="531"/>
        <w:spacing w:after="0"/>
        <w:tabs>
          <w:tab w:leader="none" w:pos="107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2"/>
          <w:szCs w:val="12"/>
          <w:u w:val="single" w:color="auto"/>
          <w:color w:val="auto"/>
        </w:rPr>
        <w:t>Fees and Expenses</w:t>
      </w:r>
      <w:r>
        <w:rPr>
          <w:rFonts w:ascii="Arial" w:cs="Arial" w:eastAsia="Arial" w:hAnsi="Arial"/>
          <w:sz w:val="12"/>
          <w:szCs w:val="12"/>
          <w:color w:val="auto"/>
        </w:rPr>
        <w:t>.</w:t>
      </w:r>
    </w:p>
    <w:p>
      <w:pPr>
        <w:spacing w:after="0" w:line="184" w:lineRule="exact"/>
        <w:rPr>
          <w:sz w:val="20"/>
          <w:szCs w:val="20"/>
          <w:color w:val="auto"/>
        </w:rPr>
      </w:pPr>
    </w:p>
    <w:p>
      <w:pPr>
        <w:ind w:left="-9" w:firstLine="1078"/>
        <w:spacing w:after="0" w:line="269" w:lineRule="auto"/>
        <w:tabs>
          <w:tab w:leader="none" w:pos="1432" w:val="left"/>
        </w:tabs>
        <w:numPr>
          <w:ilvl w:val="1"/>
          <w:numId w:val="90"/>
        </w:numPr>
        <w:rPr>
          <w:rFonts w:ascii="Arial" w:cs="Arial" w:eastAsia="Arial" w:hAnsi="Arial"/>
          <w:sz w:val="15"/>
          <w:szCs w:val="15"/>
          <w:color w:val="auto"/>
        </w:rPr>
      </w:pPr>
      <w:r>
        <w:rPr>
          <w:rFonts w:ascii="Arial" w:cs="Arial" w:eastAsia="Arial" w:hAnsi="Arial"/>
          <w:sz w:val="15"/>
          <w:szCs w:val="15"/>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147" w:lineRule="exact"/>
        <w:rPr>
          <w:rFonts w:ascii="Arial" w:cs="Arial" w:eastAsia="Arial" w:hAnsi="Arial"/>
          <w:sz w:val="15"/>
          <w:szCs w:val="15"/>
          <w:color w:val="auto"/>
        </w:rPr>
      </w:pPr>
    </w:p>
    <w:p>
      <w:pPr>
        <w:jc w:val="both"/>
        <w:ind w:left="-9" w:firstLine="1078"/>
        <w:spacing w:after="0" w:line="286" w:lineRule="auto"/>
        <w:tabs>
          <w:tab w:leader="none" w:pos="1463"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4"/>
          <w:szCs w:val="14"/>
          <w:b w:val="1"/>
          <w:bCs w:val="1"/>
          <w:color w:val="auto"/>
        </w:rPr>
        <w:t>Company Termination Fee</w:t>
      </w:r>
      <w:r>
        <w:rPr>
          <w:rFonts w:ascii="Arial" w:cs="Arial" w:eastAsia="Arial" w:hAnsi="Arial"/>
          <w:sz w:val="14"/>
          <w:szCs w:val="14"/>
          <w:color w:val="auto"/>
        </w:rPr>
        <w:t>”), which Company Termination Fee shall be payable by wire transfer of immediately available funds to an account specified by Parent.</w:t>
      </w:r>
    </w:p>
    <w:p>
      <w:pPr>
        <w:spacing w:after="0" w:line="137" w:lineRule="exact"/>
        <w:rPr>
          <w:rFonts w:ascii="Arial" w:cs="Arial" w:eastAsia="Arial" w:hAnsi="Arial"/>
          <w:sz w:val="14"/>
          <w:szCs w:val="14"/>
          <w:color w:val="auto"/>
        </w:rPr>
      </w:pPr>
    </w:p>
    <w:p>
      <w:pPr>
        <w:jc w:val="both"/>
        <w:ind w:left="-9" w:firstLine="1078"/>
        <w:spacing w:after="0" w:line="273" w:lineRule="auto"/>
        <w:tabs>
          <w:tab w:leader="none" w:pos="1410"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 the event that (i) the Company validly terminates this Agreement pursuant to Section 7.1(g) or (ii) Parent validly terminates this Agreement pursuant to Section 7.1(j) (A), then, in any such case, Parent shall pay to the Company, simultaneously with such termination of this Agreement, a fee (the “</w:t>
      </w:r>
      <w:r>
        <w:rPr>
          <w:rFonts w:ascii="Arial" w:cs="Arial" w:eastAsia="Arial" w:hAnsi="Arial"/>
          <w:sz w:val="14"/>
          <w:szCs w:val="14"/>
          <w:b w:val="1"/>
          <w:bCs w:val="1"/>
          <w:color w:val="auto"/>
        </w:rPr>
        <w:t>Parent Termination Fee</w:t>
      </w:r>
      <w:r>
        <w:rPr>
          <w:rFonts w:ascii="Arial" w:cs="Arial" w:eastAsia="Arial" w:hAnsi="Arial"/>
          <w:sz w:val="14"/>
          <w:szCs w:val="14"/>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148" w:lineRule="exact"/>
        <w:rPr>
          <w:rFonts w:ascii="Arial" w:cs="Arial" w:eastAsia="Arial" w:hAnsi="Arial"/>
          <w:sz w:val="14"/>
          <w:szCs w:val="14"/>
          <w:color w:val="auto"/>
        </w:rPr>
      </w:pPr>
    </w:p>
    <w:p>
      <w:pPr>
        <w:jc w:val="both"/>
        <w:ind w:left="-9" w:firstLine="1078"/>
        <w:spacing w:after="0" w:line="294" w:lineRule="auto"/>
        <w:tabs>
          <w:tab w:leader="none" w:pos="1508" w:val="left"/>
        </w:tabs>
        <w:numPr>
          <w:ilvl w:val="1"/>
          <w:numId w:val="90"/>
        </w:numPr>
        <w:rPr>
          <w:rFonts w:ascii="Arial" w:cs="Arial" w:eastAsia="Arial" w:hAnsi="Arial"/>
          <w:sz w:val="13"/>
          <w:szCs w:val="13"/>
          <w:color w:val="auto"/>
        </w:rPr>
      </w:pPr>
      <w:r>
        <w:rPr>
          <w:rFonts w:ascii="Arial" w:cs="Arial" w:eastAsia="Arial" w:hAnsi="Arial"/>
          <w:sz w:val="13"/>
          <w:szCs w:val="13"/>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w:t>
      </w:r>
    </w:p>
    <w:p>
      <w:pPr>
        <w:jc w:val="both"/>
        <w:ind w:left="-9" w:firstLine="9"/>
        <w:spacing w:after="0" w:line="249" w:lineRule="auto"/>
        <w:tabs>
          <w:tab w:leader="none" w:pos="213" w:val="left"/>
        </w:tabs>
        <w:numPr>
          <w:ilvl w:val="0"/>
          <w:numId w:val="91"/>
        </w:numPr>
        <w:rPr>
          <w:rFonts w:ascii="Arial" w:cs="Arial" w:eastAsia="Arial" w:hAnsi="Arial"/>
          <w:sz w:val="15"/>
          <w:szCs w:val="15"/>
          <w:color w:val="auto"/>
        </w:rPr>
      </w:pPr>
      <w:r>
        <w:rPr>
          <w:rFonts w:ascii="Arial" w:cs="Arial" w:eastAsia="Arial" w:hAnsi="Arial"/>
          <w:sz w:val="15"/>
          <w:szCs w:val="15"/>
          <w:color w:val="auto"/>
        </w:rPr>
        <w:t>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342" w:lineRule="exact"/>
        <w:rPr>
          <w:rFonts w:ascii="Arial" w:cs="Arial" w:eastAsia="Arial" w:hAnsi="Arial"/>
          <w:sz w:val="15"/>
          <w:szCs w:val="15"/>
          <w:color w:val="auto"/>
        </w:rPr>
      </w:pPr>
    </w:p>
    <w:p>
      <w:pPr>
        <w:ind w:left="5651" w:hanging="87"/>
        <w:spacing w:after="0"/>
        <w:tabs>
          <w:tab w:leader="none" w:pos="5651" w:val="left"/>
        </w:tabs>
        <w:numPr>
          <w:ilvl w:val="2"/>
          <w:numId w:val="91"/>
        </w:numPr>
        <w:rPr>
          <w:rFonts w:ascii="Arial" w:cs="Arial" w:eastAsia="Arial" w:hAnsi="Arial"/>
          <w:sz w:val="15"/>
          <w:szCs w:val="15"/>
          <w:color w:val="auto"/>
        </w:rPr>
      </w:pPr>
      <w:r>
        <w:rPr>
          <w:rFonts w:ascii="Arial" w:cs="Arial" w:eastAsia="Arial" w:hAnsi="Arial"/>
          <w:sz w:val="15"/>
          <w:szCs w:val="15"/>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64" w:name="page65"/>
    <w:bookmarkEnd w:id="64"/>
    <w:p>
      <w:pPr>
        <w:jc w:val="both"/>
        <w:ind w:firstLine="1078"/>
        <w:spacing w:after="0" w:line="272" w:lineRule="auto"/>
        <w:tabs>
          <w:tab w:leader="none" w:pos="1464"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148" w:lineRule="exact"/>
        <w:rPr>
          <w:rFonts w:ascii="Arial" w:cs="Arial" w:eastAsia="Arial" w:hAnsi="Arial"/>
          <w:sz w:val="14"/>
          <w:szCs w:val="14"/>
          <w:color w:val="auto"/>
        </w:rPr>
      </w:pPr>
    </w:p>
    <w:p>
      <w:pPr>
        <w:jc w:val="both"/>
        <w:ind w:firstLine="1078"/>
        <w:spacing w:after="0" w:line="272" w:lineRule="auto"/>
        <w:tabs>
          <w:tab w:leader="none" w:pos="1414"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Each of the Company and Parent acknowledges and agrees that the agreements contained in this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in effect on the date such payment was required to be made. Under no circumstances shall any Party be required to may more than one fee in respect of termination under this Section 7.3.</w:t>
      </w:r>
    </w:p>
    <w:p>
      <w:pPr>
        <w:spacing w:after="0" w:line="148" w:lineRule="exact"/>
        <w:rPr>
          <w:rFonts w:ascii="Arial" w:cs="Arial" w:eastAsia="Arial" w:hAnsi="Arial"/>
          <w:sz w:val="14"/>
          <w:szCs w:val="14"/>
          <w:color w:val="auto"/>
        </w:rPr>
      </w:pPr>
    </w:p>
    <w:p>
      <w:pPr>
        <w:jc w:val="both"/>
        <w:ind w:firstLine="1078"/>
        <w:spacing w:after="0" w:line="273" w:lineRule="auto"/>
        <w:tabs>
          <w:tab w:leader="none" w:pos="1517"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149"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5" w:name="page66"/>
    <w:bookmarkEnd w:id="65"/>
    <w:p>
      <w:pPr>
        <w:jc w:val="both"/>
        <w:ind w:firstLine="535"/>
        <w:spacing w:after="0" w:line="258"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Waiver</w:t>
      </w:r>
      <w:r>
        <w:rPr>
          <w:rFonts w:ascii="Arial" w:cs="Arial" w:eastAsia="Arial" w:hAnsi="Arial"/>
          <w:sz w:val="15"/>
          <w:szCs w:val="15"/>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GENERAL PROVISIONS</w:t>
      </w:r>
    </w:p>
    <w:p>
      <w:pPr>
        <w:spacing w:after="0" w:line="188" w:lineRule="exact"/>
        <w:rPr>
          <w:sz w:val="20"/>
          <w:szCs w:val="20"/>
          <w:color w:val="auto"/>
        </w:rPr>
      </w:pPr>
    </w:p>
    <w:p>
      <w:pPr>
        <w:ind w:firstLine="535"/>
        <w:spacing w:after="0" w:line="294"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w:t>
      </w:r>
    </w:p>
    <w:p>
      <w:pPr>
        <w:spacing w:after="0"/>
        <w:rPr>
          <w:sz w:val="20"/>
          <w:szCs w:val="20"/>
          <w:color w:val="auto"/>
        </w:rPr>
      </w:pPr>
      <w:r>
        <w:rPr>
          <w:rFonts w:ascii="Arial" w:cs="Arial" w:eastAsia="Arial" w:hAnsi="Arial"/>
          <w:sz w:val="15"/>
          <w:szCs w:val="15"/>
          <w:color w:val="auto"/>
        </w:rPr>
        <w:t>24 hours of such electronic mail, or by telecopier, with confirmation as provided above addressed as follows:</w:t>
      </w:r>
    </w:p>
    <w:p>
      <w:pPr>
        <w:spacing w:after="0" w:line="174" w:lineRule="exact"/>
        <w:rPr>
          <w:sz w:val="20"/>
          <w:szCs w:val="20"/>
          <w:color w:val="auto"/>
        </w:rPr>
      </w:pPr>
    </w:p>
    <w:p>
      <w:pPr>
        <w:ind w:left="1660" w:hanging="582"/>
        <w:spacing w:after="0"/>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to Parent or Merger Sub:</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VRINGO, INC.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44 West 28th Street, Suite 1414</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509-271-5246</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andrew.perlman@vringo.com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Andrew Perlman</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copies to:</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Mintz, Levin, Cohn, Ferris, Glovsky and Popeo, P.C.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666 Third Avenue</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212-983-3115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KKoch@mintz.com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Ken Koch</w:t>
      </w:r>
    </w:p>
    <w:p>
      <w:pPr>
        <w:spacing w:after="0" w:line="174" w:lineRule="exact"/>
        <w:rPr>
          <w:sz w:val="20"/>
          <w:szCs w:val="20"/>
          <w:color w:val="auto"/>
        </w:rPr>
      </w:pPr>
    </w:p>
    <w:p>
      <w:pPr>
        <w:ind w:left="1660" w:hanging="582"/>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INNOVATE/PROTECT, INC.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380 Madison Avenue, 22nd Floor</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(646) 532-6775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aberger@innovateprotect.com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Alexander R. Berger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67" w:name="page68"/>
    <w:bookmarkEnd w:id="67"/>
    <w:p>
      <w:pPr>
        <w:ind w:left="1620"/>
        <w:spacing w:after="0"/>
        <w:rPr>
          <w:sz w:val="20"/>
          <w:szCs w:val="20"/>
          <w:color w:val="auto"/>
        </w:rPr>
      </w:pPr>
      <w:r>
        <w:rPr>
          <w:rFonts w:ascii="Arial" w:cs="Arial" w:eastAsia="Arial" w:hAnsi="Arial"/>
          <w:sz w:val="15"/>
          <w:szCs w:val="15"/>
          <w:color w:val="auto"/>
        </w:rPr>
        <w:t>With a copies to:</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Weinberg Zareh &amp; Geyerhahn LLP</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161 West 61st Street, Suite 12G</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New York 10023</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seth@wzgllp.com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Seth Weinberg</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777 Third Avenue, 30th Floor</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 571-1325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investments@hudsonbaycapital.com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Yoav Roth</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Schulte Roth &amp; Zabel LLP</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919 Third Avenue</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New York 10022</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 593-5955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eleazer.klein@srz.com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Eleazer Klein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158"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Interpretation</w:t>
      </w:r>
      <w:r>
        <w:rPr>
          <w:rFonts w:ascii="Arial" w:cs="Arial" w:eastAsia="Arial" w:hAnsi="Arial"/>
          <w:sz w:val="13"/>
          <w:szCs w:val="13"/>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129"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8" w:name="page69"/>
    <w:bookmarkEnd w:id="68"/>
    <w:p>
      <w:pPr>
        <w:jc w:val="both"/>
        <w:ind w:firstLine="535"/>
        <w:spacing w:after="0" w:line="25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157"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148"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Parties in Interest</w:t>
      </w:r>
      <w:r>
        <w:rPr>
          <w:rFonts w:ascii="Arial" w:cs="Arial" w:eastAsia="Arial" w:hAnsi="Arial"/>
          <w:sz w:val="15"/>
          <w:szCs w:val="15"/>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the provisions of Article I and Sections 5.9 and 5.10 are intended for the benefit of each of the individuals specified therein and their successors and assigns.</w:t>
      </w:r>
    </w:p>
    <w:p>
      <w:pPr>
        <w:spacing w:after="0" w:line="157"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u w:val="single" w:color="auto"/>
          <w:color w:val="auto"/>
        </w:rPr>
        <w:t>Failure or Indulgence Not Waiver; Remedies Cumulative</w:t>
      </w:r>
      <w:r>
        <w:rPr>
          <w:rFonts w:ascii="Arial" w:cs="Arial" w:eastAsia="Arial" w:hAnsi="Arial"/>
          <w:sz w:val="15"/>
          <w:szCs w:val="15"/>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5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8.8</w:t>
      </w:r>
      <w:r>
        <w:rPr>
          <w:sz w:val="20"/>
          <w:szCs w:val="20"/>
          <w:color w:val="auto"/>
        </w:rPr>
        <w:tab/>
      </w:r>
      <w:r>
        <w:rPr>
          <w:rFonts w:ascii="Arial" w:cs="Arial" w:eastAsia="Arial" w:hAnsi="Arial"/>
          <w:sz w:val="13"/>
          <w:szCs w:val="13"/>
          <w:u w:val="single" w:color="auto"/>
          <w:color w:val="auto"/>
        </w:rPr>
        <w:t>Governing Law; Enforcement</w:t>
      </w:r>
      <w:r>
        <w:rPr>
          <w:rFonts w:ascii="Arial" w:cs="Arial" w:eastAsia="Arial" w:hAnsi="Arial"/>
          <w:sz w:val="13"/>
          <w:szCs w:val="13"/>
          <w:color w:val="auto"/>
        </w:rPr>
        <w:t>.</w:t>
      </w:r>
    </w:p>
    <w:p>
      <w:pPr>
        <w:spacing w:after="0" w:line="184" w:lineRule="exact"/>
        <w:rPr>
          <w:sz w:val="20"/>
          <w:szCs w:val="20"/>
          <w:color w:val="auto"/>
        </w:rPr>
      </w:pPr>
    </w:p>
    <w:p>
      <w:pPr>
        <w:ind w:right="20" w:firstLine="1078"/>
        <w:spacing w:after="0" w:line="269" w:lineRule="auto"/>
        <w:tabs>
          <w:tab w:leader="none" w:pos="1442"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This Agreement and the rights and duties of the Parties hereunder shall be governed by, and construed in accordance with, the law of the State of New York, except to the extent required under Delaware law.</w:t>
      </w:r>
    </w:p>
    <w:p>
      <w:pPr>
        <w:spacing w:after="0" w:line="147" w:lineRule="exact"/>
        <w:rPr>
          <w:rFonts w:ascii="Arial" w:cs="Arial" w:eastAsia="Arial" w:hAnsi="Arial"/>
          <w:sz w:val="15"/>
          <w:szCs w:val="15"/>
          <w:color w:val="auto"/>
        </w:rPr>
      </w:pPr>
    </w:p>
    <w:p>
      <w:pPr>
        <w:jc w:val="both"/>
        <w:ind w:firstLine="1078"/>
        <w:spacing w:after="0" w:line="288" w:lineRule="auto"/>
        <w:tabs>
          <w:tab w:leader="none" w:pos="1461" w:val="left"/>
        </w:tabs>
        <w:numPr>
          <w:ilvl w:val="1"/>
          <w:numId w:val="95"/>
        </w:numPr>
        <w:rPr>
          <w:rFonts w:ascii="Arial" w:cs="Arial" w:eastAsia="Arial" w:hAnsi="Arial"/>
          <w:sz w:val="13"/>
          <w:szCs w:val="13"/>
          <w:color w:val="auto"/>
        </w:rPr>
      </w:pPr>
      <w:r>
        <w:rPr>
          <w:rFonts w:ascii="Arial" w:cs="Arial" w:eastAsia="Arial" w:hAnsi="Arial"/>
          <w:sz w:val="13"/>
          <w:szCs w:val="13"/>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 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w:t>
      </w:r>
    </w:p>
    <w:p>
      <w:pPr>
        <w:spacing w:after="0" w:line="2" w:lineRule="exact"/>
        <w:rPr>
          <w:rFonts w:ascii="Arial" w:cs="Arial" w:eastAsia="Arial" w:hAnsi="Arial"/>
          <w:sz w:val="13"/>
          <w:szCs w:val="13"/>
          <w:color w:val="auto"/>
        </w:rPr>
      </w:pPr>
    </w:p>
    <w:p>
      <w:pPr>
        <w:ind w:firstLine="9"/>
        <w:spacing w:after="0" w:line="255" w:lineRule="auto"/>
        <w:tabs>
          <w:tab w:leader="none" w:pos="22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96"/>
        </w:numPr>
        <w:rPr>
          <w:rFonts w:ascii="Arial" w:cs="Arial" w:eastAsia="Arial" w:hAnsi="Arial"/>
          <w:sz w:val="15"/>
          <w:szCs w:val="15"/>
          <w:color w:val="auto"/>
        </w:rPr>
      </w:pPr>
      <w:r>
        <w:rPr>
          <w:rFonts w:ascii="Arial" w:cs="Arial" w:eastAsia="Arial" w:hAnsi="Arial"/>
          <w:sz w:val="15"/>
          <w:szCs w:val="15"/>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9" w:name="page70"/>
    <w:bookmarkEnd w:id="69"/>
    <w:p>
      <w:pPr>
        <w:ind w:firstLine="535"/>
        <w:spacing w:after="0" w:line="269" w:lineRule="auto"/>
        <w:rPr>
          <w:sz w:val="20"/>
          <w:szCs w:val="20"/>
          <w:color w:val="auto"/>
        </w:rPr>
      </w:pPr>
      <w:r>
        <w:rPr>
          <w:rFonts w:ascii="Arial" w:cs="Arial" w:eastAsia="Arial" w:hAnsi="Arial"/>
          <w:sz w:val="15"/>
          <w:szCs w:val="15"/>
          <w:color w:val="auto"/>
        </w:rPr>
        <w:t xml:space="preserve">8.9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0" w:name="page71"/>
    <w:bookmarkEnd w:id="70"/>
    <w:p>
      <w:pPr>
        <w:ind w:firstLine="550"/>
        <w:spacing w:after="0" w:line="269" w:lineRule="auto"/>
        <w:rPr>
          <w:sz w:val="20"/>
          <w:szCs w:val="20"/>
          <w:color w:val="auto"/>
        </w:rPr>
      </w:pPr>
      <w:r>
        <w:rPr>
          <w:rFonts w:ascii="Arial" w:cs="Arial" w:eastAsia="Arial" w:hAnsi="Arial"/>
          <w:sz w:val="15"/>
          <w:szCs w:val="15"/>
          <w:color w:val="auto"/>
        </w:rPr>
        <w:t>IN WITNESS WHEREOF, Parent, Merger Sub and the Company have caused this Agreement to be executed as of the date first written above by their respective officers thereunto duly authorized.</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tbl>
      <w:tblPr>
        <w:tblLayout w:type="fixed"/>
        <w:tblInd w:w="57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Andrew D. Perlman</w:t>
            </w:r>
          </w:p>
        </w:tc>
      </w:tr>
      <w:tr>
        <w:trPr>
          <w:trHeight w:val="148"/>
        </w:trPr>
        <w:tc>
          <w:tcPr>
            <w:tcW w:w="460" w:type="dxa"/>
            <w:vAlign w:val="bottom"/>
          </w:tcPr>
          <w:p>
            <w:pPr>
              <w:spacing w:after="0" w:line="149" w:lineRule="exact"/>
              <w:rPr>
                <w:sz w:val="20"/>
                <w:szCs w:val="20"/>
                <w:color w:val="auto"/>
              </w:rPr>
            </w:pPr>
            <w:r>
              <w:rPr>
                <w:rFonts w:ascii="Arial" w:cs="Arial" w:eastAsia="Arial" w:hAnsi="Arial"/>
                <w:sz w:val="15"/>
                <w:szCs w:val="15"/>
                <w:color w:val="auto"/>
                <w:w w:val="99"/>
              </w:rPr>
              <w:t>Name:</w:t>
            </w:r>
          </w:p>
        </w:tc>
        <w:tc>
          <w:tcPr>
            <w:tcW w:w="5260" w:type="dxa"/>
            <w:vAlign w:val="bottom"/>
          </w:tcPr>
          <w:p>
            <w:pPr>
              <w:spacing w:after="0" w:line="149" w:lineRule="exact"/>
              <w:rPr>
                <w:sz w:val="20"/>
                <w:szCs w:val="20"/>
                <w:color w:val="auto"/>
              </w:rPr>
            </w:pPr>
            <w:r>
              <w:rPr>
                <w:rFonts w:ascii="Arial" w:cs="Arial" w:eastAsia="Arial" w:hAnsi="Arial"/>
                <w:sz w:val="15"/>
                <w:szCs w:val="15"/>
                <w:color w:val="auto"/>
              </w:rPr>
              <w:t>Andrew D. Perlman</w:t>
            </w:r>
          </w:p>
        </w:tc>
      </w:tr>
      <w:tr>
        <w:trPr>
          <w:trHeight w:val="188"/>
        </w:trPr>
        <w:tc>
          <w:tcPr>
            <w:tcW w:w="5720" w:type="dxa"/>
            <w:vAlign w:val="bottom"/>
            <w:gridSpan w:val="2"/>
          </w:tcPr>
          <w:p>
            <w:pPr>
              <w:spacing w:after="0"/>
              <w:rPr>
                <w:sz w:val="20"/>
                <w:szCs w:val="20"/>
                <w:color w:val="auto"/>
              </w:rPr>
            </w:pPr>
            <w:r>
              <w:rPr>
                <w:rFonts w:ascii="Arial" w:cs="Arial" w:eastAsia="Arial" w:hAnsi="Arial"/>
                <w:sz w:val="15"/>
                <w:szCs w:val="15"/>
                <w:color w:val="auto"/>
              </w:rPr>
              <w:t>Title: CEO</w:t>
            </w:r>
          </w:p>
        </w:tc>
      </w:tr>
      <w:tr>
        <w:trPr>
          <w:trHeight w:val="356"/>
        </w:trPr>
        <w:tc>
          <w:tcPr>
            <w:tcW w:w="5720" w:type="dxa"/>
            <w:vAlign w:val="bottom"/>
            <w:gridSpan w:val="2"/>
          </w:tcPr>
          <w:p>
            <w:pPr>
              <w:spacing w:after="0"/>
              <w:rPr>
                <w:sz w:val="20"/>
                <w:szCs w:val="20"/>
                <w:color w:val="auto"/>
              </w:rPr>
            </w:pPr>
            <w:r>
              <w:rPr>
                <w:rFonts w:ascii="Arial" w:cs="Arial" w:eastAsia="Arial" w:hAnsi="Arial"/>
                <w:sz w:val="15"/>
                <w:szCs w:val="15"/>
                <w:b w:val="1"/>
                <w:bCs w:val="1"/>
                <w:color w:val="auto"/>
              </w:rPr>
              <w:t>VIP MERGER SUB, INC.</w:t>
            </w:r>
          </w:p>
        </w:tc>
      </w:tr>
      <w:tr>
        <w:trPr>
          <w:trHeight w:val="356"/>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5260" w:type="dxa"/>
            <w:vAlign w:val="bottom"/>
          </w:tcPr>
          <w:p>
            <w:pPr>
              <w:spacing w:after="0"/>
              <w:rPr>
                <w:sz w:val="20"/>
                <w:szCs w:val="20"/>
                <w:color w:val="auto"/>
              </w:rPr>
            </w:pPr>
            <w:r>
              <w:rPr>
                <w:rFonts w:ascii="Arial" w:cs="Arial" w:eastAsia="Arial" w:hAnsi="Arial"/>
                <w:sz w:val="15"/>
                <w:szCs w:val="15"/>
                <w:color w:val="auto"/>
              </w:rPr>
              <w:t>/s/ Andrew D. Perlman</w:t>
            </w:r>
          </w:p>
        </w:tc>
      </w:tr>
    </w:tbl>
    <w:p>
      <w:pPr>
        <w:ind w:left="5740"/>
        <w:spacing w:after="0"/>
        <w:rPr>
          <w:sz w:val="20"/>
          <w:szCs w:val="20"/>
          <w:color w:val="auto"/>
        </w:rPr>
      </w:pPr>
      <w:r>
        <w:rPr>
          <w:rFonts w:ascii="Arial" w:cs="Arial" w:eastAsia="Arial" w:hAnsi="Arial"/>
          <w:sz w:val="15"/>
          <w:szCs w:val="15"/>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-108585</wp:posOffset>
            </wp:positionV>
            <wp:extent cx="33381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 President</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Alexander Berger</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-108585</wp:posOffset>
            </wp:positionV>
            <wp:extent cx="33381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 COO and Director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color w:val="auto"/>
        </w:rPr>
        <w:t>Exhibit B</w:t>
      </w:r>
    </w:p>
    <w:p>
      <w:pPr>
        <w:spacing w:after="0" w:line="358"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CERTIFICATE OF MERGER</w:t>
      </w:r>
    </w:p>
    <w:p>
      <w:pPr>
        <w:spacing w:after="0" w:line="184"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OF</w:t>
      </w:r>
    </w:p>
    <w:p>
      <w:pPr>
        <w:spacing w:after="0" w:line="184"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INNOVATE/PROTECT, INC.</w:t>
      </w:r>
    </w:p>
    <w:p>
      <w:pPr>
        <w:spacing w:after="0" w:line="20"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(a Delaware Corporation)</w:t>
      </w:r>
    </w:p>
    <w:p>
      <w:pPr>
        <w:spacing w:after="0" w:line="170"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INTO</w:t>
      </w:r>
    </w:p>
    <w:p>
      <w:pPr>
        <w:spacing w:after="0" w:line="184" w:lineRule="exact"/>
        <w:rPr>
          <w:sz w:val="20"/>
          <w:szCs w:val="20"/>
          <w:color w:val="auto"/>
        </w:rPr>
      </w:pPr>
    </w:p>
    <w:p>
      <w:pPr>
        <w:ind w:left="4624"/>
        <w:spacing w:after="0"/>
        <w:rPr>
          <w:sz w:val="20"/>
          <w:szCs w:val="20"/>
          <w:color w:val="auto"/>
        </w:rPr>
      </w:pPr>
      <w:r>
        <w:rPr>
          <w:rFonts w:ascii="Arial" w:cs="Arial" w:eastAsia="Arial" w:hAnsi="Arial"/>
          <w:sz w:val="15"/>
          <w:szCs w:val="15"/>
          <w:b w:val="1"/>
          <w:bCs w:val="1"/>
          <w:color w:val="auto"/>
        </w:rPr>
        <w:t>VIP MERGER SUB, INC.</w:t>
      </w:r>
    </w:p>
    <w:p>
      <w:pPr>
        <w:spacing w:after="0" w:line="20" w:lineRule="exact"/>
        <w:rPr>
          <w:sz w:val="20"/>
          <w:szCs w:val="20"/>
          <w:color w:val="auto"/>
        </w:rPr>
      </w:pPr>
    </w:p>
    <w:p>
      <w:pPr>
        <w:ind w:left="4644"/>
        <w:spacing w:after="0"/>
        <w:rPr>
          <w:sz w:val="20"/>
          <w:szCs w:val="20"/>
          <w:color w:val="auto"/>
        </w:rPr>
      </w:pPr>
      <w:r>
        <w:rPr>
          <w:rFonts w:ascii="Arial" w:cs="Arial" w:eastAsia="Arial" w:hAnsi="Arial"/>
          <w:sz w:val="15"/>
          <w:szCs w:val="15"/>
          <w:b w:val="1"/>
          <w:bCs w:val="1"/>
          <w:color w:val="auto"/>
        </w:rPr>
        <w:t>(a Delaware Corporation)</w:t>
      </w:r>
    </w:p>
    <w:p>
      <w:pPr>
        <w:spacing w:after="0" w:line="174" w:lineRule="exact"/>
        <w:rPr>
          <w:sz w:val="20"/>
          <w:szCs w:val="20"/>
          <w:color w:val="auto"/>
        </w:rPr>
      </w:pPr>
    </w:p>
    <w:p>
      <w:pPr>
        <w:ind w:left="264"/>
        <w:spacing w:after="0"/>
        <w:rPr>
          <w:sz w:val="20"/>
          <w:szCs w:val="20"/>
          <w:color w:val="auto"/>
        </w:rPr>
      </w:pPr>
      <w:r>
        <w:rPr>
          <w:rFonts w:ascii="Arial" w:cs="Arial" w:eastAsia="Arial" w:hAnsi="Arial"/>
          <w:sz w:val="14"/>
          <w:szCs w:val="14"/>
          <w:color w:val="auto"/>
        </w:rPr>
        <w:t>Pursuant to the provisions of Section 251(c) of the General Corporation Law of the State of Delaware (the “</w:t>
      </w:r>
      <w:r>
        <w:rPr>
          <w:rFonts w:ascii="Arial" w:cs="Arial" w:eastAsia="Arial" w:hAnsi="Arial"/>
          <w:sz w:val="14"/>
          <w:szCs w:val="14"/>
          <w:u w:val="single" w:color="auto"/>
          <w:color w:val="auto"/>
        </w:rPr>
        <w:t>DGCL</w:t>
      </w:r>
      <w:r>
        <w:rPr>
          <w:rFonts w:ascii="Arial" w:cs="Arial" w:eastAsia="Arial" w:hAnsi="Arial"/>
          <w:sz w:val="14"/>
          <w:szCs w:val="14"/>
          <w:color w:val="auto"/>
        </w:rPr>
        <w:t>”), the undersigned corporation hereby certifies as follows:</w:t>
      </w:r>
    </w:p>
    <w:p>
      <w:pPr>
        <w:spacing w:after="0" w:line="195" w:lineRule="exact"/>
        <w:rPr>
          <w:sz w:val="20"/>
          <w:szCs w:val="20"/>
          <w:color w:val="auto"/>
        </w:rPr>
      </w:pPr>
    </w:p>
    <w:p>
      <w:pPr>
        <w:ind w:left="544" w:hanging="544"/>
        <w:spacing w:after="0" w:line="269"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constituent corporations are VIP Merger Sub, Inc., a Delaware corporation (sometimes referred to hereafter as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Innovate/Protect, Inc., a Delaware corporation (together with the Surviving Corporation, the “</w:t>
      </w:r>
      <w:r>
        <w:rPr>
          <w:rFonts w:ascii="Arial" w:cs="Arial" w:eastAsia="Arial" w:hAnsi="Arial"/>
          <w:sz w:val="15"/>
          <w:szCs w:val="15"/>
          <w:u w:val="single" w:color="auto"/>
          <w:color w:val="auto"/>
        </w:rPr>
        <w:t>Constituent Corporations</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544" w:hanging="544"/>
        <w:spacing w:after="0" w:line="269"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 Agreement and Plan of Merger, dated as of March __, 2012,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has been approved, adopted, certified, executed and acknowledged by each of the Constituent Corporations in accordance with Section 251 and 228 of the DGCL.</w:t>
      </w:r>
    </w:p>
    <w:p>
      <w:pPr>
        <w:spacing w:after="0" w:line="147" w:lineRule="exact"/>
        <w:rPr>
          <w:rFonts w:ascii="Arial" w:cs="Arial" w:eastAsia="Arial" w:hAnsi="Arial"/>
          <w:sz w:val="15"/>
          <w:szCs w:val="15"/>
          <w:color w:val="auto"/>
        </w:rPr>
      </w:pPr>
    </w:p>
    <w:p>
      <w:pPr>
        <w:ind w:left="544" w:hanging="544"/>
        <w:spacing w:after="0"/>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VIP Merger Sub, Inc. shall be the surviving corporation in the merger except that the name of the Surviving Corporation will become Innovate/Protect, Inc.</w:t>
      </w:r>
    </w:p>
    <w:p>
      <w:pPr>
        <w:spacing w:after="0" w:line="15" w:lineRule="exact"/>
        <w:rPr>
          <w:rFonts w:ascii="Arial" w:cs="Arial" w:eastAsia="Arial" w:hAnsi="Arial"/>
          <w:sz w:val="15"/>
          <w:szCs w:val="15"/>
          <w:color w:val="auto"/>
        </w:rPr>
      </w:pPr>
    </w:p>
    <w:p>
      <w:pPr>
        <w:ind w:left="544" w:right="100" w:hanging="544"/>
        <w:spacing w:after="0" w:line="255"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158" w:lineRule="exact"/>
        <w:rPr>
          <w:rFonts w:ascii="Arial" w:cs="Arial" w:eastAsia="Arial" w:hAnsi="Arial"/>
          <w:sz w:val="15"/>
          <w:szCs w:val="15"/>
          <w:color w:val="auto"/>
        </w:rPr>
      </w:pPr>
    </w:p>
    <w:p>
      <w:pPr>
        <w:ind w:left="544" w:hanging="544"/>
        <w:spacing w:after="0"/>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copy of the executed Merger Agreement is on file at the office of the Surviving Corporation, the address of which is as follows:</w:t>
      </w:r>
    </w:p>
    <w:p>
      <w:pPr>
        <w:spacing w:after="0" w:line="132" w:lineRule="exact"/>
        <w:rPr>
          <w:sz w:val="20"/>
          <w:szCs w:val="20"/>
          <w:color w:val="auto"/>
        </w:rPr>
      </w:pPr>
    </w:p>
    <w:p>
      <w:pPr>
        <w:ind w:left="1344"/>
        <w:spacing w:after="0"/>
        <w:rPr>
          <w:sz w:val="20"/>
          <w:szCs w:val="20"/>
          <w:color w:val="auto"/>
        </w:rPr>
      </w:pPr>
      <w:r>
        <w:rPr>
          <w:rFonts w:ascii="Arial" w:cs="Arial" w:eastAsia="Arial" w:hAnsi="Arial"/>
          <w:sz w:val="15"/>
          <w:szCs w:val="15"/>
          <w:color w:val="auto"/>
        </w:rPr>
        <w:t>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w:t>
      </w:r>
    </w:p>
    <w:p>
      <w:pPr>
        <w:ind w:left="1344"/>
        <w:spacing w:after="0"/>
        <w:rPr>
          <w:sz w:val="20"/>
          <w:szCs w:val="20"/>
          <w:color w:val="auto"/>
        </w:rPr>
      </w:pPr>
      <w:r>
        <w:rPr>
          <w:rFonts w:ascii="Arial" w:cs="Arial" w:eastAsia="Arial" w:hAnsi="Arial"/>
          <w:sz w:val="15"/>
          <w:szCs w:val="15"/>
          <w:color w:val="auto"/>
        </w:rPr>
        <w:t>New York, NY 10001</w:t>
      </w:r>
    </w:p>
    <w:p>
      <w:pPr>
        <w:spacing w:after="0" w:line="172" w:lineRule="exact"/>
        <w:rPr>
          <w:sz w:val="20"/>
          <w:szCs w:val="20"/>
          <w:color w:val="auto"/>
        </w:rPr>
      </w:pPr>
    </w:p>
    <w:p>
      <w:pPr>
        <w:ind w:left="544" w:hanging="544"/>
        <w:spacing w:after="0"/>
        <w:tabs>
          <w:tab w:leader="none" w:pos="544" w:val="left"/>
        </w:tabs>
        <w:numPr>
          <w:ilvl w:val="0"/>
          <w:numId w:val="98"/>
        </w:numPr>
        <w:rPr>
          <w:rFonts w:ascii="Arial" w:cs="Arial" w:eastAsia="Arial" w:hAnsi="Arial"/>
          <w:sz w:val="14"/>
          <w:szCs w:val="14"/>
          <w:color w:val="auto"/>
        </w:rPr>
      </w:pPr>
      <w:r>
        <w:rPr>
          <w:rFonts w:ascii="Arial" w:cs="Arial" w:eastAsia="Arial" w:hAnsi="Arial"/>
          <w:sz w:val="14"/>
          <w:szCs w:val="14"/>
          <w:color w:val="auto"/>
        </w:rPr>
        <w:t>A copy of the Merger Agreement will be furnished by the Surviving Corporation, on request and without cost, to any stockholder of either Constituent Corporation.</w:t>
      </w:r>
    </w:p>
    <w:p>
      <w:pPr>
        <w:spacing w:after="0" w:line="195" w:lineRule="exact"/>
        <w:rPr>
          <w:rFonts w:ascii="Arial" w:cs="Arial" w:eastAsia="Arial" w:hAnsi="Arial"/>
          <w:sz w:val="14"/>
          <w:szCs w:val="14"/>
          <w:color w:val="auto"/>
        </w:rPr>
      </w:pPr>
    </w:p>
    <w:p>
      <w:pPr>
        <w:ind w:left="544" w:hanging="544"/>
        <w:spacing w:after="0" w:line="269" w:lineRule="auto"/>
        <w:tabs>
          <w:tab w:leader="none" w:pos="544"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This Certificate of Merger (“</w:t>
      </w:r>
      <w:r>
        <w:rPr>
          <w:rFonts w:ascii="Arial" w:cs="Arial" w:eastAsia="Arial" w:hAnsi="Arial"/>
          <w:sz w:val="15"/>
          <w:szCs w:val="15"/>
          <w:u w:val="single" w:color="auto"/>
          <w:color w:val="auto"/>
        </w:rPr>
        <w:t>Certificate</w:t>
      </w:r>
      <w:r>
        <w:rPr>
          <w:rFonts w:ascii="Arial" w:cs="Arial" w:eastAsia="Arial" w:hAnsi="Arial"/>
          <w:sz w:val="15"/>
          <w:szCs w:val="15"/>
          <w:color w:val="auto"/>
        </w:rPr>
        <w:t>”) shall be effective at such time as this Certificate is filed with the Secretary of the State of Delaware in accordance with the provisions of Section 103 and 251(c) of the DGCL.</w:t>
      </w:r>
    </w:p>
    <w:p>
      <w:pPr>
        <w:spacing w:after="0" w:line="326" w:lineRule="exact"/>
        <w:rPr>
          <w:sz w:val="20"/>
          <w:szCs w:val="20"/>
          <w:color w:val="auto"/>
        </w:rPr>
      </w:pPr>
    </w:p>
    <w:p>
      <w:pPr>
        <w:jc w:val="center"/>
        <w:ind w:right="256"/>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10160</wp:posOffset>
            </wp:positionV>
            <wp:extent cx="727075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753" w:right="219"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auto"/>
        </w:rPr>
        <w:t>IN WITNESS WHEREOF, the Surviving Corporation has caused this Certificate of Merger to be executed by a duly authorized officer as of _____________ __, 2012.</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VIP MERGER SUB, INC.</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-108585</wp:posOffset>
            </wp:positionV>
            <wp:extent cx="348678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678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Title:</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940"/>
          </w:cols>
          <w:pgMar w:left="760" w:top="753" w:right="1199"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color w:val="auto"/>
        </w:rPr>
        <w:t>Exhibit 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DESIGNATIONS, PREFERENCES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RIGHTS OF SERIES A CONVERTIBLE PREFERRED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VRINGO, INC.</w:t>
      </w:r>
    </w:p>
    <w:p>
      <w:pPr>
        <w:spacing w:after="0" w:line="170" w:lineRule="exact"/>
        <w:rPr>
          <w:sz w:val="20"/>
          <w:szCs w:val="20"/>
          <w:color w:val="auto"/>
        </w:rPr>
      </w:pPr>
    </w:p>
    <w:p>
      <w:pPr>
        <w:jc w:val="both"/>
        <w:ind w:firstLine="1069"/>
        <w:spacing w:after="0" w:line="293" w:lineRule="auto"/>
        <w:rPr>
          <w:sz w:val="20"/>
          <w:szCs w:val="20"/>
          <w:color w:val="auto"/>
        </w:rPr>
      </w:pPr>
      <w:r>
        <w:rPr>
          <w:rFonts w:ascii="Arial" w:cs="Arial" w:eastAsia="Arial" w:hAnsi="Arial"/>
          <w:sz w:val="13"/>
          <w:szCs w:val="13"/>
          <w:color w:val="auto"/>
        </w:rPr>
        <w:t>Vringo, Inc. (the "</w:t>
      </w:r>
      <w:r>
        <w:rPr>
          <w:rFonts w:ascii="Arial" w:cs="Arial" w:eastAsia="Arial" w:hAnsi="Arial"/>
          <w:sz w:val="13"/>
          <w:szCs w:val="13"/>
          <w:b w:val="1"/>
          <w:bCs w:val="1"/>
          <w:color w:val="auto"/>
        </w:rPr>
        <w:t>Corporation</w:t>
      </w:r>
      <w:r>
        <w:rPr>
          <w:rFonts w:ascii="Arial" w:cs="Arial" w:eastAsia="Arial" w:hAnsi="Arial"/>
          <w:sz w:val="13"/>
          <w:szCs w:val="13"/>
          <w:color w:val="auto"/>
        </w:rPr>
        <w:t>"), a corporation organized and existing under the General Corporation Law of the State of Delaware (the "</w:t>
      </w:r>
      <w:r>
        <w:rPr>
          <w:rFonts w:ascii="Arial" w:cs="Arial" w:eastAsia="Arial" w:hAnsi="Arial"/>
          <w:sz w:val="13"/>
          <w:szCs w:val="13"/>
          <w:b w:val="1"/>
          <w:bCs w:val="1"/>
          <w:color w:val="auto"/>
        </w:rPr>
        <w:t>DGCL</w:t>
      </w:r>
      <w:r>
        <w:rPr>
          <w:rFonts w:ascii="Arial" w:cs="Arial" w:eastAsia="Arial" w:hAnsi="Arial"/>
          <w:sz w:val="13"/>
          <w:szCs w:val="13"/>
          <w:color w:val="auto"/>
        </w:rPr>
        <w:t>"), does hereby certify that, pursuant to authority conferred upon the Board of Directors of the Corporation (the "</w:t>
      </w:r>
      <w:r>
        <w:rPr>
          <w:rFonts w:ascii="Arial" w:cs="Arial" w:eastAsia="Arial" w:hAnsi="Arial"/>
          <w:sz w:val="13"/>
          <w:szCs w:val="13"/>
          <w:b w:val="1"/>
          <w:bCs w:val="1"/>
          <w:color w:val="auto"/>
        </w:rPr>
        <w:t>Board</w:t>
      </w:r>
      <w:r>
        <w:rPr>
          <w:rFonts w:ascii="Arial" w:cs="Arial" w:eastAsia="Arial" w:hAnsi="Arial"/>
          <w:sz w:val="13"/>
          <w:szCs w:val="13"/>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w:t>
      </w:r>
    </w:p>
    <w:p>
      <w:pPr>
        <w:spacing w:after="0" w:line="1" w:lineRule="exact"/>
        <w:rPr>
          <w:sz w:val="20"/>
          <w:szCs w:val="20"/>
          <w:color w:val="auto"/>
        </w:rPr>
      </w:pPr>
    </w:p>
    <w:p>
      <w:pPr>
        <w:ind w:right="20" w:firstLine="9"/>
        <w:spacing w:after="0" w:line="255" w:lineRule="auto"/>
        <w:tabs>
          <w:tab w:leader="none" w:pos="229" w:val="left"/>
        </w:tabs>
        <w:numPr>
          <w:ilvl w:val="0"/>
          <w:numId w:val="99"/>
        </w:numPr>
        <w:rPr>
          <w:rFonts w:ascii="Arial" w:cs="Arial" w:eastAsia="Arial" w:hAnsi="Arial"/>
          <w:sz w:val="15"/>
          <w:szCs w:val="15"/>
          <w:color w:val="auto"/>
        </w:rPr>
      </w:pPr>
      <w:r>
        <w:rPr>
          <w:rFonts w:ascii="Arial" w:cs="Arial" w:eastAsia="Arial" w:hAnsi="Arial"/>
          <w:sz w:val="15"/>
          <w:szCs w:val="15"/>
          <w:color w:val="auto"/>
        </w:rPr>
        <w:t>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154" w:lineRule="exact"/>
        <w:rPr>
          <w:sz w:val="20"/>
          <w:szCs w:val="20"/>
          <w:color w:val="auto"/>
        </w:rPr>
      </w:pPr>
    </w:p>
    <w:p>
      <w:pPr>
        <w:ind w:firstLine="1069"/>
        <w:spacing w:after="0" w:line="275" w:lineRule="auto"/>
        <w:rPr>
          <w:sz w:val="20"/>
          <w:szCs w:val="20"/>
          <w:color w:val="auto"/>
        </w:rPr>
      </w:pPr>
      <w:r>
        <w:rPr>
          <w:rFonts w:ascii="Arial" w:cs="Arial" w:eastAsia="Arial" w:hAnsi="Arial"/>
          <w:sz w:val="15"/>
          <w:szCs w:val="15"/>
          <w:color w:val="auto"/>
        </w:rPr>
        <w:t>RESOLVED, that the Corporation is authorized to issue six thousand nine hundred and sixty eight (6,968) shares of Series A Convertible Preferred Stock (the "</w:t>
      </w:r>
      <w:r>
        <w:rPr>
          <w:rFonts w:ascii="Arial" w:cs="Arial" w:eastAsia="Arial" w:hAnsi="Arial"/>
          <w:sz w:val="15"/>
          <w:szCs w:val="15"/>
          <w:b w:val="1"/>
          <w:bCs w:val="1"/>
          <w:color w:val="auto"/>
        </w:rPr>
        <w:t>Series A</w:t>
      </w:r>
      <w:r>
        <w:rPr>
          <w:rFonts w:ascii="Arial" w:cs="Arial" w:eastAsia="Arial" w:hAnsi="Arial"/>
          <w:sz w:val="15"/>
          <w:szCs w:val="15"/>
          <w:color w:val="auto"/>
        </w:rPr>
        <w:t xml:space="preserve"> </w:t>
      </w:r>
      <w:r>
        <w:rPr>
          <w:rFonts w:ascii="Arial" w:cs="Arial" w:eastAsia="Arial" w:hAnsi="Arial"/>
          <w:sz w:val="15"/>
          <w:szCs w:val="15"/>
          <w:b w:val="1"/>
          <w:bCs w:val="1"/>
          <w:color w:val="auto"/>
        </w:rPr>
        <w:t>Preferred Stock</w:t>
      </w:r>
      <w:r>
        <w:rPr>
          <w:rFonts w:ascii="Arial" w:cs="Arial" w:eastAsia="Arial" w:hAnsi="Arial"/>
          <w:sz w:val="15"/>
          <w:szCs w:val="15"/>
          <w:color w:val="auto"/>
        </w:rPr>
        <w:t>"), par value $0.01 per share, which shall have the following powers, designations, preferences and other special rights:</w:t>
      </w:r>
    </w:p>
    <w:p>
      <w:pPr>
        <w:spacing w:after="0" w:line="143" w:lineRule="exact"/>
        <w:rPr>
          <w:sz w:val="20"/>
          <w:szCs w:val="20"/>
          <w:color w:val="auto"/>
        </w:rPr>
      </w:pPr>
    </w:p>
    <w:p>
      <w:pPr>
        <w:jc w:val="both"/>
        <w:ind w:firstLine="1078"/>
        <w:spacing w:after="0" w:line="258" w:lineRule="auto"/>
        <w:tabs>
          <w:tab w:leader="none" w:pos="1563"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Designation and Amount</w:t>
      </w:r>
      <w:r>
        <w:rPr>
          <w:rFonts w:ascii="Arial" w:cs="Arial" w:eastAsia="Arial" w:hAnsi="Arial"/>
          <w:sz w:val="15"/>
          <w:szCs w:val="15"/>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152" w:lineRule="exact"/>
        <w:rPr>
          <w:rFonts w:ascii="Arial" w:cs="Arial" w:eastAsia="Arial" w:hAnsi="Arial"/>
          <w:sz w:val="15"/>
          <w:szCs w:val="15"/>
          <w:color w:val="auto"/>
        </w:rPr>
      </w:pPr>
    </w:p>
    <w:p>
      <w:pPr>
        <w:jc w:val="both"/>
        <w:ind w:firstLine="1078"/>
        <w:spacing w:after="0" w:line="257" w:lineRule="auto"/>
        <w:tabs>
          <w:tab w:leader="none" w:pos="1552"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Ranking</w:t>
      </w:r>
      <w:r>
        <w:rPr>
          <w:rFonts w:ascii="Arial" w:cs="Arial" w:eastAsia="Arial" w:hAnsi="Arial"/>
          <w:sz w:val="15"/>
          <w:szCs w:val="15"/>
          <w:color w:val="auto"/>
        </w:rPr>
        <w:t>. The Series A Preferred Stock shall rank prior and superior to all of the common stock, par value $0.01 per share, of the Corporation ("</w:t>
      </w:r>
      <w:r>
        <w:rPr>
          <w:rFonts w:ascii="Arial" w:cs="Arial" w:eastAsia="Arial" w:hAnsi="Arial"/>
          <w:sz w:val="15"/>
          <w:szCs w:val="15"/>
          <w:b w:val="1"/>
          <w:bCs w:val="1"/>
          <w:color w:val="auto"/>
        </w:rPr>
        <w:t>Common Stock</w:t>
      </w:r>
      <w:r>
        <w:rPr>
          <w:rFonts w:ascii="Arial" w:cs="Arial" w:eastAsia="Arial" w:hAnsi="Arial"/>
          <w:sz w:val="15"/>
          <w:szCs w:val="15"/>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74" w:name="page75"/>
    <w:bookmarkEnd w:id="74"/>
    <w:p>
      <w:pPr>
        <w:jc w:val="both"/>
        <w:ind w:firstLine="1078"/>
        <w:spacing w:after="0" w:line="268" w:lineRule="auto"/>
        <w:tabs>
          <w:tab w:leader="none" w:pos="1596"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From and after the first date of issuance of any shares of Series A Preferred Stock (the "</w:t>
      </w:r>
      <w:r>
        <w:rPr>
          <w:rFonts w:ascii="Arial" w:cs="Arial" w:eastAsia="Arial" w:hAnsi="Arial"/>
          <w:sz w:val="14"/>
          <w:szCs w:val="14"/>
          <w:b w:val="1"/>
          <w:bCs w:val="1"/>
          <w:color w:val="auto"/>
        </w:rPr>
        <w:t>Initial Issuance Date</w:t>
      </w:r>
      <w:r>
        <w:rPr>
          <w:rFonts w:ascii="Arial" w:cs="Arial" w:eastAsia="Arial" w:hAnsi="Arial"/>
          <w:sz w:val="14"/>
          <w:szCs w:val="14"/>
          <w:color w:val="auto"/>
        </w:rPr>
        <w:t>"), the holders of Series A Preferred Stock (each, a "</w:t>
      </w:r>
      <w:r>
        <w:rPr>
          <w:rFonts w:ascii="Arial" w:cs="Arial" w:eastAsia="Arial" w:hAnsi="Arial"/>
          <w:sz w:val="14"/>
          <w:szCs w:val="14"/>
          <w:b w:val="1"/>
          <w:bCs w:val="1"/>
          <w:color w:val="auto"/>
        </w:rPr>
        <w:t>Holder</w:t>
      </w:r>
      <w:r>
        <w:rPr>
          <w:rFonts w:ascii="Arial" w:cs="Arial" w:eastAsia="Arial" w:hAnsi="Arial"/>
          <w:sz w:val="14"/>
          <w:szCs w:val="14"/>
          <w:color w:val="auto"/>
        </w:rPr>
        <w:t>" and collectively, the "</w:t>
      </w:r>
      <w:r>
        <w:rPr>
          <w:rFonts w:ascii="Arial" w:cs="Arial" w:eastAsia="Arial" w:hAnsi="Arial"/>
          <w:sz w:val="14"/>
          <w:szCs w:val="14"/>
          <w:b w:val="1"/>
          <w:bCs w:val="1"/>
          <w:color w:val="auto"/>
        </w:rPr>
        <w:t>Holders</w:t>
      </w:r>
      <w:r>
        <w:rPr>
          <w:rFonts w:ascii="Arial" w:cs="Arial" w:eastAsia="Arial" w:hAnsi="Arial"/>
          <w:sz w:val="14"/>
          <w:szCs w:val="14"/>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4"/>
          <w:szCs w:val="14"/>
          <w:b w:val="1"/>
          <w:bCs w:val="1"/>
          <w:color w:val="auto"/>
        </w:rPr>
        <w:t>Junior Stock</w:t>
      </w:r>
      <w:r>
        <w:rPr>
          <w:rFonts w:ascii="Arial" w:cs="Arial" w:eastAsia="Arial" w:hAnsi="Arial"/>
          <w:sz w:val="14"/>
          <w:szCs w:val="14"/>
          <w:color w:val="auto"/>
        </w:rPr>
        <w:t xml:space="preserve">") (if any) (but after and subject to the rights of holders of Senior Preferred Stock (as defined below), if any,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to the rights of holders of capital stock of the Corporation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4"/>
          <w:szCs w:val="14"/>
          <w:b w:val="1"/>
          <w:bCs w:val="1"/>
          <w:color w:val="auto"/>
        </w:rPr>
        <w:t>Pari Passu Stock</w:t>
      </w:r>
      <w:r>
        <w:rPr>
          <w:rFonts w:ascii="Arial" w:cs="Arial" w:eastAsia="Arial" w:hAnsi="Arial"/>
          <w:sz w:val="14"/>
          <w:szCs w:val="14"/>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 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155" w:lineRule="exact"/>
        <w:rPr>
          <w:rFonts w:ascii="Arial" w:cs="Arial" w:eastAsia="Arial" w:hAnsi="Arial"/>
          <w:sz w:val="14"/>
          <w:szCs w:val="14"/>
          <w:color w:val="auto"/>
        </w:rPr>
      </w:pPr>
    </w:p>
    <w:p>
      <w:pPr>
        <w:jc w:val="both"/>
        <w:ind w:firstLine="1078"/>
        <w:spacing w:after="0" w:line="269" w:lineRule="auto"/>
        <w:tabs>
          <w:tab w:leader="none" w:pos="1674"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Liquidation Preference</w:t>
      </w:r>
      <w:r>
        <w:rPr>
          <w:rFonts w:ascii="Arial" w:cs="Arial" w:eastAsia="Arial" w:hAnsi="Arial"/>
          <w:sz w:val="14"/>
          <w:szCs w:val="14"/>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4"/>
          <w:szCs w:val="14"/>
          <w:b w:val="1"/>
          <w:bCs w:val="1"/>
          <w:color w:val="auto"/>
        </w:rPr>
        <w:t>Senior Preferred Stock</w:t>
      </w:r>
      <w:r>
        <w:rPr>
          <w:rFonts w:ascii="Arial" w:cs="Arial" w:eastAsia="Arial" w:hAnsi="Arial"/>
          <w:sz w:val="14"/>
          <w:szCs w:val="14"/>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4"/>
          <w:szCs w:val="14"/>
          <w:b w:val="1"/>
          <w:bCs w:val="1"/>
          <w:color w:val="auto"/>
        </w:rPr>
        <w:t>Stated</w:t>
      </w:r>
      <w:r>
        <w:rPr>
          <w:rFonts w:ascii="Arial" w:cs="Arial" w:eastAsia="Arial" w:hAnsi="Arial"/>
          <w:sz w:val="14"/>
          <w:szCs w:val="14"/>
          <w:color w:val="auto"/>
        </w:rPr>
        <w:t xml:space="preserve"> </w:t>
      </w:r>
      <w:r>
        <w:rPr>
          <w:rFonts w:ascii="Arial" w:cs="Arial" w:eastAsia="Arial" w:hAnsi="Arial"/>
          <w:sz w:val="14"/>
          <w:szCs w:val="14"/>
          <w:b w:val="1"/>
          <w:bCs w:val="1"/>
          <w:color w:val="auto"/>
        </w:rPr>
        <w:t>Value</w:t>
      </w:r>
      <w:r>
        <w:rPr>
          <w:rFonts w:ascii="Arial" w:cs="Arial" w:eastAsia="Arial" w:hAnsi="Arial"/>
          <w:sz w:val="14"/>
          <w:szCs w:val="14"/>
          <w:color w:val="auto"/>
        </w:rPr>
        <w:t>" shall mean one thousand dollars ($1,000) per share, subject to adjustment for stock splits, stock dividends, recapitalizations, reorganizations, reclassifications, combinations, reverse</w:t>
      </w:r>
      <w:r>
        <w:rPr>
          <w:rFonts w:ascii="Arial" w:cs="Arial" w:eastAsia="Arial" w:hAnsi="Arial"/>
          <w:sz w:val="14"/>
          <w:szCs w:val="14"/>
          <w:b w:val="1"/>
          <w:bCs w:val="1"/>
          <w:color w:val="auto"/>
        </w:rPr>
        <w:t xml:space="preserve"> </w:t>
      </w:r>
      <w:r>
        <w:rPr>
          <w:rFonts w:ascii="Arial" w:cs="Arial" w:eastAsia="Arial" w:hAnsi="Arial"/>
          <w:sz w:val="14"/>
          <w:szCs w:val="14"/>
          <w:color w:val="auto"/>
        </w:rPr>
        <w:t>stock splits or other similar events relating to the Series A Preferred Stock after the Initial Issuance Date. For purposes of this Certificate of Designations, a "</w:t>
      </w:r>
      <w:r>
        <w:rPr>
          <w:rFonts w:ascii="Arial" w:cs="Arial" w:eastAsia="Arial" w:hAnsi="Arial"/>
          <w:sz w:val="14"/>
          <w:szCs w:val="14"/>
          <w:b w:val="1"/>
          <w:bCs w:val="1"/>
          <w:color w:val="auto"/>
        </w:rPr>
        <w:t>Liquidation Event</w:t>
      </w:r>
      <w:r>
        <w:rPr>
          <w:rFonts w:ascii="Arial" w:cs="Arial" w:eastAsia="Arial" w:hAnsi="Arial"/>
          <w:sz w:val="14"/>
          <w:szCs w:val="14"/>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75" w:name="page76"/>
    <w:bookmarkEnd w:id="75"/>
    <w:p>
      <w:pPr>
        <w:ind w:left="1060" w:hanging="522"/>
        <w:spacing w:after="0"/>
        <w:tabs>
          <w:tab w:leader="none" w:pos="1060"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Fundamental Transactions; Put Triggering Event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ind w:left="2180" w:hanging="572"/>
        <w:spacing w:after="0"/>
        <w:tabs>
          <w:tab w:leader="none" w:pos="2180" w:val="left"/>
        </w:tabs>
        <w:numPr>
          <w:ilvl w:val="2"/>
          <w:numId w:val="10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required by law to remain closed.</w:t>
      </w:r>
    </w:p>
    <w:p>
      <w:pPr>
        <w:spacing w:after="0" w:line="169" w:lineRule="exact"/>
        <w:rPr>
          <w:rFonts w:ascii="Arial" w:cs="Arial" w:eastAsia="Arial" w:hAnsi="Arial"/>
          <w:sz w:val="13"/>
          <w:szCs w:val="13"/>
          <w:color w:val="auto"/>
        </w:rPr>
      </w:pPr>
    </w:p>
    <w:p>
      <w:pPr>
        <w:jc w:val="both"/>
        <w:ind w:firstLine="1608"/>
        <w:spacing w:after="0" w:line="261" w:lineRule="auto"/>
        <w:tabs>
          <w:tab w:leader="none" w:pos="2320"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150" w:lineRule="exact"/>
        <w:rPr>
          <w:rFonts w:ascii="Arial" w:cs="Arial" w:eastAsia="Arial" w:hAnsi="Arial"/>
          <w:sz w:val="15"/>
          <w:szCs w:val="15"/>
          <w:color w:val="auto"/>
        </w:rPr>
      </w:pPr>
    </w:p>
    <w:p>
      <w:pPr>
        <w:ind w:left="2120" w:hanging="512"/>
        <w:spacing w:after="0"/>
        <w:tabs>
          <w:tab w:leader="none" w:pos="2120"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83" w:lineRule="exact"/>
        <w:rPr>
          <w:rFonts w:ascii="Arial" w:cs="Arial" w:eastAsia="Arial" w:hAnsi="Arial"/>
          <w:sz w:val="15"/>
          <w:szCs w:val="15"/>
          <w:color w:val="auto"/>
        </w:rPr>
      </w:pPr>
    </w:p>
    <w:p>
      <w:pPr>
        <w:ind w:firstLine="1608"/>
        <w:spacing w:after="0" w:line="275" w:lineRule="auto"/>
        <w:tabs>
          <w:tab w:leader="none" w:pos="2171"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Market</w:t>
      </w:r>
      <w:r>
        <w:rPr>
          <w:rFonts w:ascii="Arial" w:cs="Arial" w:eastAsia="Arial" w:hAnsi="Arial"/>
          <w:sz w:val="15"/>
          <w:szCs w:val="15"/>
          <w:color w:val="auto"/>
        </w:rPr>
        <w:t>" means The New York Stock Exchange, Inc., the NYSE Amex Equities, The NASDAQ Global Select Market, The NASDAQ Global Market or The NASDAQ Capital Market.</w:t>
      </w:r>
    </w:p>
    <w:p>
      <w:pPr>
        <w:spacing w:after="0" w:line="139" w:lineRule="exact"/>
        <w:rPr>
          <w:rFonts w:ascii="Arial" w:cs="Arial" w:eastAsia="Arial" w:hAnsi="Arial"/>
          <w:sz w:val="15"/>
          <w:szCs w:val="15"/>
          <w:color w:val="auto"/>
        </w:rPr>
      </w:pPr>
    </w:p>
    <w:p>
      <w:pPr>
        <w:jc w:val="both"/>
        <w:ind w:firstLine="1608"/>
        <w:spacing w:after="0" w:line="254" w:lineRule="auto"/>
        <w:tabs>
          <w:tab w:leader="none" w:pos="2178"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156" w:lineRule="exact"/>
        <w:rPr>
          <w:rFonts w:ascii="Arial" w:cs="Arial" w:eastAsia="Arial" w:hAnsi="Arial"/>
          <w:sz w:val="15"/>
          <w:szCs w:val="15"/>
          <w:color w:val="auto"/>
        </w:rPr>
      </w:pPr>
    </w:p>
    <w:p>
      <w:pPr>
        <w:jc w:val="both"/>
        <w:ind w:firstLine="1608"/>
        <w:spacing w:after="0" w:line="288" w:lineRule="auto"/>
        <w:tabs>
          <w:tab w:leader="none" w:pos="2182" w:val="left"/>
        </w:tabs>
        <w:numPr>
          <w:ilvl w:val="2"/>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Successor Common Stock</w:t>
      </w:r>
      <w:r>
        <w:rPr>
          <w:rFonts w:ascii="Arial" w:cs="Arial" w:eastAsia="Arial" w:hAnsi="Arial"/>
          <w:sz w:val="14"/>
          <w:szCs w:val="14"/>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315"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76" w:name="page77"/>
    <w:bookmarkEnd w:id="76"/>
    <w:p>
      <w:pPr>
        <w:jc w:val="both"/>
        <w:ind w:firstLine="1608"/>
        <w:spacing w:after="0" w:line="293" w:lineRule="auto"/>
        <w:tabs>
          <w:tab w:leader="none" w:pos="2175"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Fundamental Transaction</w:t>
      </w:r>
      <w:r>
        <w:rPr>
          <w:rFonts w:ascii="Arial" w:cs="Arial" w:eastAsia="Arial" w:hAnsi="Arial"/>
          <w:sz w:val="13"/>
          <w:szCs w:val="13"/>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135" w:lineRule="exact"/>
        <w:rPr>
          <w:rFonts w:ascii="Arial" w:cs="Arial" w:eastAsia="Arial" w:hAnsi="Arial"/>
          <w:sz w:val="13"/>
          <w:szCs w:val="13"/>
          <w:color w:val="auto"/>
        </w:rPr>
      </w:pPr>
    </w:p>
    <w:p>
      <w:pPr>
        <w:jc w:val="both"/>
        <w:ind w:firstLine="1608"/>
        <w:spacing w:after="0" w:line="261" w:lineRule="auto"/>
        <w:tabs>
          <w:tab w:leader="none" w:pos="219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Entity</w:t>
      </w:r>
      <w:r>
        <w:rPr>
          <w:rFonts w:ascii="Arial" w:cs="Arial" w:eastAsia="Arial" w:hAnsi="Arial"/>
          <w:sz w:val="15"/>
          <w:szCs w:val="15"/>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0" w:lineRule="exact"/>
        <w:rPr>
          <w:rFonts w:ascii="Arial" w:cs="Arial" w:eastAsia="Arial" w:hAnsi="Arial"/>
          <w:sz w:val="15"/>
          <w:szCs w:val="15"/>
          <w:color w:val="auto"/>
        </w:rPr>
      </w:pPr>
    </w:p>
    <w:p>
      <w:pPr>
        <w:jc w:val="both"/>
        <w:ind w:firstLine="1608"/>
        <w:spacing w:after="0" w:line="288" w:lineRule="auto"/>
        <w:tabs>
          <w:tab w:leader="none" w:pos="224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Put Triggering Event</w:t>
      </w:r>
      <w:r>
        <w:rPr>
          <w:rFonts w:ascii="Arial" w:cs="Arial" w:eastAsia="Arial" w:hAnsi="Arial"/>
          <w:sz w:val="14"/>
          <w:szCs w:val="14"/>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133" w:lineRule="exact"/>
        <w:rPr>
          <w:rFonts w:ascii="Arial" w:cs="Arial" w:eastAsia="Arial" w:hAnsi="Arial"/>
          <w:sz w:val="14"/>
          <w:szCs w:val="14"/>
          <w:color w:val="auto"/>
        </w:rPr>
      </w:pPr>
    </w:p>
    <w:p>
      <w:pPr>
        <w:ind w:left="2160" w:hanging="552"/>
        <w:spacing w:after="0"/>
        <w:tabs>
          <w:tab w:leader="none" w:pos="21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Holders</w:t>
      </w:r>
      <w:r>
        <w:rPr>
          <w:rFonts w:ascii="Arial" w:cs="Arial" w:eastAsia="Arial" w:hAnsi="Arial"/>
          <w:sz w:val="15"/>
          <w:szCs w:val="15"/>
          <w:color w:val="auto"/>
        </w:rPr>
        <w:t>" means the holders of record of a majority of the outstanding shares of Series A Preferred Stock.</w:t>
      </w:r>
    </w:p>
    <w:p>
      <w:pPr>
        <w:spacing w:after="0" w:line="183" w:lineRule="exact"/>
        <w:rPr>
          <w:rFonts w:ascii="Arial" w:cs="Arial" w:eastAsia="Arial" w:hAnsi="Arial"/>
          <w:sz w:val="15"/>
          <w:szCs w:val="15"/>
          <w:color w:val="auto"/>
        </w:rPr>
      </w:pPr>
    </w:p>
    <w:p>
      <w:pPr>
        <w:jc w:val="both"/>
        <w:ind w:firstLine="1608"/>
        <w:spacing w:after="0" w:line="261" w:lineRule="auto"/>
        <w:tabs>
          <w:tab w:leader="none" w:pos="226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150" w:lineRule="exact"/>
        <w:rPr>
          <w:rFonts w:ascii="Arial" w:cs="Arial" w:eastAsia="Arial" w:hAnsi="Arial"/>
          <w:sz w:val="15"/>
          <w:szCs w:val="15"/>
          <w:color w:val="auto"/>
        </w:rPr>
      </w:pPr>
    </w:p>
    <w:p>
      <w:pPr>
        <w:jc w:val="both"/>
        <w:ind w:firstLine="1608"/>
        <w:spacing w:after="0" w:line="261" w:lineRule="auto"/>
        <w:tabs>
          <w:tab w:leader="none" w:pos="217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50" w:lineRule="exact"/>
        <w:rPr>
          <w:rFonts w:ascii="Arial" w:cs="Arial" w:eastAsia="Arial" w:hAnsi="Arial"/>
          <w:sz w:val="15"/>
          <w:szCs w:val="15"/>
          <w:color w:val="auto"/>
        </w:rPr>
      </w:pPr>
    </w:p>
    <w:p>
      <w:pPr>
        <w:jc w:val="both"/>
        <w:ind w:firstLine="1608"/>
        <w:spacing w:after="0" w:line="261" w:lineRule="auto"/>
        <w:tabs>
          <w:tab w:leader="none" w:pos="2183"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33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77" w:name="page78"/>
    <w:bookmarkEnd w:id="77"/>
    <w:p>
      <w:pPr>
        <w:jc w:val="both"/>
        <w:ind w:left="540" w:firstLine="1608"/>
        <w:spacing w:after="0" w:line="277" w:lineRule="auto"/>
        <w:tabs>
          <w:tab w:leader="none" w:pos="2733"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Trading Day</w:t>
      </w:r>
      <w:r>
        <w:rPr>
          <w:rFonts w:ascii="Arial" w:cs="Arial" w:eastAsia="Arial" w:hAnsi="Arial"/>
          <w:sz w:val="14"/>
          <w:szCs w:val="14"/>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40" w:lineRule="exact"/>
        <w:rPr>
          <w:rFonts w:ascii="Arial" w:cs="Arial" w:eastAsia="Arial" w:hAnsi="Arial"/>
          <w:sz w:val="14"/>
          <w:szCs w:val="14"/>
          <w:color w:val="auto"/>
        </w:rPr>
      </w:pPr>
    </w:p>
    <w:p>
      <w:pPr>
        <w:jc w:val="both"/>
        <w:ind w:left="540" w:firstLine="1608"/>
        <w:spacing w:after="0" w:line="261" w:lineRule="auto"/>
        <w:tabs>
          <w:tab w:leader="none" w:pos="274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Voting Stock</w:t>
      </w:r>
      <w:r>
        <w:rPr>
          <w:rFonts w:ascii="Arial" w:cs="Arial" w:eastAsia="Arial" w:hAnsi="Arial"/>
          <w:sz w:val="15"/>
          <w:szCs w:val="15"/>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154" w:lineRule="exact"/>
        <w:rPr>
          <w:rFonts w:ascii="Arial" w:cs="Arial" w:eastAsia="Arial" w:hAnsi="Arial"/>
          <w:sz w:val="15"/>
          <w:szCs w:val="15"/>
          <w:color w:val="auto"/>
        </w:rPr>
      </w:pPr>
    </w:p>
    <w:p>
      <w:pPr>
        <w:jc w:val="both"/>
        <w:ind w:firstLine="1613"/>
        <w:spacing w:after="0" w:line="267" w:lineRule="auto"/>
        <w:tabs>
          <w:tab w:leader="none" w:pos="2248"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Assumption</w:t>
      </w:r>
      <w:r>
        <w:rPr>
          <w:rFonts w:ascii="Arial" w:cs="Arial" w:eastAsia="Arial" w:hAnsi="Arial"/>
          <w:sz w:val="14"/>
          <w:szCs w:val="14"/>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78" w:name="page79"/>
    <w:bookmarkEnd w:id="78"/>
    <w:p>
      <w:pPr>
        <w:jc w:val="both"/>
        <w:ind w:firstLine="1613"/>
        <w:spacing w:after="0" w:line="288" w:lineRule="auto"/>
        <w:tabs>
          <w:tab w:leader="none" w:pos="2195"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Put Triggering Event</w:t>
      </w:r>
      <w:r>
        <w:rPr>
          <w:rFonts w:ascii="Arial" w:cs="Arial" w:eastAsia="Arial" w:hAnsi="Arial"/>
          <w:sz w:val="13"/>
          <w:szCs w:val="13"/>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3"/>
          <w:szCs w:val="13"/>
          <w:b w:val="1"/>
          <w:bCs w:val="1"/>
          <w:color w:val="auto"/>
        </w:rPr>
        <w:t>Change of Control Notice</w:t>
      </w:r>
      <w:r>
        <w:rPr>
          <w:rFonts w:ascii="Arial" w:cs="Arial" w:eastAsia="Arial" w:hAnsi="Arial"/>
          <w:sz w:val="13"/>
          <w:szCs w:val="13"/>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3"/>
          <w:szCs w:val="13"/>
          <w:b w:val="1"/>
          <w:bCs w:val="1"/>
          <w:color w:val="auto"/>
        </w:rPr>
        <w:t>Put Triggering</w:t>
      </w:r>
      <w:r>
        <w:rPr>
          <w:rFonts w:ascii="Arial" w:cs="Arial" w:eastAsia="Arial" w:hAnsi="Arial"/>
          <w:sz w:val="13"/>
          <w:szCs w:val="13"/>
          <w:color w:val="auto"/>
        </w:rPr>
        <w:t xml:space="preserve"> </w:t>
      </w:r>
      <w:r>
        <w:rPr>
          <w:rFonts w:ascii="Arial" w:cs="Arial" w:eastAsia="Arial" w:hAnsi="Arial"/>
          <w:sz w:val="13"/>
          <w:szCs w:val="13"/>
          <w:b w:val="1"/>
          <w:bCs w:val="1"/>
          <w:color w:val="auto"/>
        </w:rPr>
        <w:t>Event Redemption Notice Date</w:t>
      </w:r>
      <w:r>
        <w:rPr>
          <w:rFonts w:ascii="Arial" w:cs="Arial" w:eastAsia="Arial" w:hAnsi="Arial"/>
          <w:sz w:val="13"/>
          <w:szCs w:val="13"/>
          <w:color w:val="auto"/>
        </w:rPr>
        <w:t>") written notice thereof ("</w:t>
      </w:r>
      <w:r>
        <w:rPr>
          <w:rFonts w:ascii="Arial" w:cs="Arial" w:eastAsia="Arial" w:hAnsi="Arial"/>
          <w:sz w:val="13"/>
          <w:szCs w:val="13"/>
          <w:b w:val="1"/>
          <w:bCs w:val="1"/>
          <w:color w:val="auto"/>
        </w:rPr>
        <w:t>Put Triggering Event Redemption Notice</w:t>
      </w:r>
      <w:r>
        <w:rPr>
          <w:rFonts w:ascii="Arial" w:cs="Arial" w:eastAsia="Arial" w:hAnsi="Arial"/>
          <w:sz w:val="13"/>
          <w:szCs w:val="13"/>
          <w:color w:val="auto"/>
        </w:rPr>
        <w:t>") to the Corporation, which Put Triggering Event Redemption Notice shall indicate the</w:t>
      </w:r>
      <w:r>
        <w:rPr>
          <w:rFonts w:ascii="Arial" w:cs="Arial" w:eastAsia="Arial" w:hAnsi="Arial"/>
          <w:sz w:val="13"/>
          <w:szCs w:val="13"/>
          <w:b w:val="1"/>
          <w:bCs w:val="1"/>
          <w:color w:val="auto"/>
        </w:rPr>
        <w:t xml:space="preserve"> </w:t>
      </w:r>
      <w:r>
        <w:rPr>
          <w:rFonts w:ascii="Arial" w:cs="Arial" w:eastAsia="Arial" w:hAnsi="Arial"/>
          <w:sz w:val="13"/>
          <w:szCs w:val="13"/>
          <w:color w:val="auto"/>
        </w:rPr>
        <w:t>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3"/>
          <w:szCs w:val="13"/>
          <w:b w:val="1"/>
          <w:bCs w:val="1"/>
          <w:color w:val="auto"/>
        </w:rPr>
        <w:t>Put Triggering Event Redemption Price</w:t>
      </w:r>
      <w:r>
        <w:rPr>
          <w:rFonts w:ascii="Arial" w:cs="Arial" w:eastAsia="Arial" w:hAnsi="Arial"/>
          <w:sz w:val="13"/>
          <w:szCs w:val="13"/>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3"/>
          <w:szCs w:val="13"/>
          <w:b w:val="1"/>
          <w:bCs w:val="1"/>
          <w:color w:val="auto"/>
        </w:rPr>
        <w:t>Put Triggering Event Redemption Date</w:t>
      </w:r>
      <w:r>
        <w:rPr>
          <w:rFonts w:ascii="Arial" w:cs="Arial" w:eastAsia="Arial" w:hAnsi="Arial"/>
          <w:sz w:val="13"/>
          <w:szCs w:val="13"/>
          <w:color w:val="auto"/>
        </w:rPr>
        <w:t>"). To the extent redemptions required by this Section 5(c) are deemed or determined by a 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9" w:name="page80"/>
    <w:bookmarkEnd w:id="79"/>
    <w:p>
      <w:pPr>
        <w:jc w:val="both"/>
        <w:ind w:left="-20" w:firstLine="1613"/>
        <w:spacing w:after="0" w:line="270" w:lineRule="auto"/>
        <w:tabs>
          <w:tab w:leader="none" w:pos="2128"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Void Redemption</w:t>
      </w:r>
      <w:r>
        <w:rPr>
          <w:rFonts w:ascii="Arial" w:cs="Arial" w:eastAsia="Arial" w:hAnsi="Arial"/>
          <w:sz w:val="14"/>
          <w:szCs w:val="14"/>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4"/>
          <w:szCs w:val="14"/>
          <w:b w:val="1"/>
          <w:bCs w:val="1"/>
          <w:color w:val="auto"/>
        </w:rPr>
        <w:t>Void Redemption Notice</w:t>
      </w:r>
      <w:r>
        <w:rPr>
          <w:rFonts w:ascii="Arial" w:cs="Arial" w:eastAsia="Arial" w:hAnsi="Arial"/>
          <w:sz w:val="14"/>
          <w:szCs w:val="14"/>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 (B) 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152" w:lineRule="exact"/>
        <w:rPr>
          <w:rFonts w:ascii="Arial" w:cs="Arial" w:eastAsia="Arial" w:hAnsi="Arial"/>
          <w:sz w:val="14"/>
          <w:szCs w:val="14"/>
          <w:color w:val="auto"/>
        </w:rPr>
      </w:pPr>
    </w:p>
    <w:p>
      <w:pPr>
        <w:jc w:val="both"/>
        <w:ind w:left="-20" w:firstLine="1613"/>
        <w:spacing w:after="0" w:line="317" w:lineRule="auto"/>
        <w:tabs>
          <w:tab w:leader="none" w:pos="2142"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Disputes</w:t>
      </w:r>
      <w:r>
        <w:rPr>
          <w:rFonts w:ascii="Arial" w:cs="Arial" w:eastAsia="Arial" w:hAnsi="Arial"/>
          <w:sz w:val="13"/>
          <w:szCs w:val="13"/>
          <w:color w:val="auto"/>
        </w:rPr>
        <w:t>. In the event of a dispute as to the determination of the arithmetic calculation of the Put Triggering Event Redemption Price, such dispute shall be resolved pursuant to Section 7(e) with the term " Put Triggering Event Redemption Price "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80" w:name="page81"/>
    <w:bookmarkEnd w:id="80"/>
    <w:p>
      <w:pPr>
        <w:ind w:left="1060" w:hanging="522"/>
        <w:spacing w:after="0"/>
        <w:tabs>
          <w:tab w:leader="none" w:pos="1060"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2"/>
          <w:numId w:val="108"/>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jc w:val="both"/>
        <w:ind w:firstLine="1608"/>
        <w:spacing w:after="0" w:line="257" w:lineRule="auto"/>
        <w:tabs>
          <w:tab w:leader="none" w:pos="2260" w:val="left"/>
        </w:tabs>
        <w:numPr>
          <w:ilvl w:val="3"/>
          <w:numId w:val="1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52" w:lineRule="exact"/>
        <w:rPr>
          <w:rFonts w:ascii="Arial" w:cs="Arial" w:eastAsia="Arial" w:hAnsi="Arial"/>
          <w:sz w:val="15"/>
          <w:szCs w:val="15"/>
          <w:color w:val="auto"/>
        </w:rPr>
      </w:pPr>
    </w:p>
    <w:p>
      <w:pPr>
        <w:ind w:left="2120" w:hanging="512"/>
        <w:spacing w:after="0"/>
        <w:tabs>
          <w:tab w:leader="none" w:pos="2120" w:val="left"/>
        </w:tabs>
        <w:numPr>
          <w:ilvl w:val="3"/>
          <w:numId w:val="1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United States generally accepted accounting principles, consistently applied.</w:t>
      </w:r>
    </w:p>
    <w:p>
      <w:pPr>
        <w:spacing w:after="0" w:line="183" w:lineRule="exact"/>
        <w:rPr>
          <w:rFonts w:ascii="Arial" w:cs="Arial" w:eastAsia="Arial" w:hAnsi="Arial"/>
          <w:sz w:val="15"/>
          <w:szCs w:val="15"/>
          <w:color w:val="auto"/>
        </w:rPr>
      </w:pPr>
    </w:p>
    <w:p>
      <w:pPr>
        <w:jc w:val="both"/>
        <w:ind w:firstLine="1608"/>
        <w:spacing w:after="0" w:line="289" w:lineRule="auto"/>
        <w:tabs>
          <w:tab w:leader="none" w:pos="2268" w:val="left"/>
        </w:tabs>
        <w:numPr>
          <w:ilvl w:val="3"/>
          <w:numId w:val="10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w:t>
      </w:r>
    </w:p>
    <w:p>
      <w:pPr>
        <w:spacing w:after="0" w:line="1" w:lineRule="exact"/>
        <w:rPr>
          <w:rFonts w:ascii="Arial" w:cs="Arial" w:eastAsia="Arial" w:hAnsi="Arial"/>
          <w:sz w:val="13"/>
          <w:szCs w:val="13"/>
          <w:color w:val="auto"/>
        </w:rPr>
      </w:pPr>
    </w:p>
    <w:p>
      <w:pPr>
        <w:jc w:val="both"/>
        <w:ind w:firstLine="4"/>
        <w:spacing w:after="0" w:line="250" w:lineRule="auto"/>
        <w:tabs>
          <w:tab w:leader="none" w:pos="29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158" w:lineRule="exact"/>
        <w:rPr>
          <w:rFonts w:ascii="Arial" w:cs="Arial" w:eastAsia="Arial" w:hAnsi="Arial"/>
          <w:sz w:val="15"/>
          <w:szCs w:val="15"/>
          <w:color w:val="auto"/>
        </w:rPr>
      </w:pPr>
    </w:p>
    <w:p>
      <w:pPr>
        <w:ind w:right="40" w:firstLine="1608"/>
        <w:spacing w:after="0" w:line="275" w:lineRule="auto"/>
        <w:tabs>
          <w:tab w:leader="none" w:pos="2115" w:val="left"/>
        </w:tabs>
        <w:numPr>
          <w:ilvl w:val="3"/>
          <w:numId w:val="1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 individual, a limited liability company, a partnership, a joint venture, a corporation, a trust, an unincorporated organization, any other entity and a government or any department or agency thereof.</w:t>
      </w: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2" w:right="219" w:bottom="1440" w:gutter="0" w:footer="0" w:header="0"/>
        </w:sectPr>
      </w:pPr>
    </w:p>
    <w:bookmarkStart w:id="81" w:name="page82"/>
    <w:bookmarkEnd w:id="81"/>
    <w:p>
      <w:pPr>
        <w:jc w:val="both"/>
        <w:ind w:left="-20" w:firstLine="1613"/>
        <w:spacing w:after="0" w:line="296" w:lineRule="auto"/>
        <w:tabs>
          <w:tab w:leader="none" w:pos="2195"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3"/>
          <w:szCs w:val="13"/>
          <w:b w:val="1"/>
          <w:bCs w:val="1"/>
          <w:color w:val="auto"/>
        </w:rPr>
        <w:t>Twenty Percent Issuance</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20" w:firstLine="1613"/>
        <w:spacing w:after="0" w:line="348" w:lineRule="auto"/>
        <w:tabs>
          <w:tab w:leader="none" w:pos="2153"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Series A Preferred Stock Protective Provisions</w:t>
      </w:r>
      <w:r>
        <w:rPr>
          <w:rFonts w:ascii="Arial" w:cs="Arial" w:eastAsia="Arial" w:hAnsi="Arial"/>
          <w:sz w:val="13"/>
          <w:szCs w:val="13"/>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101" w:lineRule="exact"/>
        <w:rPr>
          <w:rFonts w:ascii="Arial" w:cs="Arial" w:eastAsia="Arial" w:hAnsi="Arial"/>
          <w:sz w:val="13"/>
          <w:szCs w:val="13"/>
          <w:color w:val="auto"/>
        </w:rPr>
      </w:pPr>
    </w:p>
    <w:p>
      <w:pPr>
        <w:ind w:left="2640" w:hanging="512"/>
        <w:spacing w:after="0"/>
        <w:tabs>
          <w:tab w:leader="none" w:pos="264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increase the authorized number of shares of Series A Preferred Stock;</w:t>
      </w:r>
    </w:p>
    <w:p>
      <w:pPr>
        <w:spacing w:after="0" w:line="183" w:lineRule="exact"/>
        <w:rPr>
          <w:rFonts w:ascii="Arial" w:cs="Arial" w:eastAsia="Arial" w:hAnsi="Arial"/>
          <w:sz w:val="15"/>
          <w:szCs w:val="15"/>
          <w:color w:val="auto"/>
        </w:rPr>
      </w:pPr>
    </w:p>
    <w:p>
      <w:pPr>
        <w:ind w:left="2660" w:hanging="532"/>
        <w:spacing w:after="0"/>
        <w:tabs>
          <w:tab w:leader="none" w:pos="26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amend, alter or repeal the preferences, special rights or other powers of the Series A Preferred Stock so as to affect adversely the Series A Preferred</w:t>
      </w:r>
    </w:p>
    <w:p>
      <w:pPr>
        <w:spacing w:after="0" w:line="38"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5"/>
          <w:szCs w:val="15"/>
          <w:color w:val="auto"/>
        </w:rPr>
        <w:t>Stock;</w:t>
      </w:r>
    </w:p>
    <w:p>
      <w:pPr>
        <w:spacing w:after="0" w:line="173" w:lineRule="exact"/>
        <w:rPr>
          <w:rFonts w:ascii="Arial" w:cs="Arial" w:eastAsia="Arial" w:hAnsi="Arial"/>
          <w:sz w:val="13"/>
          <w:szCs w:val="13"/>
          <w:color w:val="auto"/>
        </w:rPr>
      </w:pPr>
    </w:p>
    <w:p>
      <w:pPr>
        <w:jc w:val="both"/>
        <w:ind w:left="-20" w:firstLine="2148"/>
        <w:spacing w:after="0" w:line="293" w:lineRule="auto"/>
        <w:tabs>
          <w:tab w:leader="none" w:pos="265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 xml:space="preserve">on or prior to the 18th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3"/>
          <w:szCs w:val="13"/>
          <w:u w:val="single" w:color="auto"/>
          <w:color w:val="auto"/>
        </w:rPr>
        <w:t>less</w:t>
      </w:r>
      <w:r>
        <w:rPr>
          <w:rFonts w:ascii="Arial" w:cs="Arial" w:eastAsia="Arial" w:hAnsi="Arial"/>
          <w:sz w:val="13"/>
          <w:szCs w:val="13"/>
          <w:color w:val="auto"/>
        </w:rPr>
        <w:t xml:space="preserve"> the then outstanding principal amount of Vringo Notes (as defined in the Agreement and Plan of Merger, dated as of [___], 2012 (the "</w:t>
      </w:r>
      <w:r>
        <w:rPr>
          <w:rFonts w:ascii="Arial" w:cs="Arial" w:eastAsia="Arial" w:hAnsi="Arial"/>
          <w:sz w:val="13"/>
          <w:szCs w:val="13"/>
          <w:b w:val="1"/>
          <w:bCs w:val="1"/>
          <w:color w:val="auto"/>
        </w:rPr>
        <w:t>Subscription Date</w:t>
      </w:r>
      <w:r>
        <w:rPr>
          <w:rFonts w:ascii="Arial" w:cs="Arial" w:eastAsia="Arial" w:hAnsi="Arial"/>
          <w:sz w:val="13"/>
          <w:szCs w:val="13"/>
          <w:color w:val="auto"/>
        </w:rPr>
        <w:t>"), by and among Vringo, Inc., a Delaware corporation ("</w:t>
      </w:r>
      <w:r>
        <w:rPr>
          <w:rFonts w:ascii="Arial" w:cs="Arial" w:eastAsia="Arial" w:hAnsi="Arial"/>
          <w:sz w:val="13"/>
          <w:szCs w:val="13"/>
          <w:b w:val="1"/>
          <w:bCs w:val="1"/>
          <w:color w:val="auto"/>
        </w:rPr>
        <w:t>Parent</w:t>
      </w:r>
      <w:r>
        <w:rPr>
          <w:rFonts w:ascii="Arial" w:cs="Arial" w:eastAsia="Arial" w:hAnsi="Arial"/>
          <w:sz w:val="13"/>
          <w:szCs w:val="13"/>
          <w:color w:val="auto"/>
        </w:rPr>
        <w:t xml:space="preserve">"), VIP Merger Sub, Inc., a Delaware corporation and wholly owned Subsidiary of Parent, and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that the Corporation and its Subsidiaries shall be permitted to incur Indebtedness, provided,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82" w:name="page83"/>
    <w:bookmarkEnd w:id="82"/>
    <w:p>
      <w:pPr>
        <w:jc w:val="both"/>
        <w:ind w:left="-20" w:firstLine="2148"/>
        <w:spacing w:after="0" w:line="296" w:lineRule="auto"/>
        <w:tabs>
          <w:tab w:leader="none" w:pos="2648" w:val="left"/>
        </w:tabs>
        <w:numPr>
          <w:ilvl w:val="2"/>
          <w:numId w:val="111"/>
        </w:numPr>
        <w:rPr>
          <w:rFonts w:ascii="Arial" w:cs="Arial" w:eastAsia="Arial" w:hAnsi="Arial"/>
          <w:sz w:val="13"/>
          <w:szCs w:val="13"/>
          <w:color w:val="auto"/>
        </w:rPr>
      </w:pPr>
      <w:r>
        <w:rPr>
          <w:rFonts w:ascii="Arial" w:cs="Arial" w:eastAsia="Arial" w:hAnsi="Arial"/>
          <w:sz w:val="13"/>
          <w:szCs w:val="13"/>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 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135" w:lineRule="exact"/>
        <w:rPr>
          <w:rFonts w:ascii="Arial" w:cs="Arial" w:eastAsia="Arial" w:hAnsi="Arial"/>
          <w:sz w:val="13"/>
          <w:szCs w:val="13"/>
          <w:color w:val="auto"/>
        </w:rPr>
      </w:pPr>
    </w:p>
    <w:p>
      <w:pPr>
        <w:jc w:val="both"/>
        <w:ind w:left="-20" w:firstLine="1078"/>
        <w:spacing w:after="0" w:line="258" w:lineRule="auto"/>
        <w:tabs>
          <w:tab w:leader="none" w:pos="158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156" w:lineRule="exact"/>
        <w:rPr>
          <w:rFonts w:ascii="Arial" w:cs="Arial" w:eastAsia="Arial" w:hAnsi="Arial"/>
          <w:sz w:val="15"/>
          <w:szCs w:val="15"/>
          <w:color w:val="auto"/>
        </w:rPr>
      </w:pPr>
    </w:p>
    <w:p>
      <w:pPr>
        <w:ind w:left="2120" w:hanging="527"/>
        <w:spacing w:after="0"/>
        <w:tabs>
          <w:tab w:leader="none" w:pos="2120"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ind w:left="2640" w:hanging="512"/>
        <w:spacing w:after="0"/>
        <w:tabs>
          <w:tab w:leader="none" w:pos="264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Bloomberg</w:t>
      </w:r>
      <w:r>
        <w:rPr>
          <w:rFonts w:ascii="Arial" w:cs="Arial" w:eastAsia="Arial" w:hAnsi="Arial"/>
          <w:sz w:val="15"/>
          <w:szCs w:val="15"/>
          <w:color w:val="auto"/>
        </w:rPr>
        <w:t>" means Bloomberg Financial Markets.</w:t>
      </w:r>
    </w:p>
    <w:p>
      <w:pPr>
        <w:spacing w:after="0" w:line="184" w:lineRule="exact"/>
        <w:rPr>
          <w:sz w:val="20"/>
          <w:szCs w:val="20"/>
          <w:color w:val="auto"/>
        </w:rPr>
      </w:pPr>
    </w:p>
    <w:p>
      <w:pPr>
        <w:ind w:left="2640" w:hanging="512"/>
        <w:spacing w:after="0"/>
        <w:tabs>
          <w:tab w:leader="none" w:pos="26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Amount</w:t>
      </w:r>
      <w:r>
        <w:rPr>
          <w:rFonts w:ascii="Arial" w:cs="Arial" w:eastAsia="Arial" w:hAnsi="Arial"/>
          <w:sz w:val="15"/>
          <w:szCs w:val="15"/>
          <w:color w:val="auto"/>
        </w:rPr>
        <w:t>" means the Stated Value.</w:t>
      </w:r>
    </w:p>
    <w:p>
      <w:pPr>
        <w:spacing w:after="0" w:line="183" w:lineRule="exact"/>
        <w:rPr>
          <w:rFonts w:ascii="Arial" w:cs="Arial" w:eastAsia="Arial" w:hAnsi="Arial"/>
          <w:sz w:val="15"/>
          <w:szCs w:val="15"/>
          <w:color w:val="auto"/>
        </w:rPr>
      </w:pPr>
    </w:p>
    <w:p>
      <w:pPr>
        <w:ind w:left="2640" w:hanging="512"/>
        <w:spacing w:after="0"/>
        <w:tabs>
          <w:tab w:leader="none" w:pos="26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Price</w:t>
      </w:r>
      <w:r>
        <w:rPr>
          <w:rFonts w:ascii="Arial" w:cs="Arial" w:eastAsia="Arial" w:hAnsi="Arial"/>
          <w:sz w:val="15"/>
          <w:szCs w:val="15"/>
          <w:color w:val="auto"/>
        </w:rPr>
        <w:t>" means $.33138918, subject to adjustment as provided herein.</w:t>
      </w:r>
    </w:p>
    <w:p>
      <w:pPr>
        <w:spacing w:after="0" w:line="183" w:lineRule="exact"/>
        <w:rPr>
          <w:rFonts w:ascii="Arial" w:cs="Arial" w:eastAsia="Arial" w:hAnsi="Arial"/>
          <w:sz w:val="15"/>
          <w:szCs w:val="15"/>
          <w:color w:val="auto"/>
        </w:rPr>
      </w:pPr>
    </w:p>
    <w:p>
      <w:pPr>
        <w:ind w:left="2700" w:hanging="572"/>
        <w:spacing w:after="0"/>
        <w:tabs>
          <w:tab w:leader="none" w:pos="27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with respect to the Corporation, any entity in which the Corporation, directly or indirectly, owns any of the capital stock or</w:t>
      </w:r>
    </w:p>
    <w:p>
      <w:pPr>
        <w:spacing w:after="0" w:line="4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5"/>
          <w:szCs w:val="15"/>
          <w:color w:val="auto"/>
        </w:rPr>
        <w:t>holds an equity or similar interest.</w:t>
      </w:r>
    </w:p>
    <w:p>
      <w:pPr>
        <w:spacing w:after="0" w:line="169" w:lineRule="exact"/>
        <w:rPr>
          <w:rFonts w:ascii="Arial" w:cs="Arial" w:eastAsia="Arial" w:hAnsi="Arial"/>
          <w:sz w:val="13"/>
          <w:szCs w:val="13"/>
          <w:color w:val="auto"/>
        </w:rPr>
      </w:pPr>
    </w:p>
    <w:p>
      <w:pPr>
        <w:jc w:val="both"/>
        <w:ind w:left="520" w:firstLine="1608"/>
        <w:spacing w:after="0" w:line="270" w:lineRule="auto"/>
        <w:tabs>
          <w:tab w:leader="none" w:pos="273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Weighted Average Price</w:t>
      </w:r>
      <w:r>
        <w:rPr>
          <w:rFonts w:ascii="Arial" w:cs="Arial" w:eastAsia="Arial" w:hAnsi="Arial"/>
          <w:sz w:val="14"/>
          <w:szCs w:val="14"/>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83" w:name="page84"/>
    <w:bookmarkEnd w:id="83"/>
    <w:p>
      <w:pPr>
        <w:ind w:left="-20" w:firstLine="1613"/>
        <w:spacing w:after="0" w:line="269" w:lineRule="auto"/>
        <w:tabs>
          <w:tab w:leader="none" w:pos="2139"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5"/>
          <w:szCs w:val="15"/>
          <w:b w:val="1"/>
          <w:bCs w:val="1"/>
          <w:color w:val="auto"/>
        </w:rPr>
        <w:t>Conversion Rate</w:t>
      </w:r>
      <w:r>
        <w:rPr>
          <w:rFonts w:ascii="Arial" w:cs="Arial" w:eastAsia="Arial" w:hAnsi="Arial"/>
          <w:sz w:val="15"/>
          <w:szCs w:val="15"/>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Conversion Amount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Conversion Price</w:t>
      </w:r>
    </w:p>
    <w:p>
      <w:pPr>
        <w:spacing w:after="0" w:line="174" w:lineRule="exact"/>
        <w:rPr>
          <w:sz w:val="20"/>
          <w:szCs w:val="20"/>
          <w:color w:val="auto"/>
        </w:rPr>
      </w:pPr>
    </w:p>
    <w:p>
      <w:pPr>
        <w:ind w:left="1060"/>
        <w:spacing w:after="0" w:line="269" w:lineRule="auto"/>
        <w:rPr>
          <w:sz w:val="20"/>
          <w:szCs w:val="20"/>
          <w:color w:val="auto"/>
        </w:rPr>
      </w:pPr>
      <w:r>
        <w:rPr>
          <w:rFonts w:ascii="Arial" w:cs="Arial" w:eastAsia="Arial" w:hAnsi="Arial"/>
          <w:sz w:val="15"/>
          <w:szCs w:val="15"/>
          <w:color w:val="auto"/>
        </w:rPr>
        <w:t>No fractional shares of Common Stock are to be issued upon the conversion of any Series A Preferred Stock, but rather the number of shares of Common Stock to be issued shall be rounded up to the nearest whole number.</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applicable Conversion Rate and Conversion Price from time to time in effect is subject to adjustment as hereinafter provided.</w:t>
      </w:r>
    </w:p>
    <w:p>
      <w:pPr>
        <w:spacing w:after="0" w:line="184" w:lineRule="exact"/>
        <w:rPr>
          <w:sz w:val="20"/>
          <w:szCs w:val="20"/>
          <w:color w:val="auto"/>
        </w:rPr>
      </w:pPr>
    </w:p>
    <w:p>
      <w:pPr>
        <w:ind w:left="2120" w:hanging="527"/>
        <w:spacing w:after="0"/>
        <w:tabs>
          <w:tab w:leader="none" w:pos="2120"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 The conversion of Series A Preferred Stock shall be conducted in the following manner:</w:t>
      </w:r>
    </w:p>
    <w:p>
      <w:pPr>
        <w:spacing w:after="0" w:line="179" w:lineRule="exact"/>
        <w:rPr>
          <w:rFonts w:ascii="Arial" w:cs="Arial" w:eastAsia="Arial" w:hAnsi="Arial"/>
          <w:sz w:val="15"/>
          <w:szCs w:val="15"/>
          <w:color w:val="auto"/>
        </w:rPr>
      </w:pPr>
    </w:p>
    <w:p>
      <w:pPr>
        <w:jc w:val="both"/>
        <w:ind w:left="520" w:firstLine="1608"/>
        <w:spacing w:after="0" w:line="273" w:lineRule="auto"/>
        <w:tabs>
          <w:tab w:leader="none" w:pos="2635" w:val="left"/>
        </w:tabs>
        <w:numPr>
          <w:ilvl w:val="1"/>
          <w:numId w:val="115"/>
        </w:numPr>
        <w:rPr>
          <w:rFonts w:ascii="Arial" w:cs="Arial" w:eastAsia="Arial" w:hAnsi="Arial"/>
          <w:sz w:val="14"/>
          <w:szCs w:val="14"/>
          <w:color w:val="auto"/>
        </w:rPr>
      </w:pPr>
      <w:r>
        <w:rPr>
          <w:rFonts w:ascii="Arial" w:cs="Arial" w:eastAsia="Arial" w:hAnsi="Arial"/>
          <w:sz w:val="14"/>
          <w:szCs w:val="14"/>
          <w:u w:val="single" w:color="auto"/>
          <w:color w:val="auto"/>
        </w:rPr>
        <w:t>Holder's Delivery Requirements</w:t>
      </w:r>
      <w:r>
        <w:rPr>
          <w:rFonts w:ascii="Arial" w:cs="Arial" w:eastAsia="Arial" w:hAnsi="Arial"/>
          <w:sz w:val="14"/>
          <w:szCs w:val="14"/>
          <w:color w:val="auto"/>
        </w:rPr>
        <w:t>. To convert Series A Preferred Stock into shares of Common Stock on any date (a "</w:t>
      </w:r>
      <w:r>
        <w:rPr>
          <w:rFonts w:ascii="Arial" w:cs="Arial" w:eastAsia="Arial" w:hAnsi="Arial"/>
          <w:sz w:val="14"/>
          <w:szCs w:val="14"/>
          <w:b w:val="1"/>
          <w:bCs w:val="1"/>
          <w:color w:val="auto"/>
        </w:rPr>
        <w:t>Conversion Date</w:t>
      </w:r>
      <w:r>
        <w:rPr>
          <w:rFonts w:ascii="Arial" w:cs="Arial" w:eastAsia="Arial" w:hAnsi="Arial"/>
          <w:sz w:val="14"/>
          <w:szCs w:val="14"/>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(the "</w:t>
      </w:r>
      <w:r>
        <w:rPr>
          <w:rFonts w:ascii="Arial" w:cs="Arial" w:eastAsia="Arial" w:hAnsi="Arial"/>
          <w:sz w:val="14"/>
          <w:szCs w:val="14"/>
          <w:b w:val="1"/>
          <w:bCs w:val="1"/>
          <w:color w:val="auto"/>
        </w:rPr>
        <w:t>Conversion Notice</w:t>
      </w:r>
      <w:r>
        <w:rPr>
          <w:rFonts w:ascii="Arial" w:cs="Arial" w:eastAsia="Arial" w:hAnsi="Arial"/>
          <w:sz w:val="14"/>
          <w:szCs w:val="14"/>
          <w:color w:val="auto"/>
        </w:rPr>
        <w:t>") to the Corporation and if the Corporation has appointed a registered transfer agent, the Corporations registered transfer agent (the "</w:t>
      </w:r>
      <w:r>
        <w:rPr>
          <w:rFonts w:ascii="Arial" w:cs="Arial" w:eastAsia="Arial" w:hAnsi="Arial"/>
          <w:sz w:val="14"/>
          <w:szCs w:val="14"/>
          <w:b w:val="1"/>
          <w:bCs w:val="1"/>
          <w:color w:val="auto"/>
        </w:rPr>
        <w:t>Transfer Agent</w:t>
      </w:r>
      <w:r>
        <w:rPr>
          <w:rFonts w:ascii="Arial" w:cs="Arial" w:eastAsia="Arial" w:hAnsi="Arial"/>
          <w:sz w:val="14"/>
          <w:szCs w:val="14"/>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4"/>
          <w:szCs w:val="14"/>
          <w:b w:val="1"/>
          <w:bCs w:val="1"/>
          <w:color w:val="auto"/>
        </w:rPr>
        <w:t>Preferred Stock Certificates</w:t>
      </w:r>
      <w:r>
        <w:rPr>
          <w:rFonts w:ascii="Arial" w:cs="Arial" w:eastAsia="Arial" w:hAnsi="Arial"/>
          <w:sz w:val="14"/>
          <w:szCs w:val="14"/>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84" w:name="page85"/>
    <w:bookmarkEnd w:id="84"/>
    <w:p>
      <w:pPr>
        <w:jc w:val="both"/>
        <w:ind w:firstLine="1608"/>
        <w:spacing w:after="0" w:line="273" w:lineRule="auto"/>
        <w:tabs>
          <w:tab w:leader="none" w:pos="2130"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Corporation's Response</w:t>
      </w:r>
      <w:r>
        <w:rPr>
          <w:rFonts w:ascii="Arial" w:cs="Arial" w:eastAsia="Arial" w:hAnsi="Arial"/>
          <w:sz w:val="14"/>
          <w:szCs w:val="14"/>
          <w:color w:val="auto"/>
        </w:rPr>
        <w:t>. Upon receipt by the Corporation of a copy of a Conversion Notice, the Corporation shall (A) as soon as practicable, but in any event within two (2) Trading Days, send, via facsimile, a confirmation of receipt of such Conversion Notice to such Holder and the Transfer Agent, if applicable, which</w:t>
      </w:r>
    </w:p>
    <w:p>
      <w:pPr>
        <w:jc w:val="both"/>
        <w:spacing w:after="0" w:line="270" w:lineRule="auto"/>
        <w:rPr>
          <w:sz w:val="20"/>
          <w:szCs w:val="20"/>
          <w:color w:val="auto"/>
        </w:rPr>
      </w:pPr>
      <w:r>
        <w:rPr>
          <w:rFonts w:ascii="Arial" w:cs="Arial" w:eastAsia="Arial" w:hAnsi="Arial"/>
          <w:sz w:val="13"/>
          <w:szCs w:val="13"/>
          <w:color w:val="auto"/>
        </w:rPr>
        <w:t>confirmation shall constitute an instruction to the Transfer Agent to process such Conversion Notice in accordance with the terms herein and (B) on or before the third (3</w:t>
      </w:r>
      <w:r>
        <w:rPr>
          <w:rFonts w:ascii="Arial" w:cs="Arial" w:eastAsia="Arial" w:hAnsi="Arial"/>
          <w:sz w:val="21"/>
          <w:szCs w:val="21"/>
          <w:color w:val="auto"/>
          <w:vertAlign w:val="superscript"/>
        </w:rPr>
        <w:t>rd</w:t>
      </w:r>
      <w:r>
        <w:rPr>
          <w:rFonts w:ascii="Arial" w:cs="Arial" w:eastAsia="Arial" w:hAnsi="Arial"/>
          <w:sz w:val="13"/>
          <w:szCs w:val="13"/>
          <w:color w:val="auto"/>
        </w:rPr>
        <w:t>) Trading Day following the date of receipt by the Corporation of such Conversion Notice (the "</w:t>
      </w:r>
      <w:r>
        <w:rPr>
          <w:rFonts w:ascii="Arial" w:cs="Arial" w:eastAsia="Arial" w:hAnsi="Arial"/>
          <w:sz w:val="13"/>
          <w:szCs w:val="13"/>
          <w:b w:val="1"/>
          <w:bCs w:val="1"/>
          <w:color w:val="auto"/>
        </w:rPr>
        <w:t>Share Delivery Date</w:t>
      </w:r>
      <w:r>
        <w:rPr>
          <w:rFonts w:ascii="Arial" w:cs="Arial" w:eastAsia="Arial" w:hAnsi="Arial"/>
          <w:sz w:val="13"/>
          <w:szCs w:val="13"/>
          <w:color w:val="auto"/>
        </w:rPr>
        <w:t>"),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w:t>
      </w:r>
    </w:p>
    <w:p>
      <w:pPr>
        <w:ind w:firstLine="4"/>
        <w:spacing w:after="0" w:line="255" w:lineRule="auto"/>
        <w:tabs>
          <w:tab w:leader="none" w:pos="2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Business Days after receipt of the Preferred Stock Certificate(s) (the "</w:t>
      </w:r>
      <w:r>
        <w:rPr>
          <w:rFonts w:ascii="Arial" w:cs="Arial" w:eastAsia="Arial" w:hAnsi="Arial"/>
          <w:sz w:val="15"/>
          <w:szCs w:val="15"/>
          <w:b w:val="1"/>
          <w:bCs w:val="1"/>
          <w:color w:val="auto"/>
        </w:rPr>
        <w:t>Preferred Stock Delivery Date</w:t>
      </w:r>
      <w:r>
        <w:rPr>
          <w:rFonts w:ascii="Arial" w:cs="Arial" w:eastAsia="Arial" w:hAnsi="Arial"/>
          <w:sz w:val="15"/>
          <w:szCs w:val="15"/>
          <w:color w:val="auto"/>
        </w:rPr>
        <w:t>") and at its own expense, issue and deliver to the Holder a new Preferred Stock Certificate representing the number of shares of Series A Preferred Stock not converted.</w:t>
      </w:r>
    </w:p>
    <w:p>
      <w:pPr>
        <w:spacing w:after="0" w:line="158" w:lineRule="exact"/>
        <w:rPr>
          <w:rFonts w:ascii="Arial" w:cs="Arial" w:eastAsia="Arial" w:hAnsi="Arial"/>
          <w:sz w:val="15"/>
          <w:szCs w:val="15"/>
          <w:color w:val="auto"/>
        </w:rPr>
      </w:pPr>
    </w:p>
    <w:p>
      <w:pPr>
        <w:ind w:left="2120" w:hanging="512"/>
        <w:spacing w:after="0"/>
        <w:tabs>
          <w:tab w:leader="none" w:pos="2120"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Corporation's Failure to Timely Convert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80" w:firstLine="1062"/>
        <w:spacing w:after="0" w:line="291" w:lineRule="auto"/>
        <w:tabs>
          <w:tab w:leader="none" w:pos="2879" w:val="left"/>
        </w:tabs>
        <w:numPr>
          <w:ilvl w:val="2"/>
          <w:numId w:val="117"/>
        </w:numPr>
        <w:rPr>
          <w:rFonts w:ascii="Arial" w:cs="Arial" w:eastAsia="Arial" w:hAnsi="Arial"/>
          <w:sz w:val="13"/>
          <w:szCs w:val="13"/>
          <w:color w:val="auto"/>
        </w:rPr>
      </w:pPr>
      <w:r>
        <w:rPr>
          <w:rFonts w:ascii="Arial" w:cs="Arial" w:eastAsia="Arial" w:hAnsi="Arial"/>
          <w:sz w:val="13"/>
          <w:szCs w:val="13"/>
          <w:u w:val="single" w:color="auto"/>
          <w:color w:val="auto"/>
        </w:rPr>
        <w:t>Cash Damages</w:t>
      </w:r>
      <w:r>
        <w:rPr>
          <w:rFonts w:ascii="Arial" w:cs="Arial" w:eastAsia="Arial" w:hAnsi="Arial"/>
          <w:sz w:val="13"/>
          <w:szCs w:val="13"/>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3"/>
          <w:szCs w:val="13"/>
          <w:b w:val="1"/>
          <w:bCs w:val="1"/>
          <w:color w:val="auto"/>
        </w:rPr>
        <w:t>Conversion Failure</w:t>
      </w:r>
      <w:r>
        <w:rPr>
          <w:rFonts w:ascii="Arial" w:cs="Arial" w:eastAsia="Arial" w:hAnsi="Arial"/>
          <w:sz w:val="13"/>
          <w:szCs w:val="13"/>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3"/>
          <w:szCs w:val="13"/>
          <w:b w:val="1"/>
          <w:bCs w:val="1"/>
          <w:color w:val="auto"/>
        </w:rPr>
        <w:t>Buy-In</w:t>
      </w:r>
      <w:r>
        <w:rPr>
          <w:rFonts w:ascii="Arial" w:cs="Arial" w:eastAsia="Arial" w:hAnsi="Arial"/>
          <w:sz w:val="13"/>
          <w:szCs w:val="13"/>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3"/>
          <w:szCs w:val="13"/>
          <w:b w:val="1"/>
          <w:bCs w:val="1"/>
          <w:color w:val="auto"/>
        </w:rPr>
        <w:t>Buy-In Price</w:t>
      </w:r>
      <w:r>
        <w:rPr>
          <w:rFonts w:ascii="Arial" w:cs="Arial" w:eastAsia="Arial" w:hAnsi="Arial"/>
          <w:sz w:val="13"/>
          <w:szCs w:val="13"/>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32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5" w:name="page86"/>
    <w:bookmarkEnd w:id="85"/>
    <w:p>
      <w:pPr>
        <w:ind w:left="2700" w:hanging="558"/>
        <w:spacing w:after="0"/>
        <w:tabs>
          <w:tab w:leader="none" w:pos="2700"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Void Conversion Notice; Adjustment of Conversion Price</w:t>
      </w:r>
      <w:r>
        <w:rPr>
          <w:rFonts w:ascii="Arial" w:cs="Arial" w:eastAsia="Arial" w:hAnsi="Arial"/>
          <w:sz w:val="13"/>
          <w:szCs w:val="13"/>
          <w:color w:val="auto"/>
        </w:rPr>
        <w:t>. If for any reason a Holder has not received all of the shares of Common Stock</w:t>
      </w:r>
    </w:p>
    <w:p>
      <w:pPr>
        <w:spacing w:after="0" w:line="39" w:lineRule="exact"/>
        <w:rPr>
          <w:sz w:val="20"/>
          <w:szCs w:val="20"/>
          <w:color w:val="auto"/>
        </w:rPr>
      </w:pPr>
    </w:p>
    <w:p>
      <w:pPr>
        <w:jc w:val="both"/>
        <w:ind w:left="1080"/>
        <w:spacing w:after="0" w:line="229" w:lineRule="auto"/>
        <w:rPr>
          <w:sz w:val="20"/>
          <w:szCs w:val="20"/>
          <w:color w:val="auto"/>
        </w:rPr>
      </w:pPr>
      <w:r>
        <w:rPr>
          <w:rFonts w:ascii="Arial" w:cs="Arial" w:eastAsia="Arial" w:hAnsi="Arial"/>
          <w:sz w:val="15"/>
          <w:szCs w:val="15"/>
          <w:color w:val="auto"/>
        </w:rPr>
        <w:t>to which such Holder is entitled prior to the tenth (10</w:t>
      </w:r>
      <w:r>
        <w:rPr>
          <w:rFonts w:ascii="Arial" w:cs="Arial" w:eastAsia="Arial" w:hAnsi="Arial"/>
          <w:sz w:val="24"/>
          <w:szCs w:val="24"/>
          <w:color w:val="auto"/>
          <w:vertAlign w:val="superscript"/>
        </w:rPr>
        <w:t>th</w:t>
      </w:r>
      <w:r>
        <w:rPr>
          <w:rFonts w:ascii="Arial" w:cs="Arial" w:eastAsia="Arial" w:hAnsi="Arial"/>
          <w:sz w:val="15"/>
          <w:szCs w:val="15"/>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171" w:lineRule="exact"/>
        <w:rPr>
          <w:sz w:val="20"/>
          <w:szCs w:val="20"/>
          <w:color w:val="auto"/>
        </w:rPr>
      </w:pPr>
    </w:p>
    <w:p>
      <w:pPr>
        <w:jc w:val="both"/>
        <w:ind w:firstLine="1541"/>
        <w:spacing w:after="0" w:line="290" w:lineRule="auto"/>
        <w:tabs>
          <w:tab w:leader="none" w:pos="2115"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Book-Entry</w:t>
      </w:r>
      <w:r>
        <w:rPr>
          <w:rFonts w:ascii="Arial" w:cs="Arial" w:eastAsia="Arial" w:hAnsi="Arial"/>
          <w:sz w:val="13"/>
          <w:szCs w:val="13"/>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144" w:lineRule="exact"/>
        <w:rPr>
          <w:sz w:val="20"/>
          <w:szCs w:val="20"/>
          <w:color w:val="auto"/>
        </w:rPr>
      </w:pPr>
    </w:p>
    <w:p>
      <w:pPr>
        <w:jc w:val="both"/>
        <w:ind w:left="1600"/>
        <w:spacing w:after="0" w:line="273" w:lineRule="auto"/>
        <w:rPr>
          <w:sz w:val="20"/>
          <w:szCs w:val="20"/>
          <w:color w:val="auto"/>
        </w:rPr>
      </w:pPr>
      <w:r>
        <w:rPr>
          <w:rFonts w:ascii="Arial" w:cs="Arial" w:eastAsia="Arial" w:hAnsi="Arial"/>
          <w:sz w:val="14"/>
          <w:szCs w:val="14"/>
          <w:color w:val="auto"/>
        </w:rPr>
        <w:t>ANY TRANSFEREE OF THIS CERTIFICATE SHOULD CAREFULLY REVIEW THE TERMS OF THE CORPORATION'S CERTIFICATE OF DESIGNATIONS RELATING TO THE SERIES A PREFERRED STOCK REPRESENTED BY THIS CERTIFICATE, INCLUDING SECTION 7(c)(iv)</w:t>
      </w:r>
    </w:p>
    <w:p>
      <w:pPr>
        <w:jc w:val="both"/>
        <w:ind w:left="1600"/>
        <w:spacing w:after="0" w:line="278" w:lineRule="auto"/>
        <w:rPr>
          <w:sz w:val="20"/>
          <w:szCs w:val="20"/>
          <w:color w:val="auto"/>
        </w:rPr>
      </w:pPr>
      <w:r>
        <w:rPr>
          <w:rFonts w:ascii="Arial" w:cs="Arial" w:eastAsia="Arial" w:hAnsi="Arial"/>
          <w:sz w:val="14"/>
          <w:szCs w:val="14"/>
          <w:color w:val="auto"/>
        </w:rPr>
        <w:t>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6" w:name="page87"/>
    <w:bookmarkEnd w:id="86"/>
    <w:p>
      <w:pPr>
        <w:ind w:left="1620" w:hanging="547"/>
        <w:spacing w:after="0"/>
        <w:tabs>
          <w:tab w:leader="none" w:pos="1620"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Reservation of Shares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608"/>
        <w:spacing w:after="0" w:line="268" w:lineRule="auto"/>
        <w:tabs>
          <w:tab w:leader="none" w:pos="217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4"/>
          <w:szCs w:val="14"/>
          <w:b w:val="1"/>
          <w:bCs w:val="1"/>
          <w:color w:val="auto"/>
        </w:rPr>
        <w:t>Required Reserve Amount</w:t>
      </w:r>
      <w:r>
        <w:rPr>
          <w:rFonts w:ascii="Arial" w:cs="Arial" w:eastAsia="Arial" w:hAnsi="Arial"/>
          <w:sz w:val="14"/>
          <w:szCs w:val="14"/>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4"/>
          <w:szCs w:val="14"/>
          <w:b w:val="1"/>
          <w:bCs w:val="1"/>
          <w:color w:val="auto"/>
        </w:rPr>
        <w:t>Authorized Share Allocation</w:t>
      </w:r>
      <w:r>
        <w:rPr>
          <w:rFonts w:ascii="Arial" w:cs="Arial" w:eastAsia="Arial" w:hAnsi="Arial"/>
          <w:sz w:val="14"/>
          <w:szCs w:val="14"/>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156" w:lineRule="exact"/>
        <w:rPr>
          <w:rFonts w:ascii="Arial" w:cs="Arial" w:eastAsia="Arial" w:hAnsi="Arial"/>
          <w:sz w:val="14"/>
          <w:szCs w:val="14"/>
          <w:color w:val="auto"/>
        </w:rPr>
      </w:pPr>
    </w:p>
    <w:p>
      <w:pPr>
        <w:jc w:val="both"/>
        <w:ind w:firstLine="1608"/>
        <w:spacing w:after="0" w:line="294" w:lineRule="auto"/>
        <w:tabs>
          <w:tab w:leader="none" w:pos="2165" w:val="left"/>
        </w:tabs>
        <w:numPr>
          <w:ilvl w:val="1"/>
          <w:numId w:val="120"/>
        </w:numPr>
        <w:rPr>
          <w:rFonts w:ascii="Arial" w:cs="Arial" w:eastAsia="Arial" w:hAnsi="Arial"/>
          <w:sz w:val="13"/>
          <w:szCs w:val="13"/>
          <w:color w:val="auto"/>
        </w:rPr>
      </w:pPr>
      <w:r>
        <w:rPr>
          <w:rFonts w:ascii="Arial" w:cs="Arial" w:eastAsia="Arial" w:hAnsi="Arial"/>
          <w:sz w:val="13"/>
          <w:szCs w:val="13"/>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3"/>
          <w:szCs w:val="13"/>
          <w:b w:val="1"/>
          <w:bCs w:val="1"/>
          <w:color w:val="auto"/>
        </w:rPr>
        <w:t>Authorized Share Failure</w:t>
      </w:r>
      <w:r>
        <w:rPr>
          <w:rFonts w:ascii="Arial" w:cs="Arial" w:eastAsia="Arial" w:hAnsi="Arial"/>
          <w:sz w:val="13"/>
          <w:szCs w:val="13"/>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31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7" w:name="page88"/>
    <w:bookmarkEnd w:id="87"/>
    <w:p>
      <w:pPr>
        <w:jc w:val="both"/>
        <w:ind w:firstLine="1613"/>
        <w:spacing w:after="0" w:line="271" w:lineRule="auto"/>
        <w:tabs>
          <w:tab w:leader="none" w:pos="2162"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49" w:lineRule="exact"/>
        <w:rPr>
          <w:rFonts w:ascii="Arial" w:cs="Arial" w:eastAsia="Arial" w:hAnsi="Arial"/>
          <w:sz w:val="14"/>
          <w:szCs w:val="14"/>
          <w:color w:val="auto"/>
        </w:rPr>
      </w:pPr>
    </w:p>
    <w:p>
      <w:pPr>
        <w:ind w:firstLine="1613"/>
        <w:spacing w:after="0" w:line="269" w:lineRule="auto"/>
        <w:tabs>
          <w:tab w:leader="none" w:pos="2234"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Record Holder</w:t>
      </w:r>
      <w:r>
        <w:rPr>
          <w:rFonts w:ascii="Arial" w:cs="Arial" w:eastAsia="Arial" w:hAnsi="Arial"/>
          <w:sz w:val="15"/>
          <w:szCs w:val="15"/>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147" w:lineRule="exact"/>
        <w:rPr>
          <w:rFonts w:ascii="Arial" w:cs="Arial" w:eastAsia="Arial" w:hAnsi="Arial"/>
          <w:sz w:val="15"/>
          <w:szCs w:val="15"/>
          <w:color w:val="auto"/>
        </w:rPr>
      </w:pPr>
    </w:p>
    <w:p>
      <w:pPr>
        <w:jc w:val="both"/>
        <w:ind w:firstLine="1613"/>
        <w:spacing w:after="0" w:line="253" w:lineRule="auto"/>
        <w:tabs>
          <w:tab w:leader="none" w:pos="2148"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Effect of Conversion</w:t>
      </w:r>
      <w:r>
        <w:rPr>
          <w:rFonts w:ascii="Arial" w:cs="Arial" w:eastAsia="Arial" w:hAnsi="Arial"/>
          <w:sz w:val="15"/>
          <w:szCs w:val="15"/>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160" w:lineRule="exact"/>
        <w:rPr>
          <w:rFonts w:ascii="Arial" w:cs="Arial" w:eastAsia="Arial" w:hAnsi="Arial"/>
          <w:sz w:val="15"/>
          <w:szCs w:val="15"/>
          <w:color w:val="auto"/>
        </w:rPr>
      </w:pPr>
    </w:p>
    <w:p>
      <w:pPr>
        <w:jc w:val="both"/>
        <w:ind w:firstLine="1613"/>
        <w:spacing w:after="0" w:line="275" w:lineRule="auto"/>
        <w:tabs>
          <w:tab w:leader="none" w:pos="215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Transfer Taxes</w:t>
      </w:r>
      <w:r>
        <w:rPr>
          <w:rFonts w:ascii="Arial" w:cs="Arial" w:eastAsia="Arial" w:hAnsi="Arial"/>
          <w:sz w:val="14"/>
          <w:szCs w:val="14"/>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88" w:name="page89"/>
    <w:bookmarkEnd w:id="88"/>
    <w:p>
      <w:pPr>
        <w:jc w:val="both"/>
        <w:ind w:firstLine="1613"/>
        <w:spacing w:after="0" w:line="288" w:lineRule="auto"/>
        <w:tabs>
          <w:tab w:leader="none" w:pos="2115"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Maximum Percentage</w:t>
      </w:r>
      <w:r>
        <w:rPr>
          <w:rFonts w:ascii="Arial" w:cs="Arial" w:eastAsia="Arial" w:hAnsi="Arial"/>
          <w:sz w:val="13"/>
          <w:szCs w:val="13"/>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3"/>
          <w:szCs w:val="13"/>
          <w:b w:val="1"/>
          <w:bCs w:val="1"/>
          <w:color w:val="auto"/>
        </w:rPr>
        <w:t>Maximum Percentage</w:t>
      </w:r>
      <w:r>
        <w:rPr>
          <w:rFonts w:ascii="Arial" w:cs="Arial" w:eastAsia="Arial" w:hAnsi="Arial"/>
          <w:sz w:val="13"/>
          <w:szCs w:val="13"/>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 (1) 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 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 sixty-first (61st)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3"/>
          <w:szCs w:val="13"/>
          <w:b w:val="1"/>
          <w:bCs w:val="1"/>
          <w:color w:val="auto"/>
        </w:rPr>
        <w:t>Limited Shares</w:t>
      </w:r>
      <w:r>
        <w:rPr>
          <w:rFonts w:ascii="Arial" w:cs="Arial" w:eastAsia="Arial" w:hAnsi="Arial"/>
          <w:sz w:val="13"/>
          <w:szCs w:val="13"/>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89" w:name="page90"/>
    <w:bookmarkEnd w:id="89"/>
    <w:p>
      <w:pPr>
        <w:ind w:left="1060" w:hanging="522"/>
        <w:spacing w:after="0"/>
        <w:tabs>
          <w:tab w:leader="none" w:pos="1060" w:val="left"/>
        </w:tabs>
        <w:numPr>
          <w:ilvl w:val="0"/>
          <w:numId w:val="123"/>
        </w:numPr>
        <w:rPr>
          <w:rFonts w:ascii="Arial" w:cs="Arial" w:eastAsia="Arial" w:hAnsi="Arial"/>
          <w:sz w:val="15"/>
          <w:szCs w:val="15"/>
          <w:color w:val="auto"/>
        </w:rPr>
      </w:pPr>
      <w:r>
        <w:rPr>
          <w:rFonts w:ascii="Arial" w:cs="Arial" w:eastAsia="Arial" w:hAnsi="Arial"/>
          <w:sz w:val="15"/>
          <w:szCs w:val="15"/>
          <w:u w:val="single" w:color="auto"/>
          <w:color w:val="auto"/>
        </w:rPr>
        <w:t>Anti-Dilution Provisions</w:t>
      </w:r>
      <w:r>
        <w:rPr>
          <w:rFonts w:ascii="Arial" w:cs="Arial" w:eastAsia="Arial" w:hAnsi="Arial"/>
          <w:sz w:val="15"/>
          <w:szCs w:val="15"/>
          <w:color w:val="auto"/>
        </w:rPr>
        <w:t>. The Conversion Price shall be subject to adjustment from time to time in accordance with this Section 8.</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1"/>
          <w:numId w:val="123"/>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jc w:val="both"/>
        <w:ind w:firstLine="1608"/>
        <w:spacing w:after="0" w:line="270" w:lineRule="auto"/>
        <w:tabs>
          <w:tab w:leader="none" w:pos="2182" w:val="left"/>
        </w:tabs>
        <w:numPr>
          <w:ilvl w:val="2"/>
          <w:numId w:val="1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149" w:lineRule="exact"/>
        <w:rPr>
          <w:rFonts w:ascii="Arial" w:cs="Arial" w:eastAsia="Arial" w:hAnsi="Arial"/>
          <w:sz w:val="14"/>
          <w:szCs w:val="14"/>
          <w:color w:val="auto"/>
        </w:rPr>
      </w:pPr>
    </w:p>
    <w:p>
      <w:pPr>
        <w:ind w:left="2160" w:hanging="552"/>
        <w:spacing w:after="0"/>
        <w:tabs>
          <w:tab w:leader="none" w:pos="2160" w:val="left"/>
        </w:tabs>
        <w:numPr>
          <w:ilvl w:val="2"/>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Convertible Securities</w:t>
      </w:r>
      <w:r>
        <w:rPr>
          <w:rFonts w:ascii="Arial" w:cs="Arial" w:eastAsia="Arial" w:hAnsi="Arial"/>
          <w:sz w:val="13"/>
          <w:szCs w:val="13"/>
          <w:color w:val="auto"/>
        </w:rPr>
        <w:t>" means any stock or securities (other than Options) directly or indirectly convertible into or exchangeable or exercisable</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for Common Stock.</w:t>
      </w:r>
    </w:p>
    <w:p>
      <w:pPr>
        <w:spacing w:after="0" w:line="35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90" w:name="page91"/>
    <w:bookmarkEnd w:id="90"/>
    <w:p>
      <w:pPr>
        <w:jc w:val="both"/>
        <w:ind w:left="540" w:firstLine="1608"/>
        <w:spacing w:after="0" w:line="251" w:lineRule="auto"/>
        <w:tabs>
          <w:tab w:leader="none" w:pos="2797" w:val="left"/>
        </w:tabs>
        <w:numPr>
          <w:ilvl w:val="2"/>
          <w:numId w:val="1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Securities</w:t>
      </w:r>
      <w:r>
        <w:rPr>
          <w:rFonts w:ascii="Arial" w:cs="Arial" w:eastAsia="Arial" w:hAnsi="Arial"/>
          <w:sz w:val="15"/>
          <w:szCs w:val="15"/>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158" w:lineRule="exact"/>
        <w:rPr>
          <w:rFonts w:ascii="Arial" w:cs="Arial" w:eastAsia="Arial" w:hAnsi="Arial"/>
          <w:sz w:val="15"/>
          <w:szCs w:val="15"/>
          <w:color w:val="auto"/>
        </w:rPr>
      </w:pPr>
    </w:p>
    <w:p>
      <w:pPr>
        <w:ind w:left="2660" w:hanging="512"/>
        <w:spacing w:after="0"/>
        <w:tabs>
          <w:tab w:leader="none" w:pos="266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 to subscribe for or purchase Common Stock or Convertible Securities.</w:t>
      </w:r>
    </w:p>
    <w:p>
      <w:pPr>
        <w:spacing w:after="0" w:line="183" w:lineRule="exact"/>
        <w:rPr>
          <w:rFonts w:ascii="Arial" w:cs="Arial" w:eastAsia="Arial" w:hAnsi="Arial"/>
          <w:sz w:val="15"/>
          <w:szCs w:val="15"/>
          <w:color w:val="auto"/>
        </w:rPr>
      </w:pPr>
    </w:p>
    <w:p>
      <w:pPr>
        <w:jc w:val="both"/>
        <w:ind w:left="540" w:firstLine="1608"/>
        <w:spacing w:after="0" w:line="297" w:lineRule="auto"/>
        <w:tabs>
          <w:tab w:leader="none" w:pos="2829" w:val="left"/>
        </w:tabs>
        <w:numPr>
          <w:ilvl w:val="2"/>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Value</w:t>
      </w:r>
      <w:r>
        <w:rPr>
          <w:rFonts w:ascii="Arial" w:cs="Arial" w:eastAsia="Arial" w:hAnsi="Arial"/>
          <w:sz w:val="13"/>
          <w:szCs w:val="13"/>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w:t>
      </w:r>
    </w:p>
    <w:p>
      <w:pPr>
        <w:jc w:val="both"/>
        <w:ind w:left="540" w:firstLine="4"/>
        <w:spacing w:after="0" w:line="297" w:lineRule="auto"/>
        <w:tabs>
          <w:tab w:leader="none" w:pos="75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130" w:lineRule="exact"/>
        <w:rPr>
          <w:rFonts w:ascii="Arial" w:cs="Arial" w:eastAsia="Arial" w:hAnsi="Arial"/>
          <w:sz w:val="13"/>
          <w:szCs w:val="13"/>
          <w:color w:val="auto"/>
        </w:rPr>
      </w:pPr>
    </w:p>
    <w:p>
      <w:pPr>
        <w:ind w:left="2660" w:hanging="512"/>
        <w:spacing w:after="0"/>
        <w:tabs>
          <w:tab w:leader="none" w:pos="2660" w:val="left"/>
        </w:tabs>
        <w:numPr>
          <w:ilvl w:val="2"/>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Market</w:t>
      </w:r>
      <w:r>
        <w:rPr>
          <w:rFonts w:ascii="Arial" w:cs="Arial" w:eastAsia="Arial" w:hAnsi="Arial"/>
          <w:sz w:val="15"/>
          <w:szCs w:val="15"/>
          <w:color w:val="auto"/>
        </w:rPr>
        <w:t>" means the Eligible Market that is the principal securities exchange market for the Common Stock.</w:t>
      </w:r>
    </w:p>
    <w:p>
      <w:pPr>
        <w:spacing w:after="0" w:line="187" w:lineRule="exact"/>
        <w:rPr>
          <w:rFonts w:ascii="Arial" w:cs="Arial" w:eastAsia="Arial" w:hAnsi="Arial"/>
          <w:sz w:val="15"/>
          <w:szCs w:val="15"/>
          <w:color w:val="auto"/>
        </w:rPr>
      </w:pPr>
    </w:p>
    <w:p>
      <w:pPr>
        <w:jc w:val="both"/>
        <w:ind w:firstLine="1613"/>
        <w:spacing w:after="0" w:line="271" w:lineRule="auto"/>
        <w:tabs>
          <w:tab w:leader="none" w:pos="2348" w:val="left"/>
        </w:tabs>
        <w:numPr>
          <w:ilvl w:val="1"/>
          <w:numId w:val="125"/>
        </w:numPr>
        <w:rPr>
          <w:rFonts w:ascii="Arial" w:cs="Arial" w:eastAsia="Arial" w:hAnsi="Arial"/>
          <w:sz w:val="14"/>
          <w:szCs w:val="14"/>
          <w:color w:val="auto"/>
        </w:rPr>
      </w:pPr>
      <w:r>
        <w:rPr>
          <w:rFonts w:ascii="Arial" w:cs="Arial" w:eastAsia="Arial" w:hAnsi="Arial"/>
          <w:sz w:val="14"/>
          <w:szCs w:val="14"/>
          <w:u w:val="single" w:color="auto"/>
          <w:color w:val="auto"/>
        </w:rPr>
        <w:t>Adjustment of Series A Conversion Price Upon Issuance of Additional Shares of Common Stock</w:t>
      </w:r>
      <w:r>
        <w:rPr>
          <w:rFonts w:ascii="Arial" w:cs="Arial" w:eastAsia="Arial" w:hAnsi="Arial"/>
          <w:sz w:val="14"/>
          <w:szCs w:val="14"/>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4"/>
          <w:szCs w:val="14"/>
          <w:b w:val="1"/>
          <w:bCs w:val="1"/>
          <w:color w:val="auto"/>
        </w:rPr>
        <w:t>New Issuance Price</w:t>
      </w:r>
      <w:r>
        <w:rPr>
          <w:rFonts w:ascii="Arial" w:cs="Arial" w:eastAsia="Arial" w:hAnsi="Arial"/>
          <w:sz w:val="14"/>
          <w:szCs w:val="14"/>
          <w:color w:val="auto"/>
        </w:rPr>
        <w:t>") less than a price (the "</w:t>
      </w:r>
      <w:r>
        <w:rPr>
          <w:rFonts w:ascii="Arial" w:cs="Arial" w:eastAsia="Arial" w:hAnsi="Arial"/>
          <w:sz w:val="14"/>
          <w:szCs w:val="14"/>
          <w:b w:val="1"/>
          <w:bCs w:val="1"/>
          <w:color w:val="auto"/>
        </w:rPr>
        <w:t>Applicable Price</w:t>
      </w:r>
      <w:r>
        <w:rPr>
          <w:rFonts w:ascii="Arial" w:cs="Arial" w:eastAsia="Arial" w:hAnsi="Arial"/>
          <w:sz w:val="14"/>
          <w:szCs w:val="14"/>
          <w:color w:val="auto"/>
        </w:rPr>
        <w:t>") equal to the Conversion Price in effect immediately prior to such issue or sale or deemed issuance or sale (the foregoing, a "</w:t>
      </w:r>
      <w:r>
        <w:rPr>
          <w:rFonts w:ascii="Arial" w:cs="Arial" w:eastAsia="Arial" w:hAnsi="Arial"/>
          <w:sz w:val="14"/>
          <w:szCs w:val="14"/>
          <w:b w:val="1"/>
          <w:bCs w:val="1"/>
          <w:color w:val="auto"/>
        </w:rPr>
        <w:t>Dilutive Issuance</w:t>
      </w:r>
      <w:r>
        <w:rPr>
          <w:rFonts w:ascii="Arial" w:cs="Arial" w:eastAsia="Arial" w:hAnsi="Arial"/>
          <w:sz w:val="14"/>
          <w:szCs w:val="14"/>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91" w:name="page92"/>
    <w:bookmarkEnd w:id="91"/>
    <w:p>
      <w:pPr>
        <w:jc w:val="both"/>
        <w:ind w:firstLine="1608"/>
        <w:spacing w:after="0" w:line="293" w:lineRule="auto"/>
        <w:tabs>
          <w:tab w:leader="none" w:pos="2171"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Issuance of Options</w:t>
      </w:r>
      <w:r>
        <w:rPr>
          <w:rFonts w:ascii="Arial" w:cs="Arial" w:eastAsia="Arial" w:hAnsi="Arial"/>
          <w:sz w:val="13"/>
          <w:szCs w:val="13"/>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 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135" w:lineRule="exact"/>
        <w:rPr>
          <w:rFonts w:ascii="Arial" w:cs="Arial" w:eastAsia="Arial" w:hAnsi="Arial"/>
          <w:sz w:val="13"/>
          <w:szCs w:val="13"/>
          <w:color w:val="auto"/>
        </w:rPr>
      </w:pPr>
    </w:p>
    <w:p>
      <w:pPr>
        <w:jc w:val="both"/>
        <w:ind w:firstLine="1608"/>
        <w:spacing w:after="0" w:line="293" w:lineRule="auto"/>
        <w:tabs>
          <w:tab w:leader="none" w:pos="2186"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Issuance of Convertible Securities</w:t>
      </w:r>
      <w:r>
        <w:rPr>
          <w:rFonts w:ascii="Arial" w:cs="Arial" w:eastAsia="Arial" w:hAnsi="Arial"/>
          <w:sz w:val="13"/>
          <w:szCs w:val="13"/>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313"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92" w:name="page93"/>
    <w:bookmarkEnd w:id="92"/>
    <w:p>
      <w:pPr>
        <w:jc w:val="both"/>
        <w:ind w:firstLine="1608"/>
        <w:spacing w:after="0" w:line="251" w:lineRule="auto"/>
        <w:tabs>
          <w:tab w:leader="none" w:pos="2168"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Change in Option Price or Rate of Conversion</w:t>
      </w:r>
      <w:r>
        <w:rPr>
          <w:rFonts w:ascii="Arial" w:cs="Arial" w:eastAsia="Arial" w:hAnsi="Arial"/>
          <w:sz w:val="15"/>
          <w:szCs w:val="15"/>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60" w:lineRule="exact"/>
        <w:rPr>
          <w:rFonts w:ascii="Arial" w:cs="Arial" w:eastAsia="Arial" w:hAnsi="Arial"/>
          <w:sz w:val="15"/>
          <w:szCs w:val="15"/>
          <w:color w:val="auto"/>
        </w:rPr>
      </w:pPr>
    </w:p>
    <w:p>
      <w:pPr>
        <w:jc w:val="both"/>
        <w:ind w:firstLine="1608"/>
        <w:spacing w:after="0" w:line="287" w:lineRule="auto"/>
        <w:tabs>
          <w:tab w:leader="none" w:pos="2204"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Calculation of Consideration Received</w:t>
      </w:r>
      <w:r>
        <w:rPr>
          <w:rFonts w:ascii="Arial" w:cs="Arial" w:eastAsia="Arial" w:hAnsi="Arial"/>
          <w:sz w:val="13"/>
          <w:szCs w:val="13"/>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marketable securities will be determined jointly by the Corporation and the Required Holders. If such parties are unable to reach agreement within ten (10) days after the</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occurrence of an event requiring valuation (the "</w:t>
      </w:r>
      <w:r>
        <w:rPr>
          <w:rFonts w:ascii="Arial" w:cs="Arial" w:eastAsia="Arial" w:hAnsi="Arial"/>
          <w:sz w:val="14"/>
          <w:szCs w:val="14"/>
          <w:b w:val="1"/>
          <w:bCs w:val="1"/>
          <w:color w:val="auto"/>
        </w:rPr>
        <w:t>Valuation Event</w:t>
      </w:r>
      <w:r>
        <w:rPr>
          <w:rFonts w:ascii="Arial" w:cs="Arial" w:eastAsia="Arial" w:hAnsi="Arial"/>
          <w:sz w:val="14"/>
          <w:szCs w:val="14"/>
          <w:color w:val="auto"/>
        </w:rPr>
        <w:t>"), the fair value of such consideration will be determined within five (5) Business Days after the tenth (10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34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2" w:right="219" w:bottom="1440" w:gutter="0" w:footer="0" w:header="0"/>
        </w:sectPr>
      </w:pPr>
    </w:p>
    <w:bookmarkStart w:id="93" w:name="page94"/>
    <w:bookmarkEnd w:id="93"/>
    <w:p>
      <w:pPr>
        <w:jc w:val="both"/>
        <w:ind w:firstLine="1613"/>
        <w:spacing w:after="0" w:line="306" w:lineRule="auto"/>
        <w:tabs>
          <w:tab w:leader="none" w:pos="2318"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upon Subdivision or Combination of Common Stock</w:t>
      </w:r>
      <w:r>
        <w:rPr>
          <w:rFonts w:ascii="Arial" w:cs="Arial" w:eastAsia="Arial" w:hAnsi="Arial"/>
          <w:sz w:val="13"/>
          <w:szCs w:val="13"/>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28" w:lineRule="exact"/>
        <w:rPr>
          <w:rFonts w:ascii="Arial" w:cs="Arial" w:eastAsia="Arial" w:hAnsi="Arial"/>
          <w:sz w:val="13"/>
          <w:szCs w:val="13"/>
          <w:color w:val="auto"/>
        </w:rPr>
      </w:pPr>
    </w:p>
    <w:p>
      <w:pPr>
        <w:jc w:val="both"/>
        <w:ind w:firstLine="1613"/>
        <w:spacing w:after="0" w:line="255" w:lineRule="auto"/>
        <w:tabs>
          <w:tab w:leader="none" w:pos="217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Other Events</w:t>
      </w:r>
      <w:r>
        <w:rPr>
          <w:rFonts w:ascii="Arial" w:cs="Arial" w:eastAsia="Arial" w:hAnsi="Arial"/>
          <w:sz w:val="15"/>
          <w:szCs w:val="15"/>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157" w:lineRule="exact"/>
        <w:rPr>
          <w:rFonts w:ascii="Arial" w:cs="Arial" w:eastAsia="Arial" w:hAnsi="Arial"/>
          <w:sz w:val="15"/>
          <w:szCs w:val="15"/>
          <w:color w:val="auto"/>
        </w:rPr>
      </w:pPr>
    </w:p>
    <w:p>
      <w:pPr>
        <w:ind w:firstLine="1613"/>
        <w:spacing w:after="0" w:line="269" w:lineRule="auto"/>
        <w:tabs>
          <w:tab w:leader="none" w:pos="2151"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Voluntary Adjustment By Corporation</w:t>
      </w:r>
      <w:r>
        <w:rPr>
          <w:rFonts w:ascii="Arial" w:cs="Arial" w:eastAsia="Arial" w:hAnsi="Arial"/>
          <w:sz w:val="15"/>
          <w:szCs w:val="15"/>
          <w:color w:val="auto"/>
        </w:rPr>
        <w:t>. The Corporation may at any time reduce the then current Conversion Price to any amount and for any period of time deemed appropriate and approved by the Board of Directors in accordance with Delaware law.</w:t>
      </w:r>
    </w:p>
    <w:p>
      <w:pPr>
        <w:spacing w:after="0" w:line="147" w:lineRule="exact"/>
        <w:rPr>
          <w:rFonts w:ascii="Arial" w:cs="Arial" w:eastAsia="Arial" w:hAnsi="Arial"/>
          <w:sz w:val="15"/>
          <w:szCs w:val="15"/>
          <w:color w:val="auto"/>
        </w:rPr>
      </w:pPr>
    </w:p>
    <w:p>
      <w:pPr>
        <w:jc w:val="both"/>
        <w:ind w:firstLine="1613"/>
        <w:spacing w:after="0" w:line="293" w:lineRule="auto"/>
        <w:tabs>
          <w:tab w:leader="none" w:pos="2145"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Purchase Rights</w:t>
      </w:r>
      <w:r>
        <w:rPr>
          <w:rFonts w:ascii="Arial" w:cs="Arial" w:eastAsia="Arial" w:hAnsi="Arial"/>
          <w:sz w:val="13"/>
          <w:szCs w:val="13"/>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3"/>
          <w:szCs w:val="13"/>
          <w:b w:val="1"/>
          <w:bCs w:val="1"/>
          <w:color w:val="auto"/>
        </w:rPr>
        <w:t>Purchase Rights</w:t>
      </w:r>
      <w:r>
        <w:rPr>
          <w:rFonts w:ascii="Arial" w:cs="Arial" w:eastAsia="Arial" w:hAnsi="Arial"/>
          <w:sz w:val="13"/>
          <w:szCs w:val="13"/>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139" w:lineRule="exact"/>
        <w:rPr>
          <w:rFonts w:ascii="Arial" w:cs="Arial" w:eastAsia="Arial" w:hAnsi="Arial"/>
          <w:sz w:val="13"/>
          <w:szCs w:val="13"/>
          <w:color w:val="auto"/>
        </w:rPr>
      </w:pPr>
    </w:p>
    <w:p>
      <w:pPr>
        <w:ind w:left="2160" w:hanging="547"/>
        <w:spacing w:after="0"/>
        <w:tabs>
          <w:tab w:leader="none" w:pos="216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0" w:right="20" w:firstLine="1608"/>
        <w:spacing w:after="0" w:line="317" w:lineRule="auto"/>
        <w:tabs>
          <w:tab w:leader="none" w:pos="2755" w:val="left"/>
        </w:tabs>
        <w:numPr>
          <w:ilvl w:val="1"/>
          <w:numId w:val="128"/>
        </w:numPr>
        <w:rPr>
          <w:rFonts w:ascii="Arial" w:cs="Arial" w:eastAsia="Arial" w:hAnsi="Arial"/>
          <w:sz w:val="13"/>
          <w:szCs w:val="13"/>
          <w:color w:val="auto"/>
        </w:rPr>
      </w:pPr>
      <w:r>
        <w:rPr>
          <w:rFonts w:ascii="Arial" w:cs="Arial" w:eastAsia="Arial" w:hAnsi="Arial"/>
          <w:sz w:val="13"/>
          <w:szCs w:val="13"/>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94" w:name="page95"/>
    <w:bookmarkEnd w:id="94"/>
    <w:p>
      <w:pPr>
        <w:jc w:val="both"/>
        <w:ind w:left="520" w:firstLine="1608"/>
        <w:spacing w:after="0" w:line="255" w:lineRule="auto"/>
        <w:tabs>
          <w:tab w:leader="none" w:pos="2713" w:val="left"/>
        </w:tabs>
        <w:numPr>
          <w:ilvl w:val="1"/>
          <w:numId w:val="129"/>
        </w:numPr>
        <w:rPr>
          <w:rFonts w:ascii="Arial" w:cs="Arial" w:eastAsia="Arial" w:hAnsi="Arial"/>
          <w:sz w:val="15"/>
          <w:szCs w:val="15"/>
          <w:color w:val="auto"/>
        </w:rPr>
      </w:pPr>
      <w:r>
        <w:rPr>
          <w:rFonts w:ascii="Arial" w:cs="Arial" w:eastAsia="Arial" w:hAnsi="Arial"/>
          <w:sz w:val="15"/>
          <w:szCs w:val="15"/>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Change of Control, any Twenty Percent Issuance, any Fundamental Transaction or any Liquidation Event.</w:t>
      </w:r>
    </w:p>
    <w:p>
      <w:pPr>
        <w:spacing w:after="0" w:line="157" w:lineRule="exact"/>
        <w:rPr>
          <w:rFonts w:ascii="Arial" w:cs="Arial" w:eastAsia="Arial" w:hAnsi="Arial"/>
          <w:sz w:val="15"/>
          <w:szCs w:val="15"/>
          <w:color w:val="auto"/>
        </w:rPr>
      </w:pPr>
    </w:p>
    <w:p>
      <w:pPr>
        <w:ind w:left="520" w:firstLine="1608"/>
        <w:spacing w:after="0" w:line="269" w:lineRule="auto"/>
        <w:tabs>
          <w:tab w:leader="none" w:pos="2662"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147" w:lineRule="exact"/>
        <w:rPr>
          <w:rFonts w:ascii="Arial" w:cs="Arial" w:eastAsia="Arial" w:hAnsi="Arial"/>
          <w:sz w:val="15"/>
          <w:szCs w:val="15"/>
          <w:color w:val="auto"/>
        </w:rPr>
      </w:pPr>
    </w:p>
    <w:p>
      <w:pPr>
        <w:jc w:val="both"/>
        <w:ind w:left="-20" w:firstLine="1078"/>
        <w:spacing w:after="0" w:line="291" w:lineRule="auto"/>
        <w:tabs>
          <w:tab w:leader="none" w:pos="1602"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Suspension from Trading</w:t>
      </w:r>
      <w:r>
        <w:rPr>
          <w:rFonts w:ascii="Arial" w:cs="Arial" w:eastAsia="Arial" w:hAnsi="Arial"/>
          <w:sz w:val="13"/>
          <w:szCs w:val="13"/>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3"/>
          <w:szCs w:val="13"/>
          <w:b w:val="1"/>
          <w:bCs w:val="1"/>
          <w:color w:val="auto"/>
        </w:rPr>
        <w:t>Conversion Shares</w:t>
      </w:r>
      <w:r>
        <w:rPr>
          <w:rFonts w:ascii="Arial" w:cs="Arial" w:eastAsia="Arial" w:hAnsi="Arial"/>
          <w:sz w:val="13"/>
          <w:szCs w:val="13"/>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3"/>
          <w:szCs w:val="13"/>
          <w:b w:val="1"/>
          <w:bCs w:val="1"/>
          <w:color w:val="auto"/>
        </w:rPr>
        <w:t>Maintenance Failure</w:t>
      </w:r>
      <w:r>
        <w:rPr>
          <w:rFonts w:ascii="Arial" w:cs="Arial" w:eastAsia="Arial" w:hAnsi="Arial"/>
          <w:sz w:val="13"/>
          <w:szCs w:val="13"/>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3"/>
          <w:szCs w:val="13"/>
          <w:b w:val="1"/>
          <w:bCs w:val="1"/>
          <w:color w:val="auto"/>
        </w:rPr>
        <w:t>Delisting Maintenance Failure</w:t>
      </w:r>
      <w:r>
        <w:rPr>
          <w:rFonts w:ascii="Arial" w:cs="Arial" w:eastAsia="Arial" w:hAnsi="Arial"/>
          <w:sz w:val="13"/>
          <w:szCs w:val="13"/>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3"/>
          <w:szCs w:val="13"/>
          <w:b w:val="1"/>
          <w:bCs w:val="1"/>
          <w:color w:val="auto"/>
        </w:rPr>
        <w:t>Suspension Payments</w:t>
      </w:r>
      <w:r>
        <w:rPr>
          <w:rFonts w:ascii="Arial" w:cs="Arial" w:eastAsia="Arial" w:hAnsi="Arial"/>
          <w:sz w:val="13"/>
          <w:szCs w:val="13"/>
          <w:color w:val="auto"/>
        </w:rPr>
        <w:t>". Suspension Payments shall be paid on the third Business Day after each full fifteen (15) day period during which there is a Maintenance Failure or a Delisting Maintenance Failure, as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95" w:name="page96"/>
    <w:bookmarkEnd w:id="95"/>
    <w:p>
      <w:pPr>
        <w:ind w:firstLine="1078"/>
        <w:spacing w:after="0" w:line="269" w:lineRule="auto"/>
        <w:tabs>
          <w:tab w:leader="none" w:pos="1689"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Status of Converted Stock</w:t>
      </w:r>
      <w:r>
        <w:rPr>
          <w:rFonts w:ascii="Arial" w:cs="Arial" w:eastAsia="Arial" w:hAnsi="Arial"/>
          <w:sz w:val="15"/>
          <w:szCs w:val="15"/>
          <w:color w:val="auto"/>
        </w:rPr>
        <w:t>. In the event any shares of Series A Preferred Stock shall be converted pursuant to Section 7 hereof, the shares so converted shall be canceled and shall not be issuable by the Corporation.</w:t>
      </w:r>
    </w:p>
    <w:p>
      <w:pPr>
        <w:spacing w:after="0" w:line="147" w:lineRule="exact"/>
        <w:rPr>
          <w:rFonts w:ascii="Arial" w:cs="Arial" w:eastAsia="Arial" w:hAnsi="Arial"/>
          <w:sz w:val="15"/>
          <w:szCs w:val="15"/>
          <w:color w:val="auto"/>
        </w:rPr>
      </w:pPr>
    </w:p>
    <w:p>
      <w:pPr>
        <w:jc w:val="both"/>
        <w:ind w:firstLine="1078"/>
        <w:spacing w:after="0" w:line="253" w:lineRule="auto"/>
        <w:tabs>
          <w:tab w:leader="none" w:pos="1605"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Lost or Stolen Certificates</w:t>
      </w:r>
      <w:r>
        <w:rPr>
          <w:rFonts w:ascii="Arial" w:cs="Arial" w:eastAsia="Arial" w:hAnsi="Arial"/>
          <w:sz w:val="15"/>
          <w:szCs w:val="15"/>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Corporation shall not be obligated to re-issue preferred stock certificates if the holder contemporaneously requests the Corporation to convert such Series A Preferred Stock into Common Stock.</w:t>
      </w:r>
    </w:p>
    <w:p>
      <w:pPr>
        <w:spacing w:after="0" w:line="160" w:lineRule="exact"/>
        <w:rPr>
          <w:rFonts w:ascii="Arial" w:cs="Arial" w:eastAsia="Arial" w:hAnsi="Arial"/>
          <w:sz w:val="15"/>
          <w:szCs w:val="15"/>
          <w:color w:val="auto"/>
        </w:rPr>
      </w:pPr>
    </w:p>
    <w:p>
      <w:pPr>
        <w:jc w:val="both"/>
        <w:ind w:firstLine="1078"/>
        <w:spacing w:after="0" w:line="270" w:lineRule="auto"/>
        <w:tabs>
          <w:tab w:leader="none" w:pos="1589"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Remedies, Characterizations, Other Obligations, Breaches and Injunctive Relief</w:t>
      </w:r>
      <w:r>
        <w:rPr>
          <w:rFonts w:ascii="Arial" w:cs="Arial" w:eastAsia="Arial" w:hAnsi="Arial"/>
          <w:sz w:val="14"/>
          <w:szCs w:val="14"/>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149" w:lineRule="exact"/>
        <w:rPr>
          <w:rFonts w:ascii="Arial" w:cs="Arial" w:eastAsia="Arial" w:hAnsi="Arial"/>
          <w:sz w:val="14"/>
          <w:szCs w:val="14"/>
          <w:color w:val="auto"/>
        </w:rPr>
      </w:pPr>
    </w:p>
    <w:p>
      <w:pPr>
        <w:jc w:val="both"/>
        <w:ind w:firstLine="1078"/>
        <w:spacing w:after="0" w:line="258" w:lineRule="auto"/>
        <w:tabs>
          <w:tab w:leader="none" w:pos="1589"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156" w:lineRule="exact"/>
        <w:rPr>
          <w:rFonts w:ascii="Arial" w:cs="Arial" w:eastAsia="Arial" w:hAnsi="Arial"/>
          <w:sz w:val="15"/>
          <w:szCs w:val="15"/>
          <w:color w:val="auto"/>
        </w:rPr>
      </w:pPr>
    </w:p>
    <w:p>
      <w:pPr>
        <w:ind w:firstLine="1078"/>
        <w:spacing w:after="0" w:line="348" w:lineRule="auto"/>
        <w:tabs>
          <w:tab w:leader="none" w:pos="160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Failure or Indulgence Not Waiver</w:t>
      </w:r>
      <w:r>
        <w:rPr>
          <w:rFonts w:ascii="Arial" w:cs="Arial" w:eastAsia="Arial" w:hAnsi="Arial"/>
          <w:sz w:val="13"/>
          <w:szCs w:val="13"/>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01" w:lineRule="exact"/>
        <w:rPr>
          <w:rFonts w:ascii="Arial" w:cs="Arial" w:eastAsia="Arial" w:hAnsi="Arial"/>
          <w:sz w:val="13"/>
          <w:szCs w:val="13"/>
          <w:color w:val="auto"/>
        </w:rPr>
      </w:pPr>
    </w:p>
    <w:p>
      <w:pPr>
        <w:ind w:firstLine="1078"/>
        <w:spacing w:after="0" w:line="269" w:lineRule="auto"/>
        <w:tabs>
          <w:tab w:leader="none" w:pos="1622"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Transfer of Series A Preferred Stock</w:t>
      </w:r>
      <w:r>
        <w:rPr>
          <w:rFonts w:ascii="Arial" w:cs="Arial" w:eastAsia="Arial" w:hAnsi="Arial"/>
          <w:sz w:val="15"/>
          <w:szCs w:val="15"/>
          <w:color w:val="auto"/>
        </w:rPr>
        <w:t xml:space="preserve">. A Holder may assign some or all of the Series A Preferred Stock and the accompanying rights hereunder held by such Holder without the consent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assignment is in compliance with applicable securities laws.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96" w:name="page97"/>
    <w:bookmarkEnd w:id="96"/>
    <w:p>
      <w:pPr>
        <w:jc w:val="both"/>
        <w:ind w:firstLine="1078"/>
        <w:spacing w:after="0" w:line="279" w:lineRule="auto"/>
        <w:tabs>
          <w:tab w:leader="none" w:pos="1700"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Series A Preferred Stock Register</w:t>
      </w:r>
      <w:r>
        <w:rPr>
          <w:rFonts w:ascii="Arial" w:cs="Arial" w:eastAsia="Arial" w:hAnsi="Arial"/>
          <w:sz w:val="14"/>
          <w:szCs w:val="14"/>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142" w:lineRule="exact"/>
        <w:rPr>
          <w:rFonts w:ascii="Arial" w:cs="Arial" w:eastAsia="Arial" w:hAnsi="Arial"/>
          <w:sz w:val="14"/>
          <w:szCs w:val="14"/>
          <w:color w:val="auto"/>
        </w:rPr>
      </w:pPr>
    </w:p>
    <w:p>
      <w:pPr>
        <w:jc w:val="both"/>
        <w:ind w:firstLine="1078"/>
        <w:spacing w:after="0" w:line="279" w:lineRule="auto"/>
        <w:tabs>
          <w:tab w:leader="none" w:pos="1600"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Stockholder Matters</w:t>
      </w:r>
      <w:r>
        <w:rPr>
          <w:rFonts w:ascii="Arial" w:cs="Arial" w:eastAsia="Arial" w:hAnsi="Arial"/>
          <w:sz w:val="14"/>
          <w:szCs w:val="14"/>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42" w:lineRule="exact"/>
        <w:rPr>
          <w:rFonts w:ascii="Arial" w:cs="Arial" w:eastAsia="Arial" w:hAnsi="Arial"/>
          <w:sz w:val="14"/>
          <w:szCs w:val="14"/>
          <w:color w:val="auto"/>
        </w:rPr>
      </w:pPr>
    </w:p>
    <w:p>
      <w:pPr>
        <w:ind w:right="20" w:firstLine="1078"/>
        <w:spacing w:after="0" w:line="269" w:lineRule="auto"/>
        <w:tabs>
          <w:tab w:leader="none" w:pos="1622"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147" w:lineRule="exact"/>
        <w:rPr>
          <w:rFonts w:ascii="Arial" w:cs="Arial" w:eastAsia="Arial" w:hAnsi="Arial"/>
          <w:sz w:val="15"/>
          <w:szCs w:val="15"/>
          <w:color w:val="auto"/>
        </w:rPr>
      </w:pPr>
    </w:p>
    <w:p>
      <w:pPr>
        <w:jc w:val="both"/>
        <w:ind w:firstLine="1078"/>
        <w:spacing w:after="0" w:line="252" w:lineRule="auto"/>
        <w:tabs>
          <w:tab w:leader="none" w:pos="1622"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97" w:name="page98"/>
    <w:bookmarkEnd w:id="97"/>
    <w:p>
      <w:pPr>
        <w:ind w:left="1080"/>
        <w:spacing w:after="0"/>
        <w:rPr>
          <w:sz w:val="20"/>
          <w:szCs w:val="20"/>
          <w:color w:val="auto"/>
        </w:rPr>
      </w:pPr>
      <w:r>
        <w:rPr>
          <w:rFonts w:ascii="Arial" w:cs="Arial" w:eastAsia="Arial" w:hAnsi="Arial"/>
          <w:sz w:val="13"/>
          <w:szCs w:val="13"/>
          <w:color w:val="auto"/>
        </w:rPr>
        <w:t>IN WITNESS WHEREOF, the undersigned has signed this Certificate of Designation on the [__] day of [____] 2012, and affirms the statements contained therein as true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under the penalties of perjury.</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10160</wp:posOffset>
            </wp:positionV>
            <wp:extent cx="253936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39365" cy="6985"/>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Its: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5"/>
          <w:szCs w:val="15"/>
          <w:b w:val="1"/>
          <w:bCs w:val="1"/>
          <w:u w:val="single" w:color="auto"/>
          <w:color w:val="auto"/>
        </w:rPr>
        <w:t>EXHIBIT 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VRINGO, INC.</w:t>
      </w:r>
    </w:p>
    <w:p>
      <w:pPr>
        <w:spacing w:after="0" w:line="184" w:lineRule="exact"/>
        <w:rPr>
          <w:sz w:val="20"/>
          <w:szCs w:val="20"/>
          <w:color w:val="auto"/>
        </w:rPr>
      </w:pPr>
    </w:p>
    <w:p>
      <w:pPr>
        <w:jc w:val="both"/>
        <w:ind w:firstLine="1069"/>
        <w:spacing w:after="0" w:line="308" w:lineRule="auto"/>
        <w:rPr>
          <w:sz w:val="20"/>
          <w:szCs w:val="20"/>
          <w:color w:val="auto"/>
        </w:rPr>
      </w:pPr>
      <w:r>
        <w:rPr>
          <w:rFonts w:ascii="Arial" w:cs="Arial" w:eastAsia="Arial" w:hAnsi="Arial"/>
          <w:sz w:val="13"/>
          <w:szCs w:val="13"/>
          <w:color w:val="auto"/>
        </w:rPr>
        <w:t>Reference is made to the Certificate of Designations, Preferences and Rights of Series A Convertible Preferred Stock of Vringo, Inc. (the "</w:t>
      </w:r>
      <w:r>
        <w:rPr>
          <w:rFonts w:ascii="Arial" w:cs="Arial" w:eastAsia="Arial" w:hAnsi="Arial"/>
          <w:sz w:val="13"/>
          <w:szCs w:val="13"/>
          <w:b w:val="1"/>
          <w:bCs w:val="1"/>
          <w:color w:val="auto"/>
        </w:rPr>
        <w:t>Certificate of Designations</w:t>
      </w:r>
      <w:r>
        <w:rPr>
          <w:rFonts w:ascii="Arial" w:cs="Arial" w:eastAsia="Arial" w:hAnsi="Arial"/>
          <w:sz w:val="13"/>
          <w:szCs w:val="13"/>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3"/>
          <w:szCs w:val="13"/>
          <w:b w:val="1"/>
          <w:bCs w:val="1"/>
          <w:color w:val="auto"/>
        </w:rPr>
        <w:t>Series A Preferred Stock</w:t>
      </w:r>
      <w:r>
        <w:rPr>
          <w:rFonts w:ascii="Arial" w:cs="Arial" w:eastAsia="Arial" w:hAnsi="Arial"/>
          <w:sz w:val="13"/>
          <w:szCs w:val="13"/>
          <w:color w:val="auto"/>
        </w:rPr>
        <w:t>"), of Vringo, Inc., a Delaware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indicated below into shares of Common Stock, par value $0.01 per share (the "</w:t>
      </w:r>
      <w:r>
        <w:rPr>
          <w:rFonts w:ascii="Arial" w:cs="Arial" w:eastAsia="Arial" w:hAnsi="Arial"/>
          <w:sz w:val="13"/>
          <w:szCs w:val="13"/>
          <w:b w:val="1"/>
          <w:bCs w:val="1"/>
          <w:color w:val="auto"/>
        </w:rPr>
        <w:t>Common</w:t>
      </w:r>
      <w:r>
        <w:rPr>
          <w:rFonts w:ascii="Arial" w:cs="Arial" w:eastAsia="Arial" w:hAnsi="Arial"/>
          <w:sz w:val="13"/>
          <w:szCs w:val="13"/>
          <w:color w:val="auto"/>
        </w:rPr>
        <w:t xml:space="preserve"> </w:t>
      </w:r>
      <w:r>
        <w:rPr>
          <w:rFonts w:ascii="Arial" w:cs="Arial" w:eastAsia="Arial" w:hAnsi="Arial"/>
          <w:sz w:val="13"/>
          <w:szCs w:val="13"/>
          <w:b w:val="1"/>
          <w:bCs w:val="1"/>
          <w:color w:val="auto"/>
        </w:rPr>
        <w:t>Stock</w:t>
      </w:r>
      <w:r>
        <w:rPr>
          <w:rFonts w:ascii="Arial" w:cs="Arial" w:eastAsia="Arial" w:hAnsi="Arial"/>
          <w:sz w:val="13"/>
          <w:szCs w:val="13"/>
          <w:color w:val="auto"/>
        </w:rPr>
        <w:t>"), of the Corporation, as of the date specified below. The undersigned represents and warrants that such conversion is not prohibited by Section 7(i) of the Certificate of Designations.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10160</wp:posOffset>
            </wp:positionV>
            <wp:extent cx="54527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74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9070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wp:posOffset>
            </wp:positionV>
            <wp:extent cx="28289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892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10160</wp:posOffset>
            </wp:positionV>
            <wp:extent cx="47955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9552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10160</wp:posOffset>
            </wp:positionV>
            <wp:extent cx="47244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2440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10160</wp:posOffset>
            </wp:positionV>
            <wp:extent cx="54527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745" cy="6985"/>
                    </a:xfrm>
                    <a:prstGeom prst="rect">
                      <a:avLst/>
                    </a:prstGeom>
                    <a:noFill/>
                  </pic:spPr>
                </pic:pic>
              </a:graphicData>
            </a:graphic>
          </wp:anchor>
        </w:drawing>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wp:posOffset>
            </wp:positionV>
            <wp:extent cx="36353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Please issue the Common Stock into which the Series A Preferred Stock are being converted in the following name and to the following address: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10160</wp:posOffset>
            </wp:positionV>
            <wp:extent cx="603313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313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10160</wp:posOffset>
            </wp:positionV>
            <wp:extent cx="59550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5503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10160</wp:posOffset>
            </wp:positionV>
            <wp:extent cx="53752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7527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10160</wp:posOffset>
            </wp:positionV>
            <wp:extent cx="5375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7527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10160</wp:posOffset>
            </wp:positionV>
            <wp:extent cx="56648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483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10795</wp:posOffset>
            </wp:positionV>
            <wp:extent cx="61741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4105" cy="698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-108585</wp:posOffset>
            </wp:positionV>
            <wp:extent cx="61741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4105" cy="6985"/>
                    </a:xfrm>
                    <a:prstGeom prst="rect">
                      <a:avLst/>
                    </a:prstGeom>
                    <a:noFill/>
                  </pic:spPr>
                </pic:pic>
              </a:graphicData>
            </a:graphic>
          </wp:anchor>
        </w:drawing>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10160</wp:posOffset>
            </wp:positionV>
            <wp:extent cx="610362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0362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10160</wp:posOffset>
            </wp:positionV>
            <wp:extent cx="34867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8678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10160</wp:posOffset>
            </wp:positionV>
            <wp:extent cx="31261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26105" cy="6985"/>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99" w:name="page100"/>
    <w:bookmarkEnd w:id="99"/>
    <w:p>
      <w:pPr>
        <w:ind w:left="4960"/>
        <w:spacing w:after="0"/>
        <w:rPr>
          <w:sz w:val="20"/>
          <w:szCs w:val="20"/>
          <w:color w:val="auto"/>
        </w:rPr>
      </w:pPr>
      <w:r>
        <w:rPr>
          <w:rFonts w:ascii="Arial" w:cs="Arial" w:eastAsia="Arial" w:hAnsi="Arial"/>
          <w:sz w:val="15"/>
          <w:szCs w:val="15"/>
          <w:b w:val="1"/>
          <w:bCs w:val="1"/>
          <w:color w:val="auto"/>
        </w:rPr>
        <w:t>ACKNOWLEDGMENT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hereby acknowledges this Conversion Notice and hereby directs [______] to issue the above indicated number of shares of Common Stock.</w:t>
      </w: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10160</wp:posOffset>
            </wp:positionV>
            <wp:extent cx="17399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39900" cy="6985"/>
                    </a:xfrm>
                    <a:prstGeom prst="rect">
                      <a:avLst/>
                    </a:prstGeom>
                    <a:noFill/>
                  </pic:spPr>
                </pic:pic>
              </a:graphicData>
            </a:graphic>
          </wp:anchor>
        </w:drawing>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10795</wp:posOffset>
            </wp:positionV>
            <wp:extent cx="17399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9900" cy="698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-108585</wp:posOffset>
            </wp:positionV>
            <wp:extent cx="17399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3990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357505</wp:posOffset>
            </wp:positionV>
            <wp:extent cx="72707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48"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5"/>
          <w:szCs w:val="15"/>
          <w:color w:val="auto"/>
        </w:rPr>
        <w:t>Exhibit F</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(Form of Series 1 Warrant)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Arial" w:cs="Arial" w:eastAsia="Arial" w:hAnsi="Arial"/>
                <w:sz w:val="15"/>
                <w:szCs w:val="15"/>
                <w:color w:val="auto"/>
              </w:rPr>
              <w:t>Warrant No. W-___</w:t>
            </w:r>
          </w:p>
        </w:tc>
        <w:tc>
          <w:tcPr>
            <w:tcW w:w="1560" w:type="dxa"/>
            <w:vAlign w:val="bottom"/>
          </w:tcPr>
          <w:p>
            <w:pPr>
              <w:spacing w:after="0"/>
              <w:rPr>
                <w:sz w:val="16"/>
                <w:szCs w:val="16"/>
                <w:color w:val="auto"/>
              </w:rPr>
            </w:pPr>
          </w:p>
        </w:tc>
        <w:tc>
          <w:tcPr>
            <w:tcW w:w="2640" w:type="dxa"/>
            <w:vAlign w:val="bottom"/>
          </w:tcPr>
          <w:p>
            <w:pPr>
              <w:ind w:left="600"/>
              <w:spacing w:after="0"/>
              <w:rPr>
                <w:sz w:val="20"/>
                <w:szCs w:val="20"/>
                <w:color w:val="auto"/>
              </w:rPr>
            </w:pPr>
            <w:r>
              <w:rPr>
                <w:rFonts w:ascii="Arial" w:cs="Arial" w:eastAsia="Arial" w:hAnsi="Arial"/>
                <w:sz w:val="15"/>
                <w:szCs w:val="15"/>
                <w:color w:val="auto"/>
                <w:w w:val="87"/>
              </w:rPr>
              <w:t>Number of Shares: ____________</w:t>
            </w:r>
          </w:p>
        </w:tc>
      </w:tr>
      <w:tr>
        <w:trPr>
          <w:trHeight w:val="324"/>
        </w:trPr>
        <w:tc>
          <w:tcPr>
            <w:tcW w:w="4960" w:type="dxa"/>
            <w:vAlign w:val="bottom"/>
            <w:gridSpan w:val="3"/>
          </w:tcPr>
          <w:p>
            <w:pPr>
              <w:spacing w:after="0"/>
              <w:rPr>
                <w:sz w:val="20"/>
                <w:szCs w:val="20"/>
                <w:color w:val="auto"/>
              </w:rPr>
            </w:pPr>
            <w:r>
              <w:rPr>
                <w:rFonts w:ascii="Arial" w:cs="Arial" w:eastAsia="Arial" w:hAnsi="Arial"/>
                <w:sz w:val="15"/>
                <w:szCs w:val="15"/>
                <w:color w:val="auto"/>
              </w:rPr>
              <w:t>Date of Issuance: _________ __, 2012 (“Issuance Date”)</w:t>
            </w:r>
          </w:p>
        </w:tc>
        <w:tc>
          <w:tcPr>
            <w:tcW w:w="15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69"/>
        </w:trPr>
        <w:tc>
          <w:tcPr>
            <w:tcW w:w="2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4200" w:type="dxa"/>
            <w:vAlign w:val="bottom"/>
            <w:gridSpan w:val="2"/>
          </w:tcPr>
          <w:p>
            <w:pPr>
              <w:jc w:val="center"/>
              <w:ind w:right="2566"/>
              <w:spacing w:after="0"/>
              <w:rPr>
                <w:sz w:val="20"/>
                <w:szCs w:val="20"/>
                <w:color w:val="auto"/>
              </w:rPr>
            </w:pPr>
            <w:r>
              <w:rPr>
                <w:rFonts w:ascii="Arial" w:cs="Arial" w:eastAsia="Arial" w:hAnsi="Arial"/>
                <w:sz w:val="15"/>
                <w:szCs w:val="15"/>
                <w:b w:val="1"/>
                <w:bCs w:val="1"/>
                <w:color w:val="auto"/>
              </w:rPr>
              <w:t>VRINGO, INC.</w:t>
            </w:r>
          </w:p>
        </w:tc>
      </w:tr>
      <w:tr>
        <w:trPr>
          <w:trHeight w:val="324"/>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Common Stock Warrant</w:t>
            </w:r>
          </w:p>
        </w:tc>
        <w:tc>
          <w:tcPr>
            <w:tcW w:w="2640" w:type="dxa"/>
            <w:vAlign w:val="bottom"/>
          </w:tcPr>
          <w:p>
            <w:pPr>
              <w:spacing w:after="0"/>
              <w:rPr>
                <w:sz w:val="24"/>
                <w:szCs w:val="24"/>
                <w:color w:val="auto"/>
              </w:rPr>
            </w:pPr>
          </w:p>
        </w:tc>
      </w:tr>
    </w:tbl>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Vringo, Inc. </w:t>
      </w:r>
      <w:r>
        <w:rPr>
          <w:rFonts w:ascii="Arial" w:cs="Arial" w:eastAsia="Arial" w:hAnsi="Arial"/>
          <w:sz w:val="13"/>
          <w:szCs w:val="13"/>
          <w:color w:val="auto"/>
        </w:rPr>
        <w:t>(the “</w:t>
      </w:r>
      <w:r>
        <w:rPr>
          <w:rFonts w:ascii="Arial" w:cs="Arial" w:eastAsia="Arial" w:hAnsi="Arial"/>
          <w:sz w:val="13"/>
          <w:szCs w:val="13"/>
          <w:u w:val="single" w:color="auto"/>
          <w:color w:val="auto"/>
        </w:rPr>
        <w:t>Company</w:t>
      </w:r>
      <w:r>
        <w:rPr>
          <w:rFonts w:ascii="Arial" w:cs="Arial" w:eastAsia="Arial" w:hAnsi="Arial"/>
          <w:sz w:val="13"/>
          <w:szCs w:val="13"/>
          <w:color w:val="auto"/>
        </w:rPr>
        <w:t>”), for value received, hereby certifies that ________, or its registered assigns (the “</w:t>
      </w:r>
      <w:r>
        <w:rPr>
          <w:rFonts w:ascii="Arial" w:cs="Arial" w:eastAsia="Arial" w:hAnsi="Arial"/>
          <w:sz w:val="13"/>
          <w:szCs w:val="13"/>
          <w:u w:val="single" w:color="auto"/>
          <w:color w:val="auto"/>
        </w:rPr>
        <w:t>Registered Holder</w:t>
      </w:r>
      <w:r>
        <w:rPr>
          <w:rFonts w:ascii="Arial" w:cs="Arial" w:eastAsia="Arial" w:hAnsi="Arial"/>
          <w:sz w:val="13"/>
          <w:szCs w:val="13"/>
          <w:color w:val="auto"/>
        </w:rPr>
        <w:t>”), is entitled, subject to the terms of this Common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Stock Warrant (the “</w:t>
      </w:r>
      <w:r>
        <w:rPr>
          <w:rFonts w:ascii="Arial" w:cs="Arial" w:eastAsia="Arial" w:hAnsi="Arial"/>
          <w:sz w:val="13"/>
          <w:szCs w:val="13"/>
          <w:u w:val="single" w:color="auto"/>
          <w:color w:val="auto"/>
        </w:rPr>
        <w:t>Warrant</w:t>
      </w:r>
      <w:r>
        <w:rPr>
          <w:rFonts w:ascii="Arial" w:cs="Arial" w:eastAsia="Arial" w:hAnsi="Arial"/>
          <w:sz w:val="13"/>
          <w:szCs w:val="13"/>
          <w:color w:val="auto"/>
        </w:rPr>
        <w:t>”) set forth below, to purchase from the Company, at any time after the date hereof and on or before ___________ __ 2017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up to ________</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(_______) shares of common stock of the Company (the “</w:t>
      </w:r>
      <w:r>
        <w:rPr>
          <w:rFonts w:ascii="Arial" w:cs="Arial" w:eastAsia="Arial" w:hAnsi="Arial"/>
          <w:sz w:val="13"/>
          <w:szCs w:val="13"/>
          <w:u w:val="single" w:color="auto"/>
          <w:color w:val="auto"/>
        </w:rPr>
        <w:t>Warrant Stock</w:t>
      </w:r>
      <w:r>
        <w:rPr>
          <w:rFonts w:ascii="Arial" w:cs="Arial" w:eastAsia="Arial" w:hAnsi="Arial"/>
          <w:sz w:val="13"/>
          <w:szCs w:val="13"/>
          <w:color w:val="auto"/>
        </w:rPr>
        <w:t>”),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at a per share exercise price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equal to One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Dollar and Seventy-Six Cents ($1.76) per share (subject to adjustment as set forth in Section 2).</w:t>
      </w:r>
    </w:p>
    <w:p>
      <w:pPr>
        <w:spacing w:after="0" w:line="170" w:lineRule="exact"/>
        <w:rPr>
          <w:sz w:val="20"/>
          <w:szCs w:val="20"/>
          <w:color w:val="auto"/>
        </w:rPr>
      </w:pPr>
    </w:p>
    <w:p>
      <w:pPr>
        <w:ind w:left="1100" w:hanging="556"/>
        <w:spacing w:after="0"/>
        <w:tabs>
          <w:tab w:leader="none" w:pos="1100" w:val="left"/>
        </w:tabs>
        <w:numPr>
          <w:ilvl w:val="0"/>
          <w:numId w:val="133"/>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78"/>
        <w:spacing w:after="0" w:line="308" w:lineRule="auto"/>
        <w:tabs>
          <w:tab w:leader="none" w:pos="1739" w:val="left"/>
        </w:tabs>
        <w:numPr>
          <w:ilvl w:val="1"/>
          <w:numId w:val="133"/>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exercised by the Registered Holder, in whole or in part, by delivering the form appended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duly</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by such Registered Holder (the “</w:t>
      </w:r>
      <w:r>
        <w:rPr>
          <w:rFonts w:ascii="Arial" w:cs="Arial" w:eastAsia="Arial" w:hAnsi="Arial"/>
          <w:sz w:val="13"/>
          <w:szCs w:val="13"/>
          <w:u w:val="single" w:color="auto"/>
          <w:color w:val="auto"/>
        </w:rPr>
        <w:t>Exercise Notice</w:t>
      </w:r>
      <w:r>
        <w:rPr>
          <w:rFonts w:ascii="Arial" w:cs="Arial" w:eastAsia="Arial" w:hAnsi="Arial"/>
          <w:sz w:val="13"/>
          <w:szCs w:val="13"/>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123" w:lineRule="exact"/>
        <w:rPr>
          <w:rFonts w:ascii="Arial" w:cs="Arial" w:eastAsia="Arial" w:hAnsi="Arial"/>
          <w:sz w:val="13"/>
          <w:szCs w:val="13"/>
          <w:color w:val="auto"/>
        </w:rPr>
      </w:pPr>
    </w:p>
    <w:p>
      <w:pPr>
        <w:jc w:val="both"/>
        <w:ind w:firstLine="1078"/>
        <w:spacing w:after="0" w:line="257" w:lineRule="auto"/>
        <w:tabs>
          <w:tab w:leader="none" w:pos="1636" w:val="left"/>
        </w:tabs>
        <w:numPr>
          <w:ilvl w:val="1"/>
          <w:numId w:val="133"/>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 Time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Each exercise of this Warrant shall be deemed to have been effected immediately prior to the close of business on the day on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Notice has been delivered to the Company (the “</w:t>
      </w:r>
      <w:r>
        <w:rPr>
          <w:rFonts w:ascii="Arial" w:cs="Arial" w:eastAsia="Arial" w:hAnsi="Arial"/>
          <w:sz w:val="15"/>
          <w:szCs w:val="15"/>
          <w:u w:val="single" w:color="auto"/>
          <w:color w:val="auto"/>
        </w:rPr>
        <w:t>Exercise Date</w:t>
      </w:r>
      <w:r>
        <w:rPr>
          <w:rFonts w:ascii="Arial" w:cs="Arial" w:eastAsia="Arial" w:hAnsi="Arial"/>
          <w:sz w:val="15"/>
          <w:szCs w:val="15"/>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101" w:name="page102"/>
    <w:bookmarkEnd w:id="101"/>
    <w:p>
      <w:pPr>
        <w:jc w:val="both"/>
        <w:ind w:firstLine="1078"/>
        <w:spacing w:after="0" w:line="274" w:lineRule="auto"/>
        <w:tabs>
          <w:tab w:leader="none" w:pos="1728" w:val="left"/>
        </w:tabs>
        <w:numPr>
          <w:ilvl w:val="1"/>
          <w:numId w:val="134"/>
        </w:numPr>
        <w:rPr>
          <w:rFonts w:ascii="Arial" w:cs="Arial" w:eastAsia="Arial" w:hAnsi="Arial"/>
          <w:sz w:val="14"/>
          <w:szCs w:val="14"/>
          <w:color w:val="auto"/>
        </w:rPr>
      </w:pPr>
      <w:r>
        <w:rPr>
          <w:rFonts w:ascii="Arial" w:cs="Arial" w:eastAsia="Arial" w:hAnsi="Arial"/>
          <w:sz w:val="14"/>
          <w:szCs w:val="14"/>
          <w:b w:val="1"/>
          <w:bCs w:val="1"/>
          <w:u w:val="single" w:color="auto"/>
          <w:color w:val="auto"/>
        </w:rPr>
        <w:t>Cashless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 provisions herein to the contrary, if at any time between the three (3) month anniversary of the Issuance Date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4"/>
          <w:szCs w:val="14"/>
          <w:u w:val="single" w:color="auto"/>
          <w:color w:val="auto"/>
        </w:rPr>
        <w:t>Cashless Exercise</w:t>
      </w:r>
      <w:r>
        <w:rPr>
          <w:rFonts w:ascii="Arial" w:cs="Arial" w:eastAsia="Arial" w:hAnsi="Arial"/>
          <w:sz w:val="14"/>
          <w:szCs w:val="14"/>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3" w:lineRule="exact"/>
        <w:rPr>
          <w:rFonts w:ascii="Arial" w:cs="Arial" w:eastAsia="Arial" w:hAnsi="Arial"/>
          <w:sz w:val="14"/>
          <w:szCs w:val="14"/>
          <w:color w:val="auto"/>
        </w:rPr>
      </w:pPr>
    </w:p>
    <w:p>
      <w:pPr>
        <w:ind w:left="620" w:hanging="76"/>
        <w:spacing w:after="0"/>
        <w:tabs>
          <w:tab w:leader="none" w:pos="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-441325</wp:posOffset>
            </wp:positionV>
            <wp:extent cx="693420" cy="2260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3420" cy="226060"/>
                    </a:xfrm>
                    <a:prstGeom prst="rect">
                      <a:avLst/>
                    </a:prstGeom>
                    <a:noFill/>
                  </pic:spPr>
                </pic:pic>
              </a:graphicData>
            </a:graphic>
          </wp:anchor>
        </w:drawing>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X = the number of shares of Warrant Stock to be issued to the Registered Holder.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Y = the Warrant Stock purchasable under this Warrant or, if only a portion of the Warrant is being exercised, the portion of the Warrant Stock being exercised.</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 = the Fair Market Value (defined below) of one share of Common Stock on the Exercise Date.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 = the Exercise Price (as adjusted pursuant to the provisions of this Warrant).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purposes of this Section 1(c), the “Fair Market Value” of one share of Common Stock on the Exercise Date shall have one of the following meanings:</w:t>
      </w:r>
    </w:p>
    <w:p>
      <w:pPr>
        <w:spacing w:after="0" w:line="184" w:lineRule="exact"/>
        <w:rPr>
          <w:sz w:val="20"/>
          <w:szCs w:val="20"/>
          <w:color w:val="auto"/>
        </w:rPr>
      </w:pPr>
    </w:p>
    <w:p>
      <w:pPr>
        <w:ind w:firstLine="1078"/>
        <w:spacing w:after="0" w:line="348" w:lineRule="auto"/>
        <w:tabs>
          <w:tab w:leader="none" w:pos="1632"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01" w:lineRule="exact"/>
        <w:rPr>
          <w:rFonts w:ascii="Arial" w:cs="Arial" w:eastAsia="Arial" w:hAnsi="Arial"/>
          <w:sz w:val="13"/>
          <w:szCs w:val="13"/>
          <w:color w:val="auto"/>
        </w:rPr>
      </w:pPr>
    </w:p>
    <w:p>
      <w:pPr>
        <w:ind w:firstLine="1078"/>
        <w:spacing w:after="0" w:line="269" w:lineRule="auto"/>
        <w:tabs>
          <w:tab w:leader="none" w:pos="164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 (30) day period ending three (3) days before the Exercise Date; or</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43"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X = </w:t>
      </w:r>
      <w:r>
        <w:rPr>
          <w:rFonts w:ascii="Arial" w:cs="Arial" w:eastAsia="Arial" w:hAnsi="Arial"/>
          <w:sz w:val="15"/>
          <w:szCs w:val="15"/>
          <w:u w:val="single" w:color="auto"/>
          <w:color w:val="auto"/>
        </w:rPr>
        <w:t>50,000 ($2.00-$1.00)</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$2.00</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X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02" w:name="page103"/>
    <w:bookmarkEnd w:id="102"/>
    <w:p>
      <w:pPr>
        <w:jc w:val="both"/>
        <w:ind w:firstLine="1069"/>
        <w:spacing w:after="0" w:line="253" w:lineRule="auto"/>
        <w:rPr>
          <w:sz w:val="20"/>
          <w:szCs w:val="20"/>
          <w:color w:val="auto"/>
        </w:rPr>
      </w:pPr>
      <w:r>
        <w:rPr>
          <w:rFonts w:ascii="Arial" w:cs="Arial" w:eastAsia="Arial" w:hAnsi="Arial"/>
          <w:sz w:val="15"/>
          <w:szCs w:val="15"/>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156" w:lineRule="exact"/>
        <w:rPr>
          <w:sz w:val="20"/>
          <w:szCs w:val="20"/>
          <w:color w:val="auto"/>
        </w:rPr>
      </w:pPr>
    </w:p>
    <w:p>
      <w:pPr>
        <w:jc w:val="both"/>
        <w:ind w:firstLine="1078"/>
        <w:spacing w:after="0" w:line="261" w:lineRule="auto"/>
        <w:tabs>
          <w:tab w:leader="none" w:pos="1714" w:val="left"/>
        </w:tabs>
        <w:numPr>
          <w:ilvl w:val="0"/>
          <w:numId w:val="136"/>
        </w:numPr>
        <w:rPr>
          <w:rFonts w:ascii="Arial" w:cs="Arial" w:eastAsia="Arial" w:hAnsi="Arial"/>
          <w:sz w:val="15"/>
          <w:szCs w:val="15"/>
          <w:color w:val="auto"/>
        </w:rPr>
      </w:pPr>
      <w:r>
        <w:rPr>
          <w:rFonts w:ascii="Arial" w:cs="Arial" w:eastAsia="Arial" w:hAnsi="Arial"/>
          <w:sz w:val="15"/>
          <w:szCs w:val="15"/>
          <w:b w:val="1"/>
          <w:bCs w:val="1"/>
          <w:u w:val="single" w:color="auto"/>
          <w:color w:val="auto"/>
        </w:rPr>
        <w:t>Delivery to Holder</w:t>
      </w:r>
      <w:r>
        <w:rPr>
          <w:rFonts w:ascii="Arial" w:cs="Arial" w:eastAsia="Arial" w:hAnsi="Arial"/>
          <w:sz w:val="15"/>
          <w:szCs w:val="15"/>
          <w:color w:val="auto"/>
        </w:rPr>
        <w:t>. As soon as practicable after the exercise of this Warrant in whole or in part, and in any event within three (3) business days thereafter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Warrant Stock Delivery Date</w:t>
      </w:r>
      <w:r>
        <w:rPr>
          <w:rFonts w:ascii="Arial" w:cs="Arial" w:eastAsia="Arial" w:hAnsi="Arial"/>
          <w:sz w:val="15"/>
          <w:szCs w:val="15"/>
          <w:color w:val="auto"/>
        </w:rPr>
        <w:t>”), the Company will cause to be issued in the name of, and delivered to, the Registered Holder, or as such Registered Holder (upon payment by such Registered Holder of any applicable transfer taxes) may direct:</w:t>
      </w:r>
    </w:p>
    <w:p>
      <w:pPr>
        <w:spacing w:after="0" w:line="154" w:lineRule="exact"/>
        <w:rPr>
          <w:rFonts w:ascii="Arial" w:cs="Arial" w:eastAsia="Arial" w:hAnsi="Arial"/>
          <w:sz w:val="15"/>
          <w:szCs w:val="15"/>
          <w:color w:val="auto"/>
        </w:rPr>
      </w:pPr>
    </w:p>
    <w:p>
      <w:pPr>
        <w:ind w:left="2120" w:hanging="507"/>
        <w:spacing w:after="0"/>
        <w:tabs>
          <w:tab w:leader="none" w:pos="212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a certificate or certificates for the number of shares of Warrant Stock to which such Registered Holder shall be entitled, and</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55"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52" w:lineRule="exact"/>
        <w:rPr>
          <w:rFonts w:ascii="Arial" w:cs="Arial" w:eastAsia="Arial" w:hAnsi="Arial"/>
          <w:sz w:val="15"/>
          <w:szCs w:val="15"/>
          <w:color w:val="auto"/>
        </w:rPr>
      </w:pPr>
    </w:p>
    <w:p>
      <w:pPr>
        <w:jc w:val="both"/>
        <w:ind w:firstLine="1078"/>
        <w:spacing w:after="0" w:line="292" w:lineRule="auto"/>
        <w:tabs>
          <w:tab w:leader="none" w:pos="1716" w:val="left"/>
        </w:tabs>
        <w:numPr>
          <w:ilvl w:val="0"/>
          <w:numId w:val="136"/>
        </w:numPr>
        <w:rPr>
          <w:rFonts w:ascii="Arial" w:cs="Arial" w:eastAsia="Arial" w:hAnsi="Arial"/>
          <w:sz w:val="13"/>
          <w:szCs w:val="13"/>
          <w:color w:val="auto"/>
        </w:rPr>
      </w:pPr>
      <w:r>
        <w:rPr>
          <w:rFonts w:ascii="Arial" w:cs="Arial" w:eastAsia="Arial" w:hAnsi="Arial"/>
          <w:sz w:val="13"/>
          <w:szCs w:val="13"/>
          <w:b w:val="1"/>
          <w:bCs w:val="1"/>
          <w:u w:val="single" w:color="auto"/>
          <w:color w:val="auto"/>
        </w:rPr>
        <w:t>Compensation for Buy-In on Failure to Timely Deliver Certificates Upon Exercise</w:t>
      </w:r>
      <w:r>
        <w:rPr>
          <w:rFonts w:ascii="Arial" w:cs="Arial" w:eastAsia="Arial" w:hAnsi="Arial"/>
          <w:sz w:val="13"/>
          <w:szCs w:val="13"/>
          <w:color w:val="auto"/>
        </w:rPr>
        <w:t>. In addition to any other rights available to the Registered Holder, if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3"/>
          <w:szCs w:val="13"/>
          <w:u w:val="single" w:color="auto"/>
          <w:color w:val="auto"/>
        </w:rPr>
        <w:t>Buy-In</w:t>
      </w:r>
      <w:r>
        <w:rPr>
          <w:rFonts w:ascii="Arial" w:cs="Arial" w:eastAsia="Arial" w:hAnsi="Arial"/>
          <w:sz w:val="13"/>
          <w:szCs w:val="13"/>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72707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03" w:name="page104"/>
    <w:bookmarkEnd w:id="103"/>
    <w:p>
      <w:pPr>
        <w:jc w:val="both"/>
        <w:ind w:left="-544" w:firstLine="1078"/>
        <w:spacing w:after="0" w:line="289" w:lineRule="auto"/>
        <w:tabs>
          <w:tab w:leader="none" w:pos="759" w:val="left"/>
        </w:tabs>
        <w:numPr>
          <w:ilvl w:val="1"/>
          <w:numId w:val="137"/>
        </w:numPr>
        <w:rPr>
          <w:rFonts w:ascii="Arial" w:cs="Arial" w:eastAsia="Arial" w:hAnsi="Arial"/>
          <w:sz w:val="13"/>
          <w:szCs w:val="13"/>
          <w:color w:val="auto"/>
        </w:rPr>
      </w:pPr>
      <w:r>
        <w:rPr>
          <w:rFonts w:ascii="Arial" w:cs="Arial" w:eastAsia="Arial" w:hAnsi="Arial"/>
          <w:sz w:val="13"/>
          <w:szCs w:val="13"/>
          <w:b w:val="1"/>
          <w:bCs w:val="1"/>
          <w:u w:val="single" w:color="auto"/>
          <w:color w:val="auto"/>
        </w:rPr>
        <w:t>Registered Holder’s Exercise Limitations</w:t>
      </w:r>
      <w:r>
        <w:rPr>
          <w:rFonts w:ascii="Arial" w:cs="Arial" w:eastAsia="Arial" w:hAnsi="Arial"/>
          <w:sz w:val="13"/>
          <w:szCs w:val="13"/>
          <w:color w:val="auto"/>
        </w:rPr>
        <w:t>. The Company shall not effect any exercise of this Warrant, and a Registered Holder shall not have the right to exercise any</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3" w:lineRule="exact"/>
        <w:rPr>
          <w:rFonts w:ascii="Arial" w:cs="Arial" w:eastAsia="Arial" w:hAnsi="Arial"/>
          <w:sz w:val="13"/>
          <w:szCs w:val="13"/>
          <w:color w:val="auto"/>
        </w:rPr>
      </w:pPr>
    </w:p>
    <w:p>
      <w:pPr>
        <w:ind w:left="556" w:hanging="556"/>
        <w:spacing w:after="0"/>
        <w:tabs>
          <w:tab w:leader="none" w:pos="556" w:val="left"/>
        </w:tabs>
        <w:numPr>
          <w:ilvl w:val="0"/>
          <w:numId w:val="138"/>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4" w:firstLine="1078"/>
        <w:spacing w:after="0" w:line="253" w:lineRule="auto"/>
        <w:tabs>
          <w:tab w:leader="none" w:pos="1206" w:val="left"/>
        </w:tabs>
        <w:numPr>
          <w:ilvl w:val="1"/>
          <w:numId w:val="138"/>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Splits and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outstanding shares of the Company’s Common Stock shall be subdivided into a greater number of shares or a dividend in</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335280</wp:posOffset>
            </wp:positionV>
            <wp:extent cx="727075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16"/>
          </w:cols>
          <w:pgMar w:left="764" w:top="749" w:right="219" w:bottom="1440" w:gutter="0" w:footer="0" w:header="0"/>
        </w:sectPr>
      </w:pPr>
    </w:p>
    <w:bookmarkStart w:id="104" w:name="page105"/>
    <w:bookmarkEnd w:id="104"/>
    <w:p>
      <w:pPr>
        <w:jc w:val="both"/>
        <w:ind w:left="-9" w:firstLine="1078"/>
        <w:spacing w:after="0" w:line="290" w:lineRule="auto"/>
        <w:tabs>
          <w:tab w:leader="none" w:pos="1716" w:val="left"/>
        </w:tabs>
        <w:numPr>
          <w:ilvl w:val="2"/>
          <w:numId w:val="139"/>
        </w:numPr>
        <w:rPr>
          <w:rFonts w:ascii="Arial" w:cs="Arial" w:eastAsia="Arial" w:hAnsi="Arial"/>
          <w:sz w:val="13"/>
          <w:szCs w:val="13"/>
          <w:color w:val="auto"/>
        </w:rPr>
      </w:pPr>
      <w:r>
        <w:rPr>
          <w:rFonts w:ascii="Arial" w:cs="Arial" w:eastAsia="Arial" w:hAnsi="Arial"/>
          <w:sz w:val="13"/>
          <w:szCs w:val="13"/>
          <w:b w:val="1"/>
          <w:bCs w:val="1"/>
          <w:u w:val="single" w:color="auto"/>
          <w:color w:val="auto"/>
        </w:rPr>
        <w:t>Fundamental Transaction</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at any time while this Warrant is outstanding, (i) the Company effects any merger or consolidation of the Company with or into</w:t>
      </w:r>
      <w:r>
        <w:rPr>
          <w:rFonts w:ascii="Arial" w:cs="Arial" w:eastAsia="Arial" w:hAnsi="Arial"/>
          <w:sz w:val="13"/>
          <w:szCs w:val="13"/>
          <w:b w:val="1"/>
          <w:bCs w:val="1"/>
          <w:color w:val="auto"/>
        </w:rPr>
        <w:t xml:space="preserve"> </w:t>
      </w:r>
      <w:r>
        <w:rPr>
          <w:rFonts w:ascii="Arial" w:cs="Arial" w:eastAsia="Arial" w:hAnsi="Arial"/>
          <w:sz w:val="13"/>
          <w:szCs w:val="13"/>
          <w:color w:val="auto"/>
        </w:rPr>
        <w:t>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3"/>
          <w:szCs w:val="13"/>
          <w:u w:val="single" w:color="auto"/>
          <w:color w:val="auto"/>
        </w:rPr>
        <w:t>Fundamental Transaction</w:t>
      </w:r>
      <w:r>
        <w:rPr>
          <w:rFonts w:ascii="Arial" w:cs="Arial" w:eastAsia="Arial" w:hAnsi="Arial"/>
          <w:sz w:val="13"/>
          <w:szCs w:val="13"/>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139" w:lineRule="exact"/>
        <w:rPr>
          <w:rFonts w:ascii="Arial" w:cs="Arial" w:eastAsia="Arial" w:hAnsi="Arial"/>
          <w:sz w:val="13"/>
          <w:szCs w:val="13"/>
          <w:color w:val="auto"/>
        </w:rPr>
      </w:pPr>
    </w:p>
    <w:p>
      <w:pPr>
        <w:jc w:val="both"/>
        <w:ind w:left="-9" w:firstLine="1078"/>
        <w:spacing w:after="0" w:line="261" w:lineRule="auto"/>
        <w:tabs>
          <w:tab w:leader="none" w:pos="1707" w:val="left"/>
        </w:tabs>
        <w:numPr>
          <w:ilvl w:val="2"/>
          <w:numId w:val="139"/>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 promptly mail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50" w:lineRule="exact"/>
        <w:rPr>
          <w:rFonts w:ascii="Arial" w:cs="Arial" w:eastAsia="Arial" w:hAnsi="Arial"/>
          <w:sz w:val="15"/>
          <w:szCs w:val="15"/>
          <w:color w:val="auto"/>
        </w:rPr>
      </w:pPr>
    </w:p>
    <w:p>
      <w:pPr>
        <w:ind w:left="1091" w:hanging="556"/>
        <w:spacing w:after="0"/>
        <w:tabs>
          <w:tab w:leader="none" w:pos="1091" w:val="left"/>
        </w:tabs>
        <w:numPr>
          <w:ilvl w:val="1"/>
          <w:numId w:val="140"/>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Transfers</w:t>
      </w:r>
      <w:r>
        <w:rPr>
          <w:rFonts w:ascii="Arial" w:cs="Arial" w:eastAsia="Arial" w:hAnsi="Arial"/>
          <w:sz w:val="15"/>
          <w:szCs w:val="15"/>
          <w:b w:val="1"/>
          <w:bCs w:val="1"/>
          <w:color w:val="auto"/>
        </w:rPr>
        <w:t>.</w:t>
      </w:r>
    </w:p>
    <w:p>
      <w:pPr>
        <w:spacing w:after="0" w:line="183" w:lineRule="exact"/>
        <w:rPr>
          <w:rFonts w:ascii="Arial" w:cs="Arial" w:eastAsia="Arial" w:hAnsi="Arial"/>
          <w:sz w:val="15"/>
          <w:szCs w:val="15"/>
          <w:color w:val="auto"/>
        </w:rPr>
      </w:pPr>
    </w:p>
    <w:p>
      <w:pPr>
        <w:jc w:val="both"/>
        <w:ind w:left="-9" w:firstLine="1078"/>
        <w:spacing w:after="0" w:line="293" w:lineRule="auto"/>
        <w:tabs>
          <w:tab w:leader="none" w:pos="1663" w:val="left"/>
        </w:tabs>
        <w:numPr>
          <w:ilvl w:val="2"/>
          <w:numId w:val="140"/>
        </w:numPr>
        <w:rPr>
          <w:rFonts w:ascii="Arial" w:cs="Arial" w:eastAsia="Arial" w:hAnsi="Arial"/>
          <w:sz w:val="13"/>
          <w:szCs w:val="13"/>
          <w:color w:val="auto"/>
        </w:rPr>
      </w:pPr>
      <w:r>
        <w:rPr>
          <w:rFonts w:ascii="Arial" w:cs="Arial" w:eastAsia="Arial" w:hAnsi="Arial"/>
          <w:sz w:val="13"/>
          <w:szCs w:val="13"/>
          <w:b w:val="1"/>
          <w:bCs w:val="1"/>
          <w:u w:val="single" w:color="auto"/>
          <w:color w:val="auto"/>
        </w:rPr>
        <w:t>Unregistered Security</w:t>
      </w:r>
      <w:r>
        <w:rPr>
          <w:rFonts w:ascii="Arial" w:cs="Arial" w:eastAsia="Arial" w:hAnsi="Arial"/>
          <w:sz w:val="13"/>
          <w:szCs w:val="13"/>
          <w:b w:val="1"/>
          <w:bCs w:val="1"/>
          <w:color w:val="auto"/>
        </w:rPr>
        <w:t xml:space="preserve">. </w:t>
      </w:r>
      <w:r>
        <w:rPr>
          <w:rFonts w:ascii="Arial" w:cs="Arial" w:eastAsia="Arial" w:hAnsi="Arial"/>
          <w:sz w:val="13"/>
          <w:szCs w:val="13"/>
          <w:color w:val="auto"/>
        </w:rPr>
        <w:t>The holder of this Warrant acknowledges that this Warrant has not been registered under the Securities Act and agrees not to sell, pledge,</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3"/>
          <w:szCs w:val="13"/>
          <w:color w:val="auto"/>
        </w:rPr>
      </w:pPr>
    </w:p>
    <w:p>
      <w:pPr>
        <w:ind w:left="211" w:hanging="211"/>
        <w:spacing w:after="0"/>
        <w:tabs>
          <w:tab w:leader="none" w:pos="211"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an opinion of counsel, reasonably satisfactory to the Company, that such registration and qualification are not required.</w:t>
      </w:r>
    </w:p>
    <w:p>
      <w:pPr>
        <w:spacing w:after="0" w:line="169" w:lineRule="exact"/>
        <w:rPr>
          <w:rFonts w:ascii="Arial" w:cs="Arial" w:eastAsia="Arial" w:hAnsi="Arial"/>
          <w:sz w:val="15"/>
          <w:szCs w:val="15"/>
          <w:color w:val="auto"/>
        </w:rPr>
      </w:pPr>
    </w:p>
    <w:p>
      <w:pPr>
        <w:jc w:val="both"/>
        <w:ind w:left="-9" w:firstLine="1078"/>
        <w:spacing w:after="0" w:line="261" w:lineRule="auto"/>
        <w:tabs>
          <w:tab w:leader="none" w:pos="1782" w:val="left"/>
        </w:tabs>
        <w:numPr>
          <w:ilvl w:val="2"/>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provisions of Section 3(a) hereof, this Warrant and all rights hereunder are transferable, in whole or in part, to (i) any entity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controlling, controlled by or under common control of the Registered Holder, or (ii) to any other proposed transferee by surrendering the Warrant with a properly executed assignment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at the principal office of the Company.</w:t>
      </w:r>
    </w:p>
    <w:p>
      <w:pPr>
        <w:spacing w:after="0" w:line="150" w:lineRule="exact"/>
        <w:rPr>
          <w:rFonts w:ascii="Arial" w:cs="Arial" w:eastAsia="Arial" w:hAnsi="Arial"/>
          <w:sz w:val="15"/>
          <w:szCs w:val="15"/>
          <w:color w:val="auto"/>
        </w:rPr>
      </w:pPr>
    </w:p>
    <w:p>
      <w:pPr>
        <w:jc w:val="both"/>
        <w:ind w:left="-9" w:firstLine="1078"/>
        <w:spacing w:after="0" w:line="281" w:lineRule="auto"/>
        <w:tabs>
          <w:tab w:leader="none" w:pos="1651" w:val="left"/>
        </w:tabs>
        <w:numPr>
          <w:ilvl w:val="2"/>
          <w:numId w:val="141"/>
        </w:numPr>
        <w:rPr>
          <w:rFonts w:ascii="Arial" w:cs="Arial" w:eastAsia="Arial" w:hAnsi="Arial"/>
          <w:sz w:val="14"/>
          <w:szCs w:val="14"/>
          <w:color w:val="auto"/>
        </w:rPr>
      </w:pPr>
      <w:r>
        <w:rPr>
          <w:rFonts w:ascii="Arial" w:cs="Arial" w:eastAsia="Arial" w:hAnsi="Arial"/>
          <w:sz w:val="14"/>
          <w:szCs w:val="14"/>
          <w:b w:val="1"/>
          <w:bCs w:val="1"/>
          <w:u w:val="single" w:color="auto"/>
          <w:color w:val="auto"/>
        </w:rPr>
        <w:t>Warrant Register</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will maintain a register containing the names and addresses of the Registered Holders of this Warrant. Until any transfer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Warrant is made in the warrant register, the Company may treat the Registered Holder of this Warrant as the absolute owner hereof for all purposes;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2707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8" w:right="219" w:bottom="1440" w:gutter="0" w:footer="0" w:header="0"/>
        </w:sectPr>
      </w:pPr>
    </w:p>
    <w:bookmarkStart w:id="105" w:name="page106"/>
    <w:bookmarkEnd w:id="105"/>
    <w:p>
      <w:pPr>
        <w:ind w:left="1091" w:hanging="556"/>
        <w:spacing w:after="0"/>
        <w:tabs>
          <w:tab w:leader="none" w:pos="1091"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left="-9" w:firstLine="544"/>
        <w:spacing w:after="0" w:line="291" w:lineRule="auto"/>
        <w:tabs>
          <w:tab w:leader="none" w:pos="1106" w:val="left"/>
        </w:tabs>
        <w:numPr>
          <w:ilvl w:val="1"/>
          <w:numId w:val="143"/>
        </w:numPr>
        <w:rPr>
          <w:rFonts w:ascii="Arial" w:cs="Arial" w:eastAsia="Arial" w:hAnsi="Arial"/>
          <w:sz w:val="13"/>
          <w:szCs w:val="13"/>
          <w:color w:val="auto"/>
        </w:rPr>
      </w:pPr>
      <w:r>
        <w:rPr>
          <w:rFonts w:ascii="Arial" w:cs="Arial" w:eastAsia="Arial" w:hAnsi="Arial"/>
          <w:sz w:val="13"/>
          <w:szCs w:val="13"/>
          <w:b w:val="1"/>
          <w:bCs w:val="1"/>
          <w:u w:val="single" w:color="auto"/>
          <w:color w:val="auto"/>
        </w:rPr>
        <w:t>Redemption of Warrant.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redeemed, at the option of the Company, at any time after it becomes exercisable and prior to its expiration, at the office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or, if appointed, the Company’s warrant agent, upon the notice referred to in Section 4(b) hereof, at the price of $0.01 per share underlying the Warrant (the “</w:t>
      </w:r>
      <w:r>
        <w:rPr>
          <w:rFonts w:ascii="Arial" w:cs="Arial" w:eastAsia="Arial" w:hAnsi="Arial"/>
          <w:sz w:val="13"/>
          <w:szCs w:val="13"/>
          <w:u w:val="single" w:color="auto"/>
          <w:color w:val="auto"/>
        </w:rPr>
        <w:t>Redemption Price</w:t>
      </w:r>
      <w:r>
        <w:rPr>
          <w:rFonts w:ascii="Arial" w:cs="Arial" w:eastAsia="Arial" w:hAnsi="Arial"/>
          <w:sz w:val="13"/>
          <w:szCs w:val="13"/>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w:t>
      </w:r>
    </w:p>
    <w:p>
      <w:pPr>
        <w:spacing w:after="0" w:line="1" w:lineRule="exact"/>
        <w:rPr>
          <w:rFonts w:ascii="Arial" w:cs="Arial" w:eastAsia="Arial" w:hAnsi="Arial"/>
          <w:sz w:val="13"/>
          <w:szCs w:val="13"/>
          <w:color w:val="auto"/>
        </w:rPr>
      </w:pPr>
    </w:p>
    <w:p>
      <w:pPr>
        <w:jc w:val="both"/>
        <w:ind w:left="-9" w:firstLine="9"/>
        <w:spacing w:after="0" w:line="251" w:lineRule="auto"/>
        <w:tabs>
          <w:tab w:leader="none" w:pos="21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157" w:lineRule="exact"/>
        <w:rPr>
          <w:rFonts w:ascii="Arial" w:cs="Arial" w:eastAsia="Arial" w:hAnsi="Arial"/>
          <w:sz w:val="15"/>
          <w:szCs w:val="15"/>
          <w:color w:val="auto"/>
        </w:rPr>
      </w:pPr>
    </w:p>
    <w:p>
      <w:pPr>
        <w:jc w:val="both"/>
        <w:ind w:left="-9" w:firstLine="544"/>
        <w:spacing w:after="0" w:line="257" w:lineRule="auto"/>
        <w:tabs>
          <w:tab w:leader="none" w:pos="1214" w:val="left"/>
        </w:tabs>
        <w:numPr>
          <w:ilvl w:val="1"/>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 Company shall fix a date for the redemption. Notice of</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2" w:lineRule="exact"/>
        <w:rPr>
          <w:rFonts w:ascii="Arial" w:cs="Arial" w:eastAsia="Arial" w:hAnsi="Arial"/>
          <w:sz w:val="15"/>
          <w:szCs w:val="15"/>
          <w:color w:val="auto"/>
        </w:rPr>
      </w:pPr>
    </w:p>
    <w:p>
      <w:pPr>
        <w:jc w:val="both"/>
        <w:ind w:left="-9" w:firstLine="544"/>
        <w:spacing w:after="0" w:line="261" w:lineRule="auto"/>
        <w:tabs>
          <w:tab w:leader="none" w:pos="1106" w:val="left"/>
        </w:tabs>
        <w:numPr>
          <w:ilvl w:val="1"/>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After Notice of Redemption</w:t>
      </w:r>
      <w:r>
        <w:rPr>
          <w:rFonts w:ascii="Arial" w:cs="Arial" w:eastAsia="Arial" w:hAnsi="Arial"/>
          <w:sz w:val="15"/>
          <w:szCs w:val="15"/>
          <w:color w:val="auto"/>
        </w:rPr>
        <w:t>. The Warrants may be exercised in accordance with this Warrant at any time after notice of redemption shall have been given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prior to the time and date fixed for redemption. On and after the redemption date, the Registered Holder shall have no further rights except to receive, upon surrender of the Warrants, the Redemption Price.</w:t>
      </w:r>
    </w:p>
    <w:p>
      <w:pPr>
        <w:spacing w:after="0" w:line="150" w:lineRule="exact"/>
        <w:rPr>
          <w:sz w:val="20"/>
          <w:szCs w:val="20"/>
          <w:color w:val="auto"/>
        </w:rPr>
      </w:pPr>
    </w:p>
    <w:p>
      <w:pPr>
        <w:jc w:val="both"/>
        <w:ind w:left="-9" w:firstLine="544"/>
        <w:spacing w:after="0" w:line="253" w:lineRule="auto"/>
        <w:tabs>
          <w:tab w:leader="none" w:pos="1227" w:val="left"/>
        </w:tabs>
        <w:numPr>
          <w:ilvl w:val="0"/>
          <w:numId w:val="145"/>
        </w:numPr>
        <w:rPr>
          <w:rFonts w:ascii="Arial" w:cs="Arial" w:eastAsia="Arial" w:hAnsi="Arial"/>
          <w:sz w:val="15"/>
          <w:szCs w:val="15"/>
          <w:color w:val="auto"/>
        </w:rPr>
      </w:pPr>
      <w:r>
        <w:rPr>
          <w:rFonts w:ascii="Arial" w:cs="Arial" w:eastAsia="Arial" w:hAnsi="Arial"/>
          <w:sz w:val="15"/>
          <w:szCs w:val="15"/>
          <w:b w:val="1"/>
          <w:bCs w:val="1"/>
          <w:u w:val="single" w:color="auto"/>
          <w:color w:val="auto"/>
        </w:rPr>
        <w:t>Superior Warrant</w:t>
      </w:r>
      <w:r>
        <w:rPr>
          <w:rFonts w:ascii="Arial" w:cs="Arial" w:eastAsia="Arial" w:hAnsi="Arial"/>
          <w:sz w:val="15"/>
          <w:szCs w:val="15"/>
          <w:color w:val="auto"/>
        </w:rPr>
        <w:t>. From the date hereof until December 31, 2014, in the event the Company shall issue or sell a warrant to purchase shares of Common Stock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 adjustments to the Warrant in accordance with this Section 5 shall be made upon the issuance of any Excluded Securities (as defined in the Company’s Certificate of Designations, Preferences and Rights of Series A Convertible Preferred Stock).</w:t>
      </w:r>
    </w:p>
    <w:p>
      <w:pPr>
        <w:spacing w:after="0" w:line="156" w:lineRule="exact"/>
        <w:rPr>
          <w:sz w:val="20"/>
          <w:szCs w:val="20"/>
          <w:color w:val="auto"/>
        </w:rPr>
      </w:pPr>
    </w:p>
    <w:p>
      <w:pPr>
        <w:ind w:left="531"/>
        <w:spacing w:after="0"/>
        <w:tabs>
          <w:tab w:leader="none" w:pos="1070" w:val="left"/>
        </w:tabs>
        <w:rPr>
          <w:sz w:val="20"/>
          <w:szCs w:val="20"/>
          <w:color w:val="auto"/>
        </w:rPr>
      </w:pPr>
      <w:r>
        <w:rPr>
          <w:rFonts w:ascii="Arial" w:cs="Arial" w:eastAsia="Arial" w:hAnsi="Arial"/>
          <w:sz w:val="15"/>
          <w:szCs w:val="15"/>
          <w:color w:val="auto"/>
        </w:rPr>
        <w:t>6</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Warrant (and the right to purchase securities upon exercise hereof) shall terminate at 5:00 p.m., Eastern time, on the Expiration Date.</w:t>
      </w:r>
    </w:p>
    <w:p>
      <w:pPr>
        <w:spacing w:after="0" w:line="184" w:lineRule="exact"/>
        <w:rPr>
          <w:sz w:val="20"/>
          <w:szCs w:val="20"/>
          <w:color w:val="auto"/>
        </w:rPr>
      </w:pPr>
    </w:p>
    <w:p>
      <w:pPr>
        <w:ind w:left="1091" w:hanging="556"/>
        <w:spacing w:after="0"/>
        <w:tabs>
          <w:tab w:leader="none" w:pos="1091" w:val="left"/>
        </w:tabs>
        <w:numPr>
          <w:ilvl w:val="0"/>
          <w:numId w:val="146"/>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 of Certain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case:</w:t>
      </w:r>
    </w:p>
    <w:p>
      <w:pPr>
        <w:spacing w:after="0" w:line="187" w:lineRule="exact"/>
        <w:rPr>
          <w:rFonts w:ascii="Arial" w:cs="Arial" w:eastAsia="Arial" w:hAnsi="Arial"/>
          <w:sz w:val="15"/>
          <w:szCs w:val="15"/>
          <w:color w:val="auto"/>
        </w:rPr>
      </w:pPr>
    </w:p>
    <w:p>
      <w:pPr>
        <w:jc w:val="both"/>
        <w:ind w:left="-9" w:firstLine="1078"/>
        <w:spacing w:after="0" w:line="286" w:lineRule="auto"/>
        <w:tabs>
          <w:tab w:leader="none" w:pos="1664"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320040</wp:posOffset>
            </wp:positionV>
            <wp:extent cx="727075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06" w:name="page107"/>
    <w:bookmarkEnd w:id="106"/>
    <w:p>
      <w:pPr>
        <w:jc w:val="both"/>
        <w:ind w:firstLine="1078"/>
        <w:spacing w:after="0" w:line="258" w:lineRule="auto"/>
        <w:tabs>
          <w:tab w:leader="none" w:pos="1846"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56" w:lineRule="exact"/>
        <w:rPr>
          <w:rFonts w:ascii="Arial" w:cs="Arial" w:eastAsia="Arial" w:hAnsi="Arial"/>
          <w:sz w:val="15"/>
          <w:szCs w:val="15"/>
          <w:color w:val="auto"/>
        </w:rPr>
      </w:pPr>
    </w:p>
    <w:p>
      <w:pPr>
        <w:ind w:left="1620" w:hanging="54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winding-up of the Company, or</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any Fundamental Transaction,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43" w:lineRule="exact"/>
        <w:rPr>
          <w:sz w:val="20"/>
          <w:szCs w:val="20"/>
          <w:color w:val="auto"/>
        </w:rPr>
      </w:pPr>
    </w:p>
    <w:p>
      <w:pPr>
        <w:jc w:val="both"/>
        <w:ind w:firstLine="544"/>
        <w:spacing w:after="0" w:line="297" w:lineRule="auto"/>
        <w:tabs>
          <w:tab w:leader="none" w:pos="1124" w:val="left"/>
        </w:tabs>
        <w:numPr>
          <w:ilvl w:val="0"/>
          <w:numId w:val="148"/>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Stock</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covenants that at all times it will have authorized, reserve and keep available, solely for the issuance and delivery upon the exercise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30" w:lineRule="exact"/>
        <w:rPr>
          <w:rFonts w:ascii="Arial" w:cs="Arial" w:eastAsia="Arial" w:hAnsi="Arial"/>
          <w:sz w:val="13"/>
          <w:szCs w:val="13"/>
          <w:color w:val="auto"/>
        </w:rPr>
      </w:pPr>
    </w:p>
    <w:p>
      <w:pPr>
        <w:jc w:val="both"/>
        <w:ind w:firstLine="544"/>
        <w:spacing w:after="0" w:line="261" w:lineRule="auto"/>
        <w:tabs>
          <w:tab w:leader="none" w:pos="1147"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 and (in the case of</w:t>
      </w:r>
      <w:r>
        <w:rPr>
          <w:rFonts w:ascii="Arial" w:cs="Arial" w:eastAsia="Arial" w:hAnsi="Arial"/>
          <w:sz w:val="15"/>
          <w:szCs w:val="15"/>
          <w:b w:val="1"/>
          <w:bCs w:val="1"/>
          <w:color w:val="auto"/>
        </w:rPr>
        <w:t xml:space="preserve"> </w:t>
      </w:r>
      <w:r>
        <w:rPr>
          <w:rFonts w:ascii="Arial" w:cs="Arial" w:eastAsia="Arial" w:hAnsi="Arial"/>
          <w:sz w:val="15"/>
          <w:szCs w:val="15"/>
          <w:color w:val="auto"/>
        </w:rPr>
        <w:t>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50" w:lineRule="exact"/>
        <w:rPr>
          <w:rFonts w:ascii="Arial" w:cs="Arial" w:eastAsia="Arial" w:hAnsi="Arial"/>
          <w:sz w:val="15"/>
          <w:szCs w:val="15"/>
          <w:color w:val="auto"/>
        </w:rPr>
      </w:pPr>
    </w:p>
    <w:p>
      <w:pPr>
        <w:jc w:val="both"/>
        <w:ind w:firstLine="544"/>
        <w:spacing w:after="0" w:line="257" w:lineRule="auto"/>
        <w:tabs>
          <w:tab w:leader="none" w:pos="1128"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 when delivered personally or by courier, overnight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52" w:lineRule="exact"/>
        <w:rPr>
          <w:rFonts w:ascii="Arial" w:cs="Arial" w:eastAsia="Arial" w:hAnsi="Arial"/>
          <w:sz w:val="15"/>
          <w:szCs w:val="15"/>
          <w:color w:val="auto"/>
        </w:rPr>
      </w:pPr>
    </w:p>
    <w:p>
      <w:pPr>
        <w:ind w:left="1140" w:hanging="596"/>
        <w:spacing w:after="0"/>
        <w:tabs>
          <w:tab w:leader="none" w:pos="1140" w:val="left"/>
        </w:tabs>
        <w:numPr>
          <w:ilvl w:val="0"/>
          <w:numId w:val="148"/>
        </w:numPr>
        <w:rPr>
          <w:rFonts w:ascii="Arial" w:cs="Arial" w:eastAsia="Arial" w:hAnsi="Arial"/>
          <w:sz w:val="13"/>
          <w:szCs w:val="13"/>
          <w:color w:val="auto"/>
        </w:rPr>
      </w:pPr>
      <w:r>
        <w:rPr>
          <w:rFonts w:ascii="Arial" w:cs="Arial" w:eastAsia="Arial" w:hAnsi="Arial"/>
          <w:sz w:val="13"/>
          <w:szCs w:val="13"/>
          <w:b w:val="1"/>
          <w:bCs w:val="1"/>
          <w:u w:val="single" w:color="auto"/>
          <w:color w:val="auto"/>
        </w:rPr>
        <w:t>No Rights as Stockholder</w:t>
      </w:r>
      <w:r>
        <w:rPr>
          <w:rFonts w:ascii="Arial" w:cs="Arial" w:eastAsia="Arial" w:hAnsi="Arial"/>
          <w:sz w:val="13"/>
          <w:szCs w:val="13"/>
          <w:b w:val="1"/>
          <w:bCs w:val="1"/>
          <w:color w:val="auto"/>
        </w:rPr>
        <w:t xml:space="preserve">. </w:t>
      </w:r>
      <w:r>
        <w:rPr>
          <w:rFonts w:ascii="Arial" w:cs="Arial" w:eastAsia="Arial" w:hAnsi="Arial"/>
          <w:sz w:val="13"/>
          <w:szCs w:val="13"/>
          <w:color w:val="auto"/>
        </w:rPr>
        <w:t>Until the exercise of this Warrant, the Registered Holder of this Warrant shall not have or exercise any rights by virtue hereof as a stockholder of</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343535</wp:posOffset>
            </wp:positionV>
            <wp:extent cx="727075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07" w:name="page108"/>
    <w:bookmarkEnd w:id="107"/>
    <w:p>
      <w:pPr>
        <w:ind w:right="20" w:firstLine="544"/>
        <w:spacing w:after="0" w:line="275" w:lineRule="auto"/>
        <w:tabs>
          <w:tab w:leader="none" w:pos="1273"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No Fractional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 fractional shares of Common Stock will be issued in connection with any exercise hereunder. In lieu of any fractional shares which would</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be issuable, the Company shall round the amount of Warrant Stock issuable to the nearest whole share.</w:t>
      </w:r>
    </w:p>
    <w:p>
      <w:pPr>
        <w:spacing w:after="0" w:line="139" w:lineRule="exact"/>
        <w:rPr>
          <w:rFonts w:ascii="Arial" w:cs="Arial" w:eastAsia="Arial" w:hAnsi="Arial"/>
          <w:sz w:val="15"/>
          <w:szCs w:val="15"/>
          <w:color w:val="auto"/>
        </w:rPr>
      </w:pPr>
    </w:p>
    <w:p>
      <w:pPr>
        <w:ind w:left="1140" w:hanging="596"/>
        <w:spacing w:after="0"/>
        <w:tabs>
          <w:tab w:leader="none" w:pos="1140"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or Waiver</w:t>
      </w:r>
      <w:r>
        <w:rPr>
          <w:rFonts w:ascii="Arial" w:cs="Arial" w:eastAsia="Arial" w:hAnsi="Arial"/>
          <w:sz w:val="15"/>
          <w:szCs w:val="15"/>
          <w:b w:val="1"/>
          <w:bCs w:val="1"/>
          <w:color w:val="auto"/>
        </w:rPr>
        <w:t xml:space="preserve">. </w:t>
      </w:r>
      <w:r>
        <w:rPr>
          <w:rFonts w:ascii="Arial" w:cs="Arial" w:eastAsia="Arial" w:hAnsi="Arial"/>
          <w:sz w:val="15"/>
          <w:szCs w:val="15"/>
          <w:color w:val="auto"/>
        </w:rPr>
        <w:t>Any term of this Warrant may be amended or waived upon written consent of the Company and the Registered Holder.</w:t>
      </w:r>
    </w:p>
    <w:p>
      <w:pPr>
        <w:spacing w:after="0" w:line="183" w:lineRule="exact"/>
        <w:rPr>
          <w:rFonts w:ascii="Arial" w:cs="Arial" w:eastAsia="Arial" w:hAnsi="Arial"/>
          <w:sz w:val="15"/>
          <w:szCs w:val="15"/>
          <w:color w:val="auto"/>
        </w:rPr>
      </w:pPr>
    </w:p>
    <w:p>
      <w:pPr>
        <w:ind w:left="1140" w:hanging="596"/>
        <w:spacing w:after="0"/>
        <w:tabs>
          <w:tab w:leader="none" w:pos="1140" w:val="left"/>
        </w:tabs>
        <w:numPr>
          <w:ilvl w:val="0"/>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 xml:space="preserve">. </w:t>
      </w:r>
      <w:r>
        <w:rPr>
          <w:rFonts w:ascii="Arial" w:cs="Arial" w:eastAsia="Arial" w:hAnsi="Arial"/>
          <w:sz w:val="14"/>
          <w:szCs w:val="14"/>
          <w:color w:val="auto"/>
        </w:rPr>
        <w:t>The headings in this Warrant are for purposes of reference only and shall not limit or otherwise affect the meaning of any provision of this Warrant.</w:t>
      </w:r>
    </w:p>
    <w:p>
      <w:pPr>
        <w:spacing w:after="0" w:line="195" w:lineRule="exact"/>
        <w:rPr>
          <w:rFonts w:ascii="Arial" w:cs="Arial" w:eastAsia="Arial" w:hAnsi="Arial"/>
          <w:sz w:val="14"/>
          <w:szCs w:val="14"/>
          <w:color w:val="auto"/>
        </w:rPr>
      </w:pPr>
    </w:p>
    <w:p>
      <w:pPr>
        <w:ind w:firstLine="544"/>
        <w:spacing w:after="0" w:line="275" w:lineRule="auto"/>
        <w:tabs>
          <w:tab w:leader="none" w:pos="1162"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all acts and transactions pursuant hereto and the rights and obligations of the parties hereto shall be governed, construed and interpreted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the laws of the State of New York, without giving effect to principles of conflicts of law.</w:t>
      </w:r>
    </w:p>
    <w:p>
      <w:pPr>
        <w:spacing w:after="0" w:line="139" w:lineRule="exact"/>
        <w:rPr>
          <w:rFonts w:ascii="Arial" w:cs="Arial" w:eastAsia="Arial" w:hAnsi="Arial"/>
          <w:sz w:val="15"/>
          <w:szCs w:val="15"/>
          <w:color w:val="auto"/>
        </w:rPr>
      </w:pPr>
    </w:p>
    <w:p>
      <w:pPr>
        <w:ind w:right="20" w:firstLine="544"/>
        <w:spacing w:after="0" w:line="275" w:lineRule="auto"/>
        <w:tabs>
          <w:tab w:leader="none" w:pos="1307"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 and Covenants of the Registered Holder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has been entered into by the Company in reliance upon the following representations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covenants of the Registered Holder:</w:t>
      </w:r>
    </w:p>
    <w:p>
      <w:pPr>
        <w:spacing w:after="0" w:line="139" w:lineRule="exact"/>
        <w:rPr>
          <w:rFonts w:ascii="Arial" w:cs="Arial" w:eastAsia="Arial" w:hAnsi="Arial"/>
          <w:sz w:val="15"/>
          <w:szCs w:val="15"/>
          <w:color w:val="auto"/>
        </w:rPr>
      </w:pPr>
    </w:p>
    <w:p>
      <w:pPr>
        <w:ind w:firstLine="1145"/>
        <w:spacing w:after="0" w:line="275" w:lineRule="auto"/>
        <w:tabs>
          <w:tab w:leader="none" w:pos="1750" w:val="left"/>
        </w:tabs>
        <w:numPr>
          <w:ilvl w:val="1"/>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Investment Purpose</w:t>
      </w:r>
      <w:r>
        <w:rPr>
          <w:rFonts w:ascii="Arial" w:cs="Arial" w:eastAsia="Arial" w:hAnsi="Arial"/>
          <w:sz w:val="15"/>
          <w:szCs w:val="15"/>
          <w:color w:val="auto"/>
        </w:rPr>
        <w:t>. The Registered Holder is acquiring the Warrant and the Warrant Stock issuable upon exercise of the Warrant for its own account, not as a</w:t>
      </w:r>
      <w:r>
        <w:rPr>
          <w:rFonts w:ascii="Arial" w:cs="Arial" w:eastAsia="Arial" w:hAnsi="Arial"/>
          <w:sz w:val="15"/>
          <w:szCs w:val="15"/>
          <w:b w:val="1"/>
          <w:bCs w:val="1"/>
          <w:color w:val="auto"/>
        </w:rPr>
        <w:t xml:space="preserve"> </w:t>
      </w:r>
      <w:r>
        <w:rPr>
          <w:rFonts w:ascii="Arial" w:cs="Arial" w:eastAsia="Arial" w:hAnsi="Arial"/>
          <w:sz w:val="15"/>
          <w:szCs w:val="15"/>
          <w:color w:val="auto"/>
        </w:rPr>
        <w:t>nominee or agent and with no present intention of selling or otherwise distributing any part thereof.</w:t>
      </w:r>
    </w:p>
    <w:p>
      <w:pPr>
        <w:spacing w:after="0" w:line="139" w:lineRule="exact"/>
        <w:rPr>
          <w:rFonts w:ascii="Arial" w:cs="Arial" w:eastAsia="Arial" w:hAnsi="Arial"/>
          <w:sz w:val="15"/>
          <w:szCs w:val="15"/>
          <w:color w:val="auto"/>
        </w:rPr>
      </w:pPr>
    </w:p>
    <w:p>
      <w:pPr>
        <w:jc w:val="both"/>
        <w:ind w:firstLine="1145"/>
        <w:spacing w:after="0" w:line="288" w:lineRule="auto"/>
        <w:tabs>
          <w:tab w:leader="none" w:pos="1725"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Private Issue</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understands: (i) that the Warrant is not registered under the Securities Act or qualified under applicable state securities laws</w:t>
      </w:r>
      <w:r>
        <w:rPr>
          <w:rFonts w:ascii="Arial" w:cs="Arial" w:eastAsia="Arial" w:hAnsi="Arial"/>
          <w:sz w:val="14"/>
          <w:szCs w:val="14"/>
          <w:b w:val="1"/>
          <w:bCs w:val="1"/>
          <w:color w:val="auto"/>
        </w:rPr>
        <w:t xml:space="preserve"> </w:t>
      </w:r>
      <w:r>
        <w:rPr>
          <w:rFonts w:ascii="Arial" w:cs="Arial" w:eastAsia="Arial" w:hAnsi="Arial"/>
          <w:sz w:val="14"/>
          <w:szCs w:val="14"/>
          <w:color w:val="auto"/>
        </w:rPr>
        <w:t>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133" w:lineRule="exact"/>
        <w:rPr>
          <w:rFonts w:ascii="Arial" w:cs="Arial" w:eastAsia="Arial" w:hAnsi="Arial"/>
          <w:sz w:val="14"/>
          <w:szCs w:val="14"/>
          <w:color w:val="auto"/>
        </w:rPr>
      </w:pPr>
    </w:p>
    <w:p>
      <w:pPr>
        <w:jc w:val="both"/>
        <w:ind w:firstLine="1145"/>
        <w:spacing w:after="0" w:line="274" w:lineRule="auto"/>
        <w:tabs>
          <w:tab w:leader="none" w:pos="1705"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Disposition of Registered Holder’s Rights</w:t>
      </w:r>
      <w:r>
        <w:rPr>
          <w:rFonts w:ascii="Arial" w:cs="Arial" w:eastAsia="Arial" w:hAnsi="Arial"/>
          <w:sz w:val="14"/>
          <w:szCs w:val="14"/>
          <w:b w:val="1"/>
          <w:bCs w:val="1"/>
          <w:color w:val="auto"/>
        </w:rPr>
        <w:t xml:space="preserve">. </w:t>
      </w:r>
      <w:r>
        <w:rPr>
          <w:rFonts w:ascii="Arial" w:cs="Arial" w:eastAsia="Arial" w:hAnsi="Arial"/>
          <w:sz w:val="14"/>
          <w:szCs w:val="14"/>
          <w:color w:val="auto"/>
        </w:rPr>
        <w:t>In no event will the Registered Holder make a disposition of the Warrant or the Warrant Stock issuable upon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44" w:lineRule="exact"/>
        <w:rPr>
          <w:rFonts w:ascii="Arial" w:cs="Arial" w:eastAsia="Arial" w:hAnsi="Arial"/>
          <w:sz w:val="14"/>
          <w:szCs w:val="14"/>
          <w:color w:val="auto"/>
        </w:rPr>
      </w:pPr>
    </w:p>
    <w:p>
      <w:pPr>
        <w:ind w:left="1760" w:hanging="615"/>
        <w:spacing w:after="0"/>
        <w:tabs>
          <w:tab w:leader="none" w:pos="1760" w:val="left"/>
        </w:tabs>
        <w:numPr>
          <w:ilvl w:val="1"/>
          <w:numId w:val="149"/>
        </w:numPr>
        <w:rPr>
          <w:rFonts w:ascii="Arial" w:cs="Arial" w:eastAsia="Arial" w:hAnsi="Arial"/>
          <w:sz w:val="13"/>
          <w:szCs w:val="13"/>
          <w:color w:val="auto"/>
        </w:rPr>
      </w:pPr>
      <w:r>
        <w:rPr>
          <w:rFonts w:ascii="Arial" w:cs="Arial" w:eastAsia="Arial" w:hAnsi="Arial"/>
          <w:sz w:val="13"/>
          <w:szCs w:val="13"/>
          <w:b w:val="1"/>
          <w:bCs w:val="1"/>
          <w:u w:val="single" w:color="auto"/>
          <w:color w:val="auto"/>
        </w:rPr>
        <w:t>Financial Risk</w:t>
      </w:r>
      <w:r>
        <w:rPr>
          <w:rFonts w:ascii="Arial" w:cs="Arial" w:eastAsia="Arial" w:hAnsi="Arial"/>
          <w:sz w:val="13"/>
          <w:szCs w:val="13"/>
          <w:b w:val="1"/>
          <w:bCs w:val="1"/>
          <w:color w:val="auto"/>
        </w:rPr>
        <w:t xml:space="preserve">. </w:t>
      </w:r>
      <w:r>
        <w:rPr>
          <w:rFonts w:ascii="Arial" w:cs="Arial" w:eastAsia="Arial" w:hAnsi="Arial"/>
          <w:sz w:val="13"/>
          <w:szCs w:val="13"/>
          <w:color w:val="auto"/>
        </w:rPr>
        <w:t>The Registered Holder has such business and financial experience as is required to give it the capacity to protect its own interests in connection</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its investment.</w:t>
      </w:r>
    </w:p>
    <w:p>
      <w:pPr>
        <w:spacing w:after="0" w:line="169" w:lineRule="exact"/>
        <w:rPr>
          <w:rFonts w:ascii="Arial" w:cs="Arial" w:eastAsia="Arial" w:hAnsi="Arial"/>
          <w:sz w:val="13"/>
          <w:szCs w:val="13"/>
          <w:color w:val="auto"/>
        </w:rPr>
      </w:pPr>
    </w:p>
    <w:p>
      <w:pPr>
        <w:ind w:left="1680" w:hanging="535"/>
        <w:spacing w:after="0"/>
        <w:tabs>
          <w:tab w:leader="none" w:pos="1680"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Accredited Investor</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is an “accredited investor” as defined by Rule 501 of Regulation D promulgated under the Securities Act.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10160</wp:posOffset>
            </wp:positionV>
            <wp:extent cx="312610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26105" cy="698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343535</wp:posOffset>
            </wp:positionV>
            <wp:extent cx="727075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699"/>
          </w:cols>
          <w:pgMar w:left="760" w:top="574"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5"/>
          <w:szCs w:val="15"/>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WARRANT EXERCISE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hereby irrevocably elects to exercise the within Warrant to the extent of purchasing ______ shares of Common Stock of Vringo, Inc., a Delaware corporation, and hereby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makes payment of $___________ in payment therefore (if a cashless exercise, insert “cashless”), all in accordance with the terms and conditions of the Warrant dated ________, 2012.</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 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INSTRUCTIONS FOR ISSUANCE OF STOCK</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(if other than to the registered holder of the within Warrant)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Social Security or Taxpayer Identification Number of Recipient: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5"/>
          <w:szCs w:val="15"/>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FOR VALUE RECEIVED, _____________________ hereby sells, assigns and transfers unto _______________________ the right to purchase Common Stock of Vringo,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corporation, represented by this Warrant to the extent of shares as to which such right is exercisable and does hereby irrevocably constitute and appoint ______________________, Attorney,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the same on the books of the Company with full power of substitution in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10160</wp:posOffset>
            </wp:positionV>
            <wp:extent cx="18173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10160</wp:posOffset>
            </wp:positionV>
            <wp:extent cx="290004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0004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36353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3537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696595</wp:posOffset>
            </wp:positionV>
            <wp:extent cx="72707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5"/>
          <w:szCs w:val="15"/>
          <w:color w:val="auto"/>
        </w:rPr>
        <w:t>Exhibit 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(Form of Series 2 Warrant)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Arial" w:cs="Arial" w:eastAsia="Arial" w:hAnsi="Arial"/>
                <w:sz w:val="15"/>
                <w:szCs w:val="15"/>
                <w:color w:val="auto"/>
              </w:rPr>
              <w:t>Warrant No. W-___</w:t>
            </w:r>
          </w:p>
        </w:tc>
        <w:tc>
          <w:tcPr>
            <w:tcW w:w="1560" w:type="dxa"/>
            <w:vAlign w:val="bottom"/>
          </w:tcPr>
          <w:p>
            <w:pPr>
              <w:spacing w:after="0"/>
              <w:rPr>
                <w:sz w:val="16"/>
                <w:szCs w:val="16"/>
                <w:color w:val="auto"/>
              </w:rPr>
            </w:pPr>
          </w:p>
        </w:tc>
        <w:tc>
          <w:tcPr>
            <w:tcW w:w="2760" w:type="dxa"/>
            <w:vAlign w:val="bottom"/>
          </w:tcPr>
          <w:p>
            <w:pPr>
              <w:ind w:left="700"/>
              <w:spacing w:after="0"/>
              <w:rPr>
                <w:sz w:val="20"/>
                <w:szCs w:val="20"/>
                <w:color w:val="auto"/>
              </w:rPr>
            </w:pPr>
            <w:r>
              <w:rPr>
                <w:rFonts w:ascii="Arial" w:cs="Arial" w:eastAsia="Arial" w:hAnsi="Arial"/>
                <w:sz w:val="15"/>
                <w:szCs w:val="15"/>
                <w:color w:val="auto"/>
                <w:w w:val="88"/>
              </w:rPr>
              <w:t>Number of Shares: ____________</w:t>
            </w:r>
          </w:p>
        </w:tc>
      </w:tr>
      <w:tr>
        <w:trPr>
          <w:trHeight w:val="324"/>
        </w:trPr>
        <w:tc>
          <w:tcPr>
            <w:tcW w:w="4960" w:type="dxa"/>
            <w:vAlign w:val="bottom"/>
            <w:gridSpan w:val="3"/>
          </w:tcPr>
          <w:p>
            <w:pPr>
              <w:spacing w:after="0"/>
              <w:rPr>
                <w:sz w:val="20"/>
                <w:szCs w:val="20"/>
                <w:color w:val="auto"/>
              </w:rPr>
            </w:pPr>
            <w:r>
              <w:rPr>
                <w:rFonts w:ascii="Arial" w:cs="Arial" w:eastAsia="Arial" w:hAnsi="Arial"/>
                <w:sz w:val="15"/>
                <w:szCs w:val="15"/>
                <w:color w:val="auto"/>
              </w:rPr>
              <w:t>Date of Issuance: ____________ __, 2012 (“Issuance Date”)</w:t>
            </w:r>
          </w:p>
        </w:tc>
        <w:tc>
          <w:tcPr>
            <w:tcW w:w="15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69"/>
        </w:trPr>
        <w:tc>
          <w:tcPr>
            <w:tcW w:w="26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320" w:type="dxa"/>
            <w:vAlign w:val="bottom"/>
            <w:gridSpan w:val="2"/>
          </w:tcPr>
          <w:p>
            <w:pPr>
              <w:jc w:val="center"/>
              <w:ind w:right="2686"/>
              <w:spacing w:after="0"/>
              <w:rPr>
                <w:sz w:val="20"/>
                <w:szCs w:val="20"/>
                <w:color w:val="auto"/>
              </w:rPr>
            </w:pPr>
            <w:r>
              <w:rPr>
                <w:rFonts w:ascii="Arial" w:cs="Arial" w:eastAsia="Arial" w:hAnsi="Arial"/>
                <w:sz w:val="15"/>
                <w:szCs w:val="15"/>
                <w:b w:val="1"/>
                <w:bCs w:val="1"/>
                <w:color w:val="auto"/>
              </w:rPr>
              <w:t>VRINGO, INC.</w:t>
            </w:r>
          </w:p>
        </w:tc>
      </w:tr>
      <w:tr>
        <w:trPr>
          <w:trHeight w:val="324"/>
        </w:trPr>
        <w:tc>
          <w:tcPr>
            <w:tcW w:w="2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Common Stock Warrant</w:t>
            </w:r>
          </w:p>
        </w:tc>
        <w:tc>
          <w:tcPr>
            <w:tcW w:w="2760" w:type="dxa"/>
            <w:vAlign w:val="bottom"/>
          </w:tcPr>
          <w:p>
            <w:pPr>
              <w:spacing w:after="0"/>
              <w:rPr>
                <w:sz w:val="24"/>
                <w:szCs w:val="24"/>
                <w:color w:val="auto"/>
              </w:rPr>
            </w:pPr>
          </w:p>
        </w:tc>
      </w:tr>
    </w:tbl>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Vringo, Inc. </w:t>
      </w:r>
      <w:r>
        <w:rPr>
          <w:rFonts w:ascii="Arial" w:cs="Arial" w:eastAsia="Arial" w:hAnsi="Arial"/>
          <w:sz w:val="13"/>
          <w:szCs w:val="13"/>
          <w:color w:val="auto"/>
        </w:rPr>
        <w:t>(the “</w:t>
      </w:r>
      <w:r>
        <w:rPr>
          <w:rFonts w:ascii="Arial" w:cs="Arial" w:eastAsia="Arial" w:hAnsi="Arial"/>
          <w:sz w:val="13"/>
          <w:szCs w:val="13"/>
          <w:u w:val="single" w:color="auto"/>
          <w:color w:val="auto"/>
        </w:rPr>
        <w:t>Company</w:t>
      </w:r>
      <w:r>
        <w:rPr>
          <w:rFonts w:ascii="Arial" w:cs="Arial" w:eastAsia="Arial" w:hAnsi="Arial"/>
          <w:sz w:val="13"/>
          <w:szCs w:val="13"/>
          <w:color w:val="auto"/>
        </w:rPr>
        <w:t>”), for value received, hereby certifies that ________, or its registered assigns (the “</w:t>
      </w:r>
      <w:r>
        <w:rPr>
          <w:rFonts w:ascii="Arial" w:cs="Arial" w:eastAsia="Arial" w:hAnsi="Arial"/>
          <w:sz w:val="13"/>
          <w:szCs w:val="13"/>
          <w:u w:val="single" w:color="auto"/>
          <w:color w:val="auto"/>
        </w:rPr>
        <w:t>Registered Holder</w:t>
      </w:r>
      <w:r>
        <w:rPr>
          <w:rFonts w:ascii="Arial" w:cs="Arial" w:eastAsia="Arial" w:hAnsi="Arial"/>
          <w:sz w:val="13"/>
          <w:szCs w:val="13"/>
          <w:color w:val="auto"/>
        </w:rPr>
        <w:t>”), is entitled, subject to the terms of this Common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Stock Warrant (the “</w:t>
      </w:r>
      <w:r>
        <w:rPr>
          <w:rFonts w:ascii="Arial" w:cs="Arial" w:eastAsia="Arial" w:hAnsi="Arial"/>
          <w:sz w:val="13"/>
          <w:szCs w:val="13"/>
          <w:u w:val="single" w:color="auto"/>
          <w:color w:val="auto"/>
        </w:rPr>
        <w:t>Warrant</w:t>
      </w:r>
      <w:r>
        <w:rPr>
          <w:rFonts w:ascii="Arial" w:cs="Arial" w:eastAsia="Arial" w:hAnsi="Arial"/>
          <w:sz w:val="13"/>
          <w:szCs w:val="13"/>
          <w:color w:val="auto"/>
        </w:rPr>
        <w:t>”) set forth below, to purchase from the Company, at any time after the date hereof and on or before __________ __, 2017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up to ________</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(_______) shares of common stock of the Company (the “</w:t>
      </w:r>
      <w:r>
        <w:rPr>
          <w:rFonts w:ascii="Arial" w:cs="Arial" w:eastAsia="Arial" w:hAnsi="Arial"/>
          <w:sz w:val="13"/>
          <w:szCs w:val="13"/>
          <w:u w:val="single" w:color="auto"/>
          <w:color w:val="auto"/>
        </w:rPr>
        <w:t>Warrant Stock</w:t>
      </w:r>
      <w:r>
        <w:rPr>
          <w:rFonts w:ascii="Arial" w:cs="Arial" w:eastAsia="Arial" w:hAnsi="Arial"/>
          <w:sz w:val="13"/>
          <w:szCs w:val="13"/>
          <w:color w:val="auto"/>
        </w:rPr>
        <w:t>”),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at a per share exercise price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equal to One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Dollar and Seventy-Six Cents ($1.76) per share (subject to adjustment as set forth in Section 2).</w:t>
      </w:r>
    </w:p>
    <w:p>
      <w:pPr>
        <w:spacing w:after="0" w:line="170" w:lineRule="exact"/>
        <w:rPr>
          <w:sz w:val="20"/>
          <w:szCs w:val="20"/>
          <w:color w:val="auto"/>
        </w:rPr>
      </w:pPr>
    </w:p>
    <w:p>
      <w:pPr>
        <w:ind w:left="1060" w:hanging="516"/>
        <w:spacing w:after="0"/>
        <w:tabs>
          <w:tab w:leader="none" w:pos="1060" w:val="left"/>
        </w:tabs>
        <w:numPr>
          <w:ilvl w:val="0"/>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78"/>
        <w:spacing w:after="0" w:line="308" w:lineRule="auto"/>
        <w:tabs>
          <w:tab w:leader="none" w:pos="1739" w:val="left"/>
        </w:tabs>
        <w:numPr>
          <w:ilvl w:val="1"/>
          <w:numId w:val="150"/>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exercised by the Registered Holder, in whole or in part, by delivering the form appended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duly</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by such Registered Holder (the “</w:t>
      </w:r>
      <w:r>
        <w:rPr>
          <w:rFonts w:ascii="Arial" w:cs="Arial" w:eastAsia="Arial" w:hAnsi="Arial"/>
          <w:sz w:val="13"/>
          <w:szCs w:val="13"/>
          <w:u w:val="single" w:color="auto"/>
          <w:color w:val="auto"/>
        </w:rPr>
        <w:t>Exercise Notice</w:t>
      </w:r>
      <w:r>
        <w:rPr>
          <w:rFonts w:ascii="Arial" w:cs="Arial" w:eastAsia="Arial" w:hAnsi="Arial"/>
          <w:sz w:val="13"/>
          <w:szCs w:val="13"/>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123" w:lineRule="exact"/>
        <w:rPr>
          <w:rFonts w:ascii="Arial" w:cs="Arial" w:eastAsia="Arial" w:hAnsi="Arial"/>
          <w:sz w:val="13"/>
          <w:szCs w:val="13"/>
          <w:color w:val="auto"/>
        </w:rPr>
      </w:pPr>
    </w:p>
    <w:p>
      <w:pPr>
        <w:jc w:val="both"/>
        <w:ind w:firstLine="1078"/>
        <w:spacing w:after="0" w:line="257" w:lineRule="auto"/>
        <w:tabs>
          <w:tab w:leader="none" w:pos="1636" w:val="left"/>
        </w:tabs>
        <w:numPr>
          <w:ilvl w:val="1"/>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 Time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Each exercise of this Warrant shall be deemed to have been effected immediately prior to the close of business on the day on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Notice has been delivered to the Company (the “</w:t>
      </w:r>
      <w:r>
        <w:rPr>
          <w:rFonts w:ascii="Arial" w:cs="Arial" w:eastAsia="Arial" w:hAnsi="Arial"/>
          <w:sz w:val="15"/>
          <w:szCs w:val="15"/>
          <w:u w:val="single" w:color="auto"/>
          <w:color w:val="auto"/>
        </w:rPr>
        <w:t>Exercise Date</w:t>
      </w:r>
      <w:r>
        <w:rPr>
          <w:rFonts w:ascii="Arial" w:cs="Arial" w:eastAsia="Arial" w:hAnsi="Arial"/>
          <w:sz w:val="15"/>
          <w:szCs w:val="15"/>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152" w:lineRule="exact"/>
        <w:rPr>
          <w:rFonts w:ascii="Arial" w:cs="Arial" w:eastAsia="Arial" w:hAnsi="Arial"/>
          <w:sz w:val="15"/>
          <w:szCs w:val="15"/>
          <w:color w:val="auto"/>
        </w:rPr>
      </w:pPr>
    </w:p>
    <w:p>
      <w:pPr>
        <w:jc w:val="both"/>
        <w:ind w:firstLine="1078"/>
        <w:spacing w:after="0" w:line="274" w:lineRule="auto"/>
        <w:tabs>
          <w:tab w:leader="none" w:pos="1728" w:val="left"/>
        </w:tabs>
        <w:numPr>
          <w:ilvl w:val="1"/>
          <w:numId w:val="150"/>
        </w:numPr>
        <w:rPr>
          <w:rFonts w:ascii="Arial" w:cs="Arial" w:eastAsia="Arial" w:hAnsi="Arial"/>
          <w:sz w:val="14"/>
          <w:szCs w:val="14"/>
          <w:color w:val="auto"/>
        </w:rPr>
      </w:pPr>
      <w:r>
        <w:rPr>
          <w:rFonts w:ascii="Arial" w:cs="Arial" w:eastAsia="Arial" w:hAnsi="Arial"/>
          <w:sz w:val="14"/>
          <w:szCs w:val="14"/>
          <w:b w:val="1"/>
          <w:bCs w:val="1"/>
          <w:u w:val="single" w:color="auto"/>
          <w:color w:val="auto"/>
        </w:rPr>
        <w:t>Cashless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 provisions herein to the contrary, if at any time between the three (3) month anniversary of the Issuance Date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4"/>
          <w:szCs w:val="14"/>
          <w:u w:val="single" w:color="auto"/>
          <w:color w:val="auto"/>
        </w:rPr>
        <w:t>Cashless Exercise</w:t>
      </w:r>
      <w:r>
        <w:rPr>
          <w:rFonts w:ascii="Arial" w:cs="Arial" w:eastAsia="Arial" w:hAnsi="Arial"/>
          <w:sz w:val="14"/>
          <w:szCs w:val="14"/>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327660</wp:posOffset>
            </wp:positionV>
            <wp:extent cx="727075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2" w:name="page113"/>
    <w:bookmarkEnd w:id="112"/>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485140</wp:posOffset>
            </wp:positionV>
            <wp:extent cx="693420" cy="226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93420" cy="2260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5"/>
          <w:szCs w:val="15"/>
          <w:color w:val="auto"/>
        </w:rPr>
        <w:t>; where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X = the number of shares of Warrant Stock to be issued to the Registered Holder.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Y = the Warrant Stock purchasable under this Warrant or, if only a portion of the Warrant is being exercised, the portion of the Warrant Stock being exercised.</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 = the Fair Market Value (defined below) of one share of Common Stock on the Exercise Date.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 = the Exercise Price (as adjusted pursuant to the provisions of this Warrant).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purposes of this Section 1(c), the “Fair Market Value” of one share of Common Stock on the Exercise Date shall have one of the following meanings:</w:t>
      </w:r>
    </w:p>
    <w:p>
      <w:pPr>
        <w:spacing w:after="0" w:line="184" w:lineRule="exact"/>
        <w:rPr>
          <w:sz w:val="20"/>
          <w:szCs w:val="20"/>
          <w:color w:val="auto"/>
        </w:rPr>
      </w:pPr>
    </w:p>
    <w:p>
      <w:pPr>
        <w:ind w:right="20" w:firstLine="1078"/>
        <w:spacing w:after="0" w:line="348" w:lineRule="auto"/>
        <w:tabs>
          <w:tab w:leader="none" w:pos="166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01" w:lineRule="exact"/>
        <w:rPr>
          <w:rFonts w:ascii="Arial" w:cs="Arial" w:eastAsia="Arial" w:hAnsi="Arial"/>
          <w:sz w:val="13"/>
          <w:szCs w:val="13"/>
          <w:color w:val="auto"/>
        </w:rPr>
      </w:pPr>
    </w:p>
    <w:p>
      <w:pPr>
        <w:ind w:firstLine="1078"/>
        <w:spacing w:after="0" w:line="269" w:lineRule="auto"/>
        <w:tabs>
          <w:tab w:leader="none" w:pos="167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 (30) day period ending three (3) days before the Exercise Date; or</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7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X = </w:t>
      </w:r>
      <w:r>
        <w:rPr>
          <w:rFonts w:ascii="Arial" w:cs="Arial" w:eastAsia="Arial" w:hAnsi="Arial"/>
          <w:sz w:val="15"/>
          <w:szCs w:val="15"/>
          <w:u w:val="single" w:color="auto"/>
          <w:color w:val="auto"/>
        </w:rPr>
        <w:t>50,000 ($2.00-$1.00)</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$2.00</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X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13" w:name="page114"/>
    <w:bookmarkEnd w:id="113"/>
    <w:p>
      <w:pPr>
        <w:jc w:val="both"/>
        <w:ind w:firstLine="1069"/>
        <w:spacing w:after="0" w:line="253" w:lineRule="auto"/>
        <w:rPr>
          <w:sz w:val="20"/>
          <w:szCs w:val="20"/>
          <w:color w:val="auto"/>
        </w:rPr>
      </w:pPr>
      <w:r>
        <w:rPr>
          <w:rFonts w:ascii="Arial" w:cs="Arial" w:eastAsia="Arial" w:hAnsi="Arial"/>
          <w:sz w:val="15"/>
          <w:szCs w:val="15"/>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156" w:lineRule="exact"/>
        <w:rPr>
          <w:sz w:val="20"/>
          <w:szCs w:val="20"/>
          <w:color w:val="auto"/>
        </w:rPr>
      </w:pPr>
    </w:p>
    <w:p>
      <w:pPr>
        <w:jc w:val="both"/>
        <w:ind w:firstLine="1078"/>
        <w:spacing w:after="0" w:line="261" w:lineRule="auto"/>
        <w:tabs>
          <w:tab w:leader="none" w:pos="1714" w:val="left"/>
        </w:tabs>
        <w:numPr>
          <w:ilvl w:val="0"/>
          <w:numId w:val="152"/>
        </w:numPr>
        <w:rPr>
          <w:rFonts w:ascii="Arial" w:cs="Arial" w:eastAsia="Arial" w:hAnsi="Arial"/>
          <w:sz w:val="15"/>
          <w:szCs w:val="15"/>
          <w:color w:val="auto"/>
        </w:rPr>
      </w:pPr>
      <w:r>
        <w:rPr>
          <w:rFonts w:ascii="Arial" w:cs="Arial" w:eastAsia="Arial" w:hAnsi="Arial"/>
          <w:sz w:val="15"/>
          <w:szCs w:val="15"/>
          <w:b w:val="1"/>
          <w:bCs w:val="1"/>
          <w:u w:val="single" w:color="auto"/>
          <w:color w:val="auto"/>
        </w:rPr>
        <w:t>Delivery to Holder</w:t>
      </w:r>
      <w:r>
        <w:rPr>
          <w:rFonts w:ascii="Arial" w:cs="Arial" w:eastAsia="Arial" w:hAnsi="Arial"/>
          <w:sz w:val="15"/>
          <w:szCs w:val="15"/>
          <w:b w:val="1"/>
          <w:bCs w:val="1"/>
          <w:color w:val="auto"/>
        </w:rPr>
        <w:t xml:space="preserve">. </w:t>
      </w:r>
      <w:r>
        <w:rPr>
          <w:rFonts w:ascii="Arial" w:cs="Arial" w:eastAsia="Arial" w:hAnsi="Arial"/>
          <w:sz w:val="15"/>
          <w:szCs w:val="15"/>
          <w:color w:val="auto"/>
        </w:rPr>
        <w:t>As soon as practicable after the exercise of this Warrant in whole or in part, and in any event within three (3) business days thereafter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Warrant Stock Delivery Date</w:t>
      </w:r>
      <w:r>
        <w:rPr>
          <w:rFonts w:ascii="Arial" w:cs="Arial" w:eastAsia="Arial" w:hAnsi="Arial"/>
          <w:sz w:val="15"/>
          <w:szCs w:val="15"/>
          <w:color w:val="auto"/>
        </w:rPr>
        <w:t>”), the Company will cause to be issued in the name of, and delivered to, the Registered Holder, or as such Registered Holder (upon payment by such Registered Holder of any applicable transfer taxes) may direct:</w:t>
      </w:r>
    </w:p>
    <w:p>
      <w:pPr>
        <w:spacing w:after="0" w:line="154" w:lineRule="exact"/>
        <w:rPr>
          <w:rFonts w:ascii="Arial" w:cs="Arial" w:eastAsia="Arial" w:hAnsi="Arial"/>
          <w:sz w:val="15"/>
          <w:szCs w:val="15"/>
          <w:color w:val="auto"/>
        </w:rPr>
      </w:pPr>
    </w:p>
    <w:p>
      <w:pPr>
        <w:ind w:left="2120" w:hanging="507"/>
        <w:spacing w:after="0"/>
        <w:tabs>
          <w:tab w:leader="none" w:pos="212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 certificate or certificates for the number of shares of Warrant Stock to which such Registered Holder shall be entitled, and</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8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52" w:lineRule="exact"/>
        <w:rPr>
          <w:rFonts w:ascii="Arial" w:cs="Arial" w:eastAsia="Arial" w:hAnsi="Arial"/>
          <w:sz w:val="15"/>
          <w:szCs w:val="15"/>
          <w:color w:val="auto"/>
        </w:rPr>
      </w:pPr>
    </w:p>
    <w:p>
      <w:pPr>
        <w:jc w:val="both"/>
        <w:ind w:firstLine="1078"/>
        <w:spacing w:after="0" w:line="292" w:lineRule="auto"/>
        <w:tabs>
          <w:tab w:leader="none" w:pos="1679" w:val="left"/>
        </w:tabs>
        <w:numPr>
          <w:ilvl w:val="0"/>
          <w:numId w:val="152"/>
        </w:numPr>
        <w:rPr>
          <w:rFonts w:ascii="Arial" w:cs="Arial" w:eastAsia="Arial" w:hAnsi="Arial"/>
          <w:sz w:val="13"/>
          <w:szCs w:val="13"/>
          <w:color w:val="auto"/>
        </w:rPr>
      </w:pPr>
      <w:r>
        <w:rPr>
          <w:rFonts w:ascii="Arial" w:cs="Arial" w:eastAsia="Arial" w:hAnsi="Arial"/>
          <w:sz w:val="13"/>
          <w:szCs w:val="13"/>
          <w:b w:val="1"/>
          <w:bCs w:val="1"/>
          <w:u w:val="single" w:color="auto"/>
          <w:color w:val="auto"/>
        </w:rPr>
        <w:t>Compensation for Buy-In on Failure to Timely Deliver Certificates Upon Exercise</w:t>
      </w:r>
      <w:r>
        <w:rPr>
          <w:rFonts w:ascii="Arial" w:cs="Arial" w:eastAsia="Arial" w:hAnsi="Arial"/>
          <w:sz w:val="13"/>
          <w:szCs w:val="13"/>
          <w:color w:val="auto"/>
        </w:rPr>
        <w:t>. In addition to any other rights available to the Registered Holder, if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3"/>
          <w:szCs w:val="13"/>
          <w:u w:val="single" w:color="auto"/>
          <w:color w:val="auto"/>
        </w:rPr>
        <w:t>Buy-In</w:t>
      </w:r>
      <w:r>
        <w:rPr>
          <w:rFonts w:ascii="Arial" w:cs="Arial" w:eastAsia="Arial" w:hAnsi="Arial"/>
          <w:sz w:val="13"/>
          <w:szCs w:val="13"/>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72707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14" w:name="page115"/>
    <w:bookmarkEnd w:id="114"/>
    <w:p>
      <w:pPr>
        <w:jc w:val="both"/>
        <w:ind w:left="-544" w:firstLine="1078"/>
        <w:spacing w:after="0" w:line="289" w:lineRule="auto"/>
        <w:tabs>
          <w:tab w:leader="none" w:pos="711" w:val="left"/>
        </w:tabs>
        <w:numPr>
          <w:ilvl w:val="1"/>
          <w:numId w:val="153"/>
        </w:numPr>
        <w:rPr>
          <w:rFonts w:ascii="Arial" w:cs="Arial" w:eastAsia="Arial" w:hAnsi="Arial"/>
          <w:sz w:val="13"/>
          <w:szCs w:val="13"/>
          <w:color w:val="auto"/>
        </w:rPr>
      </w:pPr>
      <w:r>
        <w:rPr>
          <w:rFonts w:ascii="Arial" w:cs="Arial" w:eastAsia="Arial" w:hAnsi="Arial"/>
          <w:sz w:val="13"/>
          <w:szCs w:val="13"/>
          <w:b w:val="1"/>
          <w:bCs w:val="1"/>
          <w:u w:val="single" w:color="auto"/>
          <w:color w:val="auto"/>
        </w:rPr>
        <w:t>Registered Holder’s Exercise Limitations</w:t>
      </w:r>
      <w:r>
        <w:rPr>
          <w:rFonts w:ascii="Arial" w:cs="Arial" w:eastAsia="Arial" w:hAnsi="Arial"/>
          <w:sz w:val="13"/>
          <w:szCs w:val="13"/>
          <w:color w:val="auto"/>
        </w:rPr>
        <w:t>. The Company shall not effect any exercise of this Warrant, and a Registered Holder shall not have the right to exercise any</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3" w:lineRule="exact"/>
        <w:rPr>
          <w:rFonts w:ascii="Arial" w:cs="Arial" w:eastAsia="Arial" w:hAnsi="Arial"/>
          <w:sz w:val="13"/>
          <w:szCs w:val="13"/>
          <w:color w:val="auto"/>
        </w:rPr>
      </w:pPr>
    </w:p>
    <w:p>
      <w:pPr>
        <w:ind w:left="516" w:hanging="516"/>
        <w:spacing w:after="0"/>
        <w:tabs>
          <w:tab w:leader="none" w:pos="516" w:val="left"/>
        </w:tabs>
        <w:numPr>
          <w:ilvl w:val="0"/>
          <w:numId w:val="154"/>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4" w:firstLine="1078"/>
        <w:spacing w:after="0" w:line="253" w:lineRule="auto"/>
        <w:tabs>
          <w:tab w:leader="none" w:pos="1206" w:val="left"/>
        </w:tabs>
        <w:numPr>
          <w:ilvl w:val="1"/>
          <w:numId w:val="154"/>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Splits and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outstanding shares of the Company’s Common Stock shall be subdivided into a greater number of shares or a dividend in</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335280</wp:posOffset>
            </wp:positionV>
            <wp:extent cx="727075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16"/>
          </w:cols>
          <w:pgMar w:left="764" w:top="749" w:right="219" w:bottom="1440" w:gutter="0" w:footer="0" w:header="0"/>
        </w:sectPr>
      </w:pPr>
    </w:p>
    <w:bookmarkStart w:id="115" w:name="page116"/>
    <w:bookmarkEnd w:id="115"/>
    <w:p>
      <w:pPr>
        <w:jc w:val="both"/>
        <w:ind w:left="-9" w:firstLine="1078"/>
        <w:spacing w:after="0" w:line="290" w:lineRule="auto"/>
        <w:tabs>
          <w:tab w:leader="none" w:pos="1716" w:val="left"/>
        </w:tabs>
        <w:numPr>
          <w:ilvl w:val="2"/>
          <w:numId w:val="155"/>
        </w:numPr>
        <w:rPr>
          <w:rFonts w:ascii="Arial" w:cs="Arial" w:eastAsia="Arial" w:hAnsi="Arial"/>
          <w:sz w:val="13"/>
          <w:szCs w:val="13"/>
          <w:color w:val="auto"/>
        </w:rPr>
      </w:pPr>
      <w:r>
        <w:rPr>
          <w:rFonts w:ascii="Arial" w:cs="Arial" w:eastAsia="Arial" w:hAnsi="Arial"/>
          <w:sz w:val="13"/>
          <w:szCs w:val="13"/>
          <w:b w:val="1"/>
          <w:bCs w:val="1"/>
          <w:u w:val="single" w:color="auto"/>
          <w:color w:val="auto"/>
        </w:rPr>
        <w:t>Fundamental Transaction</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at any time while this Warrant is outstanding, (i) the Company effects any merger or consolidation of the Company with or into</w:t>
      </w:r>
      <w:r>
        <w:rPr>
          <w:rFonts w:ascii="Arial" w:cs="Arial" w:eastAsia="Arial" w:hAnsi="Arial"/>
          <w:sz w:val="13"/>
          <w:szCs w:val="13"/>
          <w:b w:val="1"/>
          <w:bCs w:val="1"/>
          <w:color w:val="auto"/>
        </w:rPr>
        <w:t xml:space="preserve"> </w:t>
      </w:r>
      <w:r>
        <w:rPr>
          <w:rFonts w:ascii="Arial" w:cs="Arial" w:eastAsia="Arial" w:hAnsi="Arial"/>
          <w:sz w:val="13"/>
          <w:szCs w:val="13"/>
          <w:color w:val="auto"/>
        </w:rPr>
        <w:t>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3"/>
          <w:szCs w:val="13"/>
          <w:u w:val="single" w:color="auto"/>
          <w:color w:val="auto"/>
        </w:rPr>
        <w:t>Fundamental Transaction</w:t>
      </w:r>
      <w:r>
        <w:rPr>
          <w:rFonts w:ascii="Arial" w:cs="Arial" w:eastAsia="Arial" w:hAnsi="Arial"/>
          <w:sz w:val="13"/>
          <w:szCs w:val="13"/>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139" w:lineRule="exact"/>
        <w:rPr>
          <w:rFonts w:ascii="Arial" w:cs="Arial" w:eastAsia="Arial" w:hAnsi="Arial"/>
          <w:sz w:val="13"/>
          <w:szCs w:val="13"/>
          <w:color w:val="auto"/>
        </w:rPr>
      </w:pPr>
    </w:p>
    <w:p>
      <w:pPr>
        <w:jc w:val="both"/>
        <w:ind w:left="-9" w:firstLine="1078"/>
        <w:spacing w:after="0" w:line="261" w:lineRule="auto"/>
        <w:tabs>
          <w:tab w:leader="none" w:pos="1707" w:val="left"/>
        </w:tabs>
        <w:numPr>
          <w:ilvl w:val="2"/>
          <w:numId w:val="155"/>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 promptly mail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50" w:lineRule="exact"/>
        <w:rPr>
          <w:rFonts w:ascii="Arial" w:cs="Arial" w:eastAsia="Arial" w:hAnsi="Arial"/>
          <w:sz w:val="15"/>
          <w:szCs w:val="15"/>
          <w:color w:val="auto"/>
        </w:rPr>
      </w:pPr>
    </w:p>
    <w:p>
      <w:pPr>
        <w:ind w:left="1051" w:hanging="516"/>
        <w:spacing w:after="0"/>
        <w:tabs>
          <w:tab w:leader="none" w:pos="1051" w:val="left"/>
        </w:tabs>
        <w:numPr>
          <w:ilvl w:val="1"/>
          <w:numId w:val="156"/>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Transfers</w:t>
      </w:r>
      <w:r>
        <w:rPr>
          <w:rFonts w:ascii="Arial" w:cs="Arial" w:eastAsia="Arial" w:hAnsi="Arial"/>
          <w:sz w:val="15"/>
          <w:szCs w:val="15"/>
          <w:b w:val="1"/>
          <w:bCs w:val="1"/>
          <w:color w:val="auto"/>
        </w:rPr>
        <w:t>.</w:t>
      </w:r>
    </w:p>
    <w:p>
      <w:pPr>
        <w:spacing w:after="0" w:line="183" w:lineRule="exact"/>
        <w:rPr>
          <w:rFonts w:ascii="Arial" w:cs="Arial" w:eastAsia="Arial" w:hAnsi="Arial"/>
          <w:sz w:val="15"/>
          <w:szCs w:val="15"/>
          <w:color w:val="auto"/>
        </w:rPr>
      </w:pPr>
    </w:p>
    <w:p>
      <w:pPr>
        <w:jc w:val="both"/>
        <w:ind w:left="-9" w:firstLine="1078"/>
        <w:spacing w:after="0" w:line="293" w:lineRule="auto"/>
        <w:tabs>
          <w:tab w:leader="none" w:pos="1663" w:val="left"/>
        </w:tabs>
        <w:numPr>
          <w:ilvl w:val="2"/>
          <w:numId w:val="156"/>
        </w:numPr>
        <w:rPr>
          <w:rFonts w:ascii="Arial" w:cs="Arial" w:eastAsia="Arial" w:hAnsi="Arial"/>
          <w:sz w:val="13"/>
          <w:szCs w:val="13"/>
          <w:color w:val="auto"/>
        </w:rPr>
      </w:pPr>
      <w:r>
        <w:rPr>
          <w:rFonts w:ascii="Arial" w:cs="Arial" w:eastAsia="Arial" w:hAnsi="Arial"/>
          <w:sz w:val="13"/>
          <w:szCs w:val="13"/>
          <w:b w:val="1"/>
          <w:bCs w:val="1"/>
          <w:u w:val="single" w:color="auto"/>
          <w:color w:val="auto"/>
        </w:rPr>
        <w:t>Unregistered Security</w:t>
      </w:r>
      <w:r>
        <w:rPr>
          <w:rFonts w:ascii="Arial" w:cs="Arial" w:eastAsia="Arial" w:hAnsi="Arial"/>
          <w:sz w:val="13"/>
          <w:szCs w:val="13"/>
          <w:b w:val="1"/>
          <w:bCs w:val="1"/>
          <w:color w:val="auto"/>
        </w:rPr>
        <w:t xml:space="preserve">. </w:t>
      </w:r>
      <w:r>
        <w:rPr>
          <w:rFonts w:ascii="Arial" w:cs="Arial" w:eastAsia="Arial" w:hAnsi="Arial"/>
          <w:sz w:val="13"/>
          <w:szCs w:val="13"/>
          <w:color w:val="auto"/>
        </w:rPr>
        <w:t>The holder of this Warrant acknowledges that this Warrant has not been registered under the Securities Act and agrees not to sell, pledge,</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3"/>
          <w:szCs w:val="13"/>
          <w:color w:val="auto"/>
        </w:rPr>
      </w:pPr>
    </w:p>
    <w:p>
      <w:pPr>
        <w:ind w:left="211" w:hanging="211"/>
        <w:spacing w:after="0"/>
        <w:tabs>
          <w:tab w:leader="none" w:pos="211"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an opinion of counsel, reasonably satisfactory to the Company, that such registration and qualification are not required.</w:t>
      </w:r>
    </w:p>
    <w:p>
      <w:pPr>
        <w:spacing w:after="0" w:line="169" w:lineRule="exact"/>
        <w:rPr>
          <w:rFonts w:ascii="Arial" w:cs="Arial" w:eastAsia="Arial" w:hAnsi="Arial"/>
          <w:sz w:val="15"/>
          <w:szCs w:val="15"/>
          <w:color w:val="auto"/>
        </w:rPr>
      </w:pPr>
    </w:p>
    <w:p>
      <w:pPr>
        <w:jc w:val="both"/>
        <w:ind w:left="-9" w:firstLine="1078"/>
        <w:spacing w:after="0" w:line="261" w:lineRule="auto"/>
        <w:tabs>
          <w:tab w:leader="none" w:pos="1782" w:val="left"/>
        </w:tabs>
        <w:numPr>
          <w:ilvl w:val="2"/>
          <w:numId w:val="157"/>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provisions of Section 3(a) hereof, this Warrant and all rights hereunder are transferable, in whole or in part, to (i) any entity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controlling, controlled by or under common control of the Registered Holder, or (ii) to any other proposed transferee by surrendering the Warrant with a properly executed assignment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at the principal office of the Company.</w:t>
      </w:r>
    </w:p>
    <w:p>
      <w:pPr>
        <w:spacing w:after="0" w:line="150" w:lineRule="exact"/>
        <w:rPr>
          <w:rFonts w:ascii="Arial" w:cs="Arial" w:eastAsia="Arial" w:hAnsi="Arial"/>
          <w:sz w:val="15"/>
          <w:szCs w:val="15"/>
          <w:color w:val="auto"/>
        </w:rPr>
      </w:pPr>
    </w:p>
    <w:p>
      <w:pPr>
        <w:jc w:val="both"/>
        <w:ind w:left="-9" w:firstLine="1078"/>
        <w:spacing w:after="0" w:line="281" w:lineRule="auto"/>
        <w:tabs>
          <w:tab w:leader="none" w:pos="1651" w:val="left"/>
        </w:tabs>
        <w:numPr>
          <w:ilvl w:val="2"/>
          <w:numId w:val="157"/>
        </w:numPr>
        <w:rPr>
          <w:rFonts w:ascii="Arial" w:cs="Arial" w:eastAsia="Arial" w:hAnsi="Arial"/>
          <w:sz w:val="14"/>
          <w:szCs w:val="14"/>
          <w:color w:val="auto"/>
        </w:rPr>
      </w:pPr>
      <w:r>
        <w:rPr>
          <w:rFonts w:ascii="Arial" w:cs="Arial" w:eastAsia="Arial" w:hAnsi="Arial"/>
          <w:sz w:val="14"/>
          <w:szCs w:val="14"/>
          <w:b w:val="1"/>
          <w:bCs w:val="1"/>
          <w:u w:val="single" w:color="auto"/>
          <w:color w:val="auto"/>
        </w:rPr>
        <w:t>Warrant Register</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will maintain a register containing the names and addresses of the Registered Holders of this Warrant. Until any transfer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Warrant is made in the warrant register, the Company may treat the Registered Holder of this Warrant as the absolute owner hereof for all purposes;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2707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16" w:name="page117"/>
    <w:bookmarkEnd w:id="116"/>
    <w:p>
      <w:pPr>
        <w:ind w:left="1091" w:hanging="556"/>
        <w:spacing w:after="0"/>
        <w:tabs>
          <w:tab w:leader="none" w:pos="1091" w:val="left"/>
        </w:tabs>
        <w:numPr>
          <w:ilvl w:val="0"/>
          <w:numId w:val="158"/>
        </w:numPr>
        <w:rPr>
          <w:rFonts w:ascii="Arial" w:cs="Arial" w:eastAsia="Arial" w:hAnsi="Arial"/>
          <w:sz w:val="15"/>
          <w:szCs w:val="15"/>
          <w:color w:val="auto"/>
        </w:rPr>
      </w:pP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left="-9" w:firstLine="544"/>
        <w:spacing w:after="0" w:line="291" w:lineRule="auto"/>
        <w:tabs>
          <w:tab w:leader="none" w:pos="1143" w:val="left"/>
        </w:tabs>
        <w:numPr>
          <w:ilvl w:val="1"/>
          <w:numId w:val="159"/>
        </w:numPr>
        <w:rPr>
          <w:rFonts w:ascii="Arial" w:cs="Arial" w:eastAsia="Arial" w:hAnsi="Arial"/>
          <w:sz w:val="13"/>
          <w:szCs w:val="13"/>
          <w:color w:val="auto"/>
        </w:rPr>
      </w:pPr>
      <w:r>
        <w:rPr>
          <w:rFonts w:ascii="Arial" w:cs="Arial" w:eastAsia="Arial" w:hAnsi="Arial"/>
          <w:sz w:val="13"/>
          <w:szCs w:val="13"/>
          <w:b w:val="1"/>
          <w:bCs w:val="1"/>
          <w:u w:val="single" w:color="auto"/>
          <w:color w:val="auto"/>
        </w:rPr>
        <w:t>Redemption of Warrant.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redeemed, at the option of the Company, at any time after it becomes exercisable and prior to its expiration, at the office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or, if appointed, the Company’s warrant agent, upon the notice referred to in Section 4(b) hereof, at the price of $0.01 per share underlying the Warrant (the “</w:t>
      </w:r>
      <w:r>
        <w:rPr>
          <w:rFonts w:ascii="Arial" w:cs="Arial" w:eastAsia="Arial" w:hAnsi="Arial"/>
          <w:sz w:val="13"/>
          <w:szCs w:val="13"/>
          <w:u w:val="single" w:color="auto"/>
          <w:color w:val="auto"/>
        </w:rPr>
        <w:t>Redemption Price</w:t>
      </w:r>
      <w:r>
        <w:rPr>
          <w:rFonts w:ascii="Arial" w:cs="Arial" w:eastAsia="Arial" w:hAnsi="Arial"/>
          <w:sz w:val="13"/>
          <w:szCs w:val="13"/>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w:t>
      </w:r>
    </w:p>
    <w:p>
      <w:pPr>
        <w:spacing w:after="0" w:line="1" w:lineRule="exact"/>
        <w:rPr>
          <w:rFonts w:ascii="Arial" w:cs="Arial" w:eastAsia="Arial" w:hAnsi="Arial"/>
          <w:sz w:val="13"/>
          <w:szCs w:val="13"/>
          <w:color w:val="auto"/>
        </w:rPr>
      </w:pPr>
    </w:p>
    <w:p>
      <w:pPr>
        <w:jc w:val="both"/>
        <w:ind w:left="-9" w:firstLine="9"/>
        <w:spacing w:after="0" w:line="251" w:lineRule="auto"/>
        <w:tabs>
          <w:tab w:leader="none" w:pos="218" w:val="left"/>
        </w:tabs>
        <w:numPr>
          <w:ilvl w:val="0"/>
          <w:numId w:val="160"/>
        </w:numPr>
        <w:rPr>
          <w:rFonts w:ascii="Arial" w:cs="Arial" w:eastAsia="Arial" w:hAnsi="Arial"/>
          <w:sz w:val="15"/>
          <w:szCs w:val="15"/>
          <w:color w:val="auto"/>
        </w:rPr>
      </w:pPr>
      <w:r>
        <w:rPr>
          <w:rFonts w:ascii="Arial" w:cs="Arial" w:eastAsia="Arial" w:hAnsi="Arial"/>
          <w:sz w:val="15"/>
          <w:szCs w:val="15"/>
          <w:color w:val="auto"/>
        </w:rPr>
        <w:t>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157" w:lineRule="exact"/>
        <w:rPr>
          <w:rFonts w:ascii="Arial" w:cs="Arial" w:eastAsia="Arial" w:hAnsi="Arial"/>
          <w:sz w:val="15"/>
          <w:szCs w:val="15"/>
          <w:color w:val="auto"/>
        </w:rPr>
      </w:pPr>
    </w:p>
    <w:p>
      <w:pPr>
        <w:jc w:val="both"/>
        <w:ind w:left="-9" w:firstLine="544"/>
        <w:spacing w:after="0" w:line="257" w:lineRule="auto"/>
        <w:tabs>
          <w:tab w:leader="none" w:pos="1240" w:val="left"/>
        </w:tabs>
        <w:numPr>
          <w:ilvl w:val="1"/>
          <w:numId w:val="160"/>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color w:val="auto"/>
        </w:rPr>
        <w:t>. In the event the Company shall elect to redeem the Warrant, the Company shall fix a date for the redemption. Notice of</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2" w:lineRule="exact"/>
        <w:rPr>
          <w:rFonts w:ascii="Arial" w:cs="Arial" w:eastAsia="Arial" w:hAnsi="Arial"/>
          <w:sz w:val="15"/>
          <w:szCs w:val="15"/>
          <w:color w:val="auto"/>
        </w:rPr>
      </w:pPr>
    </w:p>
    <w:p>
      <w:pPr>
        <w:jc w:val="both"/>
        <w:ind w:left="-9" w:firstLine="544"/>
        <w:spacing w:after="0" w:line="261" w:lineRule="auto"/>
        <w:tabs>
          <w:tab w:leader="none" w:pos="1143" w:val="left"/>
        </w:tabs>
        <w:numPr>
          <w:ilvl w:val="1"/>
          <w:numId w:val="16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After Notice of Redemption</w:t>
      </w:r>
      <w:r>
        <w:rPr>
          <w:rFonts w:ascii="Arial" w:cs="Arial" w:eastAsia="Arial" w:hAnsi="Arial"/>
          <w:sz w:val="15"/>
          <w:szCs w:val="15"/>
          <w:color w:val="auto"/>
        </w:rPr>
        <w:t>. The Warrants may be exercised in accordance with this Warrant at any time after notice of redemption shall have been given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prior to the time and date fixed for redemption. On and after the redemption date, the Registered Holder shall have no further rights except to receive, upon surrender of the Warrants, the Redemption Price.</w:t>
      </w:r>
    </w:p>
    <w:p>
      <w:pPr>
        <w:spacing w:after="0" w:line="150" w:lineRule="exact"/>
        <w:rPr>
          <w:sz w:val="20"/>
          <w:szCs w:val="20"/>
          <w:color w:val="auto"/>
        </w:rPr>
      </w:pPr>
    </w:p>
    <w:p>
      <w:pPr>
        <w:ind w:left="531"/>
        <w:spacing w:after="0"/>
        <w:tabs>
          <w:tab w:leader="none" w:pos="1070" w:val="left"/>
        </w:tabs>
        <w:rPr>
          <w:sz w:val="20"/>
          <w:szCs w:val="20"/>
          <w:color w:val="auto"/>
        </w:rPr>
      </w:pPr>
      <w:r>
        <w:rPr>
          <w:rFonts w:ascii="Arial" w:cs="Arial" w:eastAsia="Arial" w:hAnsi="Arial"/>
          <w:sz w:val="15"/>
          <w:szCs w:val="15"/>
          <w:color w:val="auto"/>
        </w:rPr>
        <w:t>5</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Warrant (and the right to purchase securities upon exercise hereof) shall terminate at 5:00 p.m., Eastern time, on the Expiration Date.</w:t>
      </w:r>
    </w:p>
    <w:p>
      <w:pPr>
        <w:spacing w:after="0" w:line="184" w:lineRule="exact"/>
        <w:rPr>
          <w:sz w:val="20"/>
          <w:szCs w:val="20"/>
          <w:color w:val="auto"/>
        </w:rPr>
      </w:pPr>
    </w:p>
    <w:p>
      <w:pPr>
        <w:ind w:left="1091" w:hanging="556"/>
        <w:spacing w:after="0"/>
        <w:tabs>
          <w:tab w:leader="none" w:pos="1091" w:val="left"/>
        </w:tabs>
        <w:numPr>
          <w:ilvl w:val="0"/>
          <w:numId w:val="161"/>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 of Certain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case:</w:t>
      </w:r>
    </w:p>
    <w:p>
      <w:pPr>
        <w:spacing w:after="0" w:line="187" w:lineRule="exact"/>
        <w:rPr>
          <w:rFonts w:ascii="Arial" w:cs="Arial" w:eastAsia="Arial" w:hAnsi="Arial"/>
          <w:sz w:val="15"/>
          <w:szCs w:val="15"/>
          <w:color w:val="auto"/>
        </w:rPr>
      </w:pPr>
    </w:p>
    <w:p>
      <w:pPr>
        <w:jc w:val="both"/>
        <w:ind w:left="-9" w:firstLine="1121"/>
        <w:spacing w:after="0" w:line="286" w:lineRule="auto"/>
        <w:tabs>
          <w:tab w:leader="none" w:pos="1697" w:val="left"/>
        </w:tabs>
        <w:numPr>
          <w:ilvl w:val="1"/>
          <w:numId w:val="161"/>
        </w:numPr>
        <w:rPr>
          <w:rFonts w:ascii="Arial" w:cs="Arial" w:eastAsia="Arial" w:hAnsi="Arial"/>
          <w:sz w:val="14"/>
          <w:szCs w:val="14"/>
          <w:color w:val="auto"/>
        </w:rPr>
      </w:pPr>
      <w:r>
        <w:rPr>
          <w:rFonts w:ascii="Arial" w:cs="Arial" w:eastAsia="Arial" w:hAnsi="Arial"/>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137" w:lineRule="exact"/>
        <w:rPr>
          <w:rFonts w:ascii="Arial" w:cs="Arial" w:eastAsia="Arial" w:hAnsi="Arial"/>
          <w:sz w:val="14"/>
          <w:szCs w:val="14"/>
          <w:color w:val="auto"/>
        </w:rPr>
      </w:pPr>
    </w:p>
    <w:p>
      <w:pPr>
        <w:jc w:val="both"/>
        <w:ind w:left="-9" w:firstLine="1137"/>
        <w:spacing w:after="0" w:line="258" w:lineRule="auto"/>
        <w:tabs>
          <w:tab w:leader="none" w:pos="1875" w:val="left"/>
        </w:tabs>
        <w:numPr>
          <w:ilvl w:val="3"/>
          <w:numId w:val="161"/>
        </w:numPr>
        <w:rPr>
          <w:rFonts w:ascii="Arial" w:cs="Arial" w:eastAsia="Arial" w:hAnsi="Arial"/>
          <w:sz w:val="15"/>
          <w:szCs w:val="15"/>
          <w:color w:val="auto"/>
        </w:rPr>
      </w:pPr>
      <w:r>
        <w:rPr>
          <w:rFonts w:ascii="Arial" w:cs="Arial" w:eastAsia="Arial" w:hAnsi="Arial"/>
          <w:sz w:val="15"/>
          <w:szCs w:val="15"/>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56" w:lineRule="exact"/>
        <w:rPr>
          <w:rFonts w:ascii="Arial" w:cs="Arial" w:eastAsia="Arial" w:hAnsi="Arial"/>
          <w:sz w:val="15"/>
          <w:szCs w:val="15"/>
          <w:color w:val="auto"/>
        </w:rPr>
      </w:pPr>
    </w:p>
    <w:p>
      <w:pPr>
        <w:ind w:left="1651" w:hanging="545"/>
        <w:spacing w:after="0"/>
        <w:tabs>
          <w:tab w:leader="none" w:pos="1651" w:val="left"/>
        </w:tabs>
        <w:numPr>
          <w:ilvl w:val="2"/>
          <w:numId w:val="161"/>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winding-up of the Company, or</w:t>
      </w:r>
    </w:p>
    <w:p>
      <w:pPr>
        <w:spacing w:after="0" w:line="183" w:lineRule="exact"/>
        <w:rPr>
          <w:rFonts w:ascii="Arial" w:cs="Arial" w:eastAsia="Arial" w:hAnsi="Arial"/>
          <w:sz w:val="15"/>
          <w:szCs w:val="15"/>
          <w:color w:val="auto"/>
        </w:rPr>
      </w:pPr>
    </w:p>
    <w:p>
      <w:pPr>
        <w:ind w:left="1651" w:hanging="545"/>
        <w:spacing w:after="0"/>
        <w:tabs>
          <w:tab w:leader="none" w:pos="1651" w:val="left"/>
        </w:tabs>
        <w:numPr>
          <w:ilvl w:val="2"/>
          <w:numId w:val="161"/>
        </w:numPr>
        <w:rPr>
          <w:rFonts w:ascii="Arial" w:cs="Arial" w:eastAsia="Arial" w:hAnsi="Arial"/>
          <w:sz w:val="15"/>
          <w:szCs w:val="15"/>
          <w:color w:val="auto"/>
        </w:rPr>
      </w:pPr>
      <w:r>
        <w:rPr>
          <w:rFonts w:ascii="Arial" w:cs="Arial" w:eastAsia="Arial" w:hAnsi="Arial"/>
          <w:sz w:val="15"/>
          <w:szCs w:val="15"/>
          <w:color w:val="auto"/>
        </w:rPr>
        <w:t>of any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07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17" w:name="page118"/>
    <w:bookmarkEnd w:id="117"/>
    <w:p>
      <w:pPr>
        <w:jc w:val="both"/>
        <w:spacing w:after="0" w:line="275" w:lineRule="auto"/>
        <w:rPr>
          <w:sz w:val="20"/>
          <w:szCs w:val="20"/>
          <w:color w:val="auto"/>
        </w:rPr>
      </w:pPr>
      <w:r>
        <w:rPr>
          <w:rFonts w:ascii="Arial" w:cs="Arial" w:eastAsia="Arial" w:hAnsi="Arial"/>
          <w:sz w:val="14"/>
          <w:szCs w:val="14"/>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43" w:lineRule="exact"/>
        <w:rPr>
          <w:sz w:val="20"/>
          <w:szCs w:val="20"/>
          <w:color w:val="auto"/>
        </w:rPr>
      </w:pPr>
    </w:p>
    <w:p>
      <w:pPr>
        <w:jc w:val="both"/>
        <w:ind w:firstLine="544"/>
        <w:spacing w:after="0" w:line="297" w:lineRule="auto"/>
        <w:tabs>
          <w:tab w:leader="none" w:pos="1099" w:val="left"/>
        </w:tabs>
        <w:numPr>
          <w:ilvl w:val="0"/>
          <w:numId w:val="162"/>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Stock</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covenants that at all times it will have authorized, reserve and keep available, solely for the issuance and delivery upon the exercise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30" w:lineRule="exact"/>
        <w:rPr>
          <w:rFonts w:ascii="Arial" w:cs="Arial" w:eastAsia="Arial" w:hAnsi="Arial"/>
          <w:sz w:val="13"/>
          <w:szCs w:val="13"/>
          <w:color w:val="auto"/>
        </w:rPr>
      </w:pPr>
    </w:p>
    <w:p>
      <w:pPr>
        <w:jc w:val="both"/>
        <w:ind w:firstLine="544"/>
        <w:spacing w:after="0" w:line="261" w:lineRule="auto"/>
        <w:tabs>
          <w:tab w:leader="none" w:pos="1110"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 and (in the case of</w:t>
      </w:r>
      <w:r>
        <w:rPr>
          <w:rFonts w:ascii="Arial" w:cs="Arial" w:eastAsia="Arial" w:hAnsi="Arial"/>
          <w:sz w:val="15"/>
          <w:szCs w:val="15"/>
          <w:b w:val="1"/>
          <w:bCs w:val="1"/>
          <w:color w:val="auto"/>
        </w:rPr>
        <w:t xml:space="preserve"> </w:t>
      </w:r>
      <w:r>
        <w:rPr>
          <w:rFonts w:ascii="Arial" w:cs="Arial" w:eastAsia="Arial" w:hAnsi="Arial"/>
          <w:sz w:val="15"/>
          <w:szCs w:val="15"/>
          <w:color w:val="auto"/>
        </w:rPr>
        <w:t>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50" w:lineRule="exact"/>
        <w:rPr>
          <w:rFonts w:ascii="Arial" w:cs="Arial" w:eastAsia="Arial" w:hAnsi="Arial"/>
          <w:sz w:val="15"/>
          <w:szCs w:val="15"/>
          <w:color w:val="auto"/>
        </w:rPr>
      </w:pPr>
    </w:p>
    <w:p>
      <w:pPr>
        <w:jc w:val="both"/>
        <w:ind w:firstLine="544"/>
        <w:spacing w:after="0" w:line="257" w:lineRule="auto"/>
        <w:tabs>
          <w:tab w:leader="none" w:pos="1065"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 when delivered personally or by courier, overnight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52" w:lineRule="exact"/>
        <w:rPr>
          <w:rFonts w:ascii="Arial" w:cs="Arial" w:eastAsia="Arial" w:hAnsi="Arial"/>
          <w:sz w:val="15"/>
          <w:szCs w:val="15"/>
          <w:color w:val="auto"/>
        </w:rPr>
      </w:pPr>
    </w:p>
    <w:p>
      <w:pPr>
        <w:ind w:left="1080" w:hanging="536"/>
        <w:spacing w:after="0"/>
        <w:tabs>
          <w:tab w:leader="none" w:pos="1080" w:val="left"/>
        </w:tabs>
        <w:numPr>
          <w:ilvl w:val="0"/>
          <w:numId w:val="162"/>
        </w:numPr>
        <w:rPr>
          <w:rFonts w:ascii="Arial" w:cs="Arial" w:eastAsia="Arial" w:hAnsi="Arial"/>
          <w:sz w:val="13"/>
          <w:szCs w:val="13"/>
          <w:color w:val="auto"/>
        </w:rPr>
      </w:pPr>
      <w:r>
        <w:rPr>
          <w:rFonts w:ascii="Arial" w:cs="Arial" w:eastAsia="Arial" w:hAnsi="Arial"/>
          <w:sz w:val="13"/>
          <w:szCs w:val="13"/>
          <w:b w:val="1"/>
          <w:bCs w:val="1"/>
          <w:u w:val="single" w:color="auto"/>
          <w:color w:val="auto"/>
        </w:rPr>
        <w:t>No Rights as Stockholder</w:t>
      </w:r>
      <w:r>
        <w:rPr>
          <w:rFonts w:ascii="Arial" w:cs="Arial" w:eastAsia="Arial" w:hAnsi="Arial"/>
          <w:sz w:val="13"/>
          <w:szCs w:val="13"/>
          <w:b w:val="1"/>
          <w:bCs w:val="1"/>
          <w:color w:val="auto"/>
        </w:rPr>
        <w:t xml:space="preserve">. </w:t>
      </w:r>
      <w:r>
        <w:rPr>
          <w:rFonts w:ascii="Arial" w:cs="Arial" w:eastAsia="Arial" w:hAnsi="Arial"/>
          <w:sz w:val="13"/>
          <w:szCs w:val="13"/>
          <w:color w:val="auto"/>
        </w:rPr>
        <w:t>Until the exercise of this Warrant, the Registered Holder of this Warrant shall not have or exercise any rights by virtue hereof as a stockholder of</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Company.</w:t>
      </w:r>
    </w:p>
    <w:p>
      <w:pPr>
        <w:spacing w:after="0" w:line="169" w:lineRule="exact"/>
        <w:rPr>
          <w:rFonts w:ascii="Arial" w:cs="Arial" w:eastAsia="Arial" w:hAnsi="Arial"/>
          <w:sz w:val="13"/>
          <w:szCs w:val="13"/>
          <w:color w:val="auto"/>
        </w:rPr>
      </w:pPr>
    </w:p>
    <w:p>
      <w:pPr>
        <w:ind w:firstLine="544"/>
        <w:spacing w:after="0" w:line="275" w:lineRule="auto"/>
        <w:tabs>
          <w:tab w:leader="none" w:pos="1193"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No Fractional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 fractional shares of Common Stock will be issued in connection with any exercise hereunder. In lieu of any fractional shares which would</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be issuable, the Company shall round the amount of Warrant Stock issuable to the nearest whole share.</w:t>
      </w:r>
    </w:p>
    <w:p>
      <w:pPr>
        <w:spacing w:after="0" w:line="139" w:lineRule="exact"/>
        <w:rPr>
          <w:rFonts w:ascii="Arial" w:cs="Arial" w:eastAsia="Arial" w:hAnsi="Arial"/>
          <w:sz w:val="15"/>
          <w:szCs w:val="15"/>
          <w:color w:val="auto"/>
        </w:rPr>
      </w:pPr>
    </w:p>
    <w:p>
      <w:pPr>
        <w:ind w:left="1060" w:hanging="516"/>
        <w:spacing w:after="0"/>
        <w:tabs>
          <w:tab w:leader="none" w:pos="1060"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or Waiver</w:t>
      </w:r>
      <w:r>
        <w:rPr>
          <w:rFonts w:ascii="Arial" w:cs="Arial" w:eastAsia="Arial" w:hAnsi="Arial"/>
          <w:sz w:val="15"/>
          <w:szCs w:val="15"/>
          <w:b w:val="1"/>
          <w:bCs w:val="1"/>
          <w:color w:val="auto"/>
        </w:rPr>
        <w:t xml:space="preserve">. </w:t>
      </w:r>
      <w:r>
        <w:rPr>
          <w:rFonts w:ascii="Arial" w:cs="Arial" w:eastAsia="Arial" w:hAnsi="Arial"/>
          <w:sz w:val="15"/>
          <w:szCs w:val="15"/>
          <w:color w:val="auto"/>
        </w:rPr>
        <w:t>Any term of this Warrant may be amended or waived upon written consent of the Company and the Registered Holder.</w:t>
      </w:r>
    </w:p>
    <w:p>
      <w:pPr>
        <w:spacing w:after="0" w:line="183" w:lineRule="exact"/>
        <w:rPr>
          <w:rFonts w:ascii="Arial" w:cs="Arial" w:eastAsia="Arial" w:hAnsi="Arial"/>
          <w:sz w:val="15"/>
          <w:szCs w:val="15"/>
          <w:color w:val="auto"/>
        </w:rPr>
      </w:pPr>
    </w:p>
    <w:p>
      <w:pPr>
        <w:ind w:left="1060" w:hanging="516"/>
        <w:spacing w:after="0"/>
        <w:tabs>
          <w:tab w:leader="none" w:pos="1060" w:val="left"/>
        </w:tabs>
        <w:numPr>
          <w:ilvl w:val="0"/>
          <w:numId w:val="162"/>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 xml:space="preserve">. </w:t>
      </w:r>
      <w:r>
        <w:rPr>
          <w:rFonts w:ascii="Arial" w:cs="Arial" w:eastAsia="Arial" w:hAnsi="Arial"/>
          <w:sz w:val="14"/>
          <w:szCs w:val="14"/>
          <w:color w:val="auto"/>
        </w:rPr>
        <w:t>The headings in this Warrant are for purposes of reference only and shall not limit or otherwise affect the meaning of any provision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72707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8" w:name="page119"/>
    <w:bookmarkEnd w:id="118"/>
    <w:p>
      <w:pPr>
        <w:ind w:firstLine="544"/>
        <w:spacing w:after="0" w:line="275" w:lineRule="auto"/>
        <w:tabs>
          <w:tab w:leader="none" w:pos="1091" w:val="left"/>
        </w:tabs>
        <w:numPr>
          <w:ilvl w:val="0"/>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all acts and transactions pursuant hereto and the rights and obligations of the parties hereto shall be governed, construed and interpreted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the laws of the State of New York, without giving effect to principles of conflicts of law.</w:t>
      </w:r>
    </w:p>
    <w:p>
      <w:pPr>
        <w:spacing w:after="0" w:line="139" w:lineRule="exact"/>
        <w:rPr>
          <w:rFonts w:ascii="Arial" w:cs="Arial" w:eastAsia="Arial" w:hAnsi="Arial"/>
          <w:sz w:val="15"/>
          <w:szCs w:val="15"/>
          <w:color w:val="auto"/>
        </w:rPr>
      </w:pPr>
    </w:p>
    <w:p>
      <w:pPr>
        <w:ind w:firstLine="544"/>
        <w:spacing w:after="0" w:line="275" w:lineRule="auto"/>
        <w:tabs>
          <w:tab w:leader="none" w:pos="1269" w:val="left"/>
        </w:tabs>
        <w:numPr>
          <w:ilvl w:val="0"/>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 and Covenants of the Registered Holder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has been entered into by the Company in reliance upon the following representations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covenants of the Registered Holder:</w:t>
      </w:r>
    </w:p>
    <w:p>
      <w:pPr>
        <w:spacing w:after="0" w:line="139" w:lineRule="exact"/>
        <w:rPr>
          <w:rFonts w:ascii="Arial" w:cs="Arial" w:eastAsia="Arial" w:hAnsi="Arial"/>
          <w:sz w:val="15"/>
          <w:szCs w:val="15"/>
          <w:color w:val="auto"/>
        </w:rPr>
      </w:pPr>
    </w:p>
    <w:p>
      <w:pPr>
        <w:ind w:firstLine="1145"/>
        <w:spacing w:after="0" w:line="275" w:lineRule="auto"/>
        <w:tabs>
          <w:tab w:leader="none" w:pos="1787" w:val="left"/>
        </w:tabs>
        <w:numPr>
          <w:ilvl w:val="1"/>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Investment Purpose</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Registered Holder is acquiring the Warrant and the Warrant Stock issuable upon exercise of the Warrant for its own account, not as a</w:t>
      </w:r>
      <w:r>
        <w:rPr>
          <w:rFonts w:ascii="Arial" w:cs="Arial" w:eastAsia="Arial" w:hAnsi="Arial"/>
          <w:sz w:val="15"/>
          <w:szCs w:val="15"/>
          <w:b w:val="1"/>
          <w:bCs w:val="1"/>
          <w:color w:val="auto"/>
        </w:rPr>
        <w:t xml:space="preserve"> </w:t>
      </w:r>
      <w:r>
        <w:rPr>
          <w:rFonts w:ascii="Arial" w:cs="Arial" w:eastAsia="Arial" w:hAnsi="Arial"/>
          <w:sz w:val="15"/>
          <w:szCs w:val="15"/>
          <w:color w:val="auto"/>
        </w:rPr>
        <w:t>nominee or agent and with no present intention of selling or otherwise distributing any part thereof.</w:t>
      </w:r>
    </w:p>
    <w:p>
      <w:pPr>
        <w:spacing w:after="0" w:line="139" w:lineRule="exact"/>
        <w:rPr>
          <w:rFonts w:ascii="Arial" w:cs="Arial" w:eastAsia="Arial" w:hAnsi="Arial"/>
          <w:sz w:val="15"/>
          <w:szCs w:val="15"/>
          <w:color w:val="auto"/>
        </w:rPr>
      </w:pPr>
    </w:p>
    <w:p>
      <w:pPr>
        <w:jc w:val="both"/>
        <w:ind w:firstLine="1145"/>
        <w:spacing w:after="0" w:line="288" w:lineRule="auto"/>
        <w:tabs>
          <w:tab w:leader="none" w:pos="1725"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Private Issue</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understands: (i) that the Warrant is not registered under the Securities Act or qualified under applicable state securities laws</w:t>
      </w:r>
      <w:r>
        <w:rPr>
          <w:rFonts w:ascii="Arial" w:cs="Arial" w:eastAsia="Arial" w:hAnsi="Arial"/>
          <w:sz w:val="14"/>
          <w:szCs w:val="14"/>
          <w:b w:val="1"/>
          <w:bCs w:val="1"/>
          <w:color w:val="auto"/>
        </w:rPr>
        <w:t xml:space="preserve"> </w:t>
      </w:r>
      <w:r>
        <w:rPr>
          <w:rFonts w:ascii="Arial" w:cs="Arial" w:eastAsia="Arial" w:hAnsi="Arial"/>
          <w:sz w:val="14"/>
          <w:szCs w:val="14"/>
          <w:color w:val="auto"/>
        </w:rPr>
        <w:t>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133" w:lineRule="exact"/>
        <w:rPr>
          <w:rFonts w:ascii="Arial" w:cs="Arial" w:eastAsia="Arial" w:hAnsi="Arial"/>
          <w:sz w:val="14"/>
          <w:szCs w:val="14"/>
          <w:color w:val="auto"/>
        </w:rPr>
      </w:pPr>
    </w:p>
    <w:p>
      <w:pPr>
        <w:jc w:val="both"/>
        <w:ind w:firstLine="1145"/>
        <w:spacing w:after="0" w:line="274" w:lineRule="auto"/>
        <w:tabs>
          <w:tab w:leader="none" w:pos="1705"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Disposition of Registered Holder’s Rights</w:t>
      </w:r>
      <w:r>
        <w:rPr>
          <w:rFonts w:ascii="Arial" w:cs="Arial" w:eastAsia="Arial" w:hAnsi="Arial"/>
          <w:sz w:val="14"/>
          <w:szCs w:val="14"/>
          <w:b w:val="1"/>
          <w:bCs w:val="1"/>
          <w:color w:val="auto"/>
        </w:rPr>
        <w:t xml:space="preserve">. </w:t>
      </w:r>
      <w:r>
        <w:rPr>
          <w:rFonts w:ascii="Arial" w:cs="Arial" w:eastAsia="Arial" w:hAnsi="Arial"/>
          <w:sz w:val="14"/>
          <w:szCs w:val="14"/>
          <w:color w:val="auto"/>
        </w:rPr>
        <w:t>In no event will the Registered Holder make a disposition of the Warrant or the Warrant Stock issuable upon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44" w:lineRule="exact"/>
        <w:rPr>
          <w:rFonts w:ascii="Arial" w:cs="Arial" w:eastAsia="Arial" w:hAnsi="Arial"/>
          <w:sz w:val="14"/>
          <w:szCs w:val="14"/>
          <w:color w:val="auto"/>
        </w:rPr>
      </w:pPr>
    </w:p>
    <w:p>
      <w:pPr>
        <w:ind w:left="1760" w:hanging="615"/>
        <w:spacing w:after="0"/>
        <w:tabs>
          <w:tab w:leader="none" w:pos="1760" w:val="left"/>
        </w:tabs>
        <w:numPr>
          <w:ilvl w:val="1"/>
          <w:numId w:val="163"/>
        </w:numPr>
        <w:rPr>
          <w:rFonts w:ascii="Arial" w:cs="Arial" w:eastAsia="Arial" w:hAnsi="Arial"/>
          <w:sz w:val="13"/>
          <w:szCs w:val="13"/>
          <w:color w:val="auto"/>
        </w:rPr>
      </w:pPr>
      <w:r>
        <w:rPr>
          <w:rFonts w:ascii="Arial" w:cs="Arial" w:eastAsia="Arial" w:hAnsi="Arial"/>
          <w:sz w:val="13"/>
          <w:szCs w:val="13"/>
          <w:b w:val="1"/>
          <w:bCs w:val="1"/>
          <w:u w:val="single" w:color="auto"/>
          <w:color w:val="auto"/>
        </w:rPr>
        <w:t>Financial Risk</w:t>
      </w:r>
      <w:r>
        <w:rPr>
          <w:rFonts w:ascii="Arial" w:cs="Arial" w:eastAsia="Arial" w:hAnsi="Arial"/>
          <w:sz w:val="13"/>
          <w:szCs w:val="13"/>
          <w:b w:val="1"/>
          <w:bCs w:val="1"/>
          <w:color w:val="auto"/>
        </w:rPr>
        <w:t xml:space="preserve">. </w:t>
      </w:r>
      <w:r>
        <w:rPr>
          <w:rFonts w:ascii="Arial" w:cs="Arial" w:eastAsia="Arial" w:hAnsi="Arial"/>
          <w:sz w:val="13"/>
          <w:szCs w:val="13"/>
          <w:color w:val="auto"/>
        </w:rPr>
        <w:t>The Registered Holder has such business and financial experience as is required to give it the capacity to protect its own interests in connection</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its investment.</w:t>
      </w:r>
    </w:p>
    <w:p>
      <w:pPr>
        <w:spacing w:after="0" w:line="169" w:lineRule="exact"/>
        <w:rPr>
          <w:rFonts w:ascii="Arial" w:cs="Arial" w:eastAsia="Arial" w:hAnsi="Arial"/>
          <w:sz w:val="13"/>
          <w:szCs w:val="13"/>
          <w:color w:val="auto"/>
        </w:rPr>
      </w:pPr>
    </w:p>
    <w:p>
      <w:pPr>
        <w:ind w:left="1680" w:hanging="535"/>
        <w:spacing w:after="0"/>
        <w:tabs>
          <w:tab w:leader="none" w:pos="1680"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Accredited Investor</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is an “accredited investor” as defined by Rule 501 of Regulation D promulgated under the Securities Act.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IN WITNESS WHEREOF, the parties have executed this Warrant as of the date first above written.</w:t>
      </w:r>
    </w:p>
    <w:p>
      <w:pPr>
        <w:spacing w:after="0" w:line="203"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10160</wp:posOffset>
            </wp:positionV>
            <wp:extent cx="370586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05860" cy="698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343535</wp:posOffset>
            </wp:positionV>
            <wp:extent cx="72707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699"/>
          </w:cols>
          <w:pgMar w:left="760" w:top="753"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5"/>
          <w:szCs w:val="15"/>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WARRANT EXERCISE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hereby irrevocably elects to exercise the within Warrant to the extent of purchasing ______ shares of Common Stock of Vringo, Inc., a Delaware corporation, and hereby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makes payment of $___________ in payment therefore (if a cashless exercise, insert “cashless”), all in accordance with the terms and conditions of the Warrant dated ________, 2012.</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6873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732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24752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7523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10160</wp:posOffset>
            </wp:positionV>
            <wp:extent cx="49434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24917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4917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INSTRUCTIONS FOR ISSUANCE OF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(if other than to the registered holder of the within Warrant)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36353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683196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10160</wp:posOffset>
            </wp:positionV>
            <wp:extent cx="348678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867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356870</wp:posOffset>
            </wp:positionV>
            <wp:extent cx="727075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5"/>
          <w:szCs w:val="15"/>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FOR VALUE RECEIVED, _____________________ hereby sells, assigns and transfers unto _______________________ the right to purchase Common Stock of Vringo,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corporation, represented by this Warrant to the extent of shares as to which such right is exercisable and does hereby irrevocably constitute and appoint ______________________, Attorney,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the same on the books of the Company with full power of substitution in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130873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873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429323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44418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4182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469900</wp:posOffset>
            </wp:positionV>
            <wp:extent cx="727075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2" w:name="page123"/>
    <w:bookmarkEnd w:id="122"/>
    <w:p>
      <w:pPr>
        <w:ind w:left="10880"/>
        <w:spacing w:after="0"/>
        <w:rPr>
          <w:sz w:val="20"/>
          <w:szCs w:val="20"/>
          <w:color w:val="auto"/>
        </w:rPr>
      </w:pPr>
      <w:r>
        <w:rPr>
          <w:rFonts w:ascii="Arial" w:cs="Arial" w:eastAsia="Arial" w:hAnsi="Arial"/>
          <w:sz w:val="14"/>
          <w:szCs w:val="14"/>
          <w:color w:val="auto"/>
        </w:rPr>
        <w:t>Exhibit H</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INNOVATE/PROTECT, INC.</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AMENDED AND RESTATED SENIOR SECURED NOTE</w:t>
      </w:r>
    </w:p>
    <w:p>
      <w:pPr>
        <w:sectPr>
          <w:pgSz w:w="11900" w:h="16838" w:orient="portrait"/>
          <w:cols w:equalWidth="0" w:num="1">
            <w:col w:w="11460"/>
          </w:cols>
          <w:pgMar w:left="220" w:top="753" w:right="2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Original Issuance Date: June 22, 2011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Original Principal Amount: U.S. $3,200,000</w:t>
      </w:r>
    </w:p>
    <w:p>
      <w:pPr>
        <w:spacing w:after="0" w:line="200" w:lineRule="exact"/>
        <w:rPr>
          <w:sz w:val="20"/>
          <w:szCs w:val="20"/>
          <w:color w:val="auto"/>
        </w:rPr>
      </w:pPr>
    </w:p>
    <w:p>
      <w:pPr>
        <w:sectPr>
          <w:pgSz w:w="11900" w:h="16838" w:orient="portrait"/>
          <w:cols w:equalWidth="0" w:num="2">
            <w:col w:w="8100" w:space="720"/>
            <w:col w:w="2640"/>
          </w:cols>
          <w:pgMar w:left="220" w:top="753" w:right="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Amendment and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Restatement Date: [________ ___,] 2012</w:t>
      </w:r>
    </w:p>
    <w:p>
      <w:pPr>
        <w:sectPr>
          <w:pgSz w:w="11900" w:h="16838" w:orient="portrait"/>
          <w:cols w:equalWidth="0" w:num="1">
            <w:col w:w="11460"/>
          </w:cols>
          <w:pgMar w:left="220" w:top="753" w:right="219" w:bottom="1440" w:gutter="0" w:footer="0" w:header="0"/>
          <w:type w:val="continuous"/>
        </w:sectPr>
      </w:pPr>
    </w:p>
    <w:p>
      <w:pPr>
        <w:spacing w:after="0" w:line="193" w:lineRule="exact"/>
        <w:rPr>
          <w:sz w:val="20"/>
          <w:szCs w:val="20"/>
          <w:color w:val="auto"/>
        </w:rPr>
      </w:pPr>
    </w:p>
    <w:p>
      <w:pPr>
        <w:jc w:val="both"/>
        <w:ind w:firstLine="1069"/>
        <w:spacing w:after="0" w:line="252" w:lineRule="auto"/>
        <w:rPr>
          <w:sz w:val="20"/>
          <w:szCs w:val="20"/>
          <w:color w:val="auto"/>
        </w:rPr>
      </w:pPr>
      <w:r>
        <w:rPr>
          <w:rFonts w:ascii="Arial" w:cs="Arial" w:eastAsia="Arial" w:hAnsi="Arial"/>
          <w:sz w:val="15"/>
          <w:szCs w:val="15"/>
          <w:b w:val="1"/>
          <w:bCs w:val="1"/>
          <w:color w:val="auto"/>
        </w:rPr>
        <w:t xml:space="preserve">FOR VALUE RECEIVED, </w:t>
      </w:r>
      <w:r>
        <w:rPr>
          <w:rFonts w:ascii="Arial" w:cs="Arial" w:eastAsia="Arial" w:hAnsi="Arial"/>
          <w:sz w:val="15"/>
          <w:szCs w:val="15"/>
          <w:color w:val="auto"/>
        </w:rPr>
        <w:t>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promises to pay to HUDSON BAY MASTER FUND LTD. or</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assigns (the "</w:t>
      </w:r>
      <w:r>
        <w:rPr>
          <w:rFonts w:ascii="Arial" w:cs="Arial" w:eastAsia="Arial" w:hAnsi="Arial"/>
          <w:sz w:val="15"/>
          <w:szCs w:val="15"/>
          <w:b w:val="1"/>
          <w:bCs w:val="1"/>
          <w:color w:val="auto"/>
        </w:rPr>
        <w:t>Holder</w:t>
      </w:r>
      <w:r>
        <w:rPr>
          <w:rFonts w:ascii="Arial" w:cs="Arial" w:eastAsia="Arial" w:hAnsi="Arial"/>
          <w:sz w:val="15"/>
          <w:szCs w:val="15"/>
          <w:color w:val="auto"/>
        </w:rPr>
        <w:t>") the amount set out above as the Original Principal Amount (as reduced pursuant to the terms hereof pursuant to redemption or otherwise, the "</w:t>
      </w:r>
      <w:r>
        <w:rPr>
          <w:rFonts w:ascii="Arial" w:cs="Arial" w:eastAsia="Arial" w:hAnsi="Arial"/>
          <w:sz w:val="15"/>
          <w:szCs w:val="15"/>
          <w:b w:val="1"/>
          <w:bCs w:val="1"/>
          <w:color w:val="auto"/>
        </w:rPr>
        <w:t>Principal</w:t>
      </w:r>
      <w:r>
        <w:rPr>
          <w:rFonts w:ascii="Arial" w:cs="Arial" w:eastAsia="Arial" w:hAnsi="Arial"/>
          <w:sz w:val="15"/>
          <w:szCs w:val="15"/>
          <w:color w:val="auto"/>
        </w:rPr>
        <w:t>") when due, whether upon the Maturity Date (as defined below), acceleration, redemption or otherwise (in each case in accordance with the terms hereof) and to pay interest ("</w:t>
      </w:r>
      <w:r>
        <w:rPr>
          <w:rFonts w:ascii="Arial" w:cs="Arial" w:eastAsia="Arial" w:hAnsi="Arial"/>
          <w:sz w:val="15"/>
          <w:szCs w:val="15"/>
          <w:b w:val="1"/>
          <w:bCs w:val="1"/>
          <w:color w:val="auto"/>
        </w:rPr>
        <w:t>Interest</w:t>
      </w:r>
      <w:r>
        <w:rPr>
          <w:rFonts w:ascii="Arial" w:cs="Arial" w:eastAsia="Arial" w:hAnsi="Arial"/>
          <w:sz w:val="15"/>
          <w:szCs w:val="15"/>
          <w:color w:val="auto"/>
        </w:rPr>
        <w:t>") on any outstanding Principal at the applicable Interest Rate from the date set out above as the Original Issuance Date (the "</w:t>
      </w:r>
      <w:r>
        <w:rPr>
          <w:rFonts w:ascii="Arial" w:cs="Arial" w:eastAsia="Arial" w:hAnsi="Arial"/>
          <w:sz w:val="15"/>
          <w:szCs w:val="15"/>
          <w:b w:val="1"/>
          <w:bCs w:val="1"/>
          <w:color w:val="auto"/>
        </w:rPr>
        <w:t>Issuance Date</w:t>
      </w:r>
      <w:r>
        <w:rPr>
          <w:rFonts w:ascii="Arial" w:cs="Arial" w:eastAsia="Arial" w:hAnsi="Arial"/>
          <w:sz w:val="15"/>
          <w:szCs w:val="15"/>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5"/>
          <w:szCs w:val="15"/>
          <w:b w:val="1"/>
          <w:bCs w:val="1"/>
          <w:color w:val="auto"/>
        </w:rPr>
        <w:t>Note</w:t>
      </w:r>
      <w:r>
        <w:rPr>
          <w:rFonts w:ascii="Arial" w:cs="Arial" w:eastAsia="Arial" w:hAnsi="Arial"/>
          <w:sz w:val="15"/>
          <w:szCs w:val="15"/>
          <w:color w:val="auto"/>
        </w:rPr>
        <w:t>") was issued pursuant to the Subscription Agreement on June 22, 2011. Certain capitalized terms used herein are defined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335915</wp:posOffset>
            </wp:positionV>
            <wp:extent cx="727075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type w:val="continuous"/>
        </w:sectPr>
      </w:pPr>
    </w:p>
    <w:bookmarkStart w:id="123" w:name="page124"/>
    <w:bookmarkEnd w:id="123"/>
    <w:p>
      <w:pPr>
        <w:jc w:val="both"/>
        <w:ind w:firstLine="1078"/>
        <w:spacing w:after="0" w:line="272" w:lineRule="auto"/>
        <w:tabs>
          <w:tab w:leader="none" w:pos="1691"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PAYMENTS OF PRINCIPAL</w:t>
      </w:r>
      <w:r>
        <w:rPr>
          <w:rFonts w:ascii="Arial" w:cs="Arial" w:eastAsia="Arial" w:hAnsi="Arial"/>
          <w:sz w:val="14"/>
          <w:szCs w:val="14"/>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4"/>
          <w:szCs w:val="14"/>
          <w:b w:val="1"/>
          <w:bCs w:val="1"/>
          <w:color w:val="auto"/>
        </w:rPr>
        <w:t>Maturity Date</w:t>
      </w:r>
      <w:r>
        <w:rPr>
          <w:rFonts w:ascii="Arial" w:cs="Arial" w:eastAsia="Arial" w:hAnsi="Arial"/>
          <w:sz w:val="14"/>
          <w:szCs w:val="14"/>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148" w:lineRule="exact"/>
        <w:rPr>
          <w:rFonts w:ascii="Arial" w:cs="Arial" w:eastAsia="Arial" w:hAnsi="Arial"/>
          <w:sz w:val="14"/>
          <w:szCs w:val="14"/>
          <w:color w:val="auto"/>
        </w:rPr>
      </w:pPr>
    </w:p>
    <w:p>
      <w:pPr>
        <w:jc w:val="both"/>
        <w:ind w:firstLine="1078"/>
        <w:spacing w:after="0" w:line="264" w:lineRule="auto"/>
        <w:tabs>
          <w:tab w:leader="none" w:pos="1624"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INTEREST; INTEREST RATE</w:t>
      </w:r>
      <w:r>
        <w:rPr>
          <w:rFonts w:ascii="Arial" w:cs="Arial" w:eastAsia="Arial" w:hAnsi="Arial"/>
          <w:sz w:val="15"/>
          <w:szCs w:val="15"/>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5"/>
          <w:szCs w:val="15"/>
          <w:b w:val="1"/>
          <w:bCs w:val="1"/>
          <w:color w:val="auto"/>
        </w:rPr>
        <w:t>Interest Date</w:t>
      </w:r>
      <w:r>
        <w:rPr>
          <w:rFonts w:ascii="Arial" w:cs="Arial" w:eastAsia="Arial" w:hAnsi="Arial"/>
          <w:sz w:val="15"/>
          <w:szCs w:val="15"/>
          <w:color w:val="auto"/>
        </w:rPr>
        <w:t>") with the first Interest Date being July 1, 2011. Interest shall be payable in cash on each Interest Date, to the record holder of this Note on the applicable Interest Date ("</w:t>
      </w:r>
      <w:r>
        <w:rPr>
          <w:rFonts w:ascii="Arial" w:cs="Arial" w:eastAsia="Arial" w:hAnsi="Arial"/>
          <w:sz w:val="15"/>
          <w:szCs w:val="15"/>
          <w:b w:val="1"/>
          <w:bCs w:val="1"/>
          <w:color w:val="auto"/>
        </w:rPr>
        <w:t>Interest</w:t>
      </w:r>
      <w:r>
        <w:rPr>
          <w:rFonts w:ascii="Arial" w:cs="Arial" w:eastAsia="Arial" w:hAnsi="Arial"/>
          <w:sz w:val="15"/>
          <w:szCs w:val="15"/>
          <w:color w:val="auto"/>
        </w:rPr>
        <w:t>") It is understood and agreed that Interest has been paid through January 1, 2012.</w:t>
      </w:r>
      <w:r>
        <w:rPr>
          <w:rFonts w:ascii="Arial" w:cs="Arial" w:eastAsia="Arial" w:hAnsi="Arial"/>
          <w:sz w:val="24"/>
          <w:szCs w:val="24"/>
          <w:color w:val="auto"/>
          <w:vertAlign w:val="superscript"/>
        </w:rPr>
        <w:t>1</w:t>
      </w:r>
    </w:p>
    <w:p>
      <w:pPr>
        <w:spacing w:after="0" w:line="51" w:lineRule="exact"/>
        <w:rPr>
          <w:rFonts w:ascii="Arial" w:cs="Arial" w:eastAsia="Arial" w:hAnsi="Arial"/>
          <w:sz w:val="15"/>
          <w:szCs w:val="15"/>
          <w:color w:val="auto"/>
        </w:rPr>
      </w:pPr>
    </w:p>
    <w:p>
      <w:pPr>
        <w:jc w:val="both"/>
        <w:ind w:firstLine="1613"/>
        <w:spacing w:after="0" w:line="255" w:lineRule="auto"/>
        <w:tabs>
          <w:tab w:leader="none" w:pos="2511" w:val="left"/>
        </w:tabs>
        <w:numPr>
          <w:ilvl w:val="2"/>
          <w:numId w:val="164"/>
        </w:numPr>
        <w:rPr>
          <w:rFonts w:ascii="Arial" w:cs="Arial" w:eastAsia="Arial" w:hAnsi="Arial"/>
          <w:sz w:val="15"/>
          <w:szCs w:val="15"/>
          <w:color w:val="auto"/>
        </w:rPr>
      </w:pPr>
      <w:r>
        <w:rPr>
          <w:rFonts w:ascii="Arial" w:cs="Arial" w:eastAsia="Arial" w:hAnsi="Arial"/>
          <w:sz w:val="15"/>
          <w:szCs w:val="15"/>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153" w:lineRule="exact"/>
        <w:rPr>
          <w:rFonts w:ascii="Arial" w:cs="Arial" w:eastAsia="Arial" w:hAnsi="Arial"/>
          <w:sz w:val="15"/>
          <w:szCs w:val="15"/>
          <w:color w:val="auto"/>
        </w:rPr>
      </w:pPr>
    </w:p>
    <w:p>
      <w:pPr>
        <w:jc w:val="both"/>
        <w:ind w:firstLine="1078"/>
        <w:spacing w:after="0" w:line="269" w:lineRule="auto"/>
        <w:tabs>
          <w:tab w:leader="none" w:pos="1680"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REGISTRATION; BOOK-ENTRY</w:t>
      </w:r>
      <w:r>
        <w:rPr>
          <w:rFonts w:ascii="Arial" w:cs="Arial" w:eastAsia="Arial" w:hAnsi="Arial"/>
          <w:sz w:val="14"/>
          <w:szCs w:val="14"/>
          <w:color w:val="auto"/>
        </w:rPr>
        <w:t>. The Company shall maintain a register (the "</w:t>
      </w:r>
      <w:r>
        <w:rPr>
          <w:rFonts w:ascii="Arial" w:cs="Arial" w:eastAsia="Arial" w:hAnsi="Arial"/>
          <w:sz w:val="14"/>
          <w:szCs w:val="14"/>
          <w:b w:val="1"/>
          <w:bCs w:val="1"/>
          <w:color w:val="auto"/>
        </w:rPr>
        <w:t>Register</w:t>
      </w:r>
      <w:r>
        <w:rPr>
          <w:rFonts w:ascii="Arial" w:cs="Arial" w:eastAsia="Arial" w:hAnsi="Arial"/>
          <w:sz w:val="14"/>
          <w:szCs w:val="14"/>
          <w:color w:val="auto"/>
        </w:rPr>
        <w:t>") for the recordation of the names and addresses of the holders of each Note and the principal amount of the Notes held by such holders (the "</w:t>
      </w:r>
      <w:r>
        <w:rPr>
          <w:rFonts w:ascii="Arial" w:cs="Arial" w:eastAsia="Arial" w:hAnsi="Arial"/>
          <w:sz w:val="14"/>
          <w:szCs w:val="14"/>
          <w:b w:val="1"/>
          <w:bCs w:val="1"/>
          <w:color w:val="auto"/>
        </w:rPr>
        <w:t>Registered Notes</w:t>
      </w:r>
      <w:r>
        <w:rPr>
          <w:rFonts w:ascii="Arial" w:cs="Arial" w:eastAsia="Arial" w:hAnsi="Arial"/>
          <w:sz w:val="14"/>
          <w:szCs w:val="14"/>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4"/>
          <w:szCs w:val="14"/>
          <w:b w:val="1"/>
          <w:bCs w:val="1"/>
          <w:color w:val="auto"/>
        </w:rPr>
        <w:t>Related Party Assignment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4"/>
          <w:szCs w:val="14"/>
          <w:b w:val="1"/>
          <w:bCs w:val="1"/>
          <w:color w:val="auto"/>
        </w:rPr>
        <w:t>Related Party Register</w:t>
      </w:r>
      <w:r>
        <w:rPr>
          <w:rFonts w:ascii="Arial" w:cs="Arial" w:eastAsia="Arial" w:hAnsi="Arial"/>
          <w:sz w:val="14"/>
          <w:szCs w:val="14"/>
          <w:color w:val="auto"/>
        </w:rPr>
        <w:t>") comparable to the Register on behalf of the Company, and any such assignment or sale shall be effective upon recordation of such assignment or sale in the Related Party Register.</w:t>
      </w:r>
    </w:p>
    <w:p>
      <w:pPr>
        <w:spacing w:after="0" w:line="2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xml:space="preserve"> To be updated assuming the transaction closes after April 1.</w:t>
      </w:r>
    </w:p>
    <w:p>
      <w:pPr>
        <w:spacing w:after="0" w:line="290" w:lineRule="exact"/>
        <w:rPr>
          <w:rFonts w:ascii="Arial" w:cs="Arial" w:eastAsia="Arial" w:hAnsi="Arial"/>
          <w:sz w:val="14"/>
          <w:szCs w:val="14"/>
          <w:color w:val="auto"/>
        </w:rPr>
      </w:pPr>
    </w:p>
    <w:p>
      <w:pPr>
        <w:ind w:left="5700" w:hanging="90"/>
        <w:spacing w:after="0"/>
        <w:tabs>
          <w:tab w:leader="none" w:pos="5700" w:val="left"/>
        </w:tabs>
        <w:numPr>
          <w:ilvl w:val="3"/>
          <w:numId w:val="164"/>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-505460</wp:posOffset>
            </wp:positionV>
            <wp:extent cx="181737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737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24" w:name="page125"/>
    <w:bookmarkEnd w:id="124"/>
    <w:p>
      <w:pPr>
        <w:ind w:left="542" w:hanging="542"/>
        <w:spacing w:after="0"/>
        <w:tabs>
          <w:tab w:leader="none" w:pos="542"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RIGHTS UPON EVENT OF DEFAULT</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ind w:left="1062" w:hanging="527"/>
        <w:spacing w:after="0"/>
        <w:tabs>
          <w:tab w:leader="none" w:pos="1062" w:val="left"/>
        </w:tabs>
        <w:numPr>
          <w:ilvl w:val="1"/>
          <w:numId w:val="165"/>
        </w:numPr>
        <w:rPr>
          <w:rFonts w:ascii="Arial" w:cs="Arial" w:eastAsia="Arial" w:hAnsi="Arial"/>
          <w:sz w:val="14"/>
          <w:szCs w:val="14"/>
          <w:color w:val="auto"/>
        </w:rPr>
      </w:pPr>
      <w:r>
        <w:rPr>
          <w:rFonts w:ascii="Arial" w:cs="Arial" w:eastAsia="Arial" w:hAnsi="Arial"/>
          <w:sz w:val="14"/>
          <w:szCs w:val="14"/>
          <w:u w:val="single" w:color="auto"/>
          <w:color w:val="auto"/>
        </w:rPr>
        <w:t>Event of Default</w:t>
      </w:r>
      <w:r>
        <w:rPr>
          <w:rFonts w:ascii="Arial" w:cs="Arial" w:eastAsia="Arial" w:hAnsi="Arial"/>
          <w:sz w:val="14"/>
          <w:szCs w:val="14"/>
          <w:color w:val="auto"/>
        </w:rPr>
        <w:t>. Each of the following events shall constitute an "</w:t>
      </w:r>
      <w:r>
        <w:rPr>
          <w:rFonts w:ascii="Arial" w:cs="Arial" w:eastAsia="Arial" w:hAnsi="Arial"/>
          <w:sz w:val="14"/>
          <w:szCs w:val="14"/>
          <w:b w:val="1"/>
          <w:bCs w:val="1"/>
          <w:color w:val="auto"/>
        </w:rPr>
        <w:t>Event of Default</w:t>
      </w:r>
      <w:r>
        <w:rPr>
          <w:rFonts w:ascii="Arial" w:cs="Arial" w:eastAsia="Arial" w:hAnsi="Arial"/>
          <w:sz w:val="14"/>
          <w:szCs w:val="14"/>
          <w:color w:val="auto"/>
        </w:rPr>
        <w:t>" upon receipt by the Company of a notice thereof by the Holder:</w:t>
      </w:r>
    </w:p>
    <w:p>
      <w:pPr>
        <w:spacing w:after="0" w:line="199" w:lineRule="exact"/>
        <w:rPr>
          <w:rFonts w:ascii="Arial" w:cs="Arial" w:eastAsia="Arial" w:hAnsi="Arial"/>
          <w:sz w:val="14"/>
          <w:szCs w:val="14"/>
          <w:color w:val="auto"/>
        </w:rPr>
      </w:pPr>
    </w:p>
    <w:p>
      <w:pPr>
        <w:ind w:left="-538" w:firstLine="1608"/>
        <w:spacing w:after="0" w:line="269" w:lineRule="auto"/>
        <w:tabs>
          <w:tab w:leader="none" w:pos="1781" w:val="left"/>
        </w:tabs>
        <w:numPr>
          <w:ilvl w:val="2"/>
          <w:numId w:val="165"/>
        </w:numPr>
        <w:rPr>
          <w:rFonts w:ascii="Arial" w:cs="Arial" w:eastAsia="Arial" w:hAnsi="Arial"/>
          <w:sz w:val="15"/>
          <w:szCs w:val="15"/>
          <w:color w:val="auto"/>
        </w:rPr>
      </w:pPr>
      <w:r>
        <w:rPr>
          <w:rFonts w:ascii="Arial" w:cs="Arial" w:eastAsia="Arial" w:hAnsi="Arial"/>
          <w:sz w:val="15"/>
          <w:szCs w:val="15"/>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147" w:lineRule="exact"/>
        <w:rPr>
          <w:rFonts w:ascii="Arial" w:cs="Arial" w:eastAsia="Arial" w:hAnsi="Arial"/>
          <w:sz w:val="15"/>
          <w:szCs w:val="15"/>
          <w:color w:val="auto"/>
        </w:rPr>
      </w:pPr>
    </w:p>
    <w:p>
      <w:pPr>
        <w:ind w:left="1622" w:hanging="552"/>
        <w:spacing w:after="0"/>
        <w:tabs>
          <w:tab w:leader="none" w:pos="1622"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any default under, redemption of or acceleration prior to maturity of any Indebtedness of any Note Party or any of its Subsidiaries;</w:t>
      </w:r>
    </w:p>
    <w:p>
      <w:pPr>
        <w:spacing w:after="0" w:line="183" w:lineRule="exact"/>
        <w:rPr>
          <w:rFonts w:ascii="Arial" w:cs="Arial" w:eastAsia="Arial" w:hAnsi="Arial"/>
          <w:sz w:val="15"/>
          <w:szCs w:val="15"/>
          <w:color w:val="auto"/>
        </w:rPr>
      </w:pPr>
    </w:p>
    <w:p>
      <w:pPr>
        <w:jc w:val="both"/>
        <w:ind w:left="-538" w:firstLine="1608"/>
        <w:spacing w:after="0" w:line="255" w:lineRule="auto"/>
        <w:tabs>
          <w:tab w:leader="none" w:pos="1650"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5"/>
          <w:szCs w:val="15"/>
          <w:b w:val="1"/>
          <w:bCs w:val="1"/>
          <w:color w:val="auto"/>
        </w:rPr>
        <w:t>Bankruptcy Law</w:t>
      </w:r>
      <w:r>
        <w:rPr>
          <w:rFonts w:ascii="Arial" w:cs="Arial" w:eastAsia="Arial" w:hAnsi="Arial"/>
          <w:sz w:val="15"/>
          <w:szCs w:val="15"/>
          <w:color w:val="auto"/>
        </w:rPr>
        <w:t>"), (A) commences a voluntary case, (B) consents to the entry of an order for relief against it in an involuntary case, (C) consents to the appointment of a receiver, trustee, assignee, liquidator or similar official (a "</w:t>
      </w:r>
      <w:r>
        <w:rPr>
          <w:rFonts w:ascii="Arial" w:cs="Arial" w:eastAsia="Arial" w:hAnsi="Arial"/>
          <w:sz w:val="15"/>
          <w:szCs w:val="15"/>
          <w:b w:val="1"/>
          <w:bCs w:val="1"/>
          <w:color w:val="auto"/>
        </w:rPr>
        <w:t>Custodian</w:t>
      </w:r>
      <w:r>
        <w:rPr>
          <w:rFonts w:ascii="Arial" w:cs="Arial" w:eastAsia="Arial" w:hAnsi="Arial"/>
          <w:sz w:val="15"/>
          <w:szCs w:val="15"/>
          <w:color w:val="auto"/>
        </w:rPr>
        <w:t>"), (D) makes a general assignment for the benefit of its creditors or (E) admits in writing that it is generally unable to pay its debts as they become due;</w:t>
      </w:r>
    </w:p>
    <w:p>
      <w:pPr>
        <w:spacing w:after="0" w:line="157" w:lineRule="exact"/>
        <w:rPr>
          <w:rFonts w:ascii="Arial" w:cs="Arial" w:eastAsia="Arial" w:hAnsi="Arial"/>
          <w:sz w:val="15"/>
          <w:szCs w:val="15"/>
          <w:color w:val="auto"/>
        </w:rPr>
      </w:pPr>
    </w:p>
    <w:p>
      <w:pPr>
        <w:ind w:left="-538" w:firstLine="1608"/>
        <w:spacing w:after="0" w:line="348" w:lineRule="auto"/>
        <w:tabs>
          <w:tab w:leader="none" w:pos="1731" w:val="left"/>
        </w:tabs>
        <w:numPr>
          <w:ilvl w:val="2"/>
          <w:numId w:val="165"/>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 (A) is for relief against any Note Party or any of its Subsidiaries in an involuntary case, (B) appoints a Custodian of any Note Party or any of its Subsidiaries or (C) orders the liquidation of any Note Party or any of its Subsidiaries;</w:t>
      </w:r>
    </w:p>
    <w:p>
      <w:pPr>
        <w:spacing w:after="0" w:line="101" w:lineRule="exact"/>
        <w:rPr>
          <w:rFonts w:ascii="Arial" w:cs="Arial" w:eastAsia="Arial" w:hAnsi="Arial"/>
          <w:sz w:val="13"/>
          <w:szCs w:val="13"/>
          <w:color w:val="auto"/>
        </w:rPr>
      </w:pPr>
    </w:p>
    <w:p>
      <w:pPr>
        <w:jc w:val="both"/>
        <w:ind w:left="-538" w:firstLine="1608"/>
        <w:spacing w:after="0" w:line="252" w:lineRule="auto"/>
        <w:tabs>
          <w:tab w:leader="none" w:pos="1766"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160" w:lineRule="exact"/>
        <w:rPr>
          <w:rFonts w:ascii="Arial" w:cs="Arial" w:eastAsia="Arial" w:hAnsi="Arial"/>
          <w:sz w:val="15"/>
          <w:szCs w:val="15"/>
          <w:color w:val="auto"/>
        </w:rPr>
      </w:pPr>
    </w:p>
    <w:p>
      <w:pPr>
        <w:ind w:left="1662" w:hanging="592"/>
        <w:spacing w:after="0"/>
        <w:tabs>
          <w:tab w:leader="none" w:pos="1662" w:val="left"/>
        </w:tabs>
        <w:numPr>
          <w:ilvl w:val="2"/>
          <w:numId w:val="165"/>
        </w:numPr>
        <w:rPr>
          <w:rFonts w:ascii="Arial" w:cs="Arial" w:eastAsia="Arial" w:hAnsi="Arial"/>
          <w:sz w:val="14"/>
          <w:szCs w:val="14"/>
          <w:color w:val="auto"/>
        </w:rPr>
      </w:pPr>
      <w:r>
        <w:rPr>
          <w:rFonts w:ascii="Arial" w:cs="Arial" w:eastAsia="Arial" w:hAnsi="Arial"/>
          <w:sz w:val="14"/>
          <w:szCs w:val="14"/>
          <w:color w:val="auto"/>
        </w:rPr>
        <w:t>any Note Party breaches any material representation, warranty, covenant or other term or condition of any Note Transaction Document;</w:t>
      </w:r>
    </w:p>
    <w:p>
      <w:pPr>
        <w:spacing w:after="0" w:line="373" w:lineRule="exact"/>
        <w:rPr>
          <w:rFonts w:ascii="Arial" w:cs="Arial" w:eastAsia="Arial" w:hAnsi="Arial"/>
          <w:sz w:val="14"/>
          <w:szCs w:val="14"/>
          <w:color w:val="auto"/>
        </w:rPr>
      </w:pPr>
    </w:p>
    <w:p>
      <w:pPr>
        <w:ind w:left="4622" w:hanging="90"/>
        <w:spacing w:after="0"/>
        <w:tabs>
          <w:tab w:leader="none" w:pos="4622" w:val="left"/>
        </w:tabs>
        <w:numPr>
          <w:ilvl w:val="3"/>
          <w:numId w:val="165"/>
        </w:numPr>
        <w:rPr>
          <w:rFonts w:ascii="Arial" w:cs="Arial" w:eastAsia="Arial" w:hAnsi="Arial"/>
          <w:sz w:val="15"/>
          <w:szCs w:val="15"/>
          <w:color w:val="auto"/>
        </w:rPr>
      </w:pP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25" w:name="page126"/>
    <w:bookmarkEnd w:id="125"/>
    <w:p>
      <w:pPr>
        <w:ind w:left="1620" w:hanging="692"/>
        <w:spacing w:after="0"/>
        <w:tabs>
          <w:tab w:leader="none" w:pos="162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material breach or material failure in any respect to comply with Section 10 of this Note;</w:t>
      </w:r>
    </w:p>
    <w:p>
      <w:pPr>
        <w:spacing w:after="0" w:line="183" w:lineRule="exact"/>
        <w:rPr>
          <w:rFonts w:ascii="Arial" w:cs="Arial" w:eastAsia="Arial" w:hAnsi="Arial"/>
          <w:sz w:val="15"/>
          <w:szCs w:val="15"/>
          <w:color w:val="auto"/>
        </w:rPr>
      </w:pPr>
    </w:p>
    <w:p>
      <w:pPr>
        <w:ind w:left="-680" w:right="20" w:firstLine="1608"/>
        <w:spacing w:after="0" w:line="269" w:lineRule="auto"/>
        <w:tabs>
          <w:tab w:leader="none" w:pos="1608"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Note Party or any of its Subsidiaries shall fail to perform or comply in any material respect with any covenant or agreement contained in the Security Documents to which it is a party;</w:t>
      </w:r>
    </w:p>
    <w:p>
      <w:pPr>
        <w:spacing w:after="0" w:line="147" w:lineRule="exact"/>
        <w:rPr>
          <w:rFonts w:ascii="Arial" w:cs="Arial" w:eastAsia="Arial" w:hAnsi="Arial"/>
          <w:sz w:val="15"/>
          <w:szCs w:val="15"/>
          <w:color w:val="auto"/>
        </w:rPr>
      </w:pPr>
    </w:p>
    <w:p>
      <w:pPr>
        <w:jc w:val="both"/>
        <w:ind w:left="-680" w:firstLine="1608"/>
        <w:spacing w:after="0" w:line="275" w:lineRule="auto"/>
        <w:tabs>
          <w:tab w:leader="none" w:pos="1717" w:val="left"/>
        </w:tabs>
        <w:numPr>
          <w:ilvl w:val="1"/>
          <w:numId w:val="166"/>
        </w:numPr>
        <w:rPr>
          <w:rFonts w:ascii="Arial" w:cs="Arial" w:eastAsia="Arial" w:hAnsi="Arial"/>
          <w:sz w:val="14"/>
          <w:szCs w:val="14"/>
          <w:color w:val="auto"/>
        </w:rPr>
      </w:pPr>
      <w:r>
        <w:rPr>
          <w:rFonts w:ascii="Arial" w:cs="Arial" w:eastAsia="Arial" w:hAnsi="Arial"/>
          <w:sz w:val="14"/>
          <w:szCs w:val="14"/>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146" w:lineRule="exact"/>
        <w:rPr>
          <w:rFonts w:ascii="Arial" w:cs="Arial" w:eastAsia="Arial" w:hAnsi="Arial"/>
          <w:sz w:val="14"/>
          <w:szCs w:val="14"/>
          <w:color w:val="auto"/>
        </w:rPr>
      </w:pPr>
    </w:p>
    <w:p>
      <w:pPr>
        <w:jc w:val="both"/>
        <w:ind w:left="-680" w:firstLine="1608"/>
        <w:spacing w:after="0" w:line="258" w:lineRule="auto"/>
        <w:tabs>
          <w:tab w:leader="none" w:pos="173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156" w:lineRule="exact"/>
        <w:rPr>
          <w:rFonts w:ascii="Arial" w:cs="Arial" w:eastAsia="Arial" w:hAnsi="Arial"/>
          <w:sz w:val="15"/>
          <w:szCs w:val="15"/>
          <w:color w:val="auto"/>
        </w:rPr>
      </w:pPr>
    </w:p>
    <w:p>
      <w:pPr>
        <w:jc w:val="both"/>
        <w:ind w:left="-680" w:firstLine="1608"/>
        <w:spacing w:after="0" w:line="317" w:lineRule="auto"/>
        <w:tabs>
          <w:tab w:leader="none" w:pos="1644" w:val="left"/>
        </w:tabs>
        <w:numPr>
          <w:ilvl w:val="1"/>
          <w:numId w:val="166"/>
        </w:numPr>
        <w:rPr>
          <w:rFonts w:ascii="Arial" w:cs="Arial" w:eastAsia="Arial" w:hAnsi="Arial"/>
          <w:sz w:val="13"/>
          <w:szCs w:val="13"/>
          <w:color w:val="auto"/>
        </w:rPr>
      </w:pPr>
      <w:r>
        <w:rPr>
          <w:rFonts w:ascii="Arial" w:cs="Arial" w:eastAsia="Arial" w:hAnsi="Arial"/>
          <w:sz w:val="13"/>
          <w:szCs w:val="13"/>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120" w:lineRule="exact"/>
        <w:rPr>
          <w:rFonts w:ascii="Arial" w:cs="Arial" w:eastAsia="Arial" w:hAnsi="Arial"/>
          <w:sz w:val="13"/>
          <w:szCs w:val="13"/>
          <w:color w:val="auto"/>
        </w:rPr>
      </w:pPr>
    </w:p>
    <w:p>
      <w:pPr>
        <w:jc w:val="both"/>
        <w:ind w:left="-1220" w:firstLine="1613"/>
        <w:spacing w:after="0" w:line="269" w:lineRule="auto"/>
        <w:tabs>
          <w:tab w:leader="none" w:pos="939"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Redemption Right</w:t>
      </w:r>
      <w:r>
        <w:rPr>
          <w:rFonts w:ascii="Arial" w:cs="Arial" w:eastAsia="Arial" w:hAnsi="Arial"/>
          <w:sz w:val="14"/>
          <w:szCs w:val="14"/>
          <w:color w:val="auto"/>
        </w:rPr>
        <w:t>. On and after a Default Date, with respect to this Note, the Company shall within one (1) Business Day deliver written notice thereof via facsimile and overnight courier (an "</w:t>
      </w:r>
      <w:r>
        <w:rPr>
          <w:rFonts w:ascii="Arial" w:cs="Arial" w:eastAsia="Arial" w:hAnsi="Arial"/>
          <w:sz w:val="14"/>
          <w:szCs w:val="14"/>
          <w:b w:val="1"/>
          <w:bCs w:val="1"/>
          <w:color w:val="auto"/>
        </w:rPr>
        <w:t>Event of Default Notice</w:t>
      </w:r>
      <w:r>
        <w:rPr>
          <w:rFonts w:ascii="Arial" w:cs="Arial" w:eastAsia="Arial" w:hAnsi="Arial"/>
          <w:sz w:val="14"/>
          <w:szCs w:val="14"/>
          <w:color w:val="auto"/>
        </w:rPr>
        <w:t>") to the Holder. At any time after the earlier of the Holder's receipt of an Event of Default Notice and the Default Date, the Holder may require the Company to redeem (an "</w:t>
      </w:r>
      <w:r>
        <w:rPr>
          <w:rFonts w:ascii="Arial" w:cs="Arial" w:eastAsia="Arial" w:hAnsi="Arial"/>
          <w:sz w:val="14"/>
          <w:szCs w:val="14"/>
          <w:b w:val="1"/>
          <w:bCs w:val="1"/>
          <w:color w:val="auto"/>
        </w:rPr>
        <w:t>Event of Default Redemption</w:t>
      </w:r>
      <w:r>
        <w:rPr>
          <w:rFonts w:ascii="Arial" w:cs="Arial" w:eastAsia="Arial" w:hAnsi="Arial"/>
          <w:sz w:val="14"/>
          <w:szCs w:val="14"/>
          <w:color w:val="auto"/>
        </w:rPr>
        <w:t>") all or any portion of this Note by delivering written notice thereof (the "</w:t>
      </w:r>
      <w:r>
        <w:rPr>
          <w:rFonts w:ascii="Arial" w:cs="Arial" w:eastAsia="Arial" w:hAnsi="Arial"/>
          <w:sz w:val="14"/>
          <w:szCs w:val="14"/>
          <w:b w:val="1"/>
          <w:bCs w:val="1"/>
          <w:color w:val="auto"/>
        </w:rPr>
        <w:t>Event of Default Redemption Notice</w:t>
      </w:r>
      <w:r>
        <w:rPr>
          <w:rFonts w:ascii="Arial" w:cs="Arial" w:eastAsia="Arial" w:hAnsi="Arial"/>
          <w:sz w:val="14"/>
          <w:szCs w:val="14"/>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4"/>
          <w:szCs w:val="14"/>
          <w:b w:val="1"/>
          <w:bCs w:val="1"/>
          <w:color w:val="auto"/>
        </w:rPr>
        <w:t>Event of Default Redemption Price</w:t>
      </w:r>
      <w:r>
        <w:rPr>
          <w:rFonts w:ascii="Arial" w:cs="Arial" w:eastAsia="Arial" w:hAnsi="Arial"/>
          <w:sz w:val="14"/>
          <w:szCs w:val="14"/>
          <w:color w:val="auto"/>
        </w:rPr>
        <w:t>"). Redemptions required by this Section 4(b) shall be made in accordance with the provisions of Section 8. To the extent redemptions required by this Section 4(b)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331" w:lineRule="exact"/>
        <w:rPr>
          <w:rFonts w:ascii="Arial" w:cs="Arial" w:eastAsia="Arial" w:hAnsi="Arial"/>
          <w:sz w:val="14"/>
          <w:szCs w:val="14"/>
          <w:color w:val="auto"/>
        </w:rPr>
      </w:pPr>
    </w:p>
    <w:p>
      <w:pPr>
        <w:ind w:left="4480" w:hanging="90"/>
        <w:spacing w:after="0"/>
        <w:tabs>
          <w:tab w:leader="none" w:pos="4480" w:val="left"/>
        </w:tabs>
        <w:numPr>
          <w:ilvl w:val="2"/>
          <w:numId w:val="167"/>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53" w:right="219" w:bottom="1440" w:gutter="0" w:footer="0" w:header="0"/>
        </w:sectPr>
      </w:pPr>
    </w:p>
    <w:bookmarkStart w:id="126" w:name="page127"/>
    <w:bookmarkEnd w:id="126"/>
    <w:p>
      <w:pPr>
        <w:ind w:left="542" w:hanging="542"/>
        <w:spacing w:after="0"/>
        <w:tabs>
          <w:tab w:leader="none" w:pos="542"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RIGHTS UPON FUNDAMENTAL TRANSACTION AND CHANGE OF CONTROL</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78" w:firstLine="1613"/>
        <w:spacing w:after="0" w:line="270" w:lineRule="auto"/>
        <w:tabs>
          <w:tab w:leader="none" w:pos="1262"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Assumption</w:t>
      </w:r>
      <w:r>
        <w:rPr>
          <w:rFonts w:ascii="Arial" w:cs="Arial" w:eastAsia="Arial" w:hAnsi="Arial"/>
          <w:sz w:val="14"/>
          <w:szCs w:val="14"/>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152" w:lineRule="exact"/>
        <w:rPr>
          <w:rFonts w:ascii="Arial" w:cs="Arial" w:eastAsia="Arial" w:hAnsi="Arial"/>
          <w:sz w:val="14"/>
          <w:szCs w:val="14"/>
          <w:color w:val="auto"/>
        </w:rPr>
      </w:pPr>
    </w:p>
    <w:p>
      <w:pPr>
        <w:jc w:val="both"/>
        <w:ind w:left="-1078" w:firstLine="1613"/>
        <w:spacing w:after="0" w:line="291" w:lineRule="auto"/>
        <w:tabs>
          <w:tab w:leader="none" w:pos="1159" w:val="left"/>
        </w:tabs>
        <w:numPr>
          <w:ilvl w:val="1"/>
          <w:numId w:val="168"/>
        </w:numPr>
        <w:rPr>
          <w:rFonts w:ascii="Arial" w:cs="Arial" w:eastAsia="Arial" w:hAnsi="Arial"/>
          <w:sz w:val="13"/>
          <w:szCs w:val="13"/>
          <w:color w:val="auto"/>
        </w:rPr>
      </w:pPr>
      <w:r>
        <w:rPr>
          <w:rFonts w:ascii="Arial" w:cs="Arial" w:eastAsia="Arial" w:hAnsi="Arial"/>
          <w:sz w:val="13"/>
          <w:szCs w:val="13"/>
          <w:u w:val="single" w:color="auto"/>
          <w:color w:val="auto"/>
        </w:rPr>
        <w:t>Redemption Right</w:t>
      </w:r>
      <w:r>
        <w:rPr>
          <w:rFonts w:ascii="Arial" w:cs="Arial" w:eastAsia="Arial" w:hAnsi="Arial"/>
          <w:sz w:val="13"/>
          <w:szCs w:val="13"/>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3"/>
          <w:szCs w:val="13"/>
          <w:b w:val="1"/>
          <w:bCs w:val="1"/>
          <w:color w:val="auto"/>
        </w:rPr>
        <w:t>Change of Control Notice</w:t>
      </w:r>
      <w:r>
        <w:rPr>
          <w:rFonts w:ascii="Arial" w:cs="Arial" w:eastAsia="Arial" w:hAnsi="Arial"/>
          <w:sz w:val="13"/>
          <w:szCs w:val="13"/>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3"/>
          <w:szCs w:val="13"/>
          <w:b w:val="1"/>
          <w:bCs w:val="1"/>
          <w:color w:val="auto"/>
        </w:rPr>
        <w:t>Change of Control Redemption</w:t>
      </w:r>
      <w:r>
        <w:rPr>
          <w:rFonts w:ascii="Arial" w:cs="Arial" w:eastAsia="Arial" w:hAnsi="Arial"/>
          <w:sz w:val="13"/>
          <w:szCs w:val="13"/>
          <w:color w:val="auto"/>
        </w:rPr>
        <w:t>") all or any portion of this Note by delivering written notice thereof ("</w:t>
      </w:r>
      <w:r>
        <w:rPr>
          <w:rFonts w:ascii="Arial" w:cs="Arial" w:eastAsia="Arial" w:hAnsi="Arial"/>
          <w:sz w:val="13"/>
          <w:szCs w:val="13"/>
          <w:b w:val="1"/>
          <w:bCs w:val="1"/>
          <w:color w:val="auto"/>
        </w:rPr>
        <w:t>Change of Control Redemption</w:t>
      </w:r>
      <w:r>
        <w:rPr>
          <w:rFonts w:ascii="Arial" w:cs="Arial" w:eastAsia="Arial" w:hAnsi="Arial"/>
          <w:sz w:val="13"/>
          <w:szCs w:val="13"/>
          <w:color w:val="auto"/>
        </w:rPr>
        <w:t xml:space="preserve"> </w:t>
      </w:r>
      <w:r>
        <w:rPr>
          <w:rFonts w:ascii="Arial" w:cs="Arial" w:eastAsia="Arial" w:hAnsi="Arial"/>
          <w:sz w:val="13"/>
          <w:szCs w:val="13"/>
          <w:b w:val="1"/>
          <w:bCs w:val="1"/>
          <w:color w:val="auto"/>
        </w:rPr>
        <w:t>Notice</w:t>
      </w:r>
      <w:r>
        <w:rPr>
          <w:rFonts w:ascii="Arial" w:cs="Arial" w:eastAsia="Arial" w:hAnsi="Arial"/>
          <w:sz w:val="13"/>
          <w:szCs w:val="13"/>
          <w:color w:val="auto"/>
        </w:rPr>
        <w:t>", and the date thereof, the "</w:t>
      </w:r>
      <w:r>
        <w:rPr>
          <w:rFonts w:ascii="Arial" w:cs="Arial" w:eastAsia="Arial" w:hAnsi="Arial"/>
          <w:sz w:val="13"/>
          <w:szCs w:val="13"/>
          <w:b w:val="1"/>
          <w:bCs w:val="1"/>
          <w:color w:val="auto"/>
        </w:rPr>
        <w:t>Change of Control Redemption Notice Date</w:t>
      </w:r>
      <w:r>
        <w:rPr>
          <w:rFonts w:ascii="Arial" w:cs="Arial" w:eastAsia="Arial" w:hAnsi="Arial"/>
          <w:sz w:val="13"/>
          <w:szCs w:val="13"/>
          <w:color w:val="auto"/>
        </w:rPr>
        <w:t>") to the Company, which Change of Control Redemption Notice shall indicate the Redemption Amount the</w:t>
      </w:r>
      <w:r>
        <w:rPr>
          <w:rFonts w:ascii="Arial" w:cs="Arial" w:eastAsia="Arial" w:hAnsi="Arial"/>
          <w:sz w:val="13"/>
          <w:szCs w:val="13"/>
          <w:b w:val="1"/>
          <w:bCs w:val="1"/>
          <w:color w:val="auto"/>
        </w:rPr>
        <w:t xml:space="preserve"> </w:t>
      </w:r>
      <w:r>
        <w:rPr>
          <w:rFonts w:ascii="Arial" w:cs="Arial" w:eastAsia="Arial" w:hAnsi="Arial"/>
          <w:sz w:val="13"/>
          <w:szCs w:val="13"/>
          <w:color w:val="auto"/>
        </w:rPr>
        <w:t>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319" w:lineRule="exact"/>
        <w:rPr>
          <w:rFonts w:ascii="Arial" w:cs="Arial" w:eastAsia="Arial" w:hAnsi="Arial"/>
          <w:sz w:val="13"/>
          <w:szCs w:val="13"/>
          <w:color w:val="auto"/>
        </w:rPr>
      </w:pPr>
    </w:p>
    <w:p>
      <w:pPr>
        <w:ind w:left="4622" w:hanging="90"/>
        <w:spacing w:after="0"/>
        <w:tabs>
          <w:tab w:leader="none" w:pos="4622" w:val="left"/>
        </w:tabs>
        <w:numPr>
          <w:ilvl w:val="2"/>
          <w:numId w:val="168"/>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2" w:right="219" w:bottom="1440" w:gutter="0" w:footer="0" w:header="0"/>
        </w:sectPr>
      </w:pPr>
    </w:p>
    <w:bookmarkStart w:id="127" w:name="page128"/>
    <w:bookmarkEnd w:id="127"/>
    <w:p>
      <w:pPr>
        <w:jc w:val="both"/>
        <w:ind w:left="-1078" w:firstLine="1078"/>
        <w:spacing w:after="0" w:line="290" w:lineRule="auto"/>
        <w:tabs>
          <w:tab w:leader="none" w:pos="568"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OPTIONAL REDEMPTION RIGHT</w:t>
      </w:r>
      <w:r>
        <w:rPr>
          <w:rFonts w:ascii="Arial" w:cs="Arial" w:eastAsia="Arial" w:hAnsi="Arial"/>
          <w:sz w:val="13"/>
          <w:szCs w:val="13"/>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 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3"/>
          <w:szCs w:val="13"/>
          <w:b w:val="1"/>
          <w:bCs w:val="1"/>
          <w:color w:val="auto"/>
        </w:rPr>
        <w:t>Optional Redemption</w:t>
      </w:r>
      <w:r>
        <w:rPr>
          <w:rFonts w:ascii="Arial" w:cs="Arial" w:eastAsia="Arial" w:hAnsi="Arial"/>
          <w:sz w:val="13"/>
          <w:szCs w:val="13"/>
          <w:color w:val="auto"/>
        </w:rPr>
        <w:t>"), in each case by delivering written notice thereof (the "</w:t>
      </w:r>
      <w:r>
        <w:rPr>
          <w:rFonts w:ascii="Arial" w:cs="Arial" w:eastAsia="Arial" w:hAnsi="Arial"/>
          <w:sz w:val="13"/>
          <w:szCs w:val="13"/>
          <w:b w:val="1"/>
          <w:bCs w:val="1"/>
          <w:color w:val="auto"/>
        </w:rPr>
        <w:t>Optional Redemption Notice</w:t>
      </w:r>
      <w:r>
        <w:rPr>
          <w:rFonts w:ascii="Arial" w:cs="Arial" w:eastAsia="Arial" w:hAnsi="Arial"/>
          <w:sz w:val="13"/>
          <w:szCs w:val="13"/>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3"/>
          <w:szCs w:val="13"/>
          <w:b w:val="1"/>
          <w:bCs w:val="1"/>
          <w:color w:val="auto"/>
        </w:rPr>
        <w:t>Optional</w:t>
      </w:r>
      <w:r>
        <w:rPr>
          <w:rFonts w:ascii="Arial" w:cs="Arial" w:eastAsia="Arial" w:hAnsi="Arial"/>
          <w:sz w:val="13"/>
          <w:szCs w:val="13"/>
          <w:color w:val="auto"/>
        </w:rPr>
        <w:t xml:space="preserve"> </w:t>
      </w:r>
      <w:r>
        <w:rPr>
          <w:rFonts w:ascii="Arial" w:cs="Arial" w:eastAsia="Arial" w:hAnsi="Arial"/>
          <w:sz w:val="13"/>
          <w:szCs w:val="13"/>
          <w:b w:val="1"/>
          <w:bCs w:val="1"/>
          <w:color w:val="auto"/>
        </w:rPr>
        <w:t>Redemption Price</w:t>
      </w:r>
      <w:r>
        <w:rPr>
          <w:rFonts w:ascii="Arial" w:cs="Arial" w:eastAsia="Arial" w:hAnsi="Arial"/>
          <w:sz w:val="13"/>
          <w:szCs w:val="13"/>
          <w:color w:val="auto"/>
        </w:rPr>
        <w:t>"). Redemptions required by this Section 6 shall be made in accordance with the provisions of Section 8. To the extent redemptions required by this Section 6 are deemed or</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141" w:lineRule="exact"/>
        <w:rPr>
          <w:rFonts w:ascii="Arial" w:cs="Arial" w:eastAsia="Arial" w:hAnsi="Arial"/>
          <w:sz w:val="13"/>
          <w:szCs w:val="13"/>
          <w:color w:val="auto"/>
        </w:rPr>
      </w:pPr>
    </w:p>
    <w:p>
      <w:pPr>
        <w:jc w:val="both"/>
        <w:ind w:left="-1078" w:firstLine="1078"/>
        <w:spacing w:after="0" w:line="255" w:lineRule="auto"/>
        <w:tabs>
          <w:tab w:leader="none" w:pos="657"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336" w:lineRule="exact"/>
        <w:rPr>
          <w:rFonts w:ascii="Arial" w:cs="Arial" w:eastAsia="Arial" w:hAnsi="Arial"/>
          <w:sz w:val="15"/>
          <w:szCs w:val="15"/>
          <w:color w:val="auto"/>
        </w:rPr>
      </w:pPr>
    </w:p>
    <w:p>
      <w:pPr>
        <w:ind w:left="4622" w:hanging="90"/>
        <w:spacing w:after="0"/>
        <w:tabs>
          <w:tab w:leader="none" w:pos="4622" w:val="left"/>
        </w:tabs>
        <w:numPr>
          <w:ilvl w:val="1"/>
          <w:numId w:val="169"/>
        </w:numPr>
        <w:rPr>
          <w:rFonts w:ascii="Arial" w:cs="Arial" w:eastAsia="Arial" w:hAnsi="Arial"/>
          <w:sz w:val="15"/>
          <w:szCs w:val="15"/>
          <w:color w:val="auto"/>
        </w:rPr>
      </w:pPr>
      <w:r>
        <w:rPr>
          <w:rFonts w:ascii="Arial" w:cs="Arial" w:eastAsia="Arial" w:hAnsi="Arial"/>
          <w:sz w:val="15"/>
          <w:szCs w:val="15"/>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28" w:name="page129"/>
    <w:bookmarkEnd w:id="128"/>
    <w:p>
      <w:pPr>
        <w:jc w:val="both"/>
        <w:ind w:firstLine="1078"/>
        <w:spacing w:after="0" w:line="291" w:lineRule="auto"/>
        <w:tabs>
          <w:tab w:leader="none" w:pos="1691"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REDEMPTIONS</w:t>
      </w:r>
      <w:r>
        <w:rPr>
          <w:rFonts w:ascii="Arial" w:cs="Arial" w:eastAsia="Arial" w:hAnsi="Arial"/>
          <w:sz w:val="13"/>
          <w:szCs w:val="13"/>
          <w:color w:val="auto"/>
        </w:rPr>
        <w:t>. The Company shall deliver the applicable Event of Default Redemption Price to the Holder within five (5) Business Days after the Company's receipt of the Holder's Event of Default Redemption Notice (the "</w:t>
      </w:r>
      <w:r>
        <w:rPr>
          <w:rFonts w:ascii="Arial" w:cs="Arial" w:eastAsia="Arial" w:hAnsi="Arial"/>
          <w:sz w:val="13"/>
          <w:szCs w:val="13"/>
          <w:b w:val="1"/>
          <w:bCs w:val="1"/>
          <w:color w:val="auto"/>
        </w:rPr>
        <w:t>Event of Default Redemption Date</w:t>
      </w:r>
      <w:r>
        <w:rPr>
          <w:rFonts w:ascii="Arial" w:cs="Arial" w:eastAsia="Arial" w:hAnsi="Arial"/>
          <w:sz w:val="13"/>
          <w:szCs w:val="13"/>
          <w:color w:val="auto"/>
        </w:rPr>
        <w:t>"). If the Holder has submitted a Change of Control Redemption Notice in accordance with Section 5(b), the 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3"/>
          <w:szCs w:val="13"/>
          <w:b w:val="1"/>
          <w:bCs w:val="1"/>
          <w:color w:val="auto"/>
        </w:rPr>
        <w:t>Change of</w:t>
      </w:r>
      <w:r>
        <w:rPr>
          <w:rFonts w:ascii="Arial" w:cs="Arial" w:eastAsia="Arial" w:hAnsi="Arial"/>
          <w:sz w:val="13"/>
          <w:szCs w:val="13"/>
          <w:color w:val="auto"/>
        </w:rPr>
        <w:t xml:space="preserve"> </w:t>
      </w:r>
      <w:r>
        <w:rPr>
          <w:rFonts w:ascii="Arial" w:cs="Arial" w:eastAsia="Arial" w:hAnsi="Arial"/>
          <w:sz w:val="13"/>
          <w:szCs w:val="13"/>
          <w:b w:val="1"/>
          <w:bCs w:val="1"/>
          <w:color w:val="auto"/>
        </w:rPr>
        <w:t>Control Redemption Date</w:t>
      </w:r>
      <w:r>
        <w:rPr>
          <w:rFonts w:ascii="Arial" w:cs="Arial" w:eastAsia="Arial" w:hAnsi="Arial"/>
          <w:sz w:val="13"/>
          <w:szCs w:val="13"/>
          <w:color w:val="auto"/>
        </w:rPr>
        <w:t>"). The Company shall deliver the applicable Optional Redemption Price to the Holder within five (5) Business Days after the Company's receipt of the Holder's</w:t>
      </w:r>
      <w:r>
        <w:rPr>
          <w:rFonts w:ascii="Arial" w:cs="Arial" w:eastAsia="Arial" w:hAnsi="Arial"/>
          <w:sz w:val="13"/>
          <w:szCs w:val="13"/>
          <w:b w:val="1"/>
          <w:bCs w:val="1"/>
          <w:color w:val="auto"/>
        </w:rPr>
        <w:t xml:space="preserve"> </w:t>
      </w:r>
      <w:r>
        <w:rPr>
          <w:rFonts w:ascii="Arial" w:cs="Arial" w:eastAsia="Arial" w:hAnsi="Arial"/>
          <w:sz w:val="13"/>
          <w:szCs w:val="13"/>
          <w:color w:val="auto"/>
        </w:rPr>
        <w:t>Optional Redemption Notice (the "</w:t>
      </w:r>
      <w:r>
        <w:rPr>
          <w:rFonts w:ascii="Arial" w:cs="Arial" w:eastAsia="Arial" w:hAnsi="Arial"/>
          <w:sz w:val="13"/>
          <w:szCs w:val="13"/>
          <w:b w:val="1"/>
          <w:bCs w:val="1"/>
          <w:color w:val="auto"/>
        </w:rPr>
        <w:t>Optional Redemption Date</w:t>
      </w:r>
      <w:r>
        <w:rPr>
          <w:rFonts w:ascii="Arial" w:cs="Arial" w:eastAsia="Arial" w:hAnsi="Arial"/>
          <w:sz w:val="13"/>
          <w:szCs w:val="13"/>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138" w:lineRule="exact"/>
        <w:rPr>
          <w:rFonts w:ascii="Arial" w:cs="Arial" w:eastAsia="Arial" w:hAnsi="Arial"/>
          <w:sz w:val="13"/>
          <w:szCs w:val="13"/>
          <w:color w:val="auto"/>
        </w:rPr>
      </w:pPr>
    </w:p>
    <w:p>
      <w:pPr>
        <w:ind w:firstLine="1078"/>
        <w:spacing w:after="0" w:line="269" w:lineRule="auto"/>
        <w:tabs>
          <w:tab w:leader="none" w:pos="1613"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The Holder shall have no voting rights as the holder of this Note, except as required by law, including, but not limited to, the laws of the State of Delaware, and as expressly provided in this Note.</w:t>
      </w:r>
    </w:p>
    <w:p>
      <w:pPr>
        <w:spacing w:after="0" w:line="147" w:lineRule="exact"/>
        <w:rPr>
          <w:rFonts w:ascii="Arial" w:cs="Arial" w:eastAsia="Arial" w:hAnsi="Arial"/>
          <w:sz w:val="15"/>
          <w:szCs w:val="15"/>
          <w:color w:val="auto"/>
        </w:rPr>
      </w:pPr>
    </w:p>
    <w:p>
      <w:pPr>
        <w:ind w:left="1700" w:hanging="622"/>
        <w:spacing w:after="0"/>
        <w:tabs>
          <w:tab w:leader="none" w:pos="170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300" w:hanging="687"/>
        <w:spacing w:after="0"/>
        <w:tabs>
          <w:tab w:leader="none" w:pos="2300"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Rank</w:t>
      </w:r>
      <w:r>
        <w:rPr>
          <w:rFonts w:ascii="Arial" w:cs="Arial" w:eastAsia="Arial" w:hAnsi="Arial"/>
          <w:sz w:val="14"/>
          <w:szCs w:val="14"/>
          <w:color w:val="auto"/>
        </w:rPr>
        <w:t>.   All payments due under this Note shall be senior to all other Indebtedness of the Company and its Subsidiaries other than Permitted Senior</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Indebtedness.</w:t>
      </w:r>
    </w:p>
    <w:p>
      <w:pPr>
        <w:spacing w:after="0" w:line="173" w:lineRule="exact"/>
        <w:rPr>
          <w:rFonts w:ascii="Arial" w:cs="Arial" w:eastAsia="Arial" w:hAnsi="Arial"/>
          <w:sz w:val="14"/>
          <w:szCs w:val="14"/>
          <w:color w:val="auto"/>
        </w:rPr>
      </w:pPr>
    </w:p>
    <w:p>
      <w:pPr>
        <w:jc w:val="both"/>
        <w:ind w:firstLine="1613"/>
        <w:spacing w:after="0" w:line="258" w:lineRule="auto"/>
        <w:tabs>
          <w:tab w:leader="none" w:pos="2215"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Incurrence of Indebtedness</w:t>
      </w:r>
      <w:r>
        <w:rPr>
          <w:rFonts w:ascii="Arial" w:cs="Arial" w:eastAsia="Arial" w:hAnsi="Arial"/>
          <w:sz w:val="15"/>
          <w:szCs w:val="15"/>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334" w:lineRule="exact"/>
        <w:rPr>
          <w:rFonts w:ascii="Arial" w:cs="Arial" w:eastAsia="Arial" w:hAnsi="Arial"/>
          <w:sz w:val="15"/>
          <w:szCs w:val="15"/>
          <w:color w:val="auto"/>
        </w:rPr>
      </w:pPr>
    </w:p>
    <w:p>
      <w:pPr>
        <w:ind w:left="5700" w:hanging="90"/>
        <w:spacing w:after="0"/>
        <w:tabs>
          <w:tab w:leader="none" w:pos="5700" w:val="left"/>
        </w:tabs>
        <w:numPr>
          <w:ilvl w:val="2"/>
          <w:numId w:val="170"/>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9" w:name="page130"/>
    <w:bookmarkEnd w:id="129"/>
    <w:p>
      <w:pPr>
        <w:jc w:val="both"/>
        <w:ind w:left="-1220" w:firstLine="1613"/>
        <w:spacing w:after="0" w:line="255" w:lineRule="auto"/>
        <w:tabs>
          <w:tab w:leader="none" w:pos="998"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Existence of Liens</w:t>
      </w:r>
      <w:r>
        <w:rPr>
          <w:rFonts w:ascii="Arial" w:cs="Arial" w:eastAsia="Arial" w:hAnsi="Arial"/>
          <w:sz w:val="15"/>
          <w:szCs w:val="15"/>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5"/>
          <w:szCs w:val="15"/>
          <w:b w:val="1"/>
          <w:bCs w:val="1"/>
          <w:color w:val="auto"/>
        </w:rPr>
        <w:t>Liens</w:t>
      </w:r>
      <w:r>
        <w:rPr>
          <w:rFonts w:ascii="Arial" w:cs="Arial" w:eastAsia="Arial" w:hAnsi="Arial"/>
          <w:sz w:val="15"/>
          <w:szCs w:val="15"/>
          <w:color w:val="auto"/>
        </w:rPr>
        <w:t>") other than Permitted Liens.</w:t>
      </w:r>
    </w:p>
    <w:p>
      <w:pPr>
        <w:spacing w:after="0" w:line="157" w:lineRule="exact"/>
        <w:rPr>
          <w:rFonts w:ascii="Arial" w:cs="Arial" w:eastAsia="Arial" w:hAnsi="Arial"/>
          <w:sz w:val="15"/>
          <w:szCs w:val="15"/>
          <w:color w:val="auto"/>
        </w:rPr>
      </w:pPr>
    </w:p>
    <w:p>
      <w:pPr>
        <w:jc w:val="both"/>
        <w:ind w:left="-1220" w:firstLine="1613"/>
        <w:spacing w:after="0" w:line="275" w:lineRule="auto"/>
        <w:tabs>
          <w:tab w:leader="none" w:pos="950"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Restricted Payments</w:t>
      </w:r>
      <w:r>
        <w:rPr>
          <w:rFonts w:ascii="Arial" w:cs="Arial" w:eastAsia="Arial" w:hAnsi="Arial"/>
          <w:sz w:val="14"/>
          <w:szCs w:val="14"/>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146" w:lineRule="exact"/>
        <w:rPr>
          <w:rFonts w:ascii="Arial" w:cs="Arial" w:eastAsia="Arial" w:hAnsi="Arial"/>
          <w:sz w:val="14"/>
          <w:szCs w:val="14"/>
          <w:color w:val="auto"/>
        </w:rPr>
      </w:pPr>
    </w:p>
    <w:p>
      <w:pPr>
        <w:jc w:val="both"/>
        <w:ind w:left="-1220" w:firstLine="1613"/>
        <w:spacing w:after="0" w:line="258" w:lineRule="auto"/>
        <w:tabs>
          <w:tab w:leader="none" w:pos="102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Restriction on Redemption</w:t>
      </w:r>
      <w:r>
        <w:rPr>
          <w:rFonts w:ascii="Arial" w:cs="Arial" w:eastAsia="Arial" w:hAnsi="Arial"/>
          <w:sz w:val="15"/>
          <w:szCs w:val="15"/>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156" w:lineRule="exact"/>
        <w:rPr>
          <w:rFonts w:ascii="Arial" w:cs="Arial" w:eastAsia="Arial" w:hAnsi="Arial"/>
          <w:sz w:val="15"/>
          <w:szCs w:val="15"/>
          <w:color w:val="auto"/>
        </w:rPr>
      </w:pPr>
    </w:p>
    <w:p>
      <w:pPr>
        <w:ind w:left="920" w:hanging="527"/>
        <w:spacing w:after="0"/>
        <w:tabs>
          <w:tab w:leader="none" w:pos="92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[Intentionally Omitted]</w:t>
      </w:r>
    </w:p>
    <w:p>
      <w:pPr>
        <w:spacing w:after="0" w:line="183" w:lineRule="exact"/>
        <w:rPr>
          <w:rFonts w:ascii="Arial" w:cs="Arial" w:eastAsia="Arial" w:hAnsi="Arial"/>
          <w:sz w:val="15"/>
          <w:szCs w:val="15"/>
          <w:color w:val="auto"/>
        </w:rPr>
      </w:pPr>
    </w:p>
    <w:p>
      <w:pPr>
        <w:jc w:val="both"/>
        <w:ind w:left="-1220" w:firstLine="1613"/>
        <w:spacing w:after="0" w:line="251" w:lineRule="auto"/>
        <w:tabs>
          <w:tab w:leader="none" w:pos="95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162" w:lineRule="exact"/>
        <w:rPr>
          <w:rFonts w:ascii="Arial" w:cs="Arial" w:eastAsia="Arial" w:hAnsi="Arial"/>
          <w:sz w:val="15"/>
          <w:szCs w:val="15"/>
          <w:color w:val="auto"/>
        </w:rPr>
      </w:pPr>
    </w:p>
    <w:p>
      <w:pPr>
        <w:jc w:val="both"/>
        <w:ind w:left="-1220" w:firstLine="1613"/>
        <w:spacing w:after="0" w:line="255" w:lineRule="auto"/>
        <w:tabs>
          <w:tab w:leader="none" w:pos="939"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Preservation of Existence, Etc.</w:t>
      </w:r>
      <w:r>
        <w:rPr>
          <w:rFonts w:ascii="Arial" w:cs="Arial" w:eastAsia="Arial" w:hAnsi="Arial"/>
          <w:sz w:val="15"/>
          <w:szCs w:val="15"/>
          <w:color w:val="auto"/>
        </w:rPr>
        <w:t xml:space="preserve">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336" w:lineRule="exact"/>
        <w:rPr>
          <w:rFonts w:ascii="Arial" w:cs="Arial" w:eastAsia="Arial" w:hAnsi="Arial"/>
          <w:sz w:val="15"/>
          <w:szCs w:val="15"/>
          <w:color w:val="auto"/>
        </w:rPr>
      </w:pPr>
    </w:p>
    <w:p>
      <w:pPr>
        <w:ind w:left="4480" w:hanging="90"/>
        <w:spacing w:after="0"/>
        <w:tabs>
          <w:tab w:leader="none" w:pos="4480" w:val="left"/>
        </w:tabs>
        <w:numPr>
          <w:ilvl w:val="1"/>
          <w:numId w:val="171"/>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52" w:right="219" w:bottom="1440" w:gutter="0" w:footer="0" w:header="0"/>
        </w:sectPr>
      </w:pPr>
    </w:p>
    <w:bookmarkStart w:id="130" w:name="page131"/>
    <w:bookmarkEnd w:id="130"/>
    <w:p>
      <w:pPr>
        <w:jc w:val="both"/>
        <w:ind w:left="-1078" w:firstLine="1613"/>
        <w:spacing w:after="0" w:line="255" w:lineRule="auto"/>
        <w:tabs>
          <w:tab w:leader="none" w:pos="1048"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Maintenance of Properties, Etc.</w:t>
      </w:r>
      <w:r>
        <w:rPr>
          <w:rFonts w:ascii="Arial" w:cs="Arial" w:eastAsia="Arial" w:hAnsi="Arial"/>
          <w:sz w:val="15"/>
          <w:szCs w:val="15"/>
          <w:color w:val="auto"/>
        </w:rPr>
        <w:t xml:space="preserve">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57" w:lineRule="exact"/>
        <w:rPr>
          <w:rFonts w:ascii="Arial" w:cs="Arial" w:eastAsia="Arial" w:hAnsi="Arial"/>
          <w:sz w:val="15"/>
          <w:szCs w:val="15"/>
          <w:color w:val="auto"/>
        </w:rPr>
      </w:pPr>
    </w:p>
    <w:p>
      <w:pPr>
        <w:jc w:val="both"/>
        <w:ind w:left="-1078" w:firstLine="1613"/>
        <w:spacing w:after="0" w:line="253" w:lineRule="auto"/>
        <w:tabs>
          <w:tab w:leader="none" w:pos="1081"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60"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VOTE TO ISSUE, OR CHANGE THE TERMS OF, NOTES</w:t>
      </w:r>
      <w:r>
        <w:rPr>
          <w:rFonts w:ascii="Arial" w:cs="Arial" w:eastAsia="Arial" w:hAnsi="Arial"/>
          <w:sz w:val="15"/>
          <w:szCs w:val="15"/>
          <w:color w:val="auto"/>
        </w:rPr>
        <w:t>. The consent of the Holder shall be required for any change or amendment to this Note.</w:t>
      </w:r>
    </w:p>
    <w:p>
      <w:pPr>
        <w:spacing w:after="0" w:line="183"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may be offered, sold, assigned or transferred by the Holder without the consent of the Company.</w:t>
      </w:r>
    </w:p>
    <w:p>
      <w:pPr>
        <w:spacing w:after="0" w:line="183"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REISSUANCE OF THIS NOTE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78" w:firstLine="1613"/>
        <w:spacing w:after="0" w:line="253" w:lineRule="auto"/>
        <w:tabs>
          <w:tab w:leader="none" w:pos="1139" w:val="left"/>
        </w:tabs>
        <w:numPr>
          <w:ilvl w:val="1"/>
          <w:numId w:val="173"/>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160" w:lineRule="exact"/>
        <w:rPr>
          <w:rFonts w:ascii="Arial" w:cs="Arial" w:eastAsia="Arial" w:hAnsi="Arial"/>
          <w:sz w:val="15"/>
          <w:szCs w:val="15"/>
          <w:color w:val="auto"/>
        </w:rPr>
      </w:pPr>
    </w:p>
    <w:p>
      <w:pPr>
        <w:jc w:val="both"/>
        <w:ind w:left="-1078" w:firstLine="1613"/>
        <w:spacing w:after="0" w:line="286" w:lineRule="auto"/>
        <w:tabs>
          <w:tab w:leader="none" w:pos="1259" w:val="left"/>
        </w:tabs>
        <w:numPr>
          <w:ilvl w:val="1"/>
          <w:numId w:val="173"/>
        </w:numPr>
        <w:rPr>
          <w:rFonts w:ascii="Arial" w:cs="Arial" w:eastAsia="Arial" w:hAnsi="Arial"/>
          <w:sz w:val="14"/>
          <w:szCs w:val="14"/>
          <w:color w:val="auto"/>
        </w:rPr>
      </w:pPr>
      <w:r>
        <w:rPr>
          <w:rFonts w:ascii="Arial" w:cs="Arial" w:eastAsia="Arial" w:hAnsi="Arial"/>
          <w:sz w:val="14"/>
          <w:szCs w:val="14"/>
          <w:u w:val="single" w:color="auto"/>
          <w:color w:val="auto"/>
        </w:rPr>
        <w:t>Lost, Stolen or Mutilated Note</w:t>
      </w:r>
      <w:r>
        <w:rPr>
          <w:rFonts w:ascii="Arial" w:cs="Arial" w:eastAsia="Arial" w:hAnsi="Arial"/>
          <w:sz w:val="14"/>
          <w:szCs w:val="14"/>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315" w:lineRule="exact"/>
        <w:rPr>
          <w:rFonts w:ascii="Arial" w:cs="Arial" w:eastAsia="Arial" w:hAnsi="Arial"/>
          <w:sz w:val="14"/>
          <w:szCs w:val="14"/>
          <w:color w:val="auto"/>
        </w:rPr>
      </w:pPr>
    </w:p>
    <w:p>
      <w:pPr>
        <w:ind w:left="4622" w:hanging="90"/>
        <w:spacing w:after="0"/>
        <w:tabs>
          <w:tab w:leader="none" w:pos="4622" w:val="left"/>
        </w:tabs>
        <w:numPr>
          <w:ilvl w:val="2"/>
          <w:numId w:val="173"/>
        </w:numPr>
        <w:rPr>
          <w:rFonts w:ascii="Arial" w:cs="Arial" w:eastAsia="Arial" w:hAnsi="Arial"/>
          <w:sz w:val="15"/>
          <w:szCs w:val="15"/>
          <w:color w:val="auto"/>
        </w:rPr>
      </w:pPr>
      <w:r>
        <w:rPr>
          <w:rFonts w:ascii="Arial" w:cs="Arial" w:eastAsia="Arial" w:hAnsi="Arial"/>
          <w:sz w:val="15"/>
          <w:szCs w:val="15"/>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2" w:right="219" w:bottom="1440" w:gutter="0" w:footer="0" w:header="0"/>
        </w:sectPr>
      </w:pPr>
    </w:p>
    <w:bookmarkStart w:id="131" w:name="page132"/>
    <w:bookmarkEnd w:id="131"/>
    <w:p>
      <w:pPr>
        <w:jc w:val="both"/>
        <w:ind w:left="-540" w:firstLine="1613"/>
        <w:spacing w:after="0" w:line="286" w:lineRule="auto"/>
        <w:tabs>
          <w:tab w:leader="none" w:pos="1800"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Note Exchangeable for Different Denominations</w:t>
      </w:r>
      <w:r>
        <w:rPr>
          <w:rFonts w:ascii="Arial" w:cs="Arial" w:eastAsia="Arial" w:hAnsi="Arial"/>
          <w:sz w:val="14"/>
          <w:szCs w:val="14"/>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37" w:lineRule="exact"/>
        <w:rPr>
          <w:rFonts w:ascii="Arial" w:cs="Arial" w:eastAsia="Arial" w:hAnsi="Arial"/>
          <w:sz w:val="14"/>
          <w:szCs w:val="14"/>
          <w:color w:val="auto"/>
        </w:rPr>
      </w:pPr>
    </w:p>
    <w:p>
      <w:pPr>
        <w:jc w:val="both"/>
        <w:ind w:left="-540" w:firstLine="1613"/>
        <w:spacing w:after="0" w:line="252" w:lineRule="auto"/>
        <w:tabs>
          <w:tab w:leader="none" w:pos="1630" w:val="left"/>
        </w:tabs>
        <w:numPr>
          <w:ilvl w:val="1"/>
          <w:numId w:val="174"/>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160" w:lineRule="exact"/>
        <w:rPr>
          <w:rFonts w:ascii="Arial" w:cs="Arial" w:eastAsia="Arial" w:hAnsi="Arial"/>
          <w:sz w:val="15"/>
          <w:szCs w:val="15"/>
          <w:color w:val="auto"/>
        </w:rPr>
      </w:pPr>
    </w:p>
    <w:p>
      <w:pPr>
        <w:ind w:left="1520" w:hanging="982"/>
        <w:spacing w:after="0"/>
        <w:tabs>
          <w:tab w:leader="none" w:pos="1520"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541"/>
        <w:spacing w:after="0" w:line="255" w:lineRule="auto"/>
        <w:tabs>
          <w:tab w:leader="none" w:pos="2489" w:val="left"/>
        </w:tabs>
        <w:numPr>
          <w:ilvl w:val="2"/>
          <w:numId w:val="175"/>
        </w:numPr>
        <w:rPr>
          <w:rFonts w:ascii="Arial" w:cs="Arial" w:eastAsia="Arial" w:hAnsi="Arial"/>
          <w:sz w:val="15"/>
          <w:szCs w:val="15"/>
          <w:color w:val="auto"/>
        </w:rPr>
      </w:pPr>
      <w:r>
        <w:rPr>
          <w:rFonts w:ascii="Arial" w:cs="Arial" w:eastAsia="Arial" w:hAnsi="Arial"/>
          <w:sz w:val="15"/>
          <w:szCs w:val="15"/>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5"/>
          <w:szCs w:val="15"/>
          <w:b w:val="1"/>
          <w:bCs w:val="1"/>
          <w:color w:val="auto"/>
        </w:rPr>
        <w:t>Tax Deduction</w:t>
      </w:r>
      <w:r>
        <w:rPr>
          <w:rFonts w:ascii="Arial" w:cs="Arial" w:eastAsia="Arial" w:hAnsi="Arial"/>
          <w:sz w:val="15"/>
          <w:szCs w:val="15"/>
          <w:color w:val="auto"/>
        </w:rPr>
        <w:t>"), unless a Tax Deduction is required by law. If the Corporation is aware that it must make a Tax Deduction (or that there is a change in the rate or the basis of a Tax Deduction), it must notify the Holder promptly.</w:t>
      </w:r>
    </w:p>
    <w:p>
      <w:pPr>
        <w:spacing w:after="0" w:line="157" w:lineRule="exact"/>
        <w:rPr>
          <w:rFonts w:ascii="Arial" w:cs="Arial" w:eastAsia="Arial" w:hAnsi="Arial"/>
          <w:sz w:val="15"/>
          <w:szCs w:val="15"/>
          <w:color w:val="auto"/>
        </w:rPr>
      </w:pPr>
    </w:p>
    <w:p>
      <w:pPr>
        <w:jc w:val="both"/>
        <w:ind w:firstLine="1541"/>
        <w:spacing w:after="0" w:line="273" w:lineRule="auto"/>
        <w:tabs>
          <w:tab w:leader="none" w:pos="2565" w:val="left"/>
        </w:tabs>
        <w:numPr>
          <w:ilvl w:val="2"/>
          <w:numId w:val="175"/>
        </w:numPr>
        <w:rPr>
          <w:rFonts w:ascii="Arial" w:cs="Arial" w:eastAsia="Arial" w:hAnsi="Arial"/>
          <w:sz w:val="14"/>
          <w:szCs w:val="14"/>
          <w:color w:val="auto"/>
        </w:rPr>
      </w:pPr>
      <w:r>
        <w:rPr>
          <w:rFonts w:ascii="Arial" w:cs="Arial" w:eastAsia="Arial" w:hAnsi="Arial"/>
          <w:sz w:val="14"/>
          <w:szCs w:val="14"/>
          <w:color w:val="auto"/>
        </w:rPr>
        <w:t>If the Corporation is required to make a Tax Deduction from or in respect to any sum payable hereunder to the Holder, (i) the sum payable shall be increased by the amount by which the sum payable would otherwise have to be increased (the "</w:t>
      </w:r>
      <w:r>
        <w:rPr>
          <w:rFonts w:ascii="Arial" w:cs="Arial" w:eastAsia="Arial" w:hAnsi="Arial"/>
          <w:sz w:val="14"/>
          <w:szCs w:val="14"/>
          <w:b w:val="1"/>
          <w:bCs w:val="1"/>
          <w:color w:val="auto"/>
        </w:rPr>
        <w:t>tax gross up amount</w:t>
      </w:r>
      <w:r>
        <w:rPr>
          <w:rFonts w:ascii="Arial" w:cs="Arial" w:eastAsia="Arial" w:hAnsi="Arial"/>
          <w:sz w:val="14"/>
          <w:szCs w:val="14"/>
          <w:color w:val="auto"/>
        </w:rPr>
        <w:t>") to ensure that after making all required deductions (including deductions applicable to the tax gross-up 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148" w:lineRule="exact"/>
        <w:rPr>
          <w:rFonts w:ascii="Arial" w:cs="Arial" w:eastAsia="Arial" w:hAnsi="Arial"/>
          <w:sz w:val="14"/>
          <w:szCs w:val="14"/>
          <w:color w:val="auto"/>
        </w:rPr>
      </w:pPr>
    </w:p>
    <w:p>
      <w:pPr>
        <w:ind w:left="2540" w:hanging="999"/>
        <w:spacing w:after="0"/>
        <w:tabs>
          <w:tab w:leader="none" w:pos="2540" w:val="left"/>
        </w:tabs>
        <w:numPr>
          <w:ilvl w:val="2"/>
          <w:numId w:val="175"/>
        </w:numPr>
        <w:rPr>
          <w:rFonts w:ascii="Arial" w:cs="Arial" w:eastAsia="Arial" w:hAnsi="Arial"/>
          <w:sz w:val="13"/>
          <w:szCs w:val="13"/>
          <w:color w:val="auto"/>
        </w:rPr>
      </w:pPr>
      <w:r>
        <w:rPr>
          <w:rFonts w:ascii="Arial" w:cs="Arial" w:eastAsia="Arial" w:hAnsi="Arial"/>
          <w:sz w:val="13"/>
          <w:szCs w:val="13"/>
          <w:color w:val="auto"/>
        </w:rPr>
        <w:t>The obligations of the Corporation under this Section 14 shall survive the termination of this Note and the payment of the Note and all other</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amounts payable hereunder.</w:t>
      </w:r>
    </w:p>
    <w:p>
      <w:pPr>
        <w:spacing w:after="0" w:line="352" w:lineRule="exact"/>
        <w:rPr>
          <w:rFonts w:ascii="Arial" w:cs="Arial" w:eastAsia="Arial" w:hAnsi="Arial"/>
          <w:sz w:val="13"/>
          <w:szCs w:val="13"/>
          <w:color w:val="auto"/>
        </w:rPr>
      </w:pPr>
    </w:p>
    <w:p>
      <w:pPr>
        <w:ind w:left="5120" w:hanging="87"/>
        <w:spacing w:after="0"/>
        <w:tabs>
          <w:tab w:leader="none" w:pos="5120" w:val="left"/>
        </w:tabs>
        <w:numPr>
          <w:ilvl w:val="3"/>
          <w:numId w:val="175"/>
        </w:numPr>
        <w:rPr>
          <w:rFonts w:ascii="Arial" w:cs="Arial" w:eastAsia="Arial" w:hAnsi="Arial"/>
          <w:sz w:val="15"/>
          <w:szCs w:val="15"/>
          <w:color w:val="auto"/>
        </w:rPr>
      </w:pPr>
      <w:r>
        <w:rPr>
          <w:rFonts w:ascii="Arial" w:cs="Arial" w:eastAsia="Arial" w:hAnsi="Arial"/>
          <w:sz w:val="15"/>
          <w:szCs w:val="15"/>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132" w:name="page133"/>
    <w:bookmarkEnd w:id="132"/>
    <w:p>
      <w:pPr>
        <w:jc w:val="both"/>
        <w:ind w:left="-1078" w:firstLine="1078"/>
        <w:spacing w:after="0" w:line="251" w:lineRule="auto"/>
        <w:tabs>
          <w:tab w:leader="none" w:pos="787"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REMEDIES, CHARACTERIZATIONS, OTHER OBLIGATIONS, BREACHES AND INJUNCTIVE RELIEF</w:t>
      </w:r>
      <w:r>
        <w:rPr>
          <w:rFonts w:ascii="Arial" w:cs="Arial" w:eastAsia="Arial" w:hAnsi="Arial"/>
          <w:sz w:val="15"/>
          <w:szCs w:val="15"/>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60" w:lineRule="exact"/>
        <w:rPr>
          <w:rFonts w:ascii="Arial" w:cs="Arial" w:eastAsia="Arial" w:hAnsi="Arial"/>
          <w:sz w:val="15"/>
          <w:szCs w:val="15"/>
          <w:color w:val="auto"/>
        </w:rPr>
      </w:pPr>
    </w:p>
    <w:p>
      <w:pPr>
        <w:jc w:val="both"/>
        <w:ind w:left="-1078" w:firstLine="1078"/>
        <w:spacing w:after="0" w:line="253" w:lineRule="auto"/>
        <w:tabs>
          <w:tab w:leader="none" w:pos="642"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PAYMENT OF COLLECTION, ENFORCEMENT AND OTHER COSTS</w:t>
      </w:r>
      <w:r>
        <w:rPr>
          <w:rFonts w:ascii="Arial" w:cs="Arial" w:eastAsia="Arial" w:hAnsi="Arial"/>
          <w:sz w:val="15"/>
          <w:szCs w:val="15"/>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160" w:lineRule="exact"/>
        <w:rPr>
          <w:rFonts w:ascii="Arial" w:cs="Arial" w:eastAsia="Arial" w:hAnsi="Arial"/>
          <w:sz w:val="15"/>
          <w:szCs w:val="15"/>
          <w:color w:val="auto"/>
        </w:rPr>
      </w:pPr>
    </w:p>
    <w:p>
      <w:pPr>
        <w:ind w:left="-1078" w:firstLine="1078"/>
        <w:spacing w:after="0" w:line="269" w:lineRule="auto"/>
        <w:tabs>
          <w:tab w:leader="none" w:pos="631"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147" w:lineRule="exact"/>
        <w:rPr>
          <w:rFonts w:ascii="Arial" w:cs="Arial" w:eastAsia="Arial" w:hAnsi="Arial"/>
          <w:sz w:val="15"/>
          <w:szCs w:val="15"/>
          <w:color w:val="auto"/>
        </w:rPr>
      </w:pPr>
    </w:p>
    <w:p>
      <w:pPr>
        <w:ind w:left="-1078" w:firstLine="1078"/>
        <w:spacing w:after="0" w:line="306" w:lineRule="auto"/>
        <w:tabs>
          <w:tab w:leader="none" w:pos="62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FAILURE OR INDULGENCE NOT WAIVER</w:t>
      </w:r>
      <w:r>
        <w:rPr>
          <w:rFonts w:ascii="Arial" w:cs="Arial" w:eastAsia="Arial" w:hAnsi="Arial"/>
          <w:sz w:val="14"/>
          <w:szCs w:val="14"/>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24" w:lineRule="exact"/>
        <w:rPr>
          <w:rFonts w:ascii="Arial" w:cs="Arial" w:eastAsia="Arial" w:hAnsi="Arial"/>
          <w:sz w:val="14"/>
          <w:szCs w:val="14"/>
          <w:color w:val="auto"/>
        </w:rPr>
      </w:pPr>
    </w:p>
    <w:p>
      <w:pPr>
        <w:jc w:val="both"/>
        <w:ind w:left="-1078" w:firstLine="1078"/>
        <w:spacing w:after="0" w:line="296" w:lineRule="auto"/>
        <w:tabs>
          <w:tab w:leader="none" w:pos="709"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DISPUTE RESOLUTION</w:t>
      </w:r>
      <w:r>
        <w:rPr>
          <w:rFonts w:ascii="Arial" w:cs="Arial" w:eastAsia="Arial" w:hAnsi="Arial"/>
          <w:sz w:val="13"/>
          <w:szCs w:val="13"/>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313" w:lineRule="exact"/>
        <w:rPr>
          <w:rFonts w:ascii="Arial" w:cs="Arial" w:eastAsia="Arial" w:hAnsi="Arial"/>
          <w:sz w:val="13"/>
          <w:szCs w:val="13"/>
          <w:color w:val="auto"/>
        </w:rPr>
      </w:pPr>
    </w:p>
    <w:p>
      <w:pPr>
        <w:ind w:left="4582" w:hanging="84"/>
        <w:spacing w:after="0"/>
        <w:tabs>
          <w:tab w:leader="none" w:pos="4582" w:val="left"/>
        </w:tabs>
        <w:numPr>
          <w:ilvl w:val="1"/>
          <w:numId w:val="176"/>
        </w:numPr>
        <w:rPr>
          <w:rFonts w:ascii="Arial" w:cs="Arial" w:eastAsia="Arial" w:hAnsi="Arial"/>
          <w:sz w:val="15"/>
          <w:szCs w:val="15"/>
          <w:color w:val="auto"/>
        </w:rPr>
      </w:pPr>
      <w:r>
        <w:rPr>
          <w:rFonts w:ascii="Arial" w:cs="Arial" w:eastAsia="Arial" w:hAnsi="Arial"/>
          <w:sz w:val="15"/>
          <w:szCs w:val="15"/>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33" w:name="page134"/>
    <w:bookmarkEnd w:id="133"/>
    <w:p>
      <w:pPr>
        <w:ind w:left="1700" w:hanging="622"/>
        <w:spacing w:after="0"/>
        <w:tabs>
          <w:tab w:leader="none" w:pos="1700"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NOTICES; PAYMENTS</w:t>
      </w:r>
      <w:r>
        <w:rPr>
          <w:rFonts w:ascii="Arial" w:cs="Arial" w:eastAsia="Arial" w:hAnsi="Arial"/>
          <w:sz w:val="15"/>
          <w:szCs w:val="15"/>
          <w:color w:val="auto"/>
        </w:rPr>
        <w:t>.</w:t>
      </w:r>
    </w:p>
    <w:p>
      <w:pPr>
        <w:spacing w:after="0" w:line="184" w:lineRule="exact"/>
        <w:rPr>
          <w:sz w:val="20"/>
          <w:szCs w:val="20"/>
          <w:color w:val="auto"/>
        </w:rPr>
      </w:pPr>
    </w:p>
    <w:p>
      <w:pPr>
        <w:ind w:left="1360" w:hanging="282"/>
        <w:spacing w:after="0"/>
        <w:tabs>
          <w:tab w:leader="none" w:pos="1360"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notices, consents, waivers or other communications required or permitted to be given under the terms of this Note must be in writing and will be deemed to</w:t>
      </w:r>
    </w:p>
    <w:p>
      <w:pPr>
        <w:spacing w:after="0" w:line="38" w:lineRule="exact"/>
        <w:rPr>
          <w:rFonts w:ascii="Arial" w:cs="Arial" w:eastAsia="Arial" w:hAnsi="Arial"/>
          <w:sz w:val="13"/>
          <w:szCs w:val="13"/>
          <w:color w:val="auto"/>
        </w:rPr>
      </w:pPr>
    </w:p>
    <w:p>
      <w:pPr>
        <w:jc w:val="both"/>
        <w:spacing w:after="0" w:line="251" w:lineRule="auto"/>
        <w:rPr>
          <w:rFonts w:ascii="Arial" w:cs="Arial" w:eastAsia="Arial" w:hAnsi="Arial"/>
          <w:sz w:val="13"/>
          <w:szCs w:val="13"/>
          <w:color w:val="auto"/>
        </w:rPr>
      </w:pPr>
      <w:r>
        <w:rPr>
          <w:rFonts w:ascii="Arial" w:cs="Arial" w:eastAsia="Arial" w:hAnsi="Arial"/>
          <w:sz w:val="15"/>
          <w:szCs w:val="15"/>
          <w:color w:val="auto"/>
        </w:rPr>
        <w:t>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to the Company:</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Innovate/Protect, Inc.</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c/o Vringo, Inc.</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44 West 28th Street</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ind w:left="2140"/>
        <w:spacing w:after="0"/>
        <w:tabs>
          <w:tab w:leader="none" w:pos="316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571-1244</w:t>
      </w:r>
    </w:p>
    <w:p>
      <w:pPr>
        <w:spacing w:after="0" w:line="6" w:lineRule="exact"/>
        <w:rPr>
          <w:sz w:val="20"/>
          <w:szCs w:val="20"/>
          <w:color w:val="auto"/>
        </w:rPr>
      </w:pPr>
    </w:p>
    <w:p>
      <w:pPr>
        <w:ind w:left="2180"/>
        <w:spacing w:after="0"/>
        <w:tabs>
          <w:tab w:leader="none" w:pos="318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(646) 214-7946</w:t>
      </w:r>
    </w:p>
    <w:p>
      <w:pPr>
        <w:spacing w:after="0" w:line="6" w:lineRule="exact"/>
        <w:rPr>
          <w:sz w:val="20"/>
          <w:szCs w:val="20"/>
          <w:color w:val="auto"/>
        </w:rPr>
      </w:pPr>
    </w:p>
    <w:p>
      <w:pPr>
        <w:ind w:left="2180"/>
        <w:spacing w:after="0"/>
        <w:tabs>
          <w:tab w:leader="none" w:pos="32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aberger@smartsearchlabs.com</w:t>
      </w:r>
    </w:p>
    <w:p>
      <w:pPr>
        <w:spacing w:after="0" w:line="6" w:lineRule="exact"/>
        <w:rPr>
          <w:sz w:val="20"/>
          <w:szCs w:val="20"/>
          <w:color w:val="auto"/>
        </w:rPr>
      </w:pPr>
    </w:p>
    <w:p>
      <w:pPr>
        <w:ind w:left="2140"/>
        <w:spacing w:after="0"/>
        <w:tabs>
          <w:tab w:leader="none" w:pos="318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Chief Operating Officer</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Ellenoff Grossman &amp; Schole LLP</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150 East 42nd Street</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370-1300</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(212) 370-7889</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bigrossman@egsllp.com</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Barry I. Grossman, Esq.</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to the Buyer:</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c/o Hudson Bay Capital Management LP</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777 Third Avenue, 30th Floor</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571-1244</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(646) 214-7946</w:t>
      </w:r>
    </w:p>
    <w:p>
      <w:pPr>
        <w:spacing w:after="0" w:line="6" w:lineRule="exact"/>
        <w:rPr>
          <w:sz w:val="20"/>
          <w:szCs w:val="20"/>
          <w:color w:val="auto"/>
        </w:rPr>
      </w:pPr>
    </w:p>
    <w:p>
      <w:pPr>
        <w:ind w:left="2140"/>
        <w:spacing w:after="0"/>
        <w:tabs>
          <w:tab w:leader="none" w:pos="324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investments@hudsonbaycapital.com</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operations@hudsonbaycapital.com</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Yoav Roth</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4" w:name="page135"/>
    <w:bookmarkEnd w:id="134"/>
    <w:p>
      <w:pPr>
        <w:ind w:left="2140"/>
        <w:spacing w:after="0"/>
        <w:rPr>
          <w:sz w:val="20"/>
          <w:szCs w:val="20"/>
          <w:color w:val="auto"/>
        </w:rPr>
      </w:pPr>
      <w:r>
        <w:rPr>
          <w:rFonts w:ascii="Arial" w:cs="Arial" w:eastAsia="Arial" w:hAnsi="Arial"/>
          <w:sz w:val="15"/>
          <w:szCs w:val="15"/>
          <w:color w:val="auto"/>
        </w:rPr>
        <w:t>With a copy (for informational purposes only) to:</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Schulte Roth &amp; Zabel LLP</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919 Third Avenue</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New York 10022</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756-2000</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(212) 593-5955</w:t>
      </w:r>
    </w:p>
    <w:p>
      <w:pPr>
        <w:spacing w:after="0" w:line="6" w:lineRule="exact"/>
        <w:rPr>
          <w:sz w:val="20"/>
          <w:szCs w:val="20"/>
          <w:color w:val="auto"/>
        </w:rPr>
      </w:pPr>
    </w:p>
    <w:p>
      <w:pPr>
        <w:ind w:left="2140"/>
        <w:spacing w:after="0"/>
        <w:tabs>
          <w:tab w:leader="none" w:pos="314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Eleazer N. Klein, Esq.</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eleazer.klein@srz.com</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50" w:lineRule="exact"/>
        <w:rPr>
          <w:sz w:val="20"/>
          <w:szCs w:val="20"/>
          <w:color w:val="auto"/>
        </w:rPr>
      </w:pPr>
    </w:p>
    <w:p>
      <w:pPr>
        <w:jc w:val="both"/>
        <w:ind w:firstLine="1613"/>
        <w:spacing w:after="0" w:line="271" w:lineRule="auto"/>
        <w:tabs>
          <w:tab w:leader="none" w:pos="2159"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4"/>
          <w:szCs w:val="14"/>
          <w:b w:val="1"/>
          <w:bCs w:val="1"/>
          <w:color w:val="auto"/>
        </w:rPr>
        <w:t>Late Charge</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firstLine="1078"/>
        <w:spacing w:after="0" w:line="269" w:lineRule="auto"/>
        <w:tabs>
          <w:tab w:leader="none" w:pos="1754"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CANCELLATION</w:t>
      </w:r>
      <w:r>
        <w:rPr>
          <w:rFonts w:ascii="Arial" w:cs="Arial" w:eastAsia="Arial" w:hAnsi="Arial"/>
          <w:sz w:val="15"/>
          <w:szCs w:val="15"/>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47" w:lineRule="exact"/>
        <w:rPr>
          <w:rFonts w:ascii="Arial" w:cs="Arial" w:eastAsia="Arial" w:hAnsi="Arial"/>
          <w:sz w:val="15"/>
          <w:szCs w:val="15"/>
          <w:color w:val="auto"/>
        </w:rPr>
      </w:pPr>
    </w:p>
    <w:p>
      <w:pPr>
        <w:ind w:firstLine="1078"/>
        <w:spacing w:after="0" w:line="269" w:lineRule="auto"/>
        <w:tabs>
          <w:tab w:leader="none" w:pos="1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WAIVER OF NOTICE</w:t>
      </w:r>
      <w:r>
        <w:rPr>
          <w:rFonts w:ascii="Arial" w:cs="Arial" w:eastAsia="Arial" w:hAnsi="Arial"/>
          <w:sz w:val="15"/>
          <w:szCs w:val="15"/>
          <w:color w:val="auto"/>
        </w:rPr>
        <w:t>. To the extent permitted by law, the Company hereby waives demand, notice, protest and all other demands and notices in connection with the delivery, acceptance, performance, default or enforcement of this Note.</w:t>
      </w:r>
    </w:p>
    <w:p>
      <w:pPr>
        <w:spacing w:after="0" w:line="326" w:lineRule="exact"/>
        <w:rPr>
          <w:rFonts w:ascii="Arial" w:cs="Arial" w:eastAsia="Arial" w:hAnsi="Arial"/>
          <w:sz w:val="15"/>
          <w:szCs w:val="15"/>
          <w:color w:val="auto"/>
        </w:rPr>
      </w:pPr>
    </w:p>
    <w:p>
      <w:pPr>
        <w:ind w:left="5660" w:hanging="87"/>
        <w:spacing w:after="0"/>
        <w:tabs>
          <w:tab w:leader="none" w:pos="5660" w:val="left"/>
        </w:tabs>
        <w:numPr>
          <w:ilvl w:val="2"/>
          <w:numId w:val="180"/>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5" w:name="page136"/>
    <w:bookmarkEnd w:id="135"/>
    <w:p>
      <w:pPr>
        <w:jc w:val="both"/>
        <w:ind w:firstLine="1078"/>
        <w:spacing w:after="0" w:line="287" w:lineRule="auto"/>
        <w:tabs>
          <w:tab w:leader="none" w:pos="1955"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GOVERNING LAW; JURISDICTION; JURY TRIAL</w:t>
      </w:r>
      <w:r>
        <w:rPr>
          <w:rFonts w:ascii="Arial" w:cs="Arial" w:eastAsia="Arial" w:hAnsi="Arial"/>
          <w:sz w:val="13"/>
          <w:szCs w:val="13"/>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3"/>
          <w:szCs w:val="13"/>
          <w:b w:val="1"/>
          <w:bCs w:val="1"/>
          <w:color w:val="auto"/>
        </w:rPr>
        <w:t>THE COMPANY HEREBY IRREVOCABLY WAIVES ANY RIGHT IT MAY HAVE,</w:t>
      </w:r>
    </w:p>
    <w:p>
      <w:pPr>
        <w:spacing w:after="0" w:line="3" w:lineRule="exact"/>
        <w:rPr>
          <w:rFonts w:ascii="Arial" w:cs="Arial" w:eastAsia="Arial" w:hAnsi="Arial"/>
          <w:sz w:val="13"/>
          <w:szCs w:val="13"/>
          <w:color w:val="auto"/>
        </w:rPr>
      </w:pPr>
    </w:p>
    <w:p>
      <w:pPr>
        <w:ind w:right="20"/>
        <w:spacing w:after="0" w:line="255" w:lineRule="auto"/>
        <w:rPr>
          <w:rFonts w:ascii="Arial" w:cs="Arial" w:eastAsia="Arial" w:hAnsi="Arial"/>
          <w:sz w:val="13"/>
          <w:szCs w:val="13"/>
          <w:color w:val="auto"/>
        </w:rPr>
      </w:pPr>
      <w:r>
        <w:rPr>
          <w:rFonts w:ascii="Arial" w:cs="Arial" w:eastAsia="Arial" w:hAnsi="Arial"/>
          <w:sz w:val="15"/>
          <w:szCs w:val="15"/>
          <w:b w:val="1"/>
          <w:bCs w:val="1"/>
          <w:color w:val="auto"/>
        </w:rPr>
        <w:t>AND AGREES NOT TO REQUEST, A JURY TRIAL FOR THE ADJUDICATION OF ANY DISPUTE HEREUNDER OR IN CONNECTION WITH OR ARISING OUT OF THIS NOTE OR ANY TRANSACTION CONTEMPLATED HEREBY.</w:t>
      </w:r>
    </w:p>
    <w:p>
      <w:pPr>
        <w:spacing w:after="0" w:line="158" w:lineRule="exact"/>
        <w:rPr>
          <w:rFonts w:ascii="Arial" w:cs="Arial" w:eastAsia="Arial" w:hAnsi="Arial"/>
          <w:sz w:val="13"/>
          <w:szCs w:val="13"/>
          <w:color w:val="auto"/>
        </w:rPr>
      </w:pPr>
    </w:p>
    <w:p>
      <w:pPr>
        <w:jc w:val="both"/>
        <w:ind w:firstLine="1078"/>
        <w:spacing w:after="0" w:line="251" w:lineRule="auto"/>
        <w:tabs>
          <w:tab w:leader="none" w:pos="1687"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62" w:lineRule="exact"/>
        <w:rPr>
          <w:rFonts w:ascii="Arial" w:cs="Arial" w:eastAsia="Arial" w:hAnsi="Arial"/>
          <w:sz w:val="15"/>
          <w:szCs w:val="15"/>
          <w:color w:val="auto"/>
        </w:rPr>
      </w:pPr>
    </w:p>
    <w:p>
      <w:pPr>
        <w:ind w:left="1700" w:hanging="622"/>
        <w:spacing w:after="0"/>
        <w:tabs>
          <w:tab w:leader="none" w:pos="1700"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Note, the following terms shall have the following meanings:</w:t>
      </w:r>
    </w:p>
    <w:p>
      <w:pPr>
        <w:spacing w:after="0" w:line="179" w:lineRule="exact"/>
        <w:rPr>
          <w:rFonts w:ascii="Arial" w:cs="Arial" w:eastAsia="Arial" w:hAnsi="Arial"/>
          <w:sz w:val="15"/>
          <w:szCs w:val="15"/>
          <w:color w:val="auto"/>
        </w:rPr>
      </w:pPr>
    </w:p>
    <w:p>
      <w:pPr>
        <w:ind w:left="2140" w:hanging="527"/>
        <w:spacing w:after="0"/>
        <w:tabs>
          <w:tab w:leader="none" w:pos="214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has the meaning set forth in Rule 405 under the Securities Act of 1933, as amended.</w:t>
      </w:r>
    </w:p>
    <w:p>
      <w:pPr>
        <w:spacing w:after="0" w:line="366" w:lineRule="exact"/>
        <w:rPr>
          <w:rFonts w:ascii="Arial" w:cs="Arial" w:eastAsia="Arial" w:hAnsi="Arial"/>
          <w:sz w:val="15"/>
          <w:szCs w:val="15"/>
          <w:color w:val="auto"/>
        </w:rPr>
      </w:pPr>
    </w:p>
    <w:p>
      <w:pPr>
        <w:ind w:left="5660" w:hanging="87"/>
        <w:spacing w:after="0"/>
        <w:tabs>
          <w:tab w:leader="none" w:pos="5660" w:val="left"/>
        </w:tabs>
        <w:numPr>
          <w:ilvl w:val="2"/>
          <w:numId w:val="181"/>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6" w:name="page137"/>
    <w:bookmarkEnd w:id="136"/>
    <w:p>
      <w:pPr>
        <w:ind w:left="2200" w:hanging="587"/>
        <w:spacing w:after="0"/>
        <w:tabs>
          <w:tab w:leader="none" w:pos="220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 required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by law to remain closed.</w:t>
      </w:r>
    </w:p>
    <w:p>
      <w:pPr>
        <w:spacing w:after="0" w:line="170" w:lineRule="exact"/>
        <w:rPr>
          <w:sz w:val="20"/>
          <w:szCs w:val="20"/>
          <w:color w:val="auto"/>
        </w:rPr>
      </w:pPr>
    </w:p>
    <w:p>
      <w:pPr>
        <w:jc w:val="both"/>
        <w:ind w:firstLine="1613"/>
        <w:spacing w:after="0" w:line="277" w:lineRule="auto"/>
        <w:tabs>
          <w:tab w:leader="none" w:pos="22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140" w:lineRule="exact"/>
        <w:rPr>
          <w:rFonts w:ascii="Arial" w:cs="Arial" w:eastAsia="Arial" w:hAnsi="Arial"/>
          <w:sz w:val="14"/>
          <w:szCs w:val="14"/>
          <w:color w:val="auto"/>
        </w:rPr>
      </w:pPr>
    </w:p>
    <w:p>
      <w:pPr>
        <w:jc w:val="both"/>
        <w:ind w:right="20" w:firstLine="1613"/>
        <w:spacing w:after="0" w:line="261" w:lineRule="auto"/>
        <w:tabs>
          <w:tab w:leader="none" w:pos="217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Calendar Quarter</w:t>
      </w:r>
      <w:r>
        <w:rPr>
          <w:rFonts w:ascii="Arial" w:cs="Arial" w:eastAsia="Arial" w:hAnsi="Arial"/>
          <w:sz w:val="15"/>
          <w:szCs w:val="15"/>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150" w:lineRule="exact"/>
        <w:rPr>
          <w:rFonts w:ascii="Arial" w:cs="Arial" w:eastAsia="Arial" w:hAnsi="Arial"/>
          <w:sz w:val="15"/>
          <w:szCs w:val="15"/>
          <w:color w:val="auto"/>
        </w:rPr>
      </w:pPr>
    </w:p>
    <w:p>
      <w:pPr>
        <w:jc w:val="both"/>
        <w:ind w:firstLine="1613"/>
        <w:spacing w:after="0" w:line="295" w:lineRule="auto"/>
        <w:tabs>
          <w:tab w:leader="none" w:pos="2284" w:val="left"/>
        </w:tabs>
        <w:numPr>
          <w:ilvl w:val="0"/>
          <w:numId w:val="18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Cash Equivalents</w:t>
      </w:r>
      <w:r>
        <w:rPr>
          <w:rFonts w:ascii="Arial" w:cs="Arial" w:eastAsia="Arial" w:hAnsi="Arial"/>
          <w:sz w:val="13"/>
          <w:szCs w:val="13"/>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 &amp; Poor's, in each case, maturing within six months from the date of acquisition thereof.</w:t>
      </w:r>
    </w:p>
    <w:p>
      <w:pPr>
        <w:spacing w:after="0" w:line="133" w:lineRule="exact"/>
        <w:rPr>
          <w:rFonts w:ascii="Arial" w:cs="Arial" w:eastAsia="Arial" w:hAnsi="Arial"/>
          <w:sz w:val="13"/>
          <w:szCs w:val="13"/>
          <w:color w:val="auto"/>
        </w:rPr>
      </w:pPr>
    </w:p>
    <w:p>
      <w:pPr>
        <w:ind w:left="2140" w:hanging="527"/>
        <w:spacing w:after="0"/>
        <w:tabs>
          <w:tab w:leader="none" w:pos="214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the Company's common stock, par value $0.0001 per share.</w:t>
      </w:r>
    </w:p>
    <w:p>
      <w:pPr>
        <w:spacing w:after="0" w:line="183" w:lineRule="exact"/>
        <w:rPr>
          <w:rFonts w:ascii="Arial" w:cs="Arial" w:eastAsia="Arial" w:hAnsi="Arial"/>
          <w:sz w:val="15"/>
          <w:szCs w:val="15"/>
          <w:color w:val="auto"/>
        </w:rPr>
      </w:pPr>
    </w:p>
    <w:p>
      <w:pPr>
        <w:jc w:val="both"/>
        <w:ind w:firstLine="1613"/>
        <w:spacing w:after="0" w:line="257" w:lineRule="auto"/>
        <w:tabs>
          <w:tab w:leader="none" w:pos="2181"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37" w:name="page138"/>
    <w:bookmarkEnd w:id="137"/>
    <w:p>
      <w:pPr>
        <w:ind w:left="2160" w:hanging="547"/>
        <w:spacing w:after="0"/>
        <w:tabs>
          <w:tab w:leader="none" w:pos="216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 Date</w:t>
      </w:r>
      <w:r>
        <w:rPr>
          <w:rFonts w:ascii="Arial" w:cs="Arial" w:eastAsia="Arial" w:hAnsi="Arial"/>
          <w:sz w:val="13"/>
          <w:szCs w:val="13"/>
          <w:color w:val="auto"/>
        </w:rPr>
        <w:t>" means the date that is four (4) days after the Holder gives notice of the existence of an Event of Default that has occurred and continued for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least eight (8) days.</w:t>
      </w:r>
    </w:p>
    <w:p>
      <w:pPr>
        <w:spacing w:after="0" w:line="170" w:lineRule="exact"/>
        <w:rPr>
          <w:sz w:val="20"/>
          <w:szCs w:val="20"/>
          <w:color w:val="auto"/>
        </w:rPr>
      </w:pPr>
    </w:p>
    <w:p>
      <w:pPr>
        <w:ind w:left="2120" w:hanging="507"/>
        <w:spacing w:after="0"/>
        <w:tabs>
          <w:tab w:leader="none" w:pos="212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83" w:lineRule="exact"/>
        <w:rPr>
          <w:rFonts w:ascii="Arial" w:cs="Arial" w:eastAsia="Arial" w:hAnsi="Arial"/>
          <w:sz w:val="15"/>
          <w:szCs w:val="15"/>
          <w:color w:val="auto"/>
        </w:rPr>
      </w:pPr>
    </w:p>
    <w:p>
      <w:pPr>
        <w:jc w:val="both"/>
        <w:ind w:firstLine="1613"/>
        <w:spacing w:after="0" w:line="270" w:lineRule="auto"/>
        <w:tabs>
          <w:tab w:leader="none" w:pos="2148" w:val="left"/>
        </w:tabs>
        <w:numPr>
          <w:ilvl w:val="1"/>
          <w:numId w:val="1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Transaction</w:t>
      </w:r>
      <w:r>
        <w:rPr>
          <w:rFonts w:ascii="Arial" w:cs="Arial" w:eastAsia="Arial" w:hAnsi="Arial"/>
          <w:sz w:val="14"/>
          <w:szCs w:val="14"/>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49" w:lineRule="exact"/>
        <w:rPr>
          <w:rFonts w:ascii="Arial" w:cs="Arial" w:eastAsia="Arial" w:hAnsi="Arial"/>
          <w:sz w:val="14"/>
          <w:szCs w:val="14"/>
          <w:color w:val="auto"/>
        </w:rPr>
      </w:pPr>
    </w:p>
    <w:p>
      <w:pPr>
        <w:ind w:left="2160" w:hanging="547"/>
        <w:spacing w:after="0"/>
        <w:tabs>
          <w:tab w:leader="none" w:pos="216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United States generally accepted accounting principles, consistently applied.</w:t>
      </w:r>
    </w:p>
    <w:p>
      <w:pPr>
        <w:spacing w:after="0" w:line="183" w:lineRule="exact"/>
        <w:rPr>
          <w:rFonts w:ascii="Arial" w:cs="Arial" w:eastAsia="Arial" w:hAnsi="Arial"/>
          <w:sz w:val="15"/>
          <w:szCs w:val="15"/>
          <w:color w:val="auto"/>
        </w:rPr>
      </w:pPr>
    </w:p>
    <w:p>
      <w:pPr>
        <w:jc w:val="both"/>
        <w:ind w:firstLine="1613"/>
        <w:spacing w:after="0" w:line="289" w:lineRule="auto"/>
        <w:tabs>
          <w:tab w:leader="none" w:pos="2137" w:val="left"/>
        </w:tabs>
        <w:numPr>
          <w:ilvl w:val="1"/>
          <w:numId w:val="18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w:t>
      </w:r>
    </w:p>
    <w:p>
      <w:pPr>
        <w:spacing w:after="0" w:line="1" w:lineRule="exact"/>
        <w:rPr>
          <w:rFonts w:ascii="Arial" w:cs="Arial" w:eastAsia="Arial" w:hAnsi="Arial"/>
          <w:sz w:val="13"/>
          <w:szCs w:val="13"/>
          <w:color w:val="auto"/>
        </w:rPr>
      </w:pPr>
    </w:p>
    <w:p>
      <w:pPr>
        <w:jc w:val="both"/>
        <w:ind w:firstLine="9"/>
        <w:spacing w:after="0" w:line="250" w:lineRule="auto"/>
        <w:tabs>
          <w:tab w:leader="none" w:pos="25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340" w:lineRule="exact"/>
        <w:rPr>
          <w:rFonts w:ascii="Arial" w:cs="Arial" w:eastAsia="Arial" w:hAnsi="Arial"/>
          <w:sz w:val="15"/>
          <w:szCs w:val="15"/>
          <w:color w:val="auto"/>
        </w:rPr>
      </w:pPr>
    </w:p>
    <w:p>
      <w:pPr>
        <w:ind w:left="5660" w:hanging="87"/>
        <w:spacing w:after="0"/>
        <w:tabs>
          <w:tab w:leader="none" w:pos="5660" w:val="left"/>
        </w:tabs>
        <w:numPr>
          <w:ilvl w:val="2"/>
          <w:numId w:val="186"/>
        </w:numPr>
        <w:rPr>
          <w:rFonts w:ascii="Arial" w:cs="Arial" w:eastAsia="Arial" w:hAnsi="Arial"/>
          <w:sz w:val="15"/>
          <w:szCs w:val="15"/>
          <w:color w:val="auto"/>
        </w:rPr>
      </w:pPr>
      <w:r>
        <w:rPr>
          <w:rFonts w:ascii="Arial" w:cs="Arial" w:eastAsia="Arial" w:hAnsi="Arial"/>
          <w:sz w:val="15"/>
          <w:szCs w:val="15"/>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38" w:name="page139"/>
    <w:bookmarkEnd w:id="138"/>
    <w:p>
      <w:pPr>
        <w:ind w:left="980" w:hanging="587"/>
        <w:spacing w:after="0"/>
        <w:tabs>
          <w:tab w:leader="none" w:pos="98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Rate</w:t>
      </w:r>
      <w:r>
        <w:rPr>
          <w:rFonts w:ascii="Arial" w:cs="Arial" w:eastAsia="Arial" w:hAnsi="Arial"/>
          <w:sz w:val="15"/>
          <w:szCs w:val="15"/>
          <w:color w:val="auto"/>
        </w:rPr>
        <w:t>" means 0.46% per annum, subject to adjustment as set forth in Section 2.</w:t>
      </w:r>
    </w:p>
    <w:p>
      <w:pPr>
        <w:spacing w:after="0" w:line="183" w:lineRule="exact"/>
        <w:rPr>
          <w:rFonts w:ascii="Arial" w:cs="Arial" w:eastAsia="Arial" w:hAnsi="Arial"/>
          <w:sz w:val="15"/>
          <w:szCs w:val="15"/>
          <w:color w:val="auto"/>
        </w:rPr>
      </w:pPr>
    </w:p>
    <w:p>
      <w:pPr>
        <w:jc w:val="both"/>
        <w:ind w:left="-1220" w:firstLine="1613"/>
        <w:spacing w:after="0" w:line="257" w:lineRule="auto"/>
        <w:tabs>
          <w:tab w:leader="none" w:pos="995"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152"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Note Party</w:t>
      </w:r>
      <w:r>
        <w:rPr>
          <w:rFonts w:ascii="Arial" w:cs="Arial" w:eastAsia="Arial" w:hAnsi="Arial"/>
          <w:sz w:val="15"/>
          <w:szCs w:val="15"/>
          <w:color w:val="auto"/>
        </w:rPr>
        <w:t>" means each of the Company, the Parent and each other Subsidiary of the Parent party to any Note Transaction Document.</w:t>
      </w:r>
    </w:p>
    <w:p>
      <w:pPr>
        <w:spacing w:after="0" w:line="183"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Note Transaction Documents</w:t>
      </w:r>
      <w:r>
        <w:rPr>
          <w:rFonts w:ascii="Arial" w:cs="Arial" w:eastAsia="Arial" w:hAnsi="Arial"/>
          <w:sz w:val="15"/>
          <w:szCs w:val="15"/>
          <w:color w:val="auto"/>
        </w:rPr>
        <w:t>" means this Note and the Security Documents.</w:t>
      </w:r>
    </w:p>
    <w:p>
      <w:pPr>
        <w:spacing w:after="0" w:line="183"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w:t>
      </w:r>
      <w:r>
        <w:rPr>
          <w:rFonts w:ascii="Arial" w:cs="Arial" w:eastAsia="Arial" w:hAnsi="Arial"/>
          <w:sz w:val="15"/>
          <w:szCs w:val="15"/>
          <w:color w:val="auto"/>
        </w:rPr>
        <w:t>" means Vringo, Inc., a Delaware corporation.</w:t>
      </w:r>
    </w:p>
    <w:p>
      <w:pPr>
        <w:spacing w:after="0" w:line="183" w:lineRule="exact"/>
        <w:rPr>
          <w:rFonts w:ascii="Arial" w:cs="Arial" w:eastAsia="Arial" w:hAnsi="Arial"/>
          <w:sz w:val="15"/>
          <w:szCs w:val="15"/>
          <w:color w:val="auto"/>
        </w:rPr>
      </w:pPr>
    </w:p>
    <w:p>
      <w:pPr>
        <w:jc w:val="both"/>
        <w:ind w:left="-1220" w:firstLine="1613"/>
        <w:spacing w:after="0" w:line="254" w:lineRule="auto"/>
        <w:tabs>
          <w:tab w:leader="none" w:pos="914"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Indebtedness</w:t>
      </w:r>
      <w:r>
        <w:rPr>
          <w:rFonts w:ascii="Arial" w:cs="Arial" w:eastAsia="Arial" w:hAnsi="Arial"/>
          <w:sz w:val="15"/>
          <w:szCs w:val="15"/>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338" w:lineRule="exact"/>
        <w:rPr>
          <w:rFonts w:ascii="Arial" w:cs="Arial" w:eastAsia="Arial" w:hAnsi="Arial"/>
          <w:sz w:val="15"/>
          <w:szCs w:val="15"/>
          <w:color w:val="auto"/>
        </w:rPr>
      </w:pPr>
    </w:p>
    <w:p>
      <w:pPr>
        <w:ind w:left="4440" w:hanging="87"/>
        <w:spacing w:after="0"/>
        <w:tabs>
          <w:tab w:leader="none" w:pos="444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39" w:name="page140"/>
    <w:bookmarkEnd w:id="139"/>
    <w:p>
      <w:pPr>
        <w:jc w:val="both"/>
        <w:ind w:left="-1220" w:firstLine="1613"/>
        <w:spacing w:after="0" w:line="269" w:lineRule="auto"/>
        <w:tabs>
          <w:tab w:leader="none" w:pos="96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 (ix) Liens securing Specified Indebtedness as described in such definition.</w:t>
      </w:r>
    </w:p>
    <w:p>
      <w:pPr>
        <w:spacing w:after="0" w:line="151" w:lineRule="exact"/>
        <w:rPr>
          <w:rFonts w:ascii="Arial" w:cs="Arial" w:eastAsia="Arial" w:hAnsi="Arial"/>
          <w:sz w:val="14"/>
          <w:szCs w:val="14"/>
          <w:color w:val="auto"/>
        </w:rPr>
      </w:pPr>
    </w:p>
    <w:p>
      <w:pPr>
        <w:jc w:val="both"/>
        <w:ind w:left="-1220" w:firstLine="1613"/>
        <w:spacing w:after="0" w:line="257" w:lineRule="auto"/>
        <w:tabs>
          <w:tab w:leader="none" w:pos="92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Senior Indebtedness</w:t>
      </w:r>
      <w:r>
        <w:rPr>
          <w:rFonts w:ascii="Arial" w:cs="Arial" w:eastAsia="Arial" w:hAnsi="Arial"/>
          <w:sz w:val="15"/>
          <w:szCs w:val="15"/>
          <w:color w:val="auto"/>
        </w:rPr>
        <w:t>" means the following Indebtedness (with applicable lien priorities which may be senior or junior, as the case may be and with payment priorities to the extent, but only to the extent, of any proceeds from the collateral which the holders of Permitted Senior 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152" w:lineRule="exact"/>
        <w:rPr>
          <w:rFonts w:ascii="Arial" w:cs="Arial" w:eastAsia="Arial" w:hAnsi="Arial"/>
          <w:sz w:val="15"/>
          <w:szCs w:val="15"/>
          <w:color w:val="auto"/>
        </w:rPr>
      </w:pPr>
    </w:p>
    <w:p>
      <w:pPr>
        <w:ind w:left="-1220" w:firstLine="1613"/>
        <w:spacing w:after="0" w:line="275" w:lineRule="auto"/>
        <w:tabs>
          <w:tab w:leader="none" w:pos="98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 individual, a limited liability company, a partnership, a joint venture, a corporation, a trust, an unincorporated organization, any other entity and a government or any department or agency thereof.</w:t>
      </w:r>
    </w:p>
    <w:p>
      <w:pPr>
        <w:spacing w:after="0" w:line="139" w:lineRule="exact"/>
        <w:rPr>
          <w:rFonts w:ascii="Arial" w:cs="Arial" w:eastAsia="Arial" w:hAnsi="Arial"/>
          <w:sz w:val="15"/>
          <w:szCs w:val="15"/>
          <w:color w:val="auto"/>
        </w:rPr>
      </w:pPr>
    </w:p>
    <w:p>
      <w:pPr>
        <w:ind w:left="-1220" w:right="20" w:firstLine="1613"/>
        <w:spacing w:after="0" w:line="275" w:lineRule="auto"/>
        <w:tabs>
          <w:tab w:leader="none" w:pos="103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Company Date</w:t>
      </w:r>
      <w:r>
        <w:rPr>
          <w:rFonts w:ascii="Arial" w:cs="Arial" w:eastAsia="Arial" w:hAnsi="Arial"/>
          <w:sz w:val="15"/>
          <w:szCs w:val="15"/>
          <w:color w:val="auto"/>
        </w:rPr>
        <w:t>" means the date the shares of Common Stock of the Company (or its successor by merger, recapitalization, reorganization, or otherwise) are registered under the Exchange Act.</w:t>
      </w:r>
    </w:p>
    <w:p>
      <w:pPr>
        <w:spacing w:after="0" w:line="139" w:lineRule="exact"/>
        <w:rPr>
          <w:rFonts w:ascii="Arial" w:cs="Arial" w:eastAsia="Arial" w:hAnsi="Arial"/>
          <w:sz w:val="15"/>
          <w:szCs w:val="15"/>
          <w:color w:val="auto"/>
        </w:rPr>
      </w:pPr>
    </w:p>
    <w:p>
      <w:pPr>
        <w:ind w:left="-1220" w:firstLine="1613"/>
        <w:spacing w:after="0" w:line="312" w:lineRule="auto"/>
        <w:tabs>
          <w:tab w:leader="none" w:pos="101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Amount</w:t>
      </w:r>
      <w:r>
        <w:rPr>
          <w:rFonts w:ascii="Arial" w:cs="Arial" w:eastAsia="Arial" w:hAnsi="Arial"/>
          <w:sz w:val="14"/>
          <w:szCs w:val="14"/>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116" w:lineRule="exact"/>
        <w:rPr>
          <w:rFonts w:ascii="Arial" w:cs="Arial" w:eastAsia="Arial" w:hAnsi="Arial"/>
          <w:sz w:val="14"/>
          <w:szCs w:val="14"/>
          <w:color w:val="auto"/>
        </w:rPr>
      </w:pPr>
    </w:p>
    <w:p>
      <w:pPr>
        <w:ind w:left="-1220" w:firstLine="1613"/>
        <w:spacing w:after="0" w:line="275" w:lineRule="auto"/>
        <w:tabs>
          <w:tab w:leader="none" w:pos="110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Notices</w:t>
      </w:r>
      <w:r>
        <w:rPr>
          <w:rFonts w:ascii="Arial" w:cs="Arial" w:eastAsia="Arial" w:hAnsi="Arial"/>
          <w:sz w:val="15"/>
          <w:szCs w:val="15"/>
          <w:color w:val="auto"/>
        </w:rPr>
        <w:t>" means, collectively, the Event of Default Redemption Notices, the Change of Control Redemption Notices and the Optional Redemption Notices, each of the foregoing, individually, a Redemption Notice.</w:t>
      </w:r>
    </w:p>
    <w:p>
      <w:pPr>
        <w:spacing w:after="0" w:line="139" w:lineRule="exact"/>
        <w:rPr>
          <w:rFonts w:ascii="Arial" w:cs="Arial" w:eastAsia="Arial" w:hAnsi="Arial"/>
          <w:sz w:val="15"/>
          <w:szCs w:val="15"/>
          <w:color w:val="auto"/>
        </w:rPr>
      </w:pPr>
    </w:p>
    <w:p>
      <w:pPr>
        <w:ind w:left="-1220" w:firstLine="1613"/>
        <w:spacing w:after="0" w:line="275" w:lineRule="auto"/>
        <w:tabs>
          <w:tab w:leader="none" w:pos="96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Prices</w:t>
      </w:r>
      <w:r>
        <w:rPr>
          <w:rFonts w:ascii="Arial" w:cs="Arial" w:eastAsia="Arial" w:hAnsi="Arial"/>
          <w:sz w:val="15"/>
          <w:szCs w:val="15"/>
          <w:color w:val="auto"/>
        </w:rPr>
        <w:t>" means, collectively, the Event of Default Redemption Price, the Change of Control Redemption Price and the Optional Redemption Prices, each of the foregoing, individually, a Redemption Price.</w:t>
      </w:r>
    </w:p>
    <w:p>
      <w:pPr>
        <w:spacing w:after="0" w:line="321" w:lineRule="exact"/>
        <w:rPr>
          <w:rFonts w:ascii="Arial" w:cs="Arial" w:eastAsia="Arial" w:hAnsi="Arial"/>
          <w:sz w:val="15"/>
          <w:szCs w:val="15"/>
          <w:color w:val="auto"/>
        </w:rPr>
      </w:pPr>
    </w:p>
    <w:p>
      <w:pPr>
        <w:ind w:left="4440" w:hanging="87"/>
        <w:spacing w:after="0"/>
        <w:tabs>
          <w:tab w:leader="none" w:pos="444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40" w:name="page141"/>
    <w:bookmarkEnd w:id="140"/>
    <w:p>
      <w:pPr>
        <w:jc w:val="both"/>
        <w:ind w:left="-1220" w:firstLine="1613"/>
        <w:spacing w:after="0" w:line="253" w:lineRule="auto"/>
        <w:tabs>
          <w:tab w:leader="none" w:pos="93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Documents</w:t>
      </w:r>
      <w:r>
        <w:rPr>
          <w:rFonts w:ascii="Arial" w:cs="Arial" w:eastAsia="Arial" w:hAnsi="Arial"/>
          <w:sz w:val="15"/>
          <w:szCs w:val="15"/>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156" w:lineRule="exact"/>
        <w:rPr>
          <w:sz w:val="20"/>
          <w:szCs w:val="20"/>
          <w:color w:val="auto"/>
        </w:rPr>
      </w:pPr>
    </w:p>
    <w:p>
      <w:pPr>
        <w:jc w:val="both"/>
        <w:ind w:left="-1220" w:firstLine="1613"/>
        <w:spacing w:after="0" w:line="252" w:lineRule="auto"/>
        <w:tabs>
          <w:tab w:leader="none" w:pos="101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Specified Indebtedness</w:t>
      </w:r>
      <w:r>
        <w:rPr>
          <w:rFonts w:ascii="Arial" w:cs="Arial" w:eastAsia="Arial" w:hAnsi="Arial"/>
          <w:sz w:val="15"/>
          <w:szCs w:val="15"/>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5"/>
          <w:szCs w:val="15"/>
          <w:u w:val="single" w:color="auto"/>
          <w:color w:val="auto"/>
        </w:rPr>
        <w:t>less</w:t>
      </w:r>
      <w:r>
        <w:rPr>
          <w:rFonts w:ascii="Arial" w:cs="Arial" w:eastAsia="Arial" w:hAnsi="Arial"/>
          <w:sz w:val="15"/>
          <w:szCs w:val="15"/>
          <w:color w:val="auto"/>
        </w:rPr>
        <w:t xml:space="preserve"> the then outstanding principal amount of this Note; </w:t>
      </w:r>
      <w:r>
        <w:rPr>
          <w:rFonts w:ascii="Arial" w:cs="Arial" w:eastAsia="Arial" w:hAnsi="Arial"/>
          <w:sz w:val="15"/>
          <w:szCs w:val="15"/>
          <w:u w:val="single" w:color="auto"/>
          <w:color w:val="auto"/>
        </w:rPr>
        <w:t>provided</w:t>
      </w:r>
      <w:r>
        <w:rPr>
          <w:rFonts w:ascii="Arial" w:cs="Arial" w:eastAsia="Arial" w:hAnsi="Arial"/>
          <w:sz w:val="15"/>
          <w:szCs w:val="15"/>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157" w:lineRule="exact"/>
        <w:rPr>
          <w:rFonts w:ascii="Arial" w:cs="Arial" w:eastAsia="Arial" w:hAnsi="Arial"/>
          <w:sz w:val="15"/>
          <w:szCs w:val="15"/>
          <w:color w:val="auto"/>
        </w:rPr>
      </w:pPr>
    </w:p>
    <w:p>
      <w:pPr>
        <w:jc w:val="both"/>
        <w:ind w:left="-1220" w:firstLine="1613"/>
        <w:spacing w:after="0" w:line="261" w:lineRule="auto"/>
        <w:tabs>
          <w:tab w:leader="none" w:pos="104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150" w:lineRule="exact"/>
        <w:rPr>
          <w:rFonts w:ascii="Arial" w:cs="Arial" w:eastAsia="Arial" w:hAnsi="Arial"/>
          <w:sz w:val="15"/>
          <w:szCs w:val="15"/>
          <w:color w:val="auto"/>
        </w:rPr>
      </w:pPr>
    </w:p>
    <w:p>
      <w:pPr>
        <w:ind w:left="1000" w:hanging="607"/>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any entity in which the Parent, directly or indirectly, owns at least a majority of the voting stock or voting securities.</w:t>
      </w:r>
    </w:p>
    <w:p>
      <w:pPr>
        <w:spacing w:after="0" w:line="183" w:lineRule="exact"/>
        <w:rPr>
          <w:rFonts w:ascii="Arial" w:cs="Arial" w:eastAsia="Arial" w:hAnsi="Arial"/>
          <w:sz w:val="15"/>
          <w:szCs w:val="15"/>
          <w:color w:val="auto"/>
        </w:rPr>
      </w:pPr>
    </w:p>
    <w:p>
      <w:pPr>
        <w:ind w:left="-1220" w:firstLine="1613"/>
        <w:spacing w:after="0" w:line="275" w:lineRule="auto"/>
        <w:tabs>
          <w:tab w:leader="none" w:pos="108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which may be the Company, formed by, resulting from or surviving any Fundamental Transaction or the Person with which such Fundamental Transaction shall have been made.</w:t>
      </w:r>
    </w:p>
    <w:p>
      <w:pPr>
        <w:spacing w:after="0" w:line="139" w:lineRule="exact"/>
        <w:rPr>
          <w:rFonts w:ascii="Arial" w:cs="Arial" w:eastAsia="Arial" w:hAnsi="Arial"/>
          <w:sz w:val="15"/>
          <w:szCs w:val="15"/>
          <w:color w:val="auto"/>
        </w:rPr>
      </w:pPr>
    </w:p>
    <w:p>
      <w:pPr>
        <w:jc w:val="both"/>
        <w:ind w:left="-1220" w:firstLine="1613"/>
        <w:spacing w:after="0" w:line="261" w:lineRule="auto"/>
        <w:tabs>
          <w:tab w:leader="none" w:pos="100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Voting Stock</w:t>
      </w:r>
      <w:r>
        <w:rPr>
          <w:rFonts w:ascii="Arial" w:cs="Arial" w:eastAsia="Arial" w:hAnsi="Arial"/>
          <w:sz w:val="15"/>
          <w:szCs w:val="15"/>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332" w:lineRule="exact"/>
        <w:rPr>
          <w:rFonts w:ascii="Arial" w:cs="Arial" w:eastAsia="Arial" w:hAnsi="Arial"/>
          <w:sz w:val="15"/>
          <w:szCs w:val="15"/>
          <w:color w:val="auto"/>
        </w:rPr>
      </w:pPr>
    </w:p>
    <w:p>
      <w:pPr>
        <w:ind w:left="4440" w:hanging="87"/>
        <w:spacing w:after="0"/>
        <w:tabs>
          <w:tab w:leader="none" w:pos="444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41" w:name="page142"/>
    <w:bookmarkEnd w:id="141"/>
    <w:p>
      <w:pPr>
        <w:jc w:val="both"/>
        <w:ind w:firstLine="1078"/>
        <w:spacing w:after="0" w:line="251" w:lineRule="auto"/>
        <w:tabs>
          <w:tab w:leader="none" w:pos="1810"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158" w:lineRule="exact"/>
        <w:rPr>
          <w:rFonts w:ascii="Arial" w:cs="Arial" w:eastAsia="Arial" w:hAnsi="Arial"/>
          <w:sz w:val="15"/>
          <w:szCs w:val="15"/>
          <w:color w:val="auto"/>
        </w:rPr>
      </w:pPr>
    </w:p>
    <w:p>
      <w:pPr>
        <w:jc w:val="both"/>
        <w:ind w:firstLine="1078"/>
        <w:spacing w:after="0" w:line="297" w:lineRule="auto"/>
        <w:tabs>
          <w:tab w:leader="none" w:pos="1754" w:val="left"/>
        </w:tabs>
        <w:numPr>
          <w:ilvl w:val="1"/>
          <w:numId w:val="191"/>
        </w:numPr>
        <w:rPr>
          <w:rFonts w:ascii="Arial" w:cs="Arial" w:eastAsia="Arial" w:hAnsi="Arial"/>
          <w:sz w:val="13"/>
          <w:szCs w:val="13"/>
          <w:color w:val="auto"/>
        </w:rPr>
      </w:pPr>
      <w:r>
        <w:rPr>
          <w:rFonts w:ascii="Arial" w:cs="Arial" w:eastAsia="Arial" w:hAnsi="Arial"/>
          <w:sz w:val="13"/>
          <w:szCs w:val="13"/>
          <w:b w:val="1"/>
          <w:bCs w:val="1"/>
          <w:u w:val="single" w:color="auto"/>
          <w:color w:val="auto"/>
        </w:rPr>
        <w:t>ASSUMPTION; AMENDMENT AND RESTATEMENT</w:t>
      </w:r>
      <w:r>
        <w:rPr>
          <w:rFonts w:ascii="Arial" w:cs="Arial" w:eastAsia="Arial" w:hAnsi="Arial"/>
          <w:sz w:val="13"/>
          <w:szCs w:val="13"/>
          <w:b w:val="1"/>
          <w:bCs w:val="1"/>
          <w:color w:val="auto"/>
        </w:rPr>
        <w:t xml:space="preserve">. This Note amends and restates in its entirety the Senior Secured Note, dated June 22, 2011, as amended, originally made by the Company (as successor to Labrador Search Corporation) to the order of the Holder (the </w:t>
      </w:r>
      <w:r>
        <w:rPr>
          <w:rFonts w:ascii="Arial" w:cs="Arial" w:eastAsia="Arial" w:hAnsi="Arial"/>
          <w:sz w:val="13"/>
          <w:szCs w:val="13"/>
          <w:color w:val="auto"/>
        </w:rPr>
        <w:t>"</w:t>
      </w:r>
      <w:r>
        <w:rPr>
          <w:rFonts w:ascii="Arial" w:cs="Arial" w:eastAsia="Arial" w:hAnsi="Arial"/>
          <w:sz w:val="13"/>
          <w:szCs w:val="13"/>
          <w:b w:val="1"/>
          <w:bCs w:val="1"/>
          <w:color w:val="auto"/>
        </w:rPr>
        <w:t>Original Note</w:t>
      </w:r>
      <w:r>
        <w:rPr>
          <w:rFonts w:ascii="Arial" w:cs="Arial" w:eastAsia="Arial" w:hAnsi="Arial"/>
          <w:sz w:val="13"/>
          <w:szCs w:val="13"/>
          <w:color w:val="auto"/>
        </w:rPr>
        <w:t>"</w:t>
      </w:r>
      <w:r>
        <w:rPr>
          <w:rFonts w:ascii="Arial" w:cs="Arial" w:eastAsia="Arial" w:hAnsi="Arial"/>
          <w:sz w:val="13"/>
          <w:szCs w:val="13"/>
          <w:b w:val="1"/>
          <w:bCs w:val="1"/>
          <w:color w:val="auto"/>
        </w:rPr>
        <w:t>). This Note shall not in any way constitute</w:t>
      </w:r>
    </w:p>
    <w:p>
      <w:pPr>
        <w:ind w:firstLine="9"/>
        <w:spacing w:after="0" w:line="255" w:lineRule="auto"/>
        <w:tabs>
          <w:tab w:leader="none" w:pos="183"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IN WITNESS WHEREOF, the Company has caused this Note to be duly executed as of the Amendment and Restatement Date set out above.</w:t>
      </w: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343535</wp:posOffset>
            </wp:positionV>
            <wp:extent cx="727075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159"/>
          </w:cols>
          <w:pgMar w:left="1300" w:top="753"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5"/>
          <w:szCs w:val="15"/>
          <w:color w:val="auto"/>
        </w:rPr>
        <w:t>Exhibit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PLEDGE AND SECURITY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AMENDED AND RESTATED PLEDGE AND SECURITY AGREEMENT</w:t>
      </w:r>
      <w:r>
        <w:rPr>
          <w:rFonts w:ascii="Arial" w:cs="Arial" w:eastAsia="Arial" w:hAnsi="Arial"/>
          <w:sz w:val="14"/>
          <w:szCs w:val="14"/>
          <w:color w:val="auto"/>
        </w:rPr>
        <w:t>, dated as of [_______ __], 2012 (this "</w:t>
      </w:r>
      <w:r>
        <w:rPr>
          <w:rFonts w:ascii="Arial" w:cs="Arial" w:eastAsia="Arial" w:hAnsi="Arial"/>
          <w:sz w:val="14"/>
          <w:szCs w:val="14"/>
          <w:b w:val="1"/>
          <w:bCs w:val="1"/>
          <w:color w:val="auto"/>
        </w:rPr>
        <w:t>Agreement</w:t>
      </w:r>
      <w:r>
        <w:rPr>
          <w:rFonts w:ascii="Arial" w:cs="Arial" w:eastAsia="Arial" w:hAnsi="Arial"/>
          <w:sz w:val="14"/>
          <w:szCs w:val="14"/>
          <w:color w:val="auto"/>
        </w:rPr>
        <w:t>"), made by</w:t>
      </w:r>
      <w:r>
        <w:rPr>
          <w:rFonts w:ascii="Arial" w:cs="Arial" w:eastAsia="Arial" w:hAnsi="Arial"/>
          <w:sz w:val="14"/>
          <w:szCs w:val="14"/>
          <w:b w:val="1"/>
          <w:bCs w:val="1"/>
          <w:color w:val="auto"/>
        </w:rPr>
        <w:t xml:space="preserve"> VRINGO, INC.</w:t>
      </w:r>
      <w:r>
        <w:rPr>
          <w:rFonts w:ascii="Arial" w:cs="Arial" w:eastAsia="Arial" w:hAnsi="Arial"/>
          <w:sz w:val="14"/>
          <w:szCs w:val="14"/>
          <w:color w:val="auto"/>
        </w:rPr>
        <w:t>, a Delaware</w:t>
      </w:r>
    </w:p>
    <w:p>
      <w:pPr>
        <w:spacing w:after="0" w:line="31"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each of its existing "Subsidiaries" (as defined in the Note defined below) as named on the signature pages hereto (collectively, the "</w:t>
      </w:r>
      <w:r>
        <w:rPr>
          <w:rFonts w:ascii="Arial" w:cs="Arial" w:eastAsia="Arial" w:hAnsi="Arial"/>
          <w:sz w:val="14"/>
          <w:szCs w:val="14"/>
          <w:b w:val="1"/>
          <w:bCs w:val="1"/>
          <w:color w:val="auto"/>
        </w:rPr>
        <w:t>Existing Subsidiaries</w:t>
      </w:r>
      <w:r>
        <w:rPr>
          <w:rFonts w:ascii="Arial" w:cs="Arial" w:eastAsia="Arial" w:hAnsi="Arial"/>
          <w:sz w:val="14"/>
          <w:szCs w:val="14"/>
          <w:color w:val="auto"/>
        </w:rPr>
        <w:t>") and each other Subsidiary of the Company hereafter becoming party hereto (each individually referred to herein as a "</w:t>
      </w:r>
      <w:r>
        <w:rPr>
          <w:rFonts w:ascii="Arial" w:cs="Arial" w:eastAsia="Arial" w:hAnsi="Arial"/>
          <w:sz w:val="14"/>
          <w:szCs w:val="14"/>
          <w:b w:val="1"/>
          <w:bCs w:val="1"/>
          <w:color w:val="auto"/>
        </w:rPr>
        <w:t>New Subsidiary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Subsidiaries</w:t>
      </w:r>
      <w:r>
        <w:rPr>
          <w:rFonts w:ascii="Arial" w:cs="Arial" w:eastAsia="Arial" w:hAnsi="Arial"/>
          <w:sz w:val="14"/>
          <w:szCs w:val="14"/>
          <w:color w:val="auto"/>
        </w:rPr>
        <w:t>," together with the Company and the Existing Subsidiaries, each a "</w:t>
      </w:r>
      <w:r>
        <w:rPr>
          <w:rFonts w:ascii="Arial" w:cs="Arial" w:eastAsia="Arial" w:hAnsi="Arial"/>
          <w:sz w:val="14"/>
          <w:szCs w:val="14"/>
          <w:b w:val="1"/>
          <w:bCs w:val="1"/>
          <w:color w:val="auto"/>
        </w:rPr>
        <w:t>Grantor</w:t>
      </w:r>
      <w:r>
        <w:rPr>
          <w:rFonts w:ascii="Arial" w:cs="Arial" w:eastAsia="Arial" w:hAnsi="Arial"/>
          <w:sz w:val="14"/>
          <w:szCs w:val="14"/>
          <w:color w:val="auto"/>
        </w:rPr>
        <w:t>" and, collectively, the "</w:t>
      </w:r>
      <w:r>
        <w:rPr>
          <w:rFonts w:ascii="Arial" w:cs="Arial" w:eastAsia="Arial" w:hAnsi="Arial"/>
          <w:sz w:val="14"/>
          <w:szCs w:val="14"/>
          <w:b w:val="1"/>
          <w:bCs w:val="1"/>
          <w:color w:val="auto"/>
        </w:rPr>
        <w:t>Grantors</w:t>
      </w:r>
      <w:r>
        <w:rPr>
          <w:rFonts w:ascii="Arial" w:cs="Arial" w:eastAsia="Arial" w:hAnsi="Arial"/>
          <w:sz w:val="14"/>
          <w:szCs w:val="14"/>
          <w:color w:val="auto"/>
        </w:rPr>
        <w:t>"), in favor of Hudson Bay Master Fund Ltd. (the "</w:t>
      </w:r>
      <w:r>
        <w:rPr>
          <w:rFonts w:ascii="Arial" w:cs="Arial" w:eastAsia="Arial" w:hAnsi="Arial"/>
          <w:sz w:val="14"/>
          <w:szCs w:val="14"/>
          <w:b w:val="1"/>
          <w:bCs w:val="1"/>
          <w:color w:val="auto"/>
        </w:rPr>
        <w:t>Buyer</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WITNESSETH</w:t>
      </w:r>
      <w:r>
        <w:rPr>
          <w:rFonts w:ascii="Arial" w:cs="Arial" w:eastAsia="Arial" w:hAnsi="Arial"/>
          <w:sz w:val="15"/>
          <w:szCs w:val="15"/>
          <w:b w:val="1"/>
          <w:bCs w:val="1"/>
          <w:color w:val="auto"/>
        </w:rPr>
        <w:t>:</w:t>
      </w:r>
    </w:p>
    <w:p>
      <w:pPr>
        <w:spacing w:after="0" w:line="184" w:lineRule="exact"/>
        <w:rPr>
          <w:sz w:val="20"/>
          <w:szCs w:val="20"/>
          <w:color w:val="auto"/>
        </w:rPr>
      </w:pPr>
    </w:p>
    <w:p>
      <w:pPr>
        <w:ind w:right="20" w:firstLine="1069"/>
        <w:spacing w:after="0" w:line="257" w:lineRule="auto"/>
        <w:rPr>
          <w:sz w:val="20"/>
          <w:szCs w:val="20"/>
          <w:color w:val="auto"/>
        </w:rPr>
      </w:pPr>
      <w:r>
        <w:rPr>
          <w:rFonts w:ascii="Arial" w:cs="Arial" w:eastAsia="Arial" w:hAnsi="Arial"/>
          <w:sz w:val="15"/>
          <w:szCs w:val="15"/>
          <w:color w:val="auto"/>
        </w:rPr>
        <w:t>WHEREAS, Innovate/Protect, Inc., a Delaware corporation formerly known as Labrador Search Corporation ("</w:t>
      </w:r>
      <w:r>
        <w:rPr>
          <w:rFonts w:ascii="Arial" w:cs="Arial" w:eastAsia="Arial" w:hAnsi="Arial"/>
          <w:sz w:val="15"/>
          <w:szCs w:val="15"/>
          <w:b w:val="1"/>
          <w:bCs w:val="1"/>
          <w:color w:val="auto"/>
        </w:rPr>
        <w:t>I/P</w:t>
      </w:r>
      <w:r>
        <w:rPr>
          <w:rFonts w:ascii="Arial" w:cs="Arial" w:eastAsia="Arial" w:hAnsi="Arial"/>
          <w:sz w:val="15"/>
          <w:szCs w:val="15"/>
          <w:color w:val="auto"/>
        </w:rPr>
        <w:t>"), and the Buyer are parties to the Subscription Agreement, dated as of June 22, 2011 (as amended, restated, supplemented or otherwise modified from time to time, the "</w:t>
      </w:r>
      <w:r>
        <w:rPr>
          <w:rFonts w:ascii="Arial" w:cs="Arial" w:eastAsia="Arial" w:hAnsi="Arial"/>
          <w:sz w:val="15"/>
          <w:szCs w:val="15"/>
          <w:b w:val="1"/>
          <w:bCs w:val="1"/>
          <w:color w:val="auto"/>
        </w:rPr>
        <w:t>Subscription Agreement</w:t>
      </w:r>
      <w:r>
        <w:rPr>
          <w:rFonts w:ascii="Arial" w:cs="Arial" w:eastAsia="Arial" w:hAnsi="Arial"/>
          <w:sz w:val="15"/>
          <w:szCs w:val="15"/>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5"/>
          <w:szCs w:val="15"/>
          <w:b w:val="1"/>
          <w:bCs w:val="1"/>
          <w:color w:val="auto"/>
        </w:rPr>
        <w:t>Note</w:t>
      </w:r>
      <w:r>
        <w:rPr>
          <w:rFonts w:ascii="Arial" w:cs="Arial" w:eastAsia="Arial" w:hAnsi="Arial"/>
          <w:sz w:val="15"/>
          <w:szCs w:val="15"/>
          <w:color w:val="auto"/>
        </w:rPr>
        <w:t>");</w:t>
      </w:r>
    </w:p>
    <w:p>
      <w:pPr>
        <w:spacing w:after="0" w:line="152" w:lineRule="exact"/>
        <w:rPr>
          <w:sz w:val="20"/>
          <w:szCs w:val="20"/>
          <w:color w:val="auto"/>
        </w:rPr>
      </w:pPr>
    </w:p>
    <w:p>
      <w:pPr>
        <w:ind w:right="20" w:firstLine="1069"/>
        <w:spacing w:after="0" w:line="253" w:lineRule="auto"/>
        <w:rPr>
          <w:sz w:val="20"/>
          <w:szCs w:val="20"/>
          <w:color w:val="auto"/>
        </w:rPr>
      </w:pPr>
      <w:r>
        <w:rPr>
          <w:rFonts w:ascii="Arial" w:cs="Arial" w:eastAsia="Arial" w:hAnsi="Arial"/>
          <w:sz w:val="15"/>
          <w:szCs w:val="15"/>
          <w:color w:val="auto"/>
        </w:rPr>
        <w:t>WHEREAS, pursuant to a Pledge and Security Agreement dated as of June 22, 2011 (as amended or supplemented prior to the date hereof, the "</w:t>
      </w:r>
      <w:r>
        <w:rPr>
          <w:rFonts w:ascii="Arial" w:cs="Arial" w:eastAsia="Arial" w:hAnsi="Arial"/>
          <w:sz w:val="15"/>
          <w:szCs w:val="15"/>
          <w:b w:val="1"/>
          <w:bCs w:val="1"/>
          <w:color w:val="auto"/>
        </w:rPr>
        <w:t>Existing Security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I/P,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I/P Engine, each individually referred to herein as an "</w:t>
      </w:r>
      <w:r>
        <w:rPr>
          <w:rFonts w:ascii="Arial" w:cs="Arial" w:eastAsia="Arial" w:hAnsi="Arial"/>
          <w:sz w:val="15"/>
          <w:szCs w:val="15"/>
          <w:b w:val="1"/>
          <w:bCs w:val="1"/>
          <w:color w:val="auto"/>
        </w:rPr>
        <w:t>Existing Grantor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 Grantors</w:t>
      </w:r>
      <w:r>
        <w:rPr>
          <w:rFonts w:ascii="Arial" w:cs="Arial" w:eastAsia="Arial" w:hAnsi="Arial"/>
          <w:sz w:val="15"/>
          <w:szCs w:val="15"/>
          <w:color w:val="auto"/>
        </w:rPr>
        <w:t>"), granted liens and security interests in the collateral described therein to the Buyer as security for the Existing 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156" w:lineRule="exact"/>
        <w:rPr>
          <w:sz w:val="20"/>
          <w:szCs w:val="20"/>
          <w:color w:val="auto"/>
        </w:rPr>
      </w:pPr>
    </w:p>
    <w:p>
      <w:pPr>
        <w:ind w:right="80" w:firstLine="1069"/>
        <w:spacing w:after="0" w:line="354" w:lineRule="auto"/>
        <w:rPr>
          <w:sz w:val="20"/>
          <w:szCs w:val="20"/>
          <w:color w:val="auto"/>
        </w:rPr>
      </w:pPr>
      <w:r>
        <w:rPr>
          <w:rFonts w:ascii="Arial" w:cs="Arial" w:eastAsia="Arial" w:hAnsi="Arial"/>
          <w:sz w:val="13"/>
          <w:szCs w:val="13"/>
          <w:color w:val="auto"/>
        </w:rPr>
        <w:t>WHEREAS, the Company, I/P and Vringo Merger Sub, Inc. ("</w:t>
      </w:r>
      <w:r>
        <w:rPr>
          <w:rFonts w:ascii="Arial" w:cs="Arial" w:eastAsia="Arial" w:hAnsi="Arial"/>
          <w:sz w:val="13"/>
          <w:szCs w:val="13"/>
          <w:b w:val="1"/>
          <w:bCs w:val="1"/>
          <w:color w:val="auto"/>
        </w:rPr>
        <w:t>Merger Sub</w:t>
      </w:r>
      <w:r>
        <w:rPr>
          <w:rFonts w:ascii="Arial" w:cs="Arial" w:eastAsia="Arial" w:hAnsi="Arial"/>
          <w:sz w:val="13"/>
          <w:szCs w:val="13"/>
          <w:color w:val="auto"/>
        </w:rPr>
        <w:t>"), a wholly-owned subsidiary of the Company, have entered into that certain Agreement and Plan of Merger, dated as of March [__], 2012 (the "</w:t>
      </w:r>
      <w:r>
        <w:rPr>
          <w:rFonts w:ascii="Arial" w:cs="Arial" w:eastAsia="Arial" w:hAnsi="Arial"/>
          <w:sz w:val="13"/>
          <w:szCs w:val="13"/>
          <w:b w:val="1"/>
          <w:bCs w:val="1"/>
          <w:color w:val="auto"/>
        </w:rPr>
        <w:t>Merger Agreement</w:t>
      </w:r>
      <w:r>
        <w:rPr>
          <w:rFonts w:ascii="Arial" w:cs="Arial" w:eastAsia="Arial" w:hAnsi="Arial"/>
          <w:sz w:val="13"/>
          <w:szCs w:val="13"/>
          <w:color w:val="auto"/>
        </w:rPr>
        <w:t>") pursuant to which, among other things, I/P shall be merged with and into Merger Sub (the "</w:t>
      </w:r>
      <w:r>
        <w:rPr>
          <w:rFonts w:ascii="Arial" w:cs="Arial" w:eastAsia="Arial" w:hAnsi="Arial"/>
          <w:sz w:val="13"/>
          <w:szCs w:val="13"/>
          <w:b w:val="1"/>
          <w:bCs w:val="1"/>
          <w:color w:val="auto"/>
        </w:rPr>
        <w:t>Merger Transaction</w:t>
      </w:r>
      <w:r>
        <w:rPr>
          <w:rFonts w:ascii="Arial" w:cs="Arial" w:eastAsia="Arial" w:hAnsi="Arial"/>
          <w:sz w:val="13"/>
          <w:szCs w:val="13"/>
          <w:color w:val="auto"/>
        </w:rPr>
        <w:t>");</w:t>
      </w:r>
    </w:p>
    <w:p>
      <w:pPr>
        <w:spacing w:after="0" w:line="98" w:lineRule="exact"/>
        <w:rPr>
          <w:sz w:val="20"/>
          <w:szCs w:val="20"/>
          <w:color w:val="auto"/>
        </w:rPr>
      </w:pPr>
    </w:p>
    <w:p>
      <w:pPr>
        <w:ind w:right="280" w:firstLine="1069"/>
        <w:spacing w:after="0" w:line="348" w:lineRule="auto"/>
        <w:rPr>
          <w:sz w:val="20"/>
          <w:szCs w:val="20"/>
          <w:color w:val="auto"/>
        </w:rPr>
      </w:pPr>
      <w:r>
        <w:rPr>
          <w:rFonts w:ascii="Arial" w:cs="Arial" w:eastAsia="Arial" w:hAnsi="Arial"/>
          <w:sz w:val="13"/>
          <w:szCs w:val="13"/>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3"/>
          <w:szCs w:val="13"/>
          <w:b w:val="1"/>
          <w:bCs w:val="1"/>
          <w:color w:val="auto"/>
        </w:rPr>
        <w:t>Vringo Israel</w:t>
      </w:r>
      <w:r>
        <w:rPr>
          <w:rFonts w:ascii="Arial" w:cs="Arial" w:eastAsia="Arial" w:hAnsi="Arial"/>
          <w:sz w:val="13"/>
          <w:szCs w:val="13"/>
          <w:color w:val="auto"/>
        </w:rPr>
        <w:t>"), and Vringo Israel has agreed, to grant liens on and security interest in the collateral described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727075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53" w:right="219" w:bottom="1440" w:gutter="0" w:footer="0" w:header="0"/>
        </w:sectPr>
      </w:pPr>
    </w:p>
    <w:bookmarkStart w:id="144" w:name="page145"/>
    <w:bookmarkEnd w:id="144"/>
    <w:p>
      <w:pPr>
        <w:ind w:right="40" w:firstLine="1069"/>
        <w:spacing w:after="0" w:line="275" w:lineRule="auto"/>
        <w:rPr>
          <w:sz w:val="20"/>
          <w:szCs w:val="20"/>
          <w:color w:val="auto"/>
        </w:rPr>
      </w:pPr>
      <w:r>
        <w:rPr>
          <w:rFonts w:ascii="Arial" w:cs="Arial" w:eastAsia="Arial" w:hAnsi="Arial"/>
          <w:sz w:val="14"/>
          <w:szCs w:val="14"/>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4"/>
          <w:szCs w:val="14"/>
          <w:b w:val="1"/>
          <w:bCs w:val="1"/>
          <w:color w:val="auto"/>
        </w:rPr>
        <w:t>New Grantor</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Grantors</w:t>
      </w:r>
      <w:r>
        <w:rPr>
          <w:rFonts w:ascii="Arial" w:cs="Arial" w:eastAsia="Arial" w:hAnsi="Arial"/>
          <w:sz w:val="14"/>
          <w:szCs w:val="14"/>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147" w:lineRule="exact"/>
        <w:rPr>
          <w:sz w:val="20"/>
          <w:szCs w:val="20"/>
          <w:color w:val="auto"/>
        </w:rPr>
      </w:pPr>
    </w:p>
    <w:p>
      <w:pPr>
        <w:ind w:right="320" w:firstLine="1069"/>
        <w:spacing w:after="0" w:line="286" w:lineRule="auto"/>
        <w:rPr>
          <w:sz w:val="20"/>
          <w:szCs w:val="20"/>
          <w:color w:val="auto"/>
        </w:rPr>
      </w:pPr>
      <w:r>
        <w:rPr>
          <w:rFonts w:ascii="Arial" w:cs="Arial" w:eastAsia="Arial" w:hAnsi="Arial"/>
          <w:sz w:val="14"/>
          <w:szCs w:val="14"/>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137" w:lineRule="exact"/>
        <w:rPr>
          <w:sz w:val="20"/>
          <w:szCs w:val="20"/>
          <w:color w:val="auto"/>
        </w:rPr>
      </w:pPr>
    </w:p>
    <w:p>
      <w:pPr>
        <w:ind w:firstLine="1069"/>
        <w:spacing w:after="0" w:line="269" w:lineRule="auto"/>
        <w:rPr>
          <w:sz w:val="20"/>
          <w:szCs w:val="20"/>
          <w:color w:val="auto"/>
        </w:rPr>
      </w:pPr>
      <w:r>
        <w:rPr>
          <w:rFonts w:ascii="Arial" w:cs="Arial" w:eastAsia="Arial" w:hAnsi="Arial"/>
          <w:sz w:val="15"/>
          <w:szCs w:val="15"/>
          <w:color w:val="auto"/>
        </w:rPr>
        <w:t>WHEREAS, the Company and each other Grantor has determined that the execution, delivery and performance of this Agreement directly benefits, and are in the best interest of the Company and each other Grantor; and</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NOW, THEREFORE, in consideration of the premises and the agreements herein and in order to induce the Buyer to perform under the Debt Assumption Agreement, each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Grantor agrees with the Buyer as follows:</w:t>
      </w:r>
    </w:p>
    <w:p>
      <w:pPr>
        <w:spacing w:after="0" w:line="174" w:lineRule="exact"/>
        <w:rPr>
          <w:sz w:val="20"/>
          <w:szCs w:val="20"/>
          <w:color w:val="auto"/>
        </w:rPr>
      </w:pPr>
    </w:p>
    <w:p>
      <w:pPr>
        <w:ind w:left="1080"/>
        <w:spacing w:after="0"/>
        <w:tabs>
          <w:tab w:leader="none" w:pos="220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Definitions.</w:t>
      </w:r>
    </w:p>
    <w:p>
      <w:pPr>
        <w:spacing w:after="0" w:line="184" w:lineRule="exact"/>
        <w:rPr>
          <w:sz w:val="20"/>
          <w:szCs w:val="20"/>
          <w:color w:val="auto"/>
        </w:rPr>
      </w:pPr>
    </w:p>
    <w:p>
      <w:pPr>
        <w:ind w:right="120" w:firstLine="1078"/>
        <w:spacing w:after="0" w:line="279" w:lineRule="auto"/>
        <w:tabs>
          <w:tab w:leader="none" w:pos="1605" w:val="left"/>
        </w:tabs>
        <w:numPr>
          <w:ilvl w:val="0"/>
          <w:numId w:val="193"/>
        </w:numPr>
        <w:rPr>
          <w:rFonts w:ascii="Arial" w:cs="Arial" w:eastAsia="Arial" w:hAnsi="Arial"/>
          <w:sz w:val="14"/>
          <w:szCs w:val="14"/>
          <w:color w:val="auto"/>
        </w:rPr>
      </w:pPr>
      <w:r>
        <w:rPr>
          <w:rFonts w:ascii="Arial" w:cs="Arial" w:eastAsia="Arial" w:hAnsi="Arial"/>
          <w:sz w:val="14"/>
          <w:szCs w:val="14"/>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4"/>
          <w:szCs w:val="14"/>
          <w:b w:val="1"/>
          <w:bCs w:val="1"/>
          <w:color w:val="auto"/>
        </w:rPr>
        <w:t>Code</w:t>
      </w:r>
      <w:r>
        <w:rPr>
          <w:rFonts w:ascii="Arial" w:cs="Arial" w:eastAsia="Arial" w:hAnsi="Arial"/>
          <w:sz w:val="14"/>
          <w:szCs w:val="14"/>
          <w:color w:val="auto"/>
        </w:rPr>
        <w:t xml:space="preserve">") as in effect from time to time in the State of New York, and which are not otherwise defined herein shall have the same meanings herein as set forth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142" w:lineRule="exact"/>
        <w:rPr>
          <w:rFonts w:ascii="Arial" w:cs="Arial" w:eastAsia="Arial" w:hAnsi="Arial"/>
          <w:sz w:val="14"/>
          <w:szCs w:val="14"/>
          <w:color w:val="auto"/>
        </w:rPr>
      </w:pPr>
    </w:p>
    <w:p>
      <w:pPr>
        <w:jc w:val="both"/>
        <w:ind w:right="300" w:firstLine="1078"/>
        <w:spacing w:after="0" w:line="255" w:lineRule="auto"/>
        <w:tabs>
          <w:tab w:leader="none" w:pos="1611"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157" w:lineRule="exact"/>
        <w:rPr>
          <w:rFonts w:ascii="Arial" w:cs="Arial" w:eastAsia="Arial" w:hAnsi="Arial"/>
          <w:sz w:val="15"/>
          <w:szCs w:val="15"/>
          <w:color w:val="auto"/>
        </w:rPr>
      </w:pPr>
    </w:p>
    <w:p>
      <w:pPr>
        <w:ind w:right="120" w:firstLine="1078"/>
        <w:spacing w:after="0" w:line="269" w:lineRule="auto"/>
        <w:tabs>
          <w:tab w:leader="none" w:pos="1597"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As used in this Agreement, the following terms shall have the respective meanings indicated below, such meanings to be applicable equally to both the singular and plural forms of such terms: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45" w:name="page146"/>
    <w:bookmarkEnd w:id="145"/>
    <w:p>
      <w:pPr>
        <w:ind w:right="220" w:firstLine="1069"/>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 Licenses</w:t>
      </w:r>
      <w:r>
        <w:rPr>
          <w:rFonts w:ascii="Arial" w:cs="Arial" w:eastAsia="Arial" w:hAnsi="Arial"/>
          <w:sz w:val="15"/>
          <w:szCs w:val="15"/>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39" w:lineRule="exact"/>
        <w:rPr>
          <w:sz w:val="20"/>
          <w:szCs w:val="20"/>
          <w:color w:val="auto"/>
        </w:rPr>
      </w:pPr>
    </w:p>
    <w:p>
      <w:pPr>
        <w:ind w:right="100" w:firstLine="1069"/>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Copyrights</w:t>
      </w:r>
      <w:r>
        <w:rPr>
          <w:rFonts w:ascii="Arial" w:cs="Arial" w:eastAsia="Arial" w:hAnsi="Arial"/>
          <w:sz w:val="15"/>
          <w:szCs w:val="15"/>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157" w:lineRule="exact"/>
        <w:rPr>
          <w:sz w:val="20"/>
          <w:szCs w:val="20"/>
          <w:color w:val="auto"/>
        </w:rPr>
      </w:pPr>
    </w:p>
    <w:p>
      <w:pPr>
        <w:ind w:right="160"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Event of Default</w:t>
      </w:r>
      <w:r>
        <w:rPr>
          <w:rFonts w:ascii="Arial" w:cs="Arial" w:eastAsia="Arial" w:hAnsi="Arial"/>
          <w:sz w:val="15"/>
          <w:szCs w:val="15"/>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Existing Issuer</w:t>
      </w:r>
      <w:r>
        <w:rPr>
          <w:rFonts w:ascii="Arial" w:cs="Arial" w:eastAsia="Arial" w:hAnsi="Arial"/>
          <w:sz w:val="15"/>
          <w:szCs w:val="15"/>
          <w:color w:val="auto"/>
        </w:rPr>
        <w:t>" has the meaning specified therefor in the definition of the term "Pledged Shares".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Guaranty</w:t>
      </w:r>
      <w:r>
        <w:rPr>
          <w:rFonts w:ascii="Arial" w:cs="Arial" w:eastAsia="Arial" w:hAnsi="Arial"/>
          <w:sz w:val="15"/>
          <w:szCs w:val="15"/>
          <w:color w:val="auto"/>
        </w:rPr>
        <w:t>" means the Amended and Restated Guaranty, dated as of the date hereof, by the Existing Subsidiaries in favor of the Buyer.</w:t>
      </w:r>
    </w:p>
    <w:p>
      <w:pPr>
        <w:spacing w:after="0" w:line="184" w:lineRule="exact"/>
        <w:rPr>
          <w:sz w:val="20"/>
          <w:szCs w:val="20"/>
          <w:color w:val="auto"/>
        </w:rPr>
      </w:pPr>
    </w:p>
    <w:p>
      <w:pPr>
        <w:ind w:right="180"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Insolvency Proceeding</w:t>
      </w:r>
      <w:r>
        <w:rPr>
          <w:rFonts w:ascii="Arial" w:cs="Arial" w:eastAsia="Arial" w:hAnsi="Arial"/>
          <w:sz w:val="15"/>
          <w:szCs w:val="15"/>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the Copyrights, Trademarks and Patents.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Licenses</w:t>
      </w:r>
      <w:r>
        <w:rPr>
          <w:rFonts w:ascii="Arial" w:cs="Arial" w:eastAsia="Arial" w:hAnsi="Arial"/>
          <w:sz w:val="15"/>
          <w:szCs w:val="15"/>
          <w:color w:val="auto"/>
        </w:rPr>
        <w:t>" means the Copyright Licenses, the Trademark Licenses and the Patent Licenses.</w:t>
      </w:r>
    </w:p>
    <w:p>
      <w:pPr>
        <w:spacing w:after="0" w:line="184" w:lineRule="exact"/>
        <w:rPr>
          <w:sz w:val="20"/>
          <w:szCs w:val="20"/>
          <w:color w:val="auto"/>
        </w:rPr>
      </w:pPr>
    </w:p>
    <w:p>
      <w:pPr>
        <w:ind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Obligations</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20" w:top="748" w:right="259" w:bottom="1440" w:gutter="0" w:footer="0" w:header="0"/>
        </w:sectPr>
      </w:pPr>
    </w:p>
    <w:bookmarkStart w:id="146" w:name="page147"/>
    <w:bookmarkEnd w:id="146"/>
    <w:p>
      <w:pPr>
        <w:ind w:right="220" w:firstLine="1069"/>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Patent Licenses</w:t>
      </w:r>
      <w:r>
        <w:rPr>
          <w:rFonts w:ascii="Arial" w:cs="Arial" w:eastAsia="Arial" w:hAnsi="Arial"/>
          <w:sz w:val="15"/>
          <w:szCs w:val="15"/>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39" w:lineRule="exact"/>
        <w:rPr>
          <w:sz w:val="20"/>
          <w:szCs w:val="20"/>
          <w:color w:val="auto"/>
        </w:rPr>
      </w:pPr>
    </w:p>
    <w:p>
      <w:pPr>
        <w:ind w:firstLine="1069"/>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Patents</w:t>
      </w:r>
      <w:r>
        <w:rPr>
          <w:rFonts w:ascii="Arial" w:cs="Arial" w:eastAsia="Arial" w:hAnsi="Arial"/>
          <w:sz w:val="14"/>
          <w:szCs w:val="14"/>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shall have the meaning as ascribed to such term in the Note.</w:t>
      </w:r>
    </w:p>
    <w:p>
      <w:pPr>
        <w:spacing w:after="0" w:line="184" w:lineRule="exact"/>
        <w:rPr>
          <w:sz w:val="20"/>
          <w:szCs w:val="20"/>
          <w:color w:val="auto"/>
        </w:rPr>
      </w:pPr>
    </w:p>
    <w:p>
      <w:pPr>
        <w:ind w:right="160" w:firstLine="1069"/>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Debt</w:t>
      </w:r>
      <w:r>
        <w:rPr>
          <w:rFonts w:ascii="Arial" w:cs="Arial" w:eastAsia="Arial" w:hAnsi="Arial"/>
          <w:sz w:val="15"/>
          <w:szCs w:val="15"/>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Interests</w:t>
      </w:r>
      <w:r>
        <w:rPr>
          <w:rFonts w:ascii="Arial" w:cs="Arial" w:eastAsia="Arial" w:hAnsi="Arial"/>
          <w:sz w:val="15"/>
          <w:szCs w:val="15"/>
          <w:color w:val="auto"/>
        </w:rPr>
        <w:t>" means, collectively, (a) the Pledged Debt, (b) the Pledged Shares and (c) all security entitlements in any and all of the foregoing.</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Issuer</w:t>
      </w:r>
      <w:r>
        <w:rPr>
          <w:rFonts w:ascii="Arial" w:cs="Arial" w:eastAsia="Arial" w:hAnsi="Arial"/>
          <w:sz w:val="15"/>
          <w:szCs w:val="15"/>
          <w:color w:val="auto"/>
        </w:rPr>
        <w:t>" has the meaning specified therefor in the definition of the term "Pledged Shares".</w:t>
      </w:r>
    </w:p>
    <w:p>
      <w:pPr>
        <w:spacing w:after="0" w:line="184" w:lineRule="exact"/>
        <w:rPr>
          <w:sz w:val="20"/>
          <w:szCs w:val="20"/>
          <w:color w:val="auto"/>
        </w:rPr>
      </w:pPr>
    </w:p>
    <w:p>
      <w:pPr>
        <w:ind w:right="40" w:firstLine="1069"/>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Pledged Shares</w:t>
      </w:r>
      <w:r>
        <w:rPr>
          <w:rFonts w:ascii="Arial" w:cs="Arial" w:eastAsia="Arial" w:hAnsi="Arial"/>
          <w:sz w:val="14"/>
          <w:szCs w:val="14"/>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4"/>
          <w:szCs w:val="14"/>
          <w:u w:val="single" w:color="auto"/>
          <w:color w:val="auto"/>
        </w:rPr>
        <w:t>Existing Issuers</w:t>
      </w:r>
      <w:r>
        <w:rPr>
          <w:rFonts w:ascii="Arial" w:cs="Arial" w:eastAsia="Arial" w:hAnsi="Arial"/>
          <w:sz w:val="14"/>
          <w:szCs w:val="14"/>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4"/>
          <w:szCs w:val="14"/>
          <w:u w:val="single" w:color="auto"/>
          <w:color w:val="auto"/>
        </w:rPr>
        <w:t>Pledged Issuers</w:t>
      </w:r>
      <w:r>
        <w:rPr>
          <w:rFonts w:ascii="Arial" w:cs="Arial" w:eastAsia="Arial" w:hAnsi="Arial"/>
          <w:sz w:val="14"/>
          <w:szCs w:val="14"/>
          <w:color w:val="auto"/>
        </w:rPr>
        <w:t>" and each individually as a "</w:t>
      </w:r>
      <w:r>
        <w:rPr>
          <w:rFonts w:ascii="Arial" w:cs="Arial" w:eastAsia="Arial" w:hAnsi="Arial"/>
          <w:sz w:val="14"/>
          <w:szCs w:val="14"/>
          <w:u w:val="single" w:color="auto"/>
          <w:color w:val="auto"/>
        </w:rPr>
        <w:t>Pledged Issuer</w:t>
      </w:r>
      <w:r>
        <w:rPr>
          <w:rFonts w:ascii="Arial" w:cs="Arial" w:eastAsia="Arial" w:hAnsi="Arial"/>
          <w:sz w:val="14"/>
          <w:szCs w:val="14"/>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 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48" w:right="239" w:bottom="1440" w:gutter="0" w:footer="0" w:header="0"/>
        </w:sectPr>
      </w:pPr>
    </w:p>
    <w:bookmarkStart w:id="147" w:name="page148"/>
    <w:bookmarkEnd w:id="147"/>
    <w:p>
      <w:pPr>
        <w:ind w:right="160" w:firstLine="1069"/>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 Licenses</w:t>
      </w:r>
      <w:r>
        <w:rPr>
          <w:rFonts w:ascii="Arial" w:cs="Arial" w:eastAsia="Arial" w:hAnsi="Arial"/>
          <w:sz w:val="15"/>
          <w:szCs w:val="15"/>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52" w:lineRule="exact"/>
        <w:rPr>
          <w:sz w:val="20"/>
          <w:szCs w:val="20"/>
          <w:color w:val="auto"/>
        </w:rPr>
      </w:pPr>
    </w:p>
    <w:p>
      <w:pPr>
        <w:ind w:right="20" w:firstLine="1069"/>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Trademarks</w:t>
      </w:r>
      <w:r>
        <w:rPr>
          <w:rFonts w:ascii="Arial" w:cs="Arial" w:eastAsia="Arial" w:hAnsi="Arial"/>
          <w:sz w:val="14"/>
          <w:szCs w:val="14"/>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148" w:lineRule="exact"/>
        <w:rPr>
          <w:sz w:val="20"/>
          <w:szCs w:val="20"/>
          <w:color w:val="auto"/>
        </w:rPr>
      </w:pPr>
    </w:p>
    <w:p>
      <w:pPr>
        <w:ind w:right="180" w:firstLine="1069"/>
        <w:spacing w:after="0" w:line="258"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Grant of Security Interest.</w:t>
      </w:r>
      <w:r>
        <w:rPr>
          <w:rFonts w:ascii="Arial" w:cs="Arial" w:eastAsia="Arial" w:hAnsi="Arial"/>
          <w:sz w:val="15"/>
          <w:szCs w:val="15"/>
          <w:color w:val="auto"/>
        </w:rPr>
        <w:t xml:space="preserve">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5"/>
          <w:szCs w:val="15"/>
          <w:b w:val="1"/>
          <w:bCs w:val="1"/>
          <w:color w:val="auto"/>
        </w:rPr>
        <w:t>Collateral</w:t>
      </w:r>
      <w:r>
        <w:rPr>
          <w:rFonts w:ascii="Arial" w:cs="Arial" w:eastAsia="Arial" w:hAnsi="Arial"/>
          <w:sz w:val="15"/>
          <w:szCs w:val="15"/>
          <w:color w:val="auto"/>
        </w:rPr>
        <w:t>"), including, without limitation, the following:</w:t>
      </w:r>
    </w:p>
    <w:p>
      <w:pPr>
        <w:spacing w:after="0" w:line="157" w:lineRule="exact"/>
        <w:rPr>
          <w:sz w:val="20"/>
          <w:szCs w:val="20"/>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Accounts;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Chattel Paper (whether tangible or electronic);</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the Commercial Tort Claims specified on </w:t>
      </w:r>
      <w:r>
        <w:rPr>
          <w:rFonts w:ascii="Arial" w:cs="Arial" w:eastAsia="Arial" w:hAnsi="Arial"/>
          <w:sz w:val="15"/>
          <w:szCs w:val="15"/>
          <w:u w:val="single" w:color="auto"/>
          <w:color w:val="auto"/>
        </w:rPr>
        <w:t>Schedule VI</w:t>
      </w:r>
      <w:r>
        <w:rPr>
          <w:rFonts w:ascii="Arial" w:cs="Arial" w:eastAsia="Arial" w:hAnsi="Arial"/>
          <w:sz w:val="15"/>
          <w:szCs w:val="15"/>
          <w:color w:val="auto"/>
        </w:rPr>
        <w:t xml:space="preserve"> hereto;</w:t>
      </w:r>
    </w:p>
    <w:p>
      <w:pPr>
        <w:spacing w:after="0" w:line="183" w:lineRule="exact"/>
        <w:rPr>
          <w:rFonts w:ascii="Arial" w:cs="Arial" w:eastAsia="Arial" w:hAnsi="Arial"/>
          <w:sz w:val="15"/>
          <w:szCs w:val="15"/>
          <w:color w:val="auto"/>
        </w:rPr>
      </w:pPr>
    </w:p>
    <w:p>
      <w:pPr>
        <w:ind w:firstLine="1078"/>
        <w:spacing w:after="0" w:line="269" w:lineRule="auto"/>
        <w:tabs>
          <w:tab w:leader="none" w:pos="1613"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Documents;</w:t>
      </w:r>
    </w:p>
    <w:p>
      <w:pPr>
        <w:spacing w:after="0" w:line="183" w:lineRule="exact"/>
        <w:rPr>
          <w:rFonts w:ascii="Arial" w:cs="Arial" w:eastAsia="Arial" w:hAnsi="Arial"/>
          <w:sz w:val="15"/>
          <w:szCs w:val="15"/>
          <w:color w:val="auto"/>
        </w:rPr>
      </w:pPr>
    </w:p>
    <w:p>
      <w:pPr>
        <w:ind w:left="1600" w:hanging="522"/>
        <w:spacing w:after="0"/>
        <w:tabs>
          <w:tab w:leader="none" w:pos="16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Equipment;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48" w:right="239" w:bottom="1440" w:gutter="0" w:footer="0" w:header="0"/>
        </w:sectPr>
      </w:pPr>
    </w:p>
    <w:bookmarkStart w:id="148" w:name="page149"/>
    <w:bookmarkEnd w:id="148"/>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Fixtures;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General Intangibles (including, without limitation, all Payment Intangibles);</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Goods;</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Instruments (including, without limitation, Promissory Notes and each certificated Security);</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Inventory;</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Investment Property;</w:t>
      </w:r>
    </w:p>
    <w:p>
      <w:pPr>
        <w:spacing w:after="0" w:line="183" w:lineRule="exact"/>
        <w:rPr>
          <w:rFonts w:ascii="Arial" w:cs="Arial" w:eastAsia="Arial" w:hAnsi="Arial"/>
          <w:sz w:val="15"/>
          <w:szCs w:val="15"/>
          <w:color w:val="auto"/>
        </w:rPr>
      </w:pPr>
    </w:p>
    <w:p>
      <w:pPr>
        <w:ind w:left="1640" w:hanging="562"/>
        <w:spacing w:after="0"/>
        <w:tabs>
          <w:tab w:leader="none" w:pos="1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Copyrights, Patents and Trademarks, and all Licenses;</w:t>
      </w:r>
    </w:p>
    <w:p>
      <w:pPr>
        <w:spacing w:after="0" w:line="183" w:lineRule="exact"/>
        <w:rPr>
          <w:rFonts w:ascii="Arial" w:cs="Arial" w:eastAsia="Arial" w:hAnsi="Arial"/>
          <w:sz w:val="15"/>
          <w:szCs w:val="15"/>
          <w:color w:val="auto"/>
        </w:rPr>
      </w:pPr>
    </w:p>
    <w:p>
      <w:pPr>
        <w:ind w:left="1600" w:hanging="522"/>
        <w:spacing w:after="0"/>
        <w:tabs>
          <w:tab w:leader="none" w:pos="16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Letter-of-Credit Rights;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Supporting Obligations;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Pledged Interests;</w:t>
      </w:r>
    </w:p>
    <w:p>
      <w:pPr>
        <w:spacing w:after="0" w:line="183" w:lineRule="exact"/>
        <w:rPr>
          <w:rFonts w:ascii="Arial" w:cs="Arial" w:eastAsia="Arial" w:hAnsi="Arial"/>
          <w:sz w:val="15"/>
          <w:szCs w:val="15"/>
          <w:color w:val="auto"/>
        </w:rPr>
      </w:pPr>
    </w:p>
    <w:p>
      <w:pPr>
        <w:ind w:firstLine="1078"/>
        <w:spacing w:after="0" w:line="298" w:lineRule="auto"/>
        <w:tabs>
          <w:tab w:leader="none" w:pos="1613" w:val="left"/>
        </w:tabs>
        <w:numPr>
          <w:ilvl w:val="0"/>
          <w:numId w:val="195"/>
        </w:numPr>
        <w:rPr>
          <w:rFonts w:ascii="Arial" w:cs="Arial" w:eastAsia="Arial" w:hAnsi="Arial"/>
          <w:sz w:val="13"/>
          <w:szCs w:val="13"/>
          <w:color w:val="auto"/>
        </w:rPr>
      </w:pPr>
      <w:r>
        <w:rPr>
          <w:rFonts w:ascii="Arial" w:cs="Arial" w:eastAsia="Arial" w:hAnsi="Arial"/>
          <w:sz w:val="13"/>
          <w:szCs w:val="13"/>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or are otherwise necessary or helpful in the collection or realization thereof; and</w:t>
      </w:r>
    </w:p>
    <w:p>
      <w:pPr>
        <w:spacing w:after="0" w:line="133" w:lineRule="exact"/>
        <w:rPr>
          <w:rFonts w:ascii="Arial" w:cs="Arial" w:eastAsia="Arial" w:hAnsi="Arial"/>
          <w:sz w:val="13"/>
          <w:szCs w:val="13"/>
          <w:color w:val="auto"/>
        </w:rPr>
      </w:pPr>
    </w:p>
    <w:p>
      <w:pPr>
        <w:ind w:left="1600" w:hanging="522"/>
        <w:spacing w:after="0"/>
        <w:tabs>
          <w:tab w:leader="none" w:pos="16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Proceeds, including all Cash Proceeds and Noncash Proceeds, and products of any and all of the foregoing Collateral;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 each case howsoever such Grantor's interest therein may arise or appear (whether by ownership, security interest, claim or otherwise).</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49" w:name="page150"/>
    <w:bookmarkEnd w:id="149"/>
    <w:p>
      <w:pPr>
        <w:ind w:right="40" w:firstLine="1069"/>
        <w:spacing w:after="0" w:line="269"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Security for Obligations</w:t>
      </w:r>
      <w:r>
        <w:rPr>
          <w:rFonts w:ascii="Arial" w:cs="Arial" w:eastAsia="Arial" w:hAnsi="Arial"/>
          <w:sz w:val="15"/>
          <w:szCs w:val="15"/>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148" w:lineRule="exact"/>
        <w:rPr>
          <w:sz w:val="20"/>
          <w:szCs w:val="20"/>
          <w:color w:val="auto"/>
        </w:rPr>
      </w:pPr>
    </w:p>
    <w:p>
      <w:pPr>
        <w:ind w:right="40" w:firstLine="1078"/>
        <w:spacing w:after="0" w:line="279" w:lineRule="auto"/>
        <w:tabs>
          <w:tab w:leader="none" w:pos="1605"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 (B) all amounts from time to time owing by such Grantor under the Guaranty; and</w:t>
      </w:r>
    </w:p>
    <w:p>
      <w:pPr>
        <w:spacing w:after="0" w:line="142" w:lineRule="exact"/>
        <w:rPr>
          <w:rFonts w:ascii="Arial" w:cs="Arial" w:eastAsia="Arial" w:hAnsi="Arial"/>
          <w:sz w:val="14"/>
          <w:szCs w:val="14"/>
          <w:color w:val="auto"/>
        </w:rPr>
      </w:pPr>
    </w:p>
    <w:p>
      <w:pPr>
        <w:ind w:right="160" w:firstLine="1078"/>
        <w:spacing w:after="0" w:line="269" w:lineRule="auto"/>
        <w:tabs>
          <w:tab w:leader="none" w:pos="1613"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due performance and observance by each Grantor of all of its other obligations from time to time existing in respect of any of the Note Transaction Documents for so long as the Note are outstanding.</w:t>
      </w:r>
    </w:p>
    <w:p>
      <w:pPr>
        <w:spacing w:after="0" w:line="148" w:lineRule="exact"/>
        <w:rPr>
          <w:sz w:val="20"/>
          <w:szCs w:val="20"/>
          <w:color w:val="auto"/>
        </w:rPr>
      </w:pPr>
    </w:p>
    <w:p>
      <w:pPr>
        <w:ind w:left="1080"/>
        <w:spacing w:after="0"/>
        <w:tabs>
          <w:tab w:leader="none" w:pos="220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3"/>
          <w:szCs w:val="13"/>
          <w:u w:val="single" w:color="auto"/>
          <w:color w:val="auto"/>
        </w:rPr>
        <w:t xml:space="preserve">Representations and Warranties. </w:t>
      </w:r>
      <w:r>
        <w:rPr>
          <w:rFonts w:ascii="Arial" w:cs="Arial" w:eastAsia="Arial" w:hAnsi="Arial"/>
          <w:sz w:val="13"/>
          <w:szCs w:val="13"/>
          <w:color w:val="auto"/>
        </w:rPr>
        <w:t>Each Grantor (that is not an Existing Grantor) represents and warrants as to itself as follows:</w:t>
      </w:r>
    </w:p>
    <w:p>
      <w:pPr>
        <w:spacing w:after="0" w:line="184" w:lineRule="exact"/>
        <w:rPr>
          <w:sz w:val="20"/>
          <w:szCs w:val="20"/>
          <w:color w:val="auto"/>
        </w:rPr>
      </w:pPr>
    </w:p>
    <w:p>
      <w:pPr>
        <w:ind w:right="620" w:firstLine="1078"/>
        <w:spacing w:after="0" w:line="269" w:lineRule="auto"/>
        <w:tabs>
          <w:tab w:leader="none" w:pos="1605"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sets forth (i) the exact legal name of such Grantor, and (ii) the organizational identification number of such Grantor or states that no such organizational identification number exists.</w:t>
      </w:r>
    </w:p>
    <w:p>
      <w:pPr>
        <w:spacing w:after="0" w:line="147" w:lineRule="exact"/>
        <w:rPr>
          <w:rFonts w:ascii="Arial" w:cs="Arial" w:eastAsia="Arial" w:hAnsi="Arial"/>
          <w:sz w:val="15"/>
          <w:szCs w:val="15"/>
          <w:color w:val="auto"/>
        </w:rPr>
      </w:pPr>
    </w:p>
    <w:p>
      <w:pPr>
        <w:jc w:val="both"/>
        <w:ind w:right="60" w:firstLine="1078"/>
        <w:spacing w:after="0" w:line="258" w:lineRule="auto"/>
        <w:tabs>
          <w:tab w:leader="none" w:pos="1611"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156" w:lineRule="exact"/>
        <w:rPr>
          <w:rFonts w:ascii="Arial" w:cs="Arial" w:eastAsia="Arial" w:hAnsi="Arial"/>
          <w:sz w:val="15"/>
          <w:szCs w:val="15"/>
          <w:color w:val="auto"/>
        </w:rPr>
      </w:pPr>
    </w:p>
    <w:p>
      <w:pPr>
        <w:ind w:firstLine="1078"/>
        <w:spacing w:after="0" w:line="253" w:lineRule="auto"/>
        <w:tabs>
          <w:tab w:leader="none" w:pos="159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 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5"/>
          <w:szCs w:val="15"/>
          <w:b w:val="1"/>
          <w:bCs w:val="1"/>
          <w:color w:val="auto"/>
        </w:rPr>
        <w:t>GAAP</w:t>
      </w:r>
      <w:r>
        <w:rPr>
          <w:rFonts w:ascii="Arial" w:cs="Arial" w:eastAsia="Arial" w:hAnsi="Arial"/>
          <w:sz w:val="15"/>
          <w:szCs w:val="15"/>
          <w:color w:val="auto"/>
        </w:rPr>
        <w:t>").</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50" w:name="page151"/>
    <w:bookmarkEnd w:id="150"/>
    <w:p>
      <w:pPr>
        <w:ind w:left="-60" w:right="40" w:firstLine="1078"/>
        <w:spacing w:after="0" w:line="293" w:lineRule="auto"/>
        <w:tabs>
          <w:tab w:leader="none" w:pos="1545" w:val="left"/>
        </w:tabs>
        <w:numPr>
          <w:ilvl w:val="0"/>
          <w:numId w:val="198"/>
        </w:numPr>
        <w:rPr>
          <w:rFonts w:ascii="Arial" w:cs="Arial" w:eastAsia="Arial" w:hAnsi="Arial"/>
          <w:sz w:val="13"/>
          <w:szCs w:val="13"/>
          <w:color w:val="auto"/>
        </w:rPr>
      </w:pPr>
      <w:r>
        <w:rPr>
          <w:rFonts w:ascii="Arial" w:cs="Arial" w:eastAsia="Arial" w:hAnsi="Arial"/>
          <w:sz w:val="13"/>
          <w:szCs w:val="13"/>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and with respect to which the Buyer has filed financing statements and otherwise fully perfected its Liens thereon, subject to </w:t>
      </w:r>
      <w:r>
        <w:rPr>
          <w:rFonts w:ascii="Arial" w:cs="Arial" w:eastAsia="Arial" w:hAnsi="Arial"/>
          <w:sz w:val="13"/>
          <w:szCs w:val="13"/>
          <w:u w:val="single" w:color="auto"/>
          <w:color w:val="auto"/>
        </w:rPr>
        <w:t>Section 5(n)</w:t>
      </w:r>
      <w:r>
        <w:rPr>
          <w:rFonts w:ascii="Arial" w:cs="Arial" w:eastAsia="Arial" w:hAnsi="Arial"/>
          <w:sz w:val="13"/>
          <w:szCs w:val="13"/>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hereto. None of the Accounts is evidenced by Promissory Notes or other Instruments. Set forth in </w:t>
      </w:r>
      <w:r>
        <w:rPr>
          <w:rFonts w:ascii="Arial" w:cs="Arial" w:eastAsia="Arial" w:hAnsi="Arial"/>
          <w:sz w:val="13"/>
          <w:szCs w:val="13"/>
          <w:u w:val="single" w:color="auto"/>
          <w:color w:val="auto"/>
        </w:rPr>
        <w:t>Schedule IV</w:t>
      </w:r>
      <w:r>
        <w:rPr>
          <w:rFonts w:ascii="Arial" w:cs="Arial" w:eastAsia="Arial" w:hAnsi="Arial"/>
          <w:sz w:val="13"/>
          <w:szCs w:val="13"/>
          <w:color w:val="auto"/>
        </w:rPr>
        <w:t xml:space="preserve"> hereto is a complete and accurate list, as of the date of this Agreement, of (i) 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139" w:lineRule="exact"/>
        <w:rPr>
          <w:rFonts w:ascii="Arial" w:cs="Arial" w:eastAsia="Arial" w:hAnsi="Arial"/>
          <w:sz w:val="13"/>
          <w:szCs w:val="13"/>
          <w:color w:val="auto"/>
        </w:rPr>
      </w:pPr>
    </w:p>
    <w:p>
      <w:pPr>
        <w:ind w:left="-60" w:right="40" w:firstLine="1078"/>
        <w:spacing w:after="0" w:line="272" w:lineRule="auto"/>
        <w:tabs>
          <w:tab w:leader="none" w:pos="1545" w:val="left"/>
        </w:tabs>
        <w:numPr>
          <w:ilvl w:val="0"/>
          <w:numId w:val="198"/>
        </w:numPr>
        <w:rPr>
          <w:rFonts w:ascii="Arial" w:cs="Arial" w:eastAsia="Arial" w:hAnsi="Arial"/>
          <w:sz w:val="14"/>
          <w:szCs w:val="14"/>
          <w:color w:val="auto"/>
        </w:rPr>
      </w:pPr>
      <w:r>
        <w:rPr>
          <w:rFonts w:ascii="Arial" w:cs="Arial" w:eastAsia="Arial" w:hAnsi="Arial"/>
          <w:sz w:val="14"/>
          <w:szCs w:val="14"/>
          <w:color w:val="auto"/>
        </w:rPr>
        <w:t xml:space="preserve">Such Grantor has delivered or made available to the Buyer complete and correct copies of each License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148" w:lineRule="exact"/>
        <w:rPr>
          <w:rFonts w:ascii="Arial" w:cs="Arial" w:eastAsia="Arial" w:hAnsi="Arial"/>
          <w:sz w:val="14"/>
          <w:szCs w:val="14"/>
          <w:color w:val="auto"/>
        </w:rPr>
      </w:pPr>
    </w:p>
    <w:p>
      <w:pPr>
        <w:ind w:left="-60" w:firstLine="1078"/>
        <w:spacing w:after="0" w:line="270" w:lineRule="auto"/>
        <w:tabs>
          <w:tab w:leader="none" w:pos="1529" w:val="left"/>
        </w:tabs>
        <w:numPr>
          <w:ilvl w:val="0"/>
          <w:numId w:val="198"/>
        </w:numPr>
        <w:rPr>
          <w:rFonts w:ascii="Arial" w:cs="Arial" w:eastAsia="Arial" w:hAnsi="Arial"/>
          <w:sz w:val="14"/>
          <w:szCs w:val="14"/>
          <w:color w:val="auto"/>
        </w:rPr>
      </w:pPr>
      <w:r>
        <w:rPr>
          <w:rFonts w:ascii="Arial" w:cs="Arial" w:eastAsia="Arial" w:hAnsi="Arial"/>
          <w:sz w:val="14"/>
          <w:szCs w:val="14"/>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51" w:name="page152"/>
    <w:bookmarkEnd w:id="151"/>
    <w:p>
      <w:pPr>
        <w:jc w:val="both"/>
        <w:ind w:firstLine="1078"/>
        <w:spacing w:after="0" w:line="255" w:lineRule="auto"/>
        <w:tabs>
          <w:tab w:leader="none" w:pos="161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 and (B) such as may have been filed to perfect any Permitted Liens.</w:t>
      </w:r>
    </w:p>
    <w:p>
      <w:pPr>
        <w:spacing w:after="0" w:line="157" w:lineRule="exact"/>
        <w:rPr>
          <w:rFonts w:ascii="Arial" w:cs="Arial" w:eastAsia="Arial" w:hAnsi="Arial"/>
          <w:sz w:val="15"/>
          <w:szCs w:val="15"/>
          <w:color w:val="auto"/>
        </w:rPr>
      </w:pPr>
    </w:p>
    <w:p>
      <w:pPr>
        <w:ind w:right="160" w:firstLine="1078"/>
        <w:spacing w:after="0" w:line="269" w:lineRule="auto"/>
        <w:tabs>
          <w:tab w:leader="none" w:pos="1611"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147" w:lineRule="exact"/>
        <w:rPr>
          <w:rFonts w:ascii="Arial" w:cs="Arial" w:eastAsia="Arial" w:hAnsi="Arial"/>
          <w:sz w:val="15"/>
          <w:szCs w:val="15"/>
          <w:color w:val="auto"/>
        </w:rPr>
      </w:pPr>
    </w:p>
    <w:p>
      <w:pPr>
        <w:ind w:firstLine="1078"/>
        <w:spacing w:after="0" w:line="255" w:lineRule="auto"/>
        <w:tabs>
          <w:tab w:leader="none" w:pos="158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w:t>
      </w:r>
    </w:p>
    <w:p>
      <w:pPr>
        <w:spacing w:after="0" w:line="157" w:lineRule="exact"/>
        <w:rPr>
          <w:rFonts w:ascii="Arial" w:cs="Arial" w:eastAsia="Arial" w:hAnsi="Arial"/>
          <w:sz w:val="15"/>
          <w:szCs w:val="15"/>
          <w:color w:val="auto"/>
        </w:rPr>
      </w:pPr>
    </w:p>
    <w:p>
      <w:pPr>
        <w:ind w:right="500" w:firstLine="1078"/>
        <w:spacing w:after="0" w:line="269" w:lineRule="auto"/>
        <w:tabs>
          <w:tab w:leader="none" w:pos="1578"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As of the date hereof, such Grantor does not hold any Commercial Tort Claims nor is aware of any such pending claims, except for such claims described in</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u w:val="single" w:color="auto"/>
          <w:color w:val="auto"/>
        </w:rPr>
        <w:t>Schedule VI</w:t>
      </w:r>
      <w:r>
        <w:rPr>
          <w:rFonts w:ascii="Arial" w:cs="Arial" w:eastAsia="Arial" w:hAnsi="Arial"/>
          <w:sz w:val="15"/>
          <w:szCs w:val="15"/>
          <w:color w:val="auto"/>
        </w:rPr>
        <w:t>.</w:t>
      </w:r>
    </w:p>
    <w:p>
      <w:pPr>
        <w:spacing w:after="0" w:line="174" w:lineRule="exact"/>
        <w:rPr>
          <w:sz w:val="20"/>
          <w:szCs w:val="20"/>
          <w:color w:val="auto"/>
        </w:rPr>
      </w:pPr>
    </w:p>
    <w:p>
      <w:pPr>
        <w:ind w:right="160" w:firstLine="1069"/>
        <w:spacing w:after="0" w:line="269"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Covenants as to the Collateral</w:t>
      </w:r>
      <w:r>
        <w:rPr>
          <w:rFonts w:ascii="Arial" w:cs="Arial" w:eastAsia="Arial" w:hAnsi="Arial"/>
          <w:sz w:val="15"/>
          <w:szCs w:val="15"/>
          <w:color w:val="auto"/>
        </w:rPr>
        <w:t>. Subject in all respects to Section 5(n), so long as any of the Obligations shall remain outstanding, unless the Buyer shall otherwise consent in writing:</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60"/>
          </w:cols>
          <w:pgMar w:left="220" w:top="753" w:right="319" w:bottom="1440" w:gutter="0" w:footer="0" w:header="0"/>
        </w:sectPr>
      </w:pPr>
    </w:p>
    <w:bookmarkStart w:id="152" w:name="page153"/>
    <w:bookmarkEnd w:id="152"/>
    <w:p>
      <w:pPr>
        <w:ind w:left="-9" w:right="40" w:firstLine="1078"/>
        <w:spacing w:after="0" w:line="288" w:lineRule="auto"/>
        <w:tabs>
          <w:tab w:leader="none" w:pos="1596" w:val="left"/>
        </w:tabs>
        <w:numPr>
          <w:ilvl w:val="1"/>
          <w:numId w:val="200"/>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w:t>
      </w:r>
    </w:p>
    <w:p>
      <w:pPr>
        <w:spacing w:after="0" w:line="2" w:lineRule="exact"/>
        <w:rPr>
          <w:rFonts w:ascii="Arial" w:cs="Arial" w:eastAsia="Arial" w:hAnsi="Arial"/>
          <w:sz w:val="13"/>
          <w:szCs w:val="13"/>
          <w:color w:val="auto"/>
        </w:rPr>
      </w:pPr>
    </w:p>
    <w:p>
      <w:pPr>
        <w:ind w:left="-9" w:right="40" w:firstLine="9"/>
        <w:spacing w:after="0" w:line="286" w:lineRule="auto"/>
        <w:tabs>
          <w:tab w:leader="none" w:pos="226" w:val="left"/>
        </w:tabs>
        <w:numPr>
          <w:ilvl w:val="0"/>
          <w:numId w:val="201"/>
        </w:numPr>
        <w:rPr>
          <w:rFonts w:ascii="Arial" w:cs="Arial" w:eastAsia="Arial" w:hAnsi="Arial"/>
          <w:sz w:val="13"/>
          <w:szCs w:val="13"/>
          <w:color w:val="auto"/>
        </w:rPr>
      </w:pPr>
      <w:r>
        <w:rPr>
          <w:rFonts w:ascii="Arial" w:cs="Arial" w:eastAsia="Arial" w:hAnsi="Arial"/>
          <w:sz w:val="13"/>
          <w:szCs w:val="13"/>
          <w:color w:val="auto"/>
        </w:rPr>
        <w:t>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w:t>
      </w:r>
    </w:p>
    <w:p>
      <w:pPr>
        <w:ind w:left="-9" w:right="20" w:firstLine="9"/>
        <w:spacing w:after="0" w:line="270" w:lineRule="auto"/>
        <w:tabs>
          <w:tab w:leader="none" w:pos="209" w:val="left"/>
        </w:tabs>
        <w:numPr>
          <w:ilvl w:val="0"/>
          <w:numId w:val="202"/>
        </w:numPr>
        <w:rPr>
          <w:rFonts w:ascii="Arial" w:cs="Arial" w:eastAsia="Arial" w:hAnsi="Arial"/>
          <w:sz w:val="14"/>
          <w:szCs w:val="14"/>
          <w:color w:val="auto"/>
        </w:rPr>
      </w:pPr>
      <w:r>
        <w:rPr>
          <w:rFonts w:ascii="Arial" w:cs="Arial" w:eastAsia="Arial" w:hAnsi="Arial"/>
          <w:sz w:val="14"/>
          <w:szCs w:val="14"/>
          <w:color w:val="auto"/>
        </w:rPr>
        <w:t>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 other law, as applicable, in any relevant Uniform Commercial Code jurisdiction, or by other law as applicable in any foreign jurisdiction.</w:t>
      </w:r>
    </w:p>
    <w:p>
      <w:pPr>
        <w:spacing w:after="0" w:line="150" w:lineRule="exact"/>
        <w:rPr>
          <w:rFonts w:ascii="Arial" w:cs="Arial" w:eastAsia="Arial" w:hAnsi="Arial"/>
          <w:sz w:val="14"/>
          <w:szCs w:val="14"/>
          <w:color w:val="auto"/>
        </w:rPr>
      </w:pPr>
    </w:p>
    <w:p>
      <w:pPr>
        <w:ind w:left="-9" w:firstLine="1078"/>
        <w:spacing w:after="0" w:line="258" w:lineRule="auto"/>
        <w:tabs>
          <w:tab w:leader="none" w:pos="1604"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Location of Equipment and Inventory</w:t>
      </w:r>
      <w:r>
        <w:rPr>
          <w:rFonts w:ascii="Arial" w:cs="Arial" w:eastAsia="Arial" w:hAnsi="Arial"/>
          <w:sz w:val="15"/>
          <w:szCs w:val="15"/>
          <w:color w:val="auto"/>
        </w:rPr>
        <w:t xml:space="preserve">. Each Grantor will keep the Equipment and Inventory at the locations specified therefor in </w:t>
      </w:r>
      <w:r>
        <w:rPr>
          <w:rFonts w:ascii="Arial" w:cs="Arial" w:eastAsia="Arial" w:hAnsi="Arial"/>
          <w:sz w:val="15"/>
          <w:szCs w:val="15"/>
          <w:u w:val="single" w:color="auto"/>
          <w:color w:val="auto"/>
        </w:rPr>
        <w:t>Section 4(g)</w:t>
      </w:r>
      <w:r>
        <w:rPr>
          <w:rFonts w:ascii="Arial" w:cs="Arial" w:eastAsia="Arial" w:hAnsi="Arial"/>
          <w:sz w:val="15"/>
          <w:szCs w:val="15"/>
          <w:color w:val="auto"/>
        </w:rPr>
        <w:t xml:space="preserve"> hereof or, upon not less than thirty (30) days' prior written notice to the Buyer accompanied by a new </w:t>
      </w:r>
      <w:r>
        <w:rPr>
          <w:rFonts w:ascii="Arial" w:cs="Arial" w:eastAsia="Arial" w:hAnsi="Arial"/>
          <w:sz w:val="15"/>
          <w:szCs w:val="15"/>
          <w:u w:val="single" w:color="auto"/>
          <w:color w:val="auto"/>
        </w:rPr>
        <w:t>Schedule V</w:t>
      </w:r>
      <w:r>
        <w:rPr>
          <w:rFonts w:ascii="Arial" w:cs="Arial" w:eastAsia="Arial" w:hAnsi="Arial"/>
          <w:sz w:val="15"/>
          <w:szCs w:val="15"/>
          <w:color w:val="auto"/>
        </w:rPr>
        <w:t xml:space="preserve"> hereto indicating each new location of the Equipment and Inventory, at such other locations in the United States.</w:t>
      </w:r>
    </w:p>
    <w:p>
      <w:pPr>
        <w:spacing w:after="0" w:line="156" w:lineRule="exact"/>
        <w:rPr>
          <w:rFonts w:ascii="Arial" w:cs="Arial" w:eastAsia="Arial" w:hAnsi="Arial"/>
          <w:sz w:val="15"/>
          <w:szCs w:val="15"/>
          <w:color w:val="auto"/>
        </w:rPr>
      </w:pPr>
    </w:p>
    <w:p>
      <w:pPr>
        <w:ind w:left="-9" w:right="40" w:firstLine="1078"/>
        <w:spacing w:after="0" w:line="253" w:lineRule="auto"/>
        <w:tabs>
          <w:tab w:leader="none" w:pos="1596"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Condition of Equipment</w:t>
      </w:r>
      <w:r>
        <w:rPr>
          <w:rFonts w:ascii="Arial" w:cs="Arial" w:eastAsia="Arial" w:hAnsi="Arial"/>
          <w:sz w:val="15"/>
          <w:szCs w:val="15"/>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160" w:lineRule="exact"/>
        <w:rPr>
          <w:rFonts w:ascii="Arial" w:cs="Arial" w:eastAsia="Arial" w:hAnsi="Arial"/>
          <w:sz w:val="15"/>
          <w:szCs w:val="15"/>
          <w:color w:val="auto"/>
        </w:rPr>
      </w:pPr>
    </w:p>
    <w:p>
      <w:pPr>
        <w:ind w:left="-9" w:right="40" w:firstLine="1078"/>
        <w:spacing w:after="0" w:line="255" w:lineRule="auto"/>
        <w:tabs>
          <w:tab w:leader="none" w:pos="1604"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Taxes, Etc.</w:t>
      </w:r>
      <w:r>
        <w:rPr>
          <w:rFonts w:ascii="Arial" w:cs="Arial" w:eastAsia="Arial" w:hAnsi="Arial"/>
          <w:sz w:val="15"/>
          <w:szCs w:val="15"/>
          <w:color w:val="auto"/>
        </w:rPr>
        <w:t xml:space="preserve">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336"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153" w:name="page154"/>
    <w:bookmarkEnd w:id="153"/>
    <w:p>
      <w:pPr>
        <w:ind w:left="1580" w:hanging="542"/>
        <w:spacing w:after="0"/>
        <w:tabs>
          <w:tab w:leader="none" w:pos="158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40" w:firstLine="1613"/>
        <w:spacing w:after="0" w:line="269" w:lineRule="auto"/>
        <w:tabs>
          <w:tab w:leader="none" w:pos="2056" w:val="left"/>
        </w:tabs>
        <w:numPr>
          <w:ilvl w:val="1"/>
          <w:numId w:val="203"/>
        </w:numPr>
        <w:rPr>
          <w:rFonts w:ascii="Arial" w:cs="Arial" w:eastAsia="Arial" w:hAnsi="Arial"/>
          <w:sz w:val="14"/>
          <w:szCs w:val="14"/>
          <w:color w:val="auto"/>
        </w:rPr>
      </w:pPr>
      <w:r>
        <w:rPr>
          <w:rFonts w:ascii="Arial" w:cs="Arial" w:eastAsia="Arial" w:hAnsi="Arial"/>
          <w:sz w:val="14"/>
          <w:szCs w:val="14"/>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153" w:lineRule="exact"/>
        <w:rPr>
          <w:rFonts w:ascii="Arial" w:cs="Arial" w:eastAsia="Arial" w:hAnsi="Arial"/>
          <w:sz w:val="14"/>
          <w:szCs w:val="14"/>
          <w:color w:val="auto"/>
        </w:rPr>
      </w:pPr>
    </w:p>
    <w:p>
      <w:pPr>
        <w:ind w:left="-40" w:firstLine="1613"/>
        <w:spacing w:after="0" w:line="253" w:lineRule="auto"/>
        <w:tabs>
          <w:tab w:leader="none" w:pos="2079"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Reimbursement under any liability insurance maintained by a Grantor pursuant to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5(e)</w:t>
      </w:r>
      <w:r>
        <w:rPr>
          <w:rFonts w:ascii="Arial" w:cs="Arial" w:eastAsia="Arial" w:hAnsi="Arial"/>
          <w:sz w:val="15"/>
          <w:szCs w:val="15"/>
          <w:color w:val="auto"/>
        </w:rPr>
        <w:t xml:space="preserve"> shall be paid to the Buyer (except as to which paragraph (iii) of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shall be paid by the Buyer to such Grantor as reimbursement for the costs of such repairs or replacements.</w:t>
      </w:r>
    </w:p>
    <w:p>
      <w:pPr>
        <w:spacing w:after="0" w:line="160" w:lineRule="exact"/>
        <w:rPr>
          <w:rFonts w:ascii="Arial" w:cs="Arial" w:eastAsia="Arial" w:hAnsi="Arial"/>
          <w:sz w:val="15"/>
          <w:szCs w:val="15"/>
          <w:color w:val="auto"/>
        </w:rPr>
      </w:pPr>
    </w:p>
    <w:p>
      <w:pPr>
        <w:ind w:left="2080" w:hanging="507"/>
        <w:spacing w:after="0"/>
        <w:tabs>
          <w:tab w:leader="none" w:pos="208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All insurance payments in respect of such Equipment or Inventory shall be paid to the Buyer and applied as specified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hereof.</w:t>
      </w:r>
    </w:p>
    <w:p>
      <w:pPr>
        <w:spacing w:after="0" w:line="183" w:lineRule="exact"/>
        <w:rPr>
          <w:rFonts w:ascii="Arial" w:cs="Arial" w:eastAsia="Arial" w:hAnsi="Arial"/>
          <w:sz w:val="15"/>
          <w:szCs w:val="15"/>
          <w:color w:val="auto"/>
        </w:rPr>
      </w:pPr>
    </w:p>
    <w:p>
      <w:pPr>
        <w:ind w:left="1600" w:hanging="562"/>
        <w:spacing w:after="0"/>
        <w:tabs>
          <w:tab w:leader="none" w:pos="160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Provisions Concerning the Accounts and the Licenses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40" w:right="40" w:firstLine="1613"/>
        <w:spacing w:after="0" w:line="255" w:lineRule="auto"/>
        <w:tabs>
          <w:tab w:leader="none" w:pos="2056"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10160</wp:posOffset>
            </wp:positionV>
            <wp:extent cx="727075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80"/>
          </w:cols>
          <w:pgMar w:left="260" w:top="753" w:right="259" w:bottom="1440" w:gutter="0" w:footer="0" w:header="0"/>
        </w:sectPr>
      </w:pPr>
    </w:p>
    <w:bookmarkStart w:id="154" w:name="page155"/>
    <w:bookmarkEnd w:id="154"/>
    <w:p>
      <w:pPr>
        <w:ind w:left="-20" w:firstLine="1613"/>
        <w:spacing w:after="0" w:line="290" w:lineRule="auto"/>
        <w:tabs>
          <w:tab w:leader="none" w:pos="209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3"/>
          <w:szCs w:val="13"/>
          <w:u w:val="single" w:color="auto"/>
          <w:color w:val="auto"/>
        </w:rPr>
        <w:t>Section 7(b)</w:t>
      </w:r>
      <w:r>
        <w:rPr>
          <w:rFonts w:ascii="Arial" w:cs="Arial" w:eastAsia="Arial" w:hAnsi="Arial"/>
          <w:sz w:val="13"/>
          <w:szCs w:val="13"/>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hereof.</w:t>
      </w:r>
    </w:p>
    <w:p>
      <w:pPr>
        <w:spacing w:after="0" w:line="141" w:lineRule="exact"/>
        <w:rPr>
          <w:rFonts w:ascii="Arial" w:cs="Arial" w:eastAsia="Arial" w:hAnsi="Arial"/>
          <w:sz w:val="13"/>
          <w:szCs w:val="13"/>
          <w:color w:val="auto"/>
        </w:rPr>
      </w:pPr>
    </w:p>
    <w:p>
      <w:pPr>
        <w:ind w:left="-20" w:right="60" w:firstLine="1613"/>
        <w:spacing w:after="0" w:line="255" w:lineRule="auto"/>
        <w:tabs>
          <w:tab w:leader="none" w:pos="2084"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Upon the occurrence and during the continuance of any breach or default under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157" w:lineRule="exact"/>
        <w:rPr>
          <w:rFonts w:ascii="Arial" w:cs="Arial" w:eastAsia="Arial" w:hAnsi="Arial"/>
          <w:sz w:val="15"/>
          <w:szCs w:val="15"/>
          <w:color w:val="auto"/>
        </w:rPr>
      </w:pPr>
    </w:p>
    <w:p>
      <w:pPr>
        <w:ind w:left="-20" w:firstLine="1613"/>
        <w:spacing w:after="0" w:line="348" w:lineRule="auto"/>
        <w:tabs>
          <w:tab w:leader="none" w:pos="2095"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purports to exercise any of its rights or affect any of its obligations thereunder, together with a copy of any reply by such Grantor thereto.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5" w:name="page156"/>
    <w:bookmarkEnd w:id="155"/>
    <w:p>
      <w:pPr>
        <w:ind w:left="-20" w:right="40" w:firstLine="1613"/>
        <w:spacing w:after="0" w:line="255" w:lineRule="auto"/>
        <w:tabs>
          <w:tab w:leader="none" w:pos="2091"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57" w:lineRule="exact"/>
        <w:rPr>
          <w:rFonts w:ascii="Arial" w:cs="Arial" w:eastAsia="Arial" w:hAnsi="Arial"/>
          <w:sz w:val="15"/>
          <w:szCs w:val="15"/>
          <w:color w:val="auto"/>
        </w:rPr>
      </w:pPr>
    </w:p>
    <w:p>
      <w:pPr>
        <w:ind w:left="1600" w:hanging="542"/>
        <w:spacing w:after="0"/>
        <w:tabs>
          <w:tab w:leader="none" w:pos="1600"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Transfers and Other Liens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0" w:firstLine="1613"/>
        <w:spacing w:after="0" w:line="258" w:lineRule="auto"/>
        <w:tabs>
          <w:tab w:leader="none" w:pos="2076" w:val="left"/>
        </w:tabs>
        <w:numPr>
          <w:ilvl w:val="1"/>
          <w:numId w:val="206"/>
        </w:numPr>
        <w:rPr>
          <w:rFonts w:ascii="Arial" w:cs="Arial" w:eastAsia="Arial" w:hAnsi="Arial"/>
          <w:sz w:val="15"/>
          <w:szCs w:val="15"/>
          <w:color w:val="auto"/>
        </w:rPr>
      </w:pPr>
      <w:r>
        <w:rPr>
          <w:rFonts w:ascii="Arial" w:cs="Arial" w:eastAsia="Arial" w:hAnsi="Arial"/>
          <w:sz w:val="15"/>
          <w:szCs w:val="15"/>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157" w:lineRule="exact"/>
        <w:rPr>
          <w:sz w:val="20"/>
          <w:szCs w:val="20"/>
          <w:color w:val="auto"/>
        </w:rPr>
      </w:pPr>
    </w:p>
    <w:p>
      <w:pPr>
        <w:ind w:left="2100" w:hanging="507"/>
        <w:spacing w:after="0"/>
        <w:tabs>
          <w:tab w:leader="none" w:pos="210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No Grantor will create, suffer to exist or grant any Lien upon or with respect to any Collateral other than a Permitted Lien.</w:t>
      </w:r>
    </w:p>
    <w:p>
      <w:pPr>
        <w:spacing w:after="0" w:line="183" w:lineRule="exact"/>
        <w:rPr>
          <w:rFonts w:ascii="Arial" w:cs="Arial" w:eastAsia="Arial" w:hAnsi="Arial"/>
          <w:sz w:val="15"/>
          <w:szCs w:val="15"/>
          <w:color w:val="auto"/>
        </w:rPr>
      </w:pPr>
    </w:p>
    <w:p>
      <w:pPr>
        <w:ind w:left="1600" w:hanging="542"/>
        <w:spacing w:after="0"/>
        <w:tabs>
          <w:tab w:leader="none" w:pos="1600"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0" w:right="20" w:firstLine="1613"/>
        <w:spacing w:after="0" w:line="288" w:lineRule="auto"/>
        <w:tabs>
          <w:tab w:leader="none" w:pos="2076" w:val="left"/>
        </w:tabs>
        <w:numPr>
          <w:ilvl w:val="1"/>
          <w:numId w:val="208"/>
        </w:numPr>
        <w:rPr>
          <w:rFonts w:ascii="Arial" w:cs="Arial" w:eastAsia="Arial" w:hAnsi="Arial"/>
          <w:sz w:val="13"/>
          <w:szCs w:val="13"/>
          <w:color w:val="auto"/>
        </w:rPr>
      </w:pPr>
      <w:r>
        <w:rPr>
          <w:rFonts w:ascii="Arial" w:cs="Arial" w:eastAsia="Arial" w:hAnsi="Arial"/>
          <w:sz w:val="13"/>
          <w:szCs w:val="13"/>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 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156" w:name="page157"/>
    <w:bookmarkEnd w:id="156"/>
    <w:p>
      <w:pPr>
        <w:ind w:left="-20" w:firstLine="1613"/>
        <w:spacing w:after="0" w:line="271" w:lineRule="auto"/>
        <w:tabs>
          <w:tab w:leader="none" w:pos="2099" w:val="left"/>
        </w:tabs>
        <w:numPr>
          <w:ilvl w:val="0"/>
          <w:numId w:val="209"/>
        </w:numPr>
        <w:rPr>
          <w:rFonts w:ascii="Arial" w:cs="Arial" w:eastAsia="Arial" w:hAnsi="Arial"/>
          <w:sz w:val="14"/>
          <w:szCs w:val="14"/>
          <w:color w:val="auto"/>
        </w:rPr>
      </w:pPr>
      <w:r>
        <w:rPr>
          <w:rFonts w:ascii="Arial" w:cs="Arial" w:eastAsia="Arial" w:hAnsi="Arial"/>
          <w:sz w:val="14"/>
          <w:szCs w:val="14"/>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149" w:lineRule="exact"/>
        <w:rPr>
          <w:rFonts w:ascii="Arial" w:cs="Arial" w:eastAsia="Arial" w:hAnsi="Arial"/>
          <w:sz w:val="14"/>
          <w:szCs w:val="14"/>
          <w:color w:val="auto"/>
        </w:rPr>
      </w:pPr>
    </w:p>
    <w:p>
      <w:pPr>
        <w:ind w:left="-20" w:right="40" w:firstLine="1613"/>
        <w:spacing w:after="0" w:line="252" w:lineRule="auto"/>
        <w:tabs>
          <w:tab w:leader="none" w:pos="2103"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5"/>
          <w:szCs w:val="15"/>
          <w:u w:val="single" w:color="auto"/>
          <w:color w:val="auto"/>
        </w:rPr>
        <w:t>inter alia</w:t>
      </w:r>
      <w:r>
        <w:rPr>
          <w:rFonts w:ascii="Arial" w:cs="Arial" w:eastAsia="Arial" w:hAnsi="Arial"/>
          <w:sz w:val="15"/>
          <w:szCs w:val="15"/>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7" w:name="page158"/>
    <w:bookmarkEnd w:id="157"/>
    <w:p>
      <w:pPr>
        <w:ind w:firstLine="1078"/>
        <w:spacing w:after="0" w:line="288" w:lineRule="auto"/>
        <w:tabs>
          <w:tab w:leader="none" w:pos="1580" w:val="left"/>
        </w:tabs>
        <w:numPr>
          <w:ilvl w:val="1"/>
          <w:numId w:val="210"/>
        </w:numPr>
        <w:rPr>
          <w:rFonts w:ascii="Arial" w:cs="Arial" w:eastAsia="Arial" w:hAnsi="Arial"/>
          <w:sz w:val="13"/>
          <w:szCs w:val="13"/>
          <w:color w:val="auto"/>
        </w:rPr>
      </w:pPr>
      <w:r>
        <w:rPr>
          <w:rFonts w:ascii="Arial" w:cs="Arial" w:eastAsia="Arial" w:hAnsi="Arial"/>
          <w:sz w:val="13"/>
          <w:szCs w:val="13"/>
          <w:u w:val="single" w:color="auto"/>
          <w:color w:val="auto"/>
        </w:rPr>
        <w:t>Deposit, Commodities and Securities Accounts</w:t>
      </w:r>
      <w:r>
        <w:rPr>
          <w:rFonts w:ascii="Arial" w:cs="Arial" w:eastAsia="Arial" w:hAnsi="Arial"/>
          <w:sz w:val="13"/>
          <w:szCs w:val="13"/>
          <w:color w:val="auto"/>
        </w:rPr>
        <w:t xml:space="preserve">. Upon the Buyer's request, each Grantor shall cause each bank and other financial institution with an account referred to in </w:t>
      </w:r>
      <w:r>
        <w:rPr>
          <w:rFonts w:ascii="Arial" w:cs="Arial" w:eastAsia="Arial" w:hAnsi="Arial"/>
          <w:sz w:val="13"/>
          <w:szCs w:val="13"/>
          <w:u w:val="single" w:color="auto"/>
          <w:color w:val="auto"/>
        </w:rPr>
        <w:t>Schedule IV</w:t>
      </w:r>
      <w:r>
        <w:rPr>
          <w:rFonts w:ascii="Arial" w:cs="Arial" w:eastAsia="Arial" w:hAnsi="Arial"/>
          <w:sz w:val="13"/>
          <w:szCs w:val="13"/>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3"/>
          <w:szCs w:val="13"/>
          <w:u w:val="single" w:color="auto"/>
          <w:color w:val="auto"/>
        </w:rPr>
        <w:t>inter alia</w:t>
      </w:r>
      <w:r>
        <w:rPr>
          <w:rFonts w:ascii="Arial" w:cs="Arial" w:eastAsia="Arial" w:hAnsi="Arial"/>
          <w:sz w:val="13"/>
          <w:szCs w:val="13"/>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w:t>
      </w:r>
    </w:p>
    <w:p>
      <w:pPr>
        <w:spacing w:after="0" w:line="1" w:lineRule="exact"/>
        <w:rPr>
          <w:rFonts w:ascii="Arial" w:cs="Arial" w:eastAsia="Arial" w:hAnsi="Arial"/>
          <w:sz w:val="13"/>
          <w:szCs w:val="13"/>
          <w:color w:val="auto"/>
        </w:rPr>
      </w:pPr>
    </w:p>
    <w:p>
      <w:pPr>
        <w:ind w:firstLine="9"/>
        <w:spacing w:after="0" w:line="272" w:lineRule="auto"/>
        <w:tabs>
          <w:tab w:leader="none" w:pos="251" w:val="left"/>
        </w:tabs>
        <w:numPr>
          <w:ilvl w:val="0"/>
          <w:numId w:val="211"/>
        </w:numPr>
        <w:rPr>
          <w:rFonts w:ascii="Arial" w:cs="Arial" w:eastAsia="Arial" w:hAnsi="Arial"/>
          <w:sz w:val="14"/>
          <w:szCs w:val="14"/>
          <w:color w:val="auto"/>
        </w:rPr>
      </w:pPr>
      <w:r>
        <w:rPr>
          <w:rFonts w:ascii="Arial" w:cs="Arial" w:eastAsia="Arial" w:hAnsi="Arial"/>
          <w:sz w:val="14"/>
          <w:szCs w:val="14"/>
          <w:color w:val="auto"/>
        </w:rPr>
        <w:t xml:space="preserve">upon receipt of written notice from the Buyer during the continuance of an Event of 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4"/>
          <w:szCs w:val="14"/>
          <w:u w:val="single" w:color="auto"/>
          <w:color w:val="auto"/>
        </w:rPr>
        <w:t>Schedule IV</w:t>
      </w:r>
      <w:r>
        <w:rPr>
          <w:rFonts w:ascii="Arial" w:cs="Arial" w:eastAsia="Arial" w:hAnsi="Arial"/>
          <w:sz w:val="14"/>
          <w:szCs w:val="14"/>
          <w:color w:val="auto"/>
        </w:rPr>
        <w:t xml:space="preserve"> hereto. The provisions of this paragraph 5(i) shall not apply to (i) Deposit Accounts for which the Buyer is the depositary and (ii) Deposit Accounts specially and exclusively used for payroll, payroll taxes and other employee wage and benefit payments to or for the benefit of a Grantor's salaried employees.</w:t>
      </w:r>
    </w:p>
    <w:p>
      <w:pPr>
        <w:spacing w:after="0" w:line="147" w:lineRule="exact"/>
        <w:rPr>
          <w:sz w:val="20"/>
          <w:szCs w:val="20"/>
          <w:color w:val="auto"/>
        </w:rPr>
      </w:pPr>
    </w:p>
    <w:p>
      <w:pPr>
        <w:ind w:left="1580" w:hanging="502"/>
        <w:spacing w:after="0"/>
        <w:tabs>
          <w:tab w:leader="none" w:pos="1580"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Motor Vehicles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120" w:hanging="507"/>
        <w:spacing w:after="0"/>
        <w:tabs>
          <w:tab w:leader="none" w:pos="212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Upon the Buyer's written request, each Grantor shall deliver to the Buyer originals of the certificates of title or ownership for all motor vehicles owned by it</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the Buyer listed as lienholder.</w:t>
      </w:r>
    </w:p>
    <w:p>
      <w:pPr>
        <w:spacing w:after="0" w:line="173" w:lineRule="exact"/>
        <w:rPr>
          <w:rFonts w:ascii="Arial" w:cs="Arial" w:eastAsia="Arial" w:hAnsi="Arial"/>
          <w:sz w:val="13"/>
          <w:szCs w:val="13"/>
          <w:color w:val="auto"/>
        </w:rPr>
      </w:pPr>
    </w:p>
    <w:p>
      <w:pPr>
        <w:ind w:right="40" w:firstLine="1613"/>
        <w:spacing w:after="0" w:line="272" w:lineRule="auto"/>
        <w:tabs>
          <w:tab w:leader="none" w:pos="2119" w:val="left"/>
        </w:tabs>
        <w:numPr>
          <w:ilvl w:val="1"/>
          <w:numId w:val="212"/>
        </w:numPr>
        <w:rPr>
          <w:rFonts w:ascii="Arial" w:cs="Arial" w:eastAsia="Arial" w:hAnsi="Arial"/>
          <w:sz w:val="14"/>
          <w:szCs w:val="14"/>
          <w:color w:val="auto"/>
        </w:rPr>
      </w:pPr>
      <w:r>
        <w:rPr>
          <w:rFonts w:ascii="Arial" w:cs="Arial" w:eastAsia="Arial" w:hAnsi="Arial"/>
          <w:sz w:val="14"/>
          <w:szCs w:val="14"/>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58" w:name="page159"/>
    <w:bookmarkEnd w:id="158"/>
    <w:p>
      <w:pPr>
        <w:ind w:left="2120" w:hanging="507"/>
        <w:spacing w:after="0"/>
        <w:tabs>
          <w:tab w:leader="none" w:pos="21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Any certificates of title or ownership delivered pursuant to the terms hereof shall be accompanied by odometer statements for each motor vehicle covered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thereby.</w:t>
      </w:r>
    </w:p>
    <w:p>
      <w:pPr>
        <w:spacing w:after="0" w:line="174" w:lineRule="exact"/>
        <w:rPr>
          <w:sz w:val="20"/>
          <w:szCs w:val="20"/>
          <w:color w:val="auto"/>
        </w:rPr>
      </w:pPr>
    </w:p>
    <w:p>
      <w:pPr>
        <w:ind w:right="40" w:firstLine="1613"/>
        <w:spacing w:after="0" w:line="301" w:lineRule="auto"/>
        <w:tabs>
          <w:tab w:leader="none" w:pos="2115"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131" w:lineRule="exact"/>
        <w:rPr>
          <w:rFonts w:ascii="Arial" w:cs="Arial" w:eastAsia="Arial" w:hAnsi="Arial"/>
          <w:sz w:val="13"/>
          <w:szCs w:val="13"/>
          <w:color w:val="auto"/>
        </w:rPr>
      </w:pPr>
    </w:p>
    <w:p>
      <w:pPr>
        <w:ind w:right="300" w:firstLine="1078"/>
        <w:spacing w:after="0" w:line="258" w:lineRule="auto"/>
        <w:tabs>
          <w:tab w:leader="none" w:pos="1613"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Control</w:t>
      </w:r>
      <w:r>
        <w:rPr>
          <w:rFonts w:ascii="Arial" w:cs="Arial" w:eastAsia="Arial" w:hAnsi="Arial"/>
          <w:sz w:val="15"/>
          <w:szCs w:val="15"/>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156" w:lineRule="exact"/>
        <w:rPr>
          <w:rFonts w:ascii="Arial" w:cs="Arial" w:eastAsia="Arial" w:hAnsi="Arial"/>
          <w:sz w:val="15"/>
          <w:szCs w:val="15"/>
          <w:color w:val="auto"/>
        </w:rPr>
      </w:pPr>
    </w:p>
    <w:p>
      <w:pPr>
        <w:ind w:right="120" w:firstLine="1078"/>
        <w:spacing w:after="0" w:line="252" w:lineRule="auto"/>
        <w:tabs>
          <w:tab w:leader="none" w:pos="1580"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Inspection and Reporting</w:t>
      </w:r>
      <w:r>
        <w:rPr>
          <w:rFonts w:ascii="Arial" w:cs="Arial" w:eastAsia="Arial" w:hAnsi="Arial"/>
          <w:sz w:val="15"/>
          <w:szCs w:val="15"/>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 (iii) to conduct audits, physical counts, appraisals and/or valuations, examinations at the locations of such Grantor. Each Grantor shall also permit the Buyer, or any agent or representatives thereof or such professionals or other Persons as the Buyer may designate to discuss such Grantor's affairs, finances and accounts with any of its officers subject to the execution by the Buyer or its designee(s) of a mutually agreeable confidentiality agreement.</w:t>
      </w:r>
    </w:p>
    <w:p>
      <w:pPr>
        <w:spacing w:after="0" w:line="160" w:lineRule="exact"/>
        <w:rPr>
          <w:rFonts w:ascii="Arial" w:cs="Arial" w:eastAsia="Arial" w:hAnsi="Arial"/>
          <w:sz w:val="15"/>
          <w:szCs w:val="15"/>
          <w:color w:val="auto"/>
        </w:rPr>
      </w:pPr>
    </w:p>
    <w:p>
      <w:pPr>
        <w:jc w:val="both"/>
        <w:ind w:firstLine="1078"/>
        <w:spacing w:after="0" w:line="258" w:lineRule="auto"/>
        <w:tabs>
          <w:tab w:leader="none" w:pos="1655"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Future Subsidiaries</w:t>
      </w:r>
      <w:r>
        <w:rPr>
          <w:rFonts w:ascii="Arial" w:cs="Arial" w:eastAsia="Arial" w:hAnsi="Arial"/>
          <w:sz w:val="15"/>
          <w:szCs w:val="15"/>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2" w:right="239" w:bottom="1440" w:gutter="0" w:footer="0" w:header="0"/>
        </w:sectPr>
      </w:pPr>
    </w:p>
    <w:bookmarkStart w:id="159" w:name="page160"/>
    <w:bookmarkEnd w:id="159"/>
    <w:p>
      <w:pPr>
        <w:ind w:left="-20" w:right="20" w:firstLine="1078"/>
        <w:spacing w:after="0" w:line="253" w:lineRule="auto"/>
        <w:tabs>
          <w:tab w:leader="none" w:pos="1593" w:val="left"/>
        </w:tabs>
        <w:numPr>
          <w:ilvl w:val="0"/>
          <w:numId w:val="216"/>
        </w:numPr>
        <w:rPr>
          <w:rFonts w:ascii="Arial" w:cs="Arial" w:eastAsia="Arial" w:hAnsi="Arial"/>
          <w:sz w:val="15"/>
          <w:szCs w:val="15"/>
          <w:color w:val="auto"/>
        </w:rPr>
      </w:pPr>
      <w:r>
        <w:rPr>
          <w:rFonts w:ascii="Arial" w:cs="Arial" w:eastAsia="Arial" w:hAnsi="Arial"/>
          <w:sz w:val="15"/>
          <w:szCs w:val="15"/>
          <w:u w:val="single" w:color="auto"/>
          <w:color w:val="auto"/>
        </w:rPr>
        <w:t>The Company and Vringo Israel</w:t>
      </w:r>
      <w:r>
        <w:rPr>
          <w:rFonts w:ascii="Arial" w:cs="Arial" w:eastAsia="Arial" w:hAnsi="Arial"/>
          <w:sz w:val="15"/>
          <w:szCs w:val="15"/>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5"/>
          <w:szCs w:val="15"/>
          <w:u w:val="single" w:color="auto"/>
          <w:color w:val="auto"/>
        </w:rPr>
        <w:t>provided that</w:t>
      </w:r>
      <w:r>
        <w:rPr>
          <w:rFonts w:ascii="Arial" w:cs="Arial" w:eastAsia="Arial" w:hAnsi="Arial"/>
          <w:sz w:val="15"/>
          <w:szCs w:val="15"/>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160" w:lineRule="exact"/>
        <w:rPr>
          <w:sz w:val="20"/>
          <w:szCs w:val="20"/>
          <w:color w:val="auto"/>
        </w:rPr>
      </w:pPr>
    </w:p>
    <w:p>
      <w:pPr>
        <w:ind w:left="1060"/>
        <w:spacing w:after="0"/>
        <w:tabs>
          <w:tab w:leader="none" w:pos="21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Additional Provisions Concerning the Collateral</w:t>
      </w:r>
      <w:r>
        <w:rPr>
          <w:rFonts w:ascii="Arial" w:cs="Arial" w:eastAsia="Arial" w:hAnsi="Arial"/>
          <w:sz w:val="13"/>
          <w:szCs w:val="13"/>
          <w:color w:val="auto"/>
        </w:rPr>
        <w:t>. Subject to Section 5(n)</w:t>
      </w:r>
    </w:p>
    <w:p>
      <w:pPr>
        <w:spacing w:after="0" w:line="184" w:lineRule="exact"/>
        <w:rPr>
          <w:sz w:val="20"/>
          <w:szCs w:val="20"/>
          <w:color w:val="auto"/>
        </w:rPr>
      </w:pPr>
    </w:p>
    <w:p>
      <w:pPr>
        <w:ind w:left="-20" w:right="80" w:firstLine="1078"/>
        <w:spacing w:after="0" w:line="317" w:lineRule="auto"/>
        <w:tabs>
          <w:tab w:leader="none" w:pos="1585" w:val="left"/>
        </w:tabs>
        <w:numPr>
          <w:ilvl w:val="0"/>
          <w:numId w:val="217"/>
        </w:numPr>
        <w:rPr>
          <w:rFonts w:ascii="Arial" w:cs="Arial" w:eastAsia="Arial" w:hAnsi="Arial"/>
          <w:sz w:val="13"/>
          <w:szCs w:val="13"/>
          <w:color w:val="auto"/>
        </w:rPr>
      </w:pPr>
      <w:r>
        <w:rPr>
          <w:rFonts w:ascii="Arial" w:cs="Arial" w:eastAsia="Arial" w:hAnsi="Arial"/>
          <w:sz w:val="13"/>
          <w:szCs w:val="13"/>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120" w:lineRule="exact"/>
        <w:rPr>
          <w:rFonts w:ascii="Arial" w:cs="Arial" w:eastAsia="Arial" w:hAnsi="Arial"/>
          <w:sz w:val="13"/>
          <w:szCs w:val="13"/>
          <w:color w:val="auto"/>
        </w:rPr>
      </w:pPr>
    </w:p>
    <w:p>
      <w:pPr>
        <w:ind w:left="-20" w:firstLine="1078"/>
        <w:spacing w:after="0" w:line="270" w:lineRule="auto"/>
        <w:tabs>
          <w:tab w:leader="none" w:pos="1593"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hereof), including, without limitation, (i) to obtain and adjust insurance required to be paid to the Buyer pursuant to </w:t>
      </w:r>
      <w:r>
        <w:rPr>
          <w:rFonts w:ascii="Arial" w:cs="Arial" w:eastAsia="Arial" w:hAnsi="Arial"/>
          <w:sz w:val="14"/>
          <w:szCs w:val="14"/>
          <w:u w:val="single" w:color="auto"/>
          <w:color w:val="auto"/>
        </w:rPr>
        <w:t>Section 5(e)</w:t>
      </w:r>
      <w:r>
        <w:rPr>
          <w:rFonts w:ascii="Arial" w:cs="Arial" w:eastAsia="Arial" w:hAnsi="Arial"/>
          <w:sz w:val="14"/>
          <w:szCs w:val="14"/>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60" w:name="page161"/>
    <w:bookmarkEnd w:id="160"/>
    <w:p>
      <w:pPr>
        <w:ind w:left="-20" w:firstLine="1078"/>
        <w:spacing w:after="0" w:line="268" w:lineRule="auto"/>
        <w:tabs>
          <w:tab w:leader="none" w:pos="1585" w:val="left"/>
        </w:tabs>
        <w:numPr>
          <w:ilvl w:val="0"/>
          <w:numId w:val="218"/>
        </w:numPr>
        <w:rPr>
          <w:rFonts w:ascii="Arial" w:cs="Arial" w:eastAsia="Arial" w:hAnsi="Arial"/>
          <w:sz w:val="14"/>
          <w:szCs w:val="14"/>
          <w:color w:val="auto"/>
        </w:rPr>
      </w:pPr>
      <w:r>
        <w:rPr>
          <w:rFonts w:ascii="Arial" w:cs="Arial" w:eastAsia="Arial" w:hAnsi="Arial"/>
          <w:sz w:val="14"/>
          <w:szCs w:val="14"/>
          <w:color w:val="auto"/>
        </w:rPr>
        <w:t xml:space="preserve">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 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4"/>
          <w:szCs w:val="14"/>
          <w:u w:val="single" w:color="auto"/>
          <w:color w:val="auto"/>
        </w:rPr>
        <w:t>Section 10(e)</w:t>
      </w:r>
      <w:r>
        <w:rPr>
          <w:rFonts w:ascii="Arial" w:cs="Arial" w:eastAsia="Arial" w:hAnsi="Arial"/>
          <w:sz w:val="14"/>
          <w:szCs w:val="14"/>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154" w:lineRule="exact"/>
        <w:rPr>
          <w:rFonts w:ascii="Arial" w:cs="Arial" w:eastAsia="Arial" w:hAnsi="Arial"/>
          <w:sz w:val="14"/>
          <w:szCs w:val="14"/>
          <w:color w:val="auto"/>
        </w:rPr>
      </w:pPr>
    </w:p>
    <w:p>
      <w:pPr>
        <w:ind w:left="-20" w:right="80" w:firstLine="1078"/>
        <w:spacing w:after="0" w:line="348" w:lineRule="auto"/>
        <w:tabs>
          <w:tab w:leader="none" w:pos="159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hereof and shall be secured by the Collateral.</w:t>
      </w:r>
    </w:p>
    <w:p>
      <w:pPr>
        <w:spacing w:after="0" w:line="101" w:lineRule="exact"/>
        <w:rPr>
          <w:rFonts w:ascii="Arial" w:cs="Arial" w:eastAsia="Arial" w:hAnsi="Arial"/>
          <w:sz w:val="13"/>
          <w:szCs w:val="13"/>
          <w:color w:val="auto"/>
        </w:rPr>
      </w:pPr>
    </w:p>
    <w:p>
      <w:pPr>
        <w:jc w:val="both"/>
        <w:ind w:left="-20" w:right="240" w:firstLine="1078"/>
        <w:spacing w:after="0" w:line="258" w:lineRule="auto"/>
        <w:tabs>
          <w:tab w:leader="none" w:pos="158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156" w:lineRule="exact"/>
        <w:rPr>
          <w:rFonts w:ascii="Arial" w:cs="Arial" w:eastAsia="Arial" w:hAnsi="Arial"/>
          <w:sz w:val="15"/>
          <w:szCs w:val="15"/>
          <w:color w:val="auto"/>
        </w:rPr>
      </w:pPr>
    </w:p>
    <w:p>
      <w:pPr>
        <w:ind w:left="-20" w:right="180" w:firstLine="1078"/>
        <w:spacing w:after="0" w:line="253" w:lineRule="auto"/>
        <w:tabs>
          <w:tab w:leader="none" w:pos="156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160" w:lineRule="exact"/>
        <w:rPr>
          <w:sz w:val="20"/>
          <w:szCs w:val="20"/>
          <w:color w:val="auto"/>
        </w:rPr>
      </w:pPr>
    </w:p>
    <w:p>
      <w:pPr>
        <w:ind w:left="1060"/>
        <w:spacing w:after="0"/>
        <w:tabs>
          <w:tab w:leader="none" w:pos="218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3"/>
          <w:szCs w:val="13"/>
          <w:u w:val="single" w:color="auto"/>
          <w:color w:val="auto"/>
        </w:rPr>
        <w:t>Remedies Upon Event of Default</w:t>
      </w:r>
      <w:r>
        <w:rPr>
          <w:rFonts w:ascii="Arial" w:cs="Arial" w:eastAsia="Arial" w:hAnsi="Arial"/>
          <w:sz w:val="13"/>
          <w:szCs w:val="13"/>
          <w:color w:val="auto"/>
        </w:rPr>
        <w:t>. If any Event of Default shall have occurred and be continuing: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161" w:name="page162"/>
    <w:bookmarkEnd w:id="161"/>
    <w:p>
      <w:pPr>
        <w:ind w:left="-20" w:firstLine="1078"/>
        <w:spacing w:after="0" w:line="288" w:lineRule="auto"/>
        <w:tabs>
          <w:tab w:leader="none" w:pos="1582" w:val="left"/>
        </w:tabs>
        <w:numPr>
          <w:ilvl w:val="0"/>
          <w:numId w:val="219"/>
        </w:numPr>
        <w:rPr>
          <w:rFonts w:ascii="Arial" w:cs="Arial" w:eastAsia="Arial" w:hAnsi="Arial"/>
          <w:sz w:val="13"/>
          <w:szCs w:val="13"/>
          <w:color w:val="auto"/>
        </w:rPr>
      </w:pPr>
      <w:r>
        <w:rPr>
          <w:rFonts w:ascii="Arial" w:cs="Arial" w:eastAsia="Arial" w:hAnsi="Arial"/>
          <w:sz w:val="13"/>
          <w:szCs w:val="13"/>
          <w:color w:val="auto"/>
        </w:rPr>
        <w:t xml:space="preserve">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 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(2) the Buyer may, at any time, pursuant to the authority granted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2" w:name="page163"/>
    <w:bookmarkEnd w:id="162"/>
    <w:p>
      <w:pPr>
        <w:ind w:left="-60" w:firstLine="1078"/>
        <w:spacing w:after="0" w:line="252" w:lineRule="auto"/>
        <w:tabs>
          <w:tab w:leader="none" w:pos="154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160" w:lineRule="exact"/>
        <w:rPr>
          <w:rFonts w:ascii="Arial" w:cs="Arial" w:eastAsia="Arial" w:hAnsi="Arial"/>
          <w:sz w:val="15"/>
          <w:szCs w:val="15"/>
          <w:color w:val="auto"/>
        </w:rPr>
      </w:pPr>
    </w:p>
    <w:p>
      <w:pPr>
        <w:ind w:left="-60" w:right="120" w:firstLine="1078"/>
        <w:spacing w:after="0" w:line="255" w:lineRule="auto"/>
        <w:tabs>
          <w:tab w:leader="none" w:pos="154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157" w:lineRule="exact"/>
        <w:rPr>
          <w:rFonts w:ascii="Arial" w:cs="Arial" w:eastAsia="Arial" w:hAnsi="Arial"/>
          <w:sz w:val="15"/>
          <w:szCs w:val="15"/>
          <w:color w:val="auto"/>
        </w:rPr>
      </w:pPr>
    </w:p>
    <w:p>
      <w:pPr>
        <w:ind w:left="-60" w:right="120" w:firstLine="1078"/>
        <w:spacing w:after="0" w:line="269" w:lineRule="auto"/>
        <w:tabs>
          <w:tab w:leader="none" w:pos="153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147" w:lineRule="exact"/>
        <w:rPr>
          <w:rFonts w:ascii="Arial" w:cs="Arial" w:eastAsia="Arial" w:hAnsi="Arial"/>
          <w:sz w:val="15"/>
          <w:szCs w:val="15"/>
          <w:color w:val="auto"/>
        </w:rPr>
      </w:pPr>
    </w:p>
    <w:p>
      <w:pPr>
        <w:ind w:left="-60" w:right="160" w:firstLine="1078"/>
        <w:spacing w:after="0" w:line="298" w:lineRule="auto"/>
        <w:tabs>
          <w:tab w:leader="none" w:pos="152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134" w:lineRule="exact"/>
        <w:rPr>
          <w:sz w:val="20"/>
          <w:szCs w:val="20"/>
          <w:color w:val="auto"/>
        </w:rPr>
      </w:pPr>
    </w:p>
    <w:p>
      <w:pPr>
        <w:ind w:left="1020"/>
        <w:spacing w:after="0"/>
        <w:tabs>
          <w:tab w:leader="none" w:pos="2140"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3"/>
          <w:szCs w:val="13"/>
          <w:u w:val="single" w:color="auto"/>
          <w:color w:val="auto"/>
        </w:rPr>
        <w:t>Indemnity and Expenses</w:t>
      </w:r>
      <w:r>
        <w:rPr>
          <w:rFonts w:ascii="Arial" w:cs="Arial" w:eastAsia="Arial" w:hAnsi="Arial"/>
          <w:sz w:val="13"/>
          <w:szCs w:val="13"/>
          <w:color w:val="auto"/>
        </w:rPr>
        <w:t>.</w:t>
      </w:r>
    </w:p>
    <w:p>
      <w:pPr>
        <w:spacing w:after="0" w:line="184" w:lineRule="exact"/>
        <w:rPr>
          <w:sz w:val="20"/>
          <w:szCs w:val="20"/>
          <w:color w:val="auto"/>
        </w:rPr>
      </w:pPr>
    </w:p>
    <w:p>
      <w:pPr>
        <w:ind w:left="-60" w:right="160" w:firstLine="1078"/>
        <w:spacing w:after="0" w:line="279" w:lineRule="auto"/>
        <w:tabs>
          <w:tab w:leader="none" w:pos="1545" w:val="left"/>
        </w:tabs>
        <w:numPr>
          <w:ilvl w:val="0"/>
          <w:numId w:val="221"/>
        </w:numPr>
        <w:rPr>
          <w:rFonts w:ascii="Arial" w:cs="Arial" w:eastAsia="Arial" w:hAnsi="Arial"/>
          <w:sz w:val="14"/>
          <w:szCs w:val="14"/>
          <w:color w:val="auto"/>
        </w:rPr>
      </w:pPr>
      <w:r>
        <w:rPr>
          <w:rFonts w:ascii="Arial" w:cs="Arial" w:eastAsia="Arial" w:hAnsi="Arial"/>
          <w:sz w:val="14"/>
          <w:szCs w:val="14"/>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63" w:name="page164"/>
    <w:bookmarkEnd w:id="163"/>
    <w:p>
      <w:pPr>
        <w:ind w:right="100" w:firstLine="1078"/>
        <w:spacing w:after="0" w:line="291" w:lineRule="auto"/>
        <w:tabs>
          <w:tab w:leader="none" w:pos="1613" w:val="left"/>
        </w:tabs>
        <w:numPr>
          <w:ilvl w:val="1"/>
          <w:numId w:val="222"/>
        </w:numPr>
        <w:rPr>
          <w:rFonts w:ascii="Arial" w:cs="Arial" w:eastAsia="Arial" w:hAnsi="Arial"/>
          <w:sz w:val="13"/>
          <w:szCs w:val="13"/>
          <w:color w:val="auto"/>
        </w:rPr>
      </w:pPr>
      <w:r>
        <w:rPr>
          <w:rFonts w:ascii="Arial" w:cs="Arial" w:eastAsia="Arial" w:hAnsi="Arial"/>
          <w:sz w:val="13"/>
          <w:szCs w:val="13"/>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w:t>
      </w:r>
    </w:p>
    <w:p>
      <w:pPr>
        <w:ind w:right="360" w:firstLine="9"/>
        <w:spacing w:after="0" w:line="255" w:lineRule="auto"/>
        <w:tabs>
          <w:tab w:leader="none" w:pos="21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158" w:lineRule="exact"/>
        <w:rPr>
          <w:sz w:val="20"/>
          <w:szCs w:val="20"/>
          <w:color w:val="auto"/>
        </w:rPr>
      </w:pPr>
    </w:p>
    <w:p>
      <w:pPr>
        <w:ind w:right="20" w:firstLine="1069"/>
        <w:spacing w:after="0" w:line="301"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3"/>
          <w:szCs w:val="13"/>
          <w:u w:val="single" w:color="auto"/>
          <w:color w:val="auto"/>
        </w:rPr>
        <w:t>Section 9</w:t>
      </w:r>
      <w:r>
        <w:rPr>
          <w:rFonts w:ascii="Arial" w:cs="Arial" w:eastAsia="Arial" w:hAnsi="Arial"/>
          <w:sz w:val="13"/>
          <w:szCs w:val="13"/>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132" w:lineRule="exact"/>
        <w:rPr>
          <w:sz w:val="20"/>
          <w:szCs w:val="20"/>
          <w:color w:val="auto"/>
        </w:rPr>
      </w:pPr>
    </w:p>
    <w:p>
      <w:pPr>
        <w:ind w:left="1080"/>
        <w:spacing w:after="0"/>
        <w:tabs>
          <w:tab w:leader="none" w:pos="2240" w:val="left"/>
        </w:tabs>
        <w:rPr>
          <w:sz w:val="20"/>
          <w:szCs w:val="20"/>
          <w:color w:val="auto"/>
        </w:rPr>
      </w:pPr>
      <w:r>
        <w:rPr>
          <w:rFonts w:ascii="Arial" w:cs="Arial" w:eastAsia="Arial" w:hAnsi="Arial"/>
          <w:sz w:val="15"/>
          <w:szCs w:val="15"/>
          <w:color w:val="auto"/>
        </w:rPr>
        <w:t>SECTION 10.</w:t>
      </w:r>
      <w:r>
        <w:rPr>
          <w:sz w:val="20"/>
          <w:szCs w:val="20"/>
          <w:color w:val="auto"/>
        </w:rPr>
        <w:tab/>
      </w:r>
      <w:r>
        <w:rPr>
          <w:rFonts w:ascii="Arial" w:cs="Arial" w:eastAsia="Arial" w:hAnsi="Arial"/>
          <w:sz w:val="13"/>
          <w:szCs w:val="13"/>
          <w:u w:val="single" w:color="auto"/>
          <w:color w:val="auto"/>
        </w:rPr>
        <w:t>Miscellaneous.</w:t>
      </w:r>
    </w:p>
    <w:p>
      <w:pPr>
        <w:spacing w:after="0" w:line="184" w:lineRule="exact"/>
        <w:rPr>
          <w:sz w:val="20"/>
          <w:szCs w:val="20"/>
          <w:color w:val="auto"/>
        </w:rPr>
      </w:pPr>
    </w:p>
    <w:p>
      <w:pPr>
        <w:ind w:right="20" w:firstLine="1078"/>
        <w:spacing w:after="0" w:line="258" w:lineRule="auto"/>
        <w:tabs>
          <w:tab w:leader="none" w:pos="1605" w:val="left"/>
        </w:tabs>
        <w:numPr>
          <w:ilvl w:val="0"/>
          <w:numId w:val="224"/>
        </w:numPr>
        <w:rPr>
          <w:rFonts w:ascii="Arial" w:cs="Arial" w:eastAsia="Arial" w:hAnsi="Arial"/>
          <w:sz w:val="15"/>
          <w:szCs w:val="15"/>
          <w:color w:val="auto"/>
        </w:rPr>
      </w:pPr>
      <w:r>
        <w:rPr>
          <w:rFonts w:ascii="Arial" w:cs="Arial" w:eastAsia="Arial" w:hAnsi="Arial"/>
          <w:sz w:val="15"/>
          <w:szCs w:val="15"/>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156" w:lineRule="exact"/>
        <w:rPr>
          <w:rFonts w:ascii="Arial" w:cs="Arial" w:eastAsia="Arial" w:hAnsi="Arial"/>
          <w:sz w:val="15"/>
          <w:szCs w:val="15"/>
          <w:color w:val="auto"/>
        </w:rPr>
      </w:pPr>
    </w:p>
    <w:p>
      <w:pPr>
        <w:ind w:firstLine="1078"/>
        <w:spacing w:after="0" w:line="275" w:lineRule="auto"/>
        <w:tabs>
          <w:tab w:leader="none" w:pos="1613" w:val="left"/>
        </w:tabs>
        <w:numPr>
          <w:ilvl w:val="0"/>
          <w:numId w:val="224"/>
        </w:numPr>
        <w:rPr>
          <w:rFonts w:ascii="Arial" w:cs="Arial" w:eastAsia="Arial" w:hAnsi="Arial"/>
          <w:sz w:val="14"/>
          <w:szCs w:val="14"/>
          <w:color w:val="auto"/>
        </w:rPr>
      </w:pPr>
      <w:r>
        <w:rPr>
          <w:rFonts w:ascii="Arial" w:cs="Arial" w:eastAsia="Arial" w:hAnsi="Arial"/>
          <w:sz w:val="14"/>
          <w:szCs w:val="14"/>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 of its rights under any of the other Note Transaction Documents against such party or against any other Person, including but not limited to, any Grantor.</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64" w:name="page165"/>
    <w:bookmarkEnd w:id="164"/>
    <w:p>
      <w:pPr>
        <w:ind w:left="-20" w:firstLine="1078"/>
        <w:spacing w:after="0" w:line="253" w:lineRule="auto"/>
        <w:tabs>
          <w:tab w:leader="none" w:pos="1582" w:val="left"/>
        </w:tabs>
        <w:numPr>
          <w:ilvl w:val="0"/>
          <w:numId w:val="225"/>
        </w:numPr>
        <w:rPr>
          <w:rFonts w:ascii="Arial" w:cs="Arial" w:eastAsia="Arial" w:hAnsi="Arial"/>
          <w:sz w:val="15"/>
          <w:szCs w:val="15"/>
          <w:color w:val="auto"/>
        </w:rPr>
      </w:pPr>
      <w:r>
        <w:rPr>
          <w:rFonts w:ascii="Arial" w:cs="Arial" w:eastAsia="Arial" w:hAnsi="Arial"/>
          <w:sz w:val="15"/>
          <w:szCs w:val="15"/>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160" w:lineRule="exact"/>
        <w:rPr>
          <w:rFonts w:ascii="Arial" w:cs="Arial" w:eastAsia="Arial" w:hAnsi="Arial"/>
          <w:sz w:val="15"/>
          <w:szCs w:val="15"/>
          <w:color w:val="auto"/>
        </w:rPr>
      </w:pPr>
    </w:p>
    <w:p>
      <w:pPr>
        <w:ind w:left="-20" w:right="120" w:firstLine="1078"/>
        <w:spacing w:after="0" w:line="293" w:lineRule="auto"/>
        <w:tabs>
          <w:tab w:leader="none" w:pos="1593" w:val="left"/>
        </w:tabs>
        <w:numPr>
          <w:ilvl w:val="0"/>
          <w:numId w:val="225"/>
        </w:numPr>
        <w:rPr>
          <w:rFonts w:ascii="Arial" w:cs="Arial" w:eastAsia="Arial" w:hAnsi="Arial"/>
          <w:sz w:val="13"/>
          <w:szCs w:val="13"/>
          <w:color w:val="auto"/>
        </w:rPr>
      </w:pPr>
      <w:r>
        <w:rPr>
          <w:rFonts w:ascii="Arial" w:cs="Arial" w:eastAsia="Arial" w:hAnsi="Arial"/>
          <w:sz w:val="13"/>
          <w:szCs w:val="13"/>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135" w:lineRule="exact"/>
        <w:rPr>
          <w:rFonts w:ascii="Arial" w:cs="Arial" w:eastAsia="Arial" w:hAnsi="Arial"/>
          <w:sz w:val="13"/>
          <w:szCs w:val="13"/>
          <w:color w:val="auto"/>
        </w:rPr>
      </w:pPr>
    </w:p>
    <w:p>
      <w:pPr>
        <w:ind w:left="-20" w:firstLine="1078"/>
        <w:spacing w:after="0" w:line="306" w:lineRule="auto"/>
        <w:tabs>
          <w:tab w:leader="none" w:pos="157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124" w:lineRule="exact"/>
        <w:rPr>
          <w:rFonts w:ascii="Arial" w:cs="Arial" w:eastAsia="Arial" w:hAnsi="Arial"/>
          <w:sz w:val="14"/>
          <w:szCs w:val="14"/>
          <w:color w:val="auto"/>
        </w:rPr>
      </w:pPr>
    </w:p>
    <w:p>
      <w:pPr>
        <w:ind w:left="-20" w:firstLine="1078"/>
        <w:spacing w:after="0" w:line="294" w:lineRule="auto"/>
        <w:tabs>
          <w:tab w:leader="none" w:pos="1566"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5" w:name="page166"/>
    <w:bookmarkEnd w:id="165"/>
    <w:p>
      <w:pPr>
        <w:ind w:left="-60" w:right="40" w:firstLine="1078"/>
        <w:spacing w:after="0" w:line="275" w:lineRule="auto"/>
        <w:tabs>
          <w:tab w:leader="none" w:pos="1553" w:val="left"/>
        </w:tabs>
        <w:numPr>
          <w:ilvl w:val="0"/>
          <w:numId w:val="226"/>
        </w:numPr>
        <w:rPr>
          <w:rFonts w:ascii="Arial" w:cs="Arial" w:eastAsia="Arial" w:hAnsi="Arial"/>
          <w:sz w:val="14"/>
          <w:szCs w:val="14"/>
          <w:color w:val="auto"/>
        </w:rPr>
      </w:pPr>
      <w:r>
        <w:rPr>
          <w:rFonts w:ascii="Arial" w:cs="Arial" w:eastAsia="Arial" w:hAnsi="Arial"/>
          <w:sz w:val="14"/>
          <w:szCs w:val="14"/>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 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146" w:lineRule="exact"/>
        <w:rPr>
          <w:rFonts w:ascii="Arial" w:cs="Arial" w:eastAsia="Arial" w:hAnsi="Arial"/>
          <w:sz w:val="14"/>
          <w:szCs w:val="14"/>
          <w:color w:val="auto"/>
        </w:rPr>
      </w:pPr>
    </w:p>
    <w:p>
      <w:pPr>
        <w:jc w:val="both"/>
        <w:ind w:left="-60" w:right="220" w:firstLine="1078"/>
        <w:spacing w:after="0" w:line="279" w:lineRule="auto"/>
        <w:tabs>
          <w:tab w:leader="none" w:pos="1551"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142" w:lineRule="exact"/>
        <w:rPr>
          <w:rFonts w:ascii="Arial" w:cs="Arial" w:eastAsia="Arial" w:hAnsi="Arial"/>
          <w:sz w:val="14"/>
          <w:szCs w:val="14"/>
          <w:color w:val="auto"/>
        </w:rPr>
      </w:pPr>
    </w:p>
    <w:p>
      <w:pPr>
        <w:ind w:left="-60" w:firstLine="1078"/>
        <w:spacing w:after="0" w:line="251" w:lineRule="auto"/>
        <w:tabs>
          <w:tab w:leader="none" w:pos="151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5"/>
          <w:szCs w:val="15"/>
          <w:u w:val="single" w:color="auto"/>
          <w:color w:val="auto"/>
        </w:rPr>
        <w:t>FORUM NON CONVENIENS</w:t>
      </w:r>
      <w:r>
        <w:rPr>
          <w:rFonts w:ascii="Arial" w:cs="Arial" w:eastAsia="Arial" w:hAnsi="Arial"/>
          <w:sz w:val="15"/>
          <w:szCs w:val="15"/>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160" w:lineRule="exact"/>
        <w:rPr>
          <w:rFonts w:ascii="Arial" w:cs="Arial" w:eastAsia="Arial" w:hAnsi="Arial"/>
          <w:sz w:val="15"/>
          <w:szCs w:val="15"/>
          <w:color w:val="auto"/>
        </w:rPr>
      </w:pPr>
    </w:p>
    <w:p>
      <w:pPr>
        <w:ind w:left="-60" w:right="120" w:firstLine="1078"/>
        <w:spacing w:after="0" w:line="255" w:lineRule="auto"/>
        <w:tabs>
          <w:tab w:leader="none" w:pos="15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166" w:name="page167"/>
    <w:bookmarkEnd w:id="166"/>
    <w:p>
      <w:pPr>
        <w:ind w:left="-20" w:right="360" w:firstLine="1078"/>
        <w:spacing w:after="0" w:line="269" w:lineRule="auto"/>
        <w:tabs>
          <w:tab w:leader="none" w:pos="1593" w:val="left"/>
        </w:tabs>
        <w:numPr>
          <w:ilvl w:val="0"/>
          <w:numId w:val="227"/>
        </w:numPr>
        <w:rPr>
          <w:rFonts w:ascii="Arial" w:cs="Arial" w:eastAsia="Arial" w:hAnsi="Arial"/>
          <w:sz w:val="15"/>
          <w:szCs w:val="15"/>
          <w:color w:val="auto"/>
        </w:rPr>
      </w:pPr>
      <w:r>
        <w:rPr>
          <w:rFonts w:ascii="Arial" w:cs="Arial" w:eastAsia="Arial" w:hAnsi="Arial"/>
          <w:sz w:val="15"/>
          <w:szCs w:val="15"/>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147" w:lineRule="exact"/>
        <w:rPr>
          <w:rFonts w:ascii="Arial" w:cs="Arial" w:eastAsia="Arial" w:hAnsi="Arial"/>
          <w:sz w:val="15"/>
          <w:szCs w:val="15"/>
          <w:color w:val="auto"/>
        </w:rPr>
      </w:pPr>
    </w:p>
    <w:p>
      <w:pPr>
        <w:ind w:left="-20" w:right="140" w:firstLine="1078"/>
        <w:spacing w:after="0" w:line="269" w:lineRule="auto"/>
        <w:tabs>
          <w:tab w:leader="none" w:pos="15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Each Grantor irrevocably and unconditionally waives any right it may have to claim or recover in any legal action, suit or proceeding referred to in this Section any special, exemplary, punitive or consequential damages.</w:t>
      </w:r>
    </w:p>
    <w:p>
      <w:pPr>
        <w:spacing w:after="0" w:line="147" w:lineRule="exact"/>
        <w:rPr>
          <w:rFonts w:ascii="Arial" w:cs="Arial" w:eastAsia="Arial" w:hAnsi="Arial"/>
          <w:sz w:val="15"/>
          <w:szCs w:val="15"/>
          <w:color w:val="auto"/>
        </w:rPr>
      </w:pPr>
    </w:p>
    <w:p>
      <w:pPr>
        <w:ind w:left="1640" w:hanging="582"/>
        <w:spacing w:after="0"/>
        <w:tabs>
          <w:tab w:leader="none" w:pos="16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Section headings herein are included for convenience of reference only and shall not constitute a part of this Agreement for any other purpose.</w:t>
      </w:r>
    </w:p>
    <w:p>
      <w:pPr>
        <w:spacing w:after="0" w:line="183" w:lineRule="exact"/>
        <w:rPr>
          <w:rFonts w:ascii="Arial" w:cs="Arial" w:eastAsia="Arial" w:hAnsi="Arial"/>
          <w:sz w:val="15"/>
          <w:szCs w:val="15"/>
          <w:color w:val="auto"/>
        </w:rPr>
      </w:pPr>
    </w:p>
    <w:p>
      <w:pPr>
        <w:ind w:left="-20" w:right="320" w:firstLine="1078"/>
        <w:spacing w:after="0" w:line="269" w:lineRule="auto"/>
        <w:tabs>
          <w:tab w:leader="none" w:pos="159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47" w:lineRule="exact"/>
        <w:rPr>
          <w:rFonts w:ascii="Arial" w:cs="Arial" w:eastAsia="Arial" w:hAnsi="Arial"/>
          <w:sz w:val="15"/>
          <w:szCs w:val="15"/>
          <w:color w:val="auto"/>
        </w:rPr>
      </w:pPr>
    </w:p>
    <w:p>
      <w:pPr>
        <w:ind w:left="-20" w:firstLine="1078"/>
        <w:spacing w:after="0" w:line="258" w:lineRule="auto"/>
        <w:tabs>
          <w:tab w:leader="none" w:pos="159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THIS PAGE INTENTIONALLY LEFT BLANK]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color w:val="auto"/>
        </w:rPr>
        <w:t>IN WITNESS WHEREOF, each Grantor has caused this Agreement to be executed and delivered by its officer thereunto duly authorized, as of the date first above written.</w:t>
      </w:r>
    </w:p>
    <w:p>
      <w:pPr>
        <w:sectPr>
          <w:pgSz w:w="11900" w:h="16838" w:orient="portrait"/>
          <w:cols w:equalWidth="0" w:num="1">
            <w:col w:w="10160"/>
          </w:cols>
          <w:pgMar w:left="1300" w:top="753" w:right="439" w:bottom="1440" w:gutter="0" w:footer="0" w:header="0"/>
        </w:sectPr>
      </w:pP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VRINGO, INC.</w:t>
      </w:r>
      <w:r>
        <w:rPr>
          <w:rFonts w:ascii="Arial" w:cs="Arial" w:eastAsia="Arial" w:hAnsi="Arial"/>
          <w:sz w:val="15"/>
          <w:szCs w:val="15"/>
          <w:color w:val="auto"/>
        </w:rPr>
        <w:t>, a Delaware corporation</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10160</wp:posOffset>
            </wp:positionV>
            <wp:extent cx="246824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INNOVATE/PROTECT, INC.</w:t>
      </w:r>
      <w:r>
        <w:rPr>
          <w:rFonts w:ascii="Arial" w:cs="Arial" w:eastAsia="Arial" w:hAnsi="Arial"/>
          <w:sz w:val="14"/>
          <w:szCs w:val="14"/>
          <w:color w:val="auto"/>
        </w:rPr>
        <w:t>, a Delaware corporation formerly known as</w:t>
      </w:r>
    </w:p>
    <w:p>
      <w:pPr>
        <w:spacing w:after="0" w:line="31"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Labrador Search Corporation</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10160</wp:posOffset>
            </wp:positionV>
            <wp:extent cx="246824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349885</wp:posOffset>
            </wp:positionV>
            <wp:extent cx="727075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160"/>
          </w:cols>
          <w:pgMar w:left="1300" w:top="753" w:right="439" w:bottom="1440" w:gutter="0" w:footer="0" w:header="0"/>
          <w:type w:val="continuous"/>
        </w:sectPr>
      </w:pPr>
    </w:p>
    <w:bookmarkStart w:id="168" w:name="page169"/>
    <w:bookmarkEnd w:id="168"/>
    <w:p>
      <w:pPr>
        <w:ind w:left="4520"/>
        <w:spacing w:after="0"/>
        <w:rPr>
          <w:sz w:val="20"/>
          <w:szCs w:val="20"/>
          <w:color w:val="auto"/>
        </w:rPr>
      </w:pPr>
      <w:r>
        <w:rPr>
          <w:rFonts w:ascii="Arial" w:cs="Arial" w:eastAsia="Arial" w:hAnsi="Arial"/>
          <w:sz w:val="15"/>
          <w:szCs w:val="15"/>
          <w:b w:val="1"/>
          <w:bCs w:val="1"/>
          <w:color w:val="auto"/>
        </w:rPr>
        <w:t>I/P LABS, INC.</w:t>
      </w:r>
      <w:r>
        <w:rPr>
          <w:rFonts w:ascii="Arial" w:cs="Arial" w:eastAsia="Arial" w:hAnsi="Arial"/>
          <w:sz w:val="15"/>
          <w:szCs w:val="15"/>
          <w:color w:val="auto"/>
        </w:rPr>
        <w:t>, a Delaware corporation formerly known as Scottish</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Terrier Capital, Inc.</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520"/>
        <w:spacing w:after="0" w:line="275" w:lineRule="auto"/>
        <w:rPr>
          <w:sz w:val="20"/>
          <w:szCs w:val="20"/>
          <w:color w:val="auto"/>
        </w:rPr>
      </w:pPr>
      <w:r>
        <w:rPr>
          <w:rFonts w:ascii="Arial" w:cs="Arial" w:eastAsia="Arial" w:hAnsi="Arial"/>
          <w:sz w:val="15"/>
          <w:szCs w:val="15"/>
          <w:b w:val="1"/>
          <w:bCs w:val="1"/>
          <w:color w:val="auto"/>
        </w:rPr>
        <w:t>I/P ENGINE, INC.</w:t>
      </w:r>
      <w:r>
        <w:rPr>
          <w:rFonts w:ascii="Arial" w:cs="Arial" w:eastAsia="Arial" w:hAnsi="Arial"/>
          <w:sz w:val="15"/>
          <w:szCs w:val="15"/>
          <w:color w:val="auto"/>
        </w:rPr>
        <w:t>, a Virginia corporation formerly known as Smart Search</w:t>
      </w:r>
      <w:r>
        <w:rPr>
          <w:rFonts w:ascii="Arial" w:cs="Arial" w:eastAsia="Arial" w:hAnsi="Arial"/>
          <w:sz w:val="15"/>
          <w:szCs w:val="15"/>
          <w:b w:val="1"/>
          <w:bCs w:val="1"/>
          <w:color w:val="auto"/>
        </w:rPr>
        <w:t xml:space="preserve"> </w:t>
      </w:r>
      <w:r>
        <w:rPr>
          <w:rFonts w:ascii="Arial" w:cs="Arial" w:eastAsia="Arial" w:hAnsi="Arial"/>
          <w:sz w:val="15"/>
          <w:szCs w:val="15"/>
          <w:color w:val="auto"/>
        </w:rPr>
        <w:t>Labs, Inc.</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364490</wp:posOffset>
            </wp:positionV>
            <wp:extent cx="727075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100"/>
          </w:cols>
          <w:pgMar w:left="1440" w:top="749" w:right="1359" w:bottom="1440" w:gutter="0" w:footer="0" w:header="0"/>
        </w:sectPr>
      </w:pPr>
    </w:p>
    <w:bookmarkStart w:id="169" w:name="page170"/>
    <w:bookmarkEnd w:id="169"/>
    <w:p>
      <w:pPr>
        <w:ind w:left="4520"/>
        <w:spacing w:after="0"/>
        <w:rPr>
          <w:sz w:val="20"/>
          <w:szCs w:val="20"/>
          <w:color w:val="auto"/>
        </w:rPr>
      </w:pPr>
      <w:r>
        <w:rPr>
          <w:rFonts w:ascii="Arial" w:cs="Arial" w:eastAsia="Arial" w:hAnsi="Arial"/>
          <w:sz w:val="14"/>
          <w:szCs w:val="14"/>
          <w:b w:val="1"/>
          <w:bCs w:val="1"/>
          <w:color w:val="auto"/>
        </w:rPr>
        <w:t>VRINGO, LTD.</w:t>
      </w:r>
      <w:r>
        <w:rPr>
          <w:rFonts w:ascii="Arial" w:cs="Arial" w:eastAsia="Arial" w:hAnsi="Arial"/>
          <w:sz w:val="14"/>
          <w:szCs w:val="14"/>
          <w:color w:val="auto"/>
        </w:rPr>
        <w:t>, an Israeli corporation</w:t>
      </w:r>
    </w:p>
    <w:p>
      <w:pPr>
        <w:spacing w:after="0" w:line="199"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364490</wp:posOffset>
            </wp:positionV>
            <wp:extent cx="727075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u w:val="single" w:color="auto"/>
          <w:color w:val="auto"/>
        </w:rPr>
        <w:t>ACCEPTED BY</w:t>
      </w: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HUDSON BAY MASTER FUND LTD.,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as Buyer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61683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16835" cy="698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Title:</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Address</w:t>
      </w:r>
      <w:r>
        <w:rPr>
          <w:rFonts w:ascii="Arial" w:cs="Arial" w:eastAsia="Arial" w:hAnsi="Arial"/>
          <w:sz w:val="15"/>
          <w:szCs w:val="15"/>
          <w:b w:val="1"/>
          <w:bCs w:val="1"/>
          <w:color w:val="auto"/>
        </w:rPr>
        <w:t>:</w:t>
      </w:r>
    </w:p>
    <w:p>
      <w:pPr>
        <w:spacing w:after="0" w:line="174" w:lineRule="exact"/>
        <w:rPr>
          <w:sz w:val="20"/>
          <w:szCs w:val="20"/>
          <w:color w:val="auto"/>
        </w:rPr>
      </w:pPr>
    </w:p>
    <w:p>
      <w:pPr>
        <w:jc w:val="right"/>
        <w:ind w:right="3339"/>
        <w:spacing w:after="0"/>
        <w:rPr>
          <w:sz w:val="20"/>
          <w:szCs w:val="20"/>
          <w:color w:val="auto"/>
        </w:rPr>
      </w:pPr>
      <w:r>
        <w:rPr>
          <w:rFonts w:ascii="Arial" w:cs="Arial" w:eastAsia="Arial" w:hAnsi="Arial"/>
          <w:sz w:val="15"/>
          <w:szCs w:val="15"/>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53"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5"/>
          <w:szCs w:val="15"/>
          <w:color w:val="auto"/>
        </w:rPr>
        <w:t>Exhibit J</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GUARANTY</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AMENDED AND RESTATED GUARANTY, dated as of [_______ __], 2012 (this "</w:t>
      </w:r>
      <w:r>
        <w:rPr>
          <w:rFonts w:ascii="Arial" w:cs="Arial" w:eastAsia="Arial" w:hAnsi="Arial"/>
          <w:sz w:val="14"/>
          <w:szCs w:val="14"/>
          <w:b w:val="1"/>
          <w:bCs w:val="1"/>
          <w:color w:val="auto"/>
        </w:rPr>
        <w:t>Guaranty</w:t>
      </w:r>
      <w:r>
        <w:rPr>
          <w:rFonts w:ascii="Arial" w:cs="Arial" w:eastAsia="Arial" w:hAnsi="Arial"/>
          <w:sz w:val="14"/>
          <w:szCs w:val="14"/>
          <w:color w:val="auto"/>
        </w:rPr>
        <w:t xml:space="preserve">"), made by </w:t>
      </w:r>
      <w:r>
        <w:rPr>
          <w:rFonts w:ascii="Arial" w:cs="Arial" w:eastAsia="Arial" w:hAnsi="Arial"/>
          <w:sz w:val="14"/>
          <w:szCs w:val="14"/>
          <w:b w:val="1"/>
          <w:bCs w:val="1"/>
          <w:color w:val="auto"/>
        </w:rPr>
        <w:t>VRINGO, INC.</w:t>
      </w:r>
      <w:r>
        <w:rPr>
          <w:rFonts w:ascii="Arial" w:cs="Arial" w:eastAsia="Arial" w:hAnsi="Arial"/>
          <w:sz w:val="14"/>
          <w:szCs w:val="14"/>
          <w:color w:val="auto"/>
        </w:rPr>
        <w:t>,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each of its existing "Subsidiaries" (as defined in the Note defined below) as named on the signature pages hereto (collectively, the "</w:t>
      </w:r>
      <w:r>
        <w:rPr>
          <w:rFonts w:ascii="Arial" w:cs="Arial" w:eastAsia="Arial" w:hAnsi="Arial"/>
          <w:sz w:val="14"/>
          <w:szCs w:val="14"/>
          <w:b w:val="1"/>
          <w:bCs w:val="1"/>
          <w:color w:val="auto"/>
        </w:rPr>
        <w:t>Existing Subsidiaries</w:t>
      </w:r>
      <w:r>
        <w:rPr>
          <w:rFonts w:ascii="Arial" w:cs="Arial" w:eastAsia="Arial" w:hAnsi="Arial"/>
          <w:sz w:val="14"/>
          <w:szCs w:val="14"/>
          <w:color w:val="auto"/>
        </w:rPr>
        <w:t>") and each other Subsidiary of the Company hereafter becoming party hereto (each individually referred to herein as a "</w:t>
      </w:r>
      <w:r>
        <w:rPr>
          <w:rFonts w:ascii="Arial" w:cs="Arial" w:eastAsia="Arial" w:hAnsi="Arial"/>
          <w:sz w:val="14"/>
          <w:szCs w:val="14"/>
          <w:b w:val="1"/>
          <w:bCs w:val="1"/>
          <w:color w:val="auto"/>
        </w:rPr>
        <w:t>New Subsidiary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Subsidiaries</w:t>
      </w:r>
      <w:r>
        <w:rPr>
          <w:rFonts w:ascii="Arial" w:cs="Arial" w:eastAsia="Arial" w:hAnsi="Arial"/>
          <w:sz w:val="14"/>
          <w:szCs w:val="14"/>
          <w:color w:val="auto"/>
        </w:rPr>
        <w:t>," together with the Company and the Existing Subsidiaries, each a "</w:t>
      </w:r>
      <w:r>
        <w:rPr>
          <w:rFonts w:ascii="Arial" w:cs="Arial" w:eastAsia="Arial" w:hAnsi="Arial"/>
          <w:sz w:val="14"/>
          <w:szCs w:val="14"/>
          <w:b w:val="1"/>
          <w:bCs w:val="1"/>
          <w:color w:val="auto"/>
        </w:rPr>
        <w:t>Guarantor</w:t>
      </w:r>
      <w:r>
        <w:rPr>
          <w:rFonts w:ascii="Arial" w:cs="Arial" w:eastAsia="Arial" w:hAnsi="Arial"/>
          <w:sz w:val="14"/>
          <w:szCs w:val="14"/>
          <w:color w:val="auto"/>
        </w:rPr>
        <w:t>" and, collectively, the "</w:t>
      </w:r>
      <w:r>
        <w:rPr>
          <w:rFonts w:ascii="Arial" w:cs="Arial" w:eastAsia="Arial" w:hAnsi="Arial"/>
          <w:sz w:val="14"/>
          <w:szCs w:val="14"/>
          <w:b w:val="1"/>
          <w:bCs w:val="1"/>
          <w:color w:val="auto"/>
        </w:rPr>
        <w:t>Guarantor</w:t>
      </w:r>
      <w:r>
        <w:rPr>
          <w:rFonts w:ascii="Arial" w:cs="Arial" w:eastAsia="Arial" w:hAnsi="Arial"/>
          <w:sz w:val="14"/>
          <w:szCs w:val="14"/>
          <w:color w:val="auto"/>
        </w:rPr>
        <w:t>"), in favor of the "Buyer" (as defined below) party to the Note referenced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WITNESSETH</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firstLine="1069"/>
        <w:spacing w:after="0" w:line="320" w:lineRule="auto"/>
        <w:rPr>
          <w:sz w:val="20"/>
          <w:szCs w:val="20"/>
          <w:color w:val="auto"/>
        </w:rPr>
      </w:pPr>
      <w:r>
        <w:rPr>
          <w:rFonts w:ascii="Arial" w:cs="Arial" w:eastAsia="Arial" w:hAnsi="Arial"/>
          <w:sz w:val="13"/>
          <w:szCs w:val="13"/>
          <w:color w:val="auto"/>
        </w:rPr>
        <w:t>WHEREAS, Innovate/Protect, Inc., a Delaware corporation formerly known as Labrador Search Corporation ("</w:t>
      </w:r>
      <w:r>
        <w:rPr>
          <w:rFonts w:ascii="Arial" w:cs="Arial" w:eastAsia="Arial" w:hAnsi="Arial"/>
          <w:sz w:val="13"/>
          <w:szCs w:val="13"/>
          <w:b w:val="1"/>
          <w:bCs w:val="1"/>
          <w:color w:val="auto"/>
        </w:rPr>
        <w:t>I/P</w:t>
      </w:r>
      <w:r>
        <w:rPr>
          <w:rFonts w:ascii="Arial" w:cs="Arial" w:eastAsia="Arial" w:hAnsi="Arial"/>
          <w:sz w:val="13"/>
          <w:szCs w:val="13"/>
          <w:color w:val="auto"/>
        </w:rPr>
        <w:t>"), and Hudson Bay Master Fund Ltd. (the "</w:t>
      </w:r>
      <w:r>
        <w:rPr>
          <w:rFonts w:ascii="Arial" w:cs="Arial" w:eastAsia="Arial" w:hAnsi="Arial"/>
          <w:sz w:val="13"/>
          <w:szCs w:val="13"/>
          <w:b w:val="1"/>
          <w:bCs w:val="1"/>
          <w:color w:val="auto"/>
        </w:rPr>
        <w:t>Buyer</w:t>
      </w:r>
      <w:r>
        <w:rPr>
          <w:rFonts w:ascii="Arial" w:cs="Arial" w:eastAsia="Arial" w:hAnsi="Arial"/>
          <w:sz w:val="13"/>
          <w:szCs w:val="13"/>
          <w:color w:val="auto"/>
        </w:rPr>
        <w:t>") are parties to that certain Subscription Agreement, dated as of June 22, 2011 (as amended, restated or otherwise modified from time to time, the "</w:t>
      </w:r>
      <w:r>
        <w:rPr>
          <w:rFonts w:ascii="Arial" w:cs="Arial" w:eastAsia="Arial" w:hAnsi="Arial"/>
          <w:sz w:val="13"/>
          <w:szCs w:val="13"/>
          <w:b w:val="1"/>
          <w:bCs w:val="1"/>
          <w:color w:val="auto"/>
        </w:rPr>
        <w:t>Subscription Agreement</w:t>
      </w:r>
      <w:r>
        <w:rPr>
          <w:rFonts w:ascii="Arial" w:cs="Arial" w:eastAsia="Arial" w:hAnsi="Arial"/>
          <w:sz w:val="13"/>
          <w:szCs w:val="13"/>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3"/>
          <w:szCs w:val="13"/>
          <w:b w:val="1"/>
          <w:bCs w:val="1"/>
          <w:color w:val="auto"/>
        </w:rPr>
        <w:t>Note</w:t>
      </w:r>
      <w:r>
        <w:rPr>
          <w:rFonts w:ascii="Arial" w:cs="Arial" w:eastAsia="Arial" w:hAnsi="Arial"/>
          <w:sz w:val="13"/>
          <w:szCs w:val="13"/>
          <w:color w:val="auto"/>
        </w:rPr>
        <w:t>") to the Buyer;</w:t>
      </w:r>
    </w:p>
    <w:p>
      <w:pPr>
        <w:spacing w:after="0" w:line="115" w:lineRule="exact"/>
        <w:rPr>
          <w:sz w:val="20"/>
          <w:szCs w:val="20"/>
          <w:color w:val="auto"/>
        </w:rPr>
      </w:pPr>
    </w:p>
    <w:p>
      <w:pPr>
        <w:jc w:val="both"/>
        <w:ind w:firstLine="1069"/>
        <w:spacing w:after="0" w:line="254" w:lineRule="auto"/>
        <w:rPr>
          <w:sz w:val="20"/>
          <w:szCs w:val="20"/>
          <w:color w:val="auto"/>
        </w:rPr>
      </w:pPr>
      <w:r>
        <w:rPr>
          <w:rFonts w:ascii="Arial" w:cs="Arial" w:eastAsia="Arial" w:hAnsi="Arial"/>
          <w:sz w:val="15"/>
          <w:szCs w:val="15"/>
          <w:color w:val="auto"/>
        </w:rPr>
        <w:t>WHEREAS, pursuant to the Guaranty dated as of June 22, 2011 (as amended prior to the date hereof, the "</w:t>
      </w:r>
      <w:r>
        <w:rPr>
          <w:rFonts w:ascii="Arial" w:cs="Arial" w:eastAsia="Arial" w:hAnsi="Arial"/>
          <w:sz w:val="15"/>
          <w:szCs w:val="15"/>
          <w:b w:val="1"/>
          <w:bCs w:val="1"/>
          <w:color w:val="auto"/>
        </w:rPr>
        <w:t>Existing Guaranty</w:t>
      </w:r>
      <w:r>
        <w:rPr>
          <w:rFonts w:ascii="Arial" w:cs="Arial" w:eastAsia="Arial" w:hAnsi="Arial"/>
          <w:sz w:val="15"/>
          <w:szCs w:val="15"/>
          <w:color w:val="auto"/>
        </w:rPr>
        <w:t>"),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 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Engine, each individually referred to herein as an "</w:t>
      </w:r>
      <w:r>
        <w:rPr>
          <w:rFonts w:ascii="Arial" w:cs="Arial" w:eastAsia="Arial" w:hAnsi="Arial"/>
          <w:sz w:val="15"/>
          <w:szCs w:val="15"/>
          <w:b w:val="1"/>
          <w:bCs w:val="1"/>
          <w:color w:val="auto"/>
        </w:rPr>
        <w:t>Existing Guarantor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 Guarantors</w:t>
      </w:r>
      <w:r>
        <w:rPr>
          <w:rFonts w:ascii="Arial" w:cs="Arial" w:eastAsia="Arial" w:hAnsi="Arial"/>
          <w:sz w:val="15"/>
          <w:szCs w:val="15"/>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157" w:lineRule="exact"/>
        <w:rPr>
          <w:sz w:val="20"/>
          <w:szCs w:val="20"/>
          <w:color w:val="auto"/>
        </w:rPr>
      </w:pPr>
    </w:p>
    <w:p>
      <w:pPr>
        <w:jc w:val="both"/>
        <w:ind w:firstLine="1069"/>
        <w:spacing w:after="0" w:line="354" w:lineRule="auto"/>
        <w:rPr>
          <w:sz w:val="20"/>
          <w:szCs w:val="20"/>
          <w:color w:val="auto"/>
        </w:rPr>
      </w:pPr>
      <w:r>
        <w:rPr>
          <w:rFonts w:ascii="Arial" w:cs="Arial" w:eastAsia="Arial" w:hAnsi="Arial"/>
          <w:sz w:val="13"/>
          <w:szCs w:val="13"/>
          <w:color w:val="auto"/>
        </w:rPr>
        <w:t>WHEREAS, the Company, I/P and Vringo Merger Sub, Inc. ("</w:t>
      </w:r>
      <w:r>
        <w:rPr>
          <w:rFonts w:ascii="Arial" w:cs="Arial" w:eastAsia="Arial" w:hAnsi="Arial"/>
          <w:sz w:val="13"/>
          <w:szCs w:val="13"/>
          <w:b w:val="1"/>
          <w:bCs w:val="1"/>
          <w:color w:val="auto"/>
        </w:rPr>
        <w:t>Merger Sub</w:t>
      </w:r>
      <w:r>
        <w:rPr>
          <w:rFonts w:ascii="Arial" w:cs="Arial" w:eastAsia="Arial" w:hAnsi="Arial"/>
          <w:sz w:val="13"/>
          <w:szCs w:val="13"/>
          <w:color w:val="auto"/>
        </w:rPr>
        <w:t>"), a wholly-owned subsidiary of the Company, have entered into that certain Agreement and Plan of Merger, dated as of March [__], 2012 (the "</w:t>
      </w:r>
      <w:r>
        <w:rPr>
          <w:rFonts w:ascii="Arial" w:cs="Arial" w:eastAsia="Arial" w:hAnsi="Arial"/>
          <w:sz w:val="13"/>
          <w:szCs w:val="13"/>
          <w:b w:val="1"/>
          <w:bCs w:val="1"/>
          <w:color w:val="auto"/>
        </w:rPr>
        <w:t>Merger Agreement</w:t>
      </w:r>
      <w:r>
        <w:rPr>
          <w:rFonts w:ascii="Arial" w:cs="Arial" w:eastAsia="Arial" w:hAnsi="Arial"/>
          <w:sz w:val="13"/>
          <w:szCs w:val="13"/>
          <w:color w:val="auto"/>
        </w:rPr>
        <w:t>") pursuant to which, among other things, I/P shall be merged with and into Merger Sub (the "</w:t>
      </w:r>
      <w:r>
        <w:rPr>
          <w:rFonts w:ascii="Arial" w:cs="Arial" w:eastAsia="Arial" w:hAnsi="Arial"/>
          <w:sz w:val="13"/>
          <w:szCs w:val="13"/>
          <w:b w:val="1"/>
          <w:bCs w:val="1"/>
          <w:color w:val="auto"/>
        </w:rPr>
        <w:t>Merger Transaction</w:t>
      </w:r>
      <w:r>
        <w:rPr>
          <w:rFonts w:ascii="Arial" w:cs="Arial" w:eastAsia="Arial" w:hAnsi="Arial"/>
          <w:sz w:val="13"/>
          <w:szCs w:val="13"/>
          <w:color w:val="auto"/>
        </w:rPr>
        <w:t>");</w:t>
      </w:r>
    </w:p>
    <w:p>
      <w:pPr>
        <w:spacing w:after="0" w:line="98"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5"/>
          <w:szCs w:val="15"/>
          <w:b w:val="1"/>
          <w:bCs w:val="1"/>
          <w:color w:val="auto"/>
        </w:rPr>
        <w:t>Vringo Israel</w:t>
      </w:r>
      <w:r>
        <w:rPr>
          <w:rFonts w:ascii="Arial" w:cs="Arial" w:eastAsia="Arial" w:hAnsi="Arial"/>
          <w:sz w:val="15"/>
          <w:szCs w:val="15"/>
          <w:color w:val="auto"/>
        </w:rPr>
        <w:t>"), and Vringo Israel has agreed, to guarantee the obligations of I/P under the Note and the Note Transaction Documents;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WHEREAS, pursuant to an Amended and Restated Pledge and Security Agreement, dated as of the date hereof (as amended, restated or otherwise modified from time to time, the "</w:t>
      </w:r>
      <w:r>
        <w:rPr>
          <w:rFonts w:ascii="Arial" w:cs="Arial" w:eastAsia="Arial" w:hAnsi="Arial"/>
          <w:sz w:val="15"/>
          <w:szCs w:val="15"/>
          <w:b w:val="1"/>
          <w:bCs w:val="1"/>
          <w:color w:val="auto"/>
        </w:rPr>
        <w:t>Security Agreement</w:t>
      </w:r>
      <w:r>
        <w:rPr>
          <w:rFonts w:ascii="Arial" w:cs="Arial" w:eastAsia="Arial" w:hAnsi="Arial"/>
          <w:sz w:val="15"/>
          <w:szCs w:val="15"/>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727075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172" w:name="page173"/>
    <w:bookmarkEnd w:id="172"/>
    <w:p>
      <w:pPr>
        <w:jc w:val="both"/>
        <w:ind w:firstLine="1069"/>
        <w:spacing w:after="0" w:line="258" w:lineRule="auto"/>
        <w:rPr>
          <w:sz w:val="20"/>
          <w:szCs w:val="20"/>
          <w:color w:val="auto"/>
        </w:rPr>
      </w:pPr>
      <w:r>
        <w:rPr>
          <w:rFonts w:ascii="Arial" w:cs="Arial" w:eastAsia="Arial" w:hAnsi="Arial"/>
          <w:sz w:val="15"/>
          <w:szCs w:val="15"/>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NOW, THEREFORE, in consideration of the premises and the agreements herein and for other consideration, the sufficiency of which is hereby acknowledged, each</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Guarantor hereby agrees with the Buyer as follows:</w:t>
      </w:r>
    </w:p>
    <w:p>
      <w:pPr>
        <w:spacing w:after="0" w:line="174" w:lineRule="exact"/>
        <w:rPr>
          <w:sz w:val="20"/>
          <w:szCs w:val="20"/>
          <w:color w:val="auto"/>
        </w:rPr>
      </w:pPr>
    </w:p>
    <w:p>
      <w:pPr>
        <w:jc w:val="both"/>
        <w:ind w:right="20" w:firstLine="1069"/>
        <w:spacing w:after="0" w:line="269"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Definitions</w:t>
      </w:r>
      <w:r>
        <w:rPr>
          <w:rFonts w:ascii="Arial" w:cs="Arial" w:eastAsia="Arial" w:hAnsi="Arial"/>
          <w:sz w:val="15"/>
          <w:szCs w:val="15"/>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148" w:lineRule="exact"/>
        <w:rPr>
          <w:sz w:val="20"/>
          <w:szCs w:val="20"/>
          <w:color w:val="auto"/>
        </w:rPr>
      </w:pPr>
    </w:p>
    <w:p>
      <w:pPr>
        <w:jc w:val="both"/>
        <w:ind w:firstLine="1069"/>
        <w:spacing w:after="0" w:line="26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Guaranty</w:t>
      </w:r>
      <w:r>
        <w:rPr>
          <w:rFonts w:ascii="Arial" w:cs="Arial" w:eastAsia="Arial" w:hAnsi="Arial"/>
          <w:sz w:val="14"/>
          <w:szCs w:val="14"/>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4"/>
          <w:szCs w:val="14"/>
          <w:b w:val="1"/>
          <w:bCs w:val="1"/>
          <w:color w:val="auto"/>
        </w:rPr>
        <w:t>Insolvency Proceeding</w:t>
      </w:r>
      <w:r>
        <w:rPr>
          <w:rFonts w:ascii="Arial" w:cs="Arial" w:eastAsia="Arial" w:hAnsi="Arial"/>
          <w:sz w:val="14"/>
          <w:szCs w:val="14"/>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4"/>
          <w:szCs w:val="14"/>
          <w:b w:val="1"/>
          <w:bCs w:val="1"/>
          <w:color w:val="auto"/>
        </w:rPr>
        <w:t>Guaranteed Obligations</w:t>
      </w:r>
      <w:r>
        <w:rPr>
          <w:rFonts w:ascii="Arial" w:cs="Arial" w:eastAsia="Arial" w:hAnsi="Arial"/>
          <w:sz w:val="14"/>
          <w:szCs w:val="14"/>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4"/>
          <w:szCs w:val="14"/>
          <w:b w:val="1"/>
          <w:bCs w:val="1"/>
          <w:color w:val="auto"/>
        </w:rPr>
        <w:t>Transaction Party</w:t>
      </w:r>
      <w:r>
        <w:rPr>
          <w:rFonts w:ascii="Arial" w:cs="Arial" w:eastAsia="Arial" w:hAnsi="Arial"/>
          <w:sz w:val="14"/>
          <w:szCs w:val="14"/>
          <w:color w:val="auto"/>
        </w:rPr>
        <w:t>").</w:t>
      </w:r>
    </w:p>
    <w:p>
      <w:pPr>
        <w:spacing w:after="0" w:line="154"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3"/>
          <w:szCs w:val="13"/>
          <w:u w:val="single" w:color="auto"/>
          <w:color w:val="auto"/>
        </w:rPr>
        <w:t>Guaranty Absolute; Continuing Guaranty; Assignments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2" w:lineRule="auto"/>
        <w:tabs>
          <w:tab w:leader="none" w:pos="187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339" w:lineRule="exact"/>
        <w:rPr>
          <w:rFonts w:ascii="Arial" w:cs="Arial" w:eastAsia="Arial" w:hAnsi="Arial"/>
          <w:sz w:val="15"/>
          <w:szCs w:val="15"/>
          <w:color w:val="auto"/>
        </w:rPr>
      </w:pPr>
    </w:p>
    <w:p>
      <w:pPr>
        <w:ind w:left="5700" w:hanging="90"/>
        <w:spacing w:after="0"/>
        <w:tabs>
          <w:tab w:leader="none" w:pos="570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3" w:name="page174"/>
    <w:bookmarkEnd w:id="173"/>
    <w:p>
      <w:pPr>
        <w:ind w:left="2120" w:hanging="507"/>
        <w:spacing w:after="0"/>
        <w:tabs>
          <w:tab w:leader="none" w:pos="21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lack of validity or enforceability of any Note Transaction Document or any agreement or instrument relating thereto;</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68"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156" w:lineRule="exact"/>
        <w:rPr>
          <w:rFonts w:ascii="Arial" w:cs="Arial" w:eastAsia="Arial" w:hAnsi="Arial"/>
          <w:sz w:val="15"/>
          <w:szCs w:val="15"/>
          <w:color w:val="auto"/>
        </w:rPr>
      </w:pPr>
    </w:p>
    <w:p>
      <w:pPr>
        <w:ind w:firstLine="1613"/>
        <w:spacing w:after="0" w:line="269" w:lineRule="auto"/>
        <w:tabs>
          <w:tab w:leader="none" w:pos="220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147" w:lineRule="exact"/>
        <w:rPr>
          <w:rFonts w:ascii="Arial" w:cs="Arial" w:eastAsia="Arial" w:hAnsi="Arial"/>
          <w:sz w:val="15"/>
          <w:szCs w:val="15"/>
          <w:color w:val="auto"/>
        </w:rPr>
      </w:pPr>
    </w:p>
    <w:p>
      <w:pPr>
        <w:ind w:left="2200" w:hanging="587"/>
        <w:spacing w:after="0"/>
        <w:tabs>
          <w:tab w:leader="none" w:pos="220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any change, restructuring or termination of the corporate, limited liability company or partnership structure or existence of any Transaction Party.</w:t>
      </w:r>
    </w:p>
    <w:p>
      <w:pPr>
        <w:spacing w:after="0" w:line="19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124" w:lineRule="exact"/>
        <w:rPr>
          <w:sz w:val="20"/>
          <w:szCs w:val="20"/>
          <w:color w:val="auto"/>
        </w:rPr>
      </w:pPr>
    </w:p>
    <w:p>
      <w:pPr>
        <w:jc w:val="both"/>
        <w:ind w:firstLine="1078"/>
        <w:spacing w:after="0" w:line="251" w:lineRule="auto"/>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 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163" w:lineRule="exact"/>
        <w:rPr>
          <w:sz w:val="20"/>
          <w:szCs w:val="20"/>
          <w:color w:val="auto"/>
        </w:rPr>
      </w:pPr>
    </w:p>
    <w:p>
      <w:pPr>
        <w:jc w:val="both"/>
        <w:ind w:firstLine="1069"/>
        <w:spacing w:after="0" w:line="275"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Waivers</w:t>
      </w:r>
      <w:r>
        <w:rPr>
          <w:rFonts w:ascii="Arial" w:cs="Arial" w:eastAsia="Arial" w:hAnsi="Arial"/>
          <w:sz w:val="14"/>
          <w:szCs w:val="14"/>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4" w:name="page175"/>
    <w:bookmarkEnd w:id="174"/>
    <w:p>
      <w:pPr>
        <w:jc w:val="both"/>
        <w:ind w:firstLine="1069"/>
        <w:spacing w:after="0" w:line="268"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Subrogation</w:t>
      </w:r>
      <w:r>
        <w:rPr>
          <w:rFonts w:ascii="Arial" w:cs="Arial" w:eastAsia="Arial" w:hAnsi="Arial"/>
          <w:sz w:val="14"/>
          <w:szCs w:val="14"/>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153"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Representations, Warranties and Covenants</w:t>
      </w:r>
      <w:r>
        <w:rPr>
          <w:rFonts w:ascii="Arial" w:cs="Arial" w:eastAsia="Arial" w:hAnsi="Arial"/>
          <w:sz w:val="13"/>
          <w:szCs w:val="13"/>
          <w:color w:val="auto"/>
        </w:rPr>
        <w:t>.</w:t>
      </w:r>
    </w:p>
    <w:p>
      <w:pPr>
        <w:spacing w:after="0" w:line="184" w:lineRule="exact"/>
        <w:rPr>
          <w:sz w:val="20"/>
          <w:szCs w:val="20"/>
          <w:color w:val="auto"/>
        </w:rPr>
      </w:pPr>
    </w:p>
    <w:p>
      <w:pPr>
        <w:ind w:left="1660" w:hanging="582"/>
        <w:spacing w:after="0"/>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Each Guarantor hereby represents and warrants as of the date first written above as follows:</w:t>
      </w:r>
    </w:p>
    <w:p>
      <w:pPr>
        <w:spacing w:after="0" w:line="183" w:lineRule="exact"/>
        <w:rPr>
          <w:rFonts w:ascii="Arial" w:cs="Arial" w:eastAsia="Arial" w:hAnsi="Arial"/>
          <w:sz w:val="15"/>
          <w:szCs w:val="15"/>
          <w:color w:val="auto"/>
        </w:rPr>
      </w:pPr>
    </w:p>
    <w:p>
      <w:pPr>
        <w:jc w:val="both"/>
        <w:ind w:firstLine="1613"/>
        <w:spacing w:after="0" w:line="301" w:lineRule="auto"/>
        <w:tabs>
          <w:tab w:leader="none" w:pos="2125" w:val="left"/>
        </w:tabs>
        <w:numPr>
          <w:ilvl w:val="1"/>
          <w:numId w:val="231"/>
        </w:numPr>
        <w:rPr>
          <w:rFonts w:ascii="Arial" w:cs="Arial" w:eastAsia="Arial" w:hAnsi="Arial"/>
          <w:sz w:val="13"/>
          <w:szCs w:val="13"/>
          <w:color w:val="auto"/>
        </w:rPr>
      </w:pPr>
      <w:r>
        <w:rPr>
          <w:rFonts w:ascii="Arial" w:cs="Arial" w:eastAsia="Arial" w:hAnsi="Arial"/>
          <w:sz w:val="13"/>
          <w:szCs w:val="13"/>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 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309" w:lineRule="exact"/>
        <w:rPr>
          <w:rFonts w:ascii="Arial" w:cs="Arial" w:eastAsia="Arial" w:hAnsi="Arial"/>
          <w:sz w:val="13"/>
          <w:szCs w:val="13"/>
          <w:color w:val="auto"/>
        </w:rPr>
      </w:pPr>
    </w:p>
    <w:p>
      <w:pPr>
        <w:ind w:left="5700" w:hanging="90"/>
        <w:spacing w:after="0"/>
        <w:tabs>
          <w:tab w:leader="none" w:pos="5700" w:val="left"/>
        </w:tabs>
        <w:numPr>
          <w:ilvl w:val="2"/>
          <w:numId w:val="231"/>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5" w:name="page176"/>
    <w:bookmarkEnd w:id="175"/>
    <w:p>
      <w:pPr>
        <w:ind w:left="2151" w:hanging="547"/>
        <w:spacing w:after="0"/>
        <w:tabs>
          <w:tab w:leader="none" w:pos="2151" w:val="left"/>
        </w:tabs>
        <w:numPr>
          <w:ilvl w:val="1"/>
          <w:numId w:val="232"/>
        </w:numPr>
        <w:rPr>
          <w:rFonts w:ascii="Arial" w:cs="Arial" w:eastAsia="Arial" w:hAnsi="Arial"/>
          <w:sz w:val="13"/>
          <w:szCs w:val="13"/>
          <w:color w:val="auto"/>
        </w:rPr>
      </w:pPr>
      <w:r>
        <w:rPr>
          <w:rFonts w:ascii="Arial" w:cs="Arial" w:eastAsia="Arial" w:hAnsi="Arial"/>
          <w:sz w:val="13"/>
          <w:szCs w:val="13"/>
          <w:color w:val="auto"/>
        </w:rPr>
        <w:t>The execution, delivery and performance by each Guarantor of this Guaranty and each other Note Transaction Document to which such Guarantor is a party</w:t>
      </w:r>
    </w:p>
    <w:p>
      <w:pPr>
        <w:spacing w:after="0" w:line="38" w:lineRule="exact"/>
        <w:rPr>
          <w:rFonts w:ascii="Arial" w:cs="Arial" w:eastAsia="Arial" w:hAnsi="Arial"/>
          <w:sz w:val="13"/>
          <w:szCs w:val="13"/>
          <w:color w:val="auto"/>
        </w:rPr>
      </w:pPr>
    </w:p>
    <w:p>
      <w:pPr>
        <w:jc w:val="both"/>
        <w:ind w:left="-9" w:firstLine="9"/>
        <w:spacing w:after="0" w:line="249" w:lineRule="auto"/>
        <w:tabs>
          <w:tab w:leader="none" w:pos="24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164" w:lineRule="exact"/>
        <w:rPr>
          <w:rFonts w:ascii="Arial" w:cs="Arial" w:eastAsia="Arial" w:hAnsi="Arial"/>
          <w:sz w:val="15"/>
          <w:szCs w:val="15"/>
          <w:color w:val="auto"/>
        </w:rPr>
      </w:pPr>
    </w:p>
    <w:p>
      <w:pPr>
        <w:jc w:val="both"/>
        <w:ind w:left="-9" w:firstLine="1613"/>
        <w:spacing w:after="0" w:line="258" w:lineRule="auto"/>
        <w:tabs>
          <w:tab w:leader="none" w:pos="2368" w:val="left"/>
        </w:tabs>
        <w:numPr>
          <w:ilvl w:val="1"/>
          <w:numId w:val="233"/>
        </w:numPr>
        <w:rPr>
          <w:rFonts w:ascii="Arial" w:cs="Arial" w:eastAsia="Arial" w:hAnsi="Arial"/>
          <w:sz w:val="15"/>
          <w:szCs w:val="15"/>
          <w:color w:val="auto"/>
        </w:rPr>
      </w:pPr>
      <w:r>
        <w:rPr>
          <w:rFonts w:ascii="Arial" w:cs="Arial" w:eastAsia="Arial" w:hAnsi="Arial"/>
          <w:sz w:val="15"/>
          <w:szCs w:val="15"/>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156" w:lineRule="exact"/>
        <w:rPr>
          <w:rFonts w:ascii="Arial" w:cs="Arial" w:eastAsia="Arial" w:hAnsi="Arial"/>
          <w:sz w:val="15"/>
          <w:szCs w:val="15"/>
          <w:color w:val="auto"/>
        </w:rPr>
      </w:pPr>
    </w:p>
    <w:p>
      <w:pPr>
        <w:jc w:val="both"/>
        <w:ind w:left="-9" w:firstLine="1613"/>
        <w:spacing w:after="0" w:line="255" w:lineRule="auto"/>
        <w:tabs>
          <w:tab w:leader="none" w:pos="2241" w:val="left"/>
        </w:tabs>
        <w:numPr>
          <w:ilvl w:val="1"/>
          <w:numId w:val="233"/>
        </w:numPr>
        <w:rPr>
          <w:rFonts w:ascii="Arial" w:cs="Arial" w:eastAsia="Arial" w:hAnsi="Arial"/>
          <w:sz w:val="15"/>
          <w:szCs w:val="15"/>
          <w:color w:val="auto"/>
        </w:rPr>
      </w:pPr>
      <w:r>
        <w:rPr>
          <w:rFonts w:ascii="Arial" w:cs="Arial" w:eastAsia="Arial" w:hAnsi="Arial"/>
          <w:sz w:val="15"/>
          <w:szCs w:val="15"/>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157" w:lineRule="exact"/>
        <w:rPr>
          <w:rFonts w:ascii="Arial" w:cs="Arial" w:eastAsia="Arial" w:hAnsi="Arial"/>
          <w:sz w:val="15"/>
          <w:szCs w:val="15"/>
          <w:color w:val="auto"/>
        </w:rPr>
      </w:pPr>
    </w:p>
    <w:p>
      <w:pPr>
        <w:jc w:val="both"/>
        <w:ind w:left="-9" w:firstLine="1613"/>
        <w:spacing w:after="0" w:line="317" w:lineRule="auto"/>
        <w:tabs>
          <w:tab w:leader="none" w:pos="2147" w:val="left"/>
        </w:tabs>
        <w:numPr>
          <w:ilvl w:val="1"/>
          <w:numId w:val="233"/>
        </w:numPr>
        <w:rPr>
          <w:rFonts w:ascii="Arial" w:cs="Arial" w:eastAsia="Arial" w:hAnsi="Arial"/>
          <w:sz w:val="13"/>
          <w:szCs w:val="13"/>
          <w:color w:val="auto"/>
        </w:rPr>
      </w:pPr>
      <w:r>
        <w:rPr>
          <w:rFonts w:ascii="Arial" w:cs="Arial" w:eastAsia="Arial" w:hAnsi="Arial"/>
          <w:sz w:val="13"/>
          <w:szCs w:val="13"/>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120" w:lineRule="exact"/>
        <w:rPr>
          <w:rFonts w:ascii="Arial" w:cs="Arial" w:eastAsia="Arial" w:hAnsi="Arial"/>
          <w:sz w:val="13"/>
          <w:szCs w:val="13"/>
          <w:color w:val="auto"/>
        </w:rPr>
      </w:pPr>
    </w:p>
    <w:p>
      <w:pPr>
        <w:jc w:val="both"/>
        <w:ind w:left="-9" w:firstLine="1613"/>
        <w:spacing w:after="0" w:line="255" w:lineRule="auto"/>
        <w:tabs>
          <w:tab w:leader="none" w:pos="2254"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336" w:lineRule="exact"/>
        <w:rPr>
          <w:rFonts w:ascii="Arial" w:cs="Arial" w:eastAsia="Arial" w:hAnsi="Arial"/>
          <w:sz w:val="15"/>
          <w:szCs w:val="15"/>
          <w:color w:val="auto"/>
        </w:rPr>
      </w:pPr>
    </w:p>
    <w:p>
      <w:pPr>
        <w:ind w:left="5691" w:hanging="90"/>
        <w:spacing w:after="0"/>
        <w:tabs>
          <w:tab w:leader="none" w:pos="5691" w:val="left"/>
        </w:tabs>
        <w:numPr>
          <w:ilvl w:val="2"/>
          <w:numId w:val="233"/>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931" w:right="219" w:bottom="1440" w:gutter="0" w:footer="0" w:header="0"/>
        </w:sectPr>
      </w:pPr>
    </w:p>
    <w:bookmarkStart w:id="176" w:name="page177"/>
    <w:bookmarkEnd w:id="176"/>
    <w:p>
      <w:pPr>
        <w:jc w:val="both"/>
        <w:ind w:firstLine="1069"/>
        <w:spacing w:after="0" w:line="251"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Right of Set-off</w:t>
      </w:r>
      <w:r>
        <w:rPr>
          <w:rFonts w:ascii="Arial" w:cs="Arial" w:eastAsia="Arial" w:hAnsi="Arial"/>
          <w:sz w:val="15"/>
          <w:szCs w:val="15"/>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161" w:lineRule="exact"/>
        <w:rPr>
          <w:sz w:val="20"/>
          <w:szCs w:val="20"/>
          <w:color w:val="auto"/>
        </w:rPr>
      </w:pPr>
    </w:p>
    <w:p>
      <w:pPr>
        <w:jc w:val="both"/>
        <w:ind w:firstLine="1069"/>
        <w:spacing w:after="0" w:line="27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Notices, Etc.</w:t>
      </w:r>
      <w:r>
        <w:rPr>
          <w:rFonts w:ascii="Arial" w:cs="Arial" w:eastAsia="Arial" w:hAnsi="Arial"/>
          <w:sz w:val="14"/>
          <w:szCs w:val="14"/>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4"/>
          <w:szCs w:val="14"/>
          <w:u w:val="single" w:color="auto"/>
          <w:color w:val="auto"/>
        </w:rPr>
        <w:t>Section 8</w:t>
      </w:r>
      <w:r>
        <w:rPr>
          <w:rFonts w:ascii="Arial" w:cs="Arial" w:eastAsia="Arial" w:hAnsi="Arial"/>
          <w:sz w:val="14"/>
          <w:szCs w:val="14"/>
          <w:color w:val="auto"/>
        </w:rPr>
        <w:t>. All such notices and other communications shall be effective (i) 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149" w:lineRule="exact"/>
        <w:rPr>
          <w:sz w:val="20"/>
          <w:szCs w:val="20"/>
          <w:color w:val="auto"/>
        </w:rPr>
      </w:pPr>
    </w:p>
    <w:p>
      <w:pPr>
        <w:jc w:val="both"/>
        <w:ind w:firstLine="1069"/>
        <w:spacing w:after="0" w:line="269"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CONSENT TO JURISDICTION; SERVICE OF PROCESS AND VENUE</w:t>
      </w:r>
      <w:r>
        <w:rPr>
          <w:rFonts w:ascii="Arial" w:cs="Arial" w:eastAsia="Arial" w:hAnsi="Arial"/>
          <w:sz w:val="14"/>
          <w:szCs w:val="14"/>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7" w:name="page178"/>
    <w:bookmarkEnd w:id="177"/>
    <w:p>
      <w:pPr>
        <w:jc w:val="both"/>
        <w:ind w:firstLine="1069"/>
        <w:spacing w:after="0" w:line="271"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WAIVER OF JURY TRIAL, ETC</w:t>
      </w:r>
      <w:r>
        <w:rPr>
          <w:rFonts w:ascii="Arial" w:cs="Arial" w:eastAsia="Arial" w:hAnsi="Arial"/>
          <w:sz w:val="14"/>
          <w:szCs w:val="14"/>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150"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4" w:lineRule="exact"/>
        <w:rPr>
          <w:sz w:val="20"/>
          <w:szCs w:val="20"/>
          <w:color w:val="auto"/>
        </w:rPr>
      </w:pPr>
    </w:p>
    <w:p>
      <w:pPr>
        <w:jc w:val="both"/>
        <w:ind w:firstLine="1078"/>
        <w:spacing w:after="0" w:line="301" w:lineRule="auto"/>
        <w:tabs>
          <w:tab w:leader="none" w:pos="1685" w:val="left"/>
        </w:tabs>
        <w:numPr>
          <w:ilvl w:val="0"/>
          <w:numId w:val="234"/>
        </w:numPr>
        <w:rPr>
          <w:rFonts w:ascii="Arial" w:cs="Arial" w:eastAsia="Arial" w:hAnsi="Arial"/>
          <w:sz w:val="13"/>
          <w:szCs w:val="13"/>
          <w:color w:val="auto"/>
        </w:rPr>
      </w:pPr>
      <w:r>
        <w:rPr>
          <w:rFonts w:ascii="Arial" w:cs="Arial" w:eastAsia="Arial" w:hAnsi="Arial"/>
          <w:sz w:val="13"/>
          <w:szCs w:val="13"/>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3"/>
          <w:szCs w:val="13"/>
          <w:u w:val="single" w:color="auto"/>
          <w:color w:val="auto"/>
        </w:rPr>
        <w:t>excluding</w:t>
      </w:r>
      <w:r>
        <w:rPr>
          <w:rFonts w:ascii="Arial" w:cs="Arial" w:eastAsia="Arial" w:hAnsi="Arial"/>
          <w:sz w:val="13"/>
          <w:szCs w:val="13"/>
          <w:color w:val="auto"/>
        </w:rPr>
        <w:t xml:space="preserve"> taxes imposed on the net income of the Buyer by the jurisdiction in which the Buyer is organized or where it has its principal lending office (all such nonexcluded taxes, levies, imposts, deductions, charges, withholdings and liabilities, collectively or individually, "</w:t>
      </w:r>
      <w:r>
        <w:rPr>
          <w:rFonts w:ascii="Arial" w:cs="Arial" w:eastAsia="Arial" w:hAnsi="Arial"/>
          <w:sz w:val="13"/>
          <w:szCs w:val="13"/>
          <w:b w:val="1"/>
          <w:bCs w:val="1"/>
          <w:color w:val="auto"/>
        </w:rPr>
        <w:t>Taxes</w:t>
      </w:r>
      <w:r>
        <w:rPr>
          <w:rFonts w:ascii="Arial" w:cs="Arial" w:eastAsia="Arial" w:hAnsi="Arial"/>
          <w:sz w:val="13"/>
          <w:szCs w:val="13"/>
          <w:color w:val="auto"/>
        </w:rPr>
        <w:t>"). If any Guarantor shall be required to deduct or to withhold any Taxes from or in respect of any amount payable hereunder or under any other Note Transaction Document:</w:t>
      </w:r>
    </w:p>
    <w:p>
      <w:pPr>
        <w:spacing w:after="0" w:line="131" w:lineRule="exact"/>
        <w:rPr>
          <w:rFonts w:ascii="Arial" w:cs="Arial" w:eastAsia="Arial" w:hAnsi="Arial"/>
          <w:sz w:val="13"/>
          <w:szCs w:val="13"/>
          <w:color w:val="auto"/>
        </w:rPr>
      </w:pPr>
    </w:p>
    <w:p>
      <w:pPr>
        <w:ind w:firstLine="1613"/>
        <w:spacing w:after="0" w:line="306" w:lineRule="auto"/>
        <w:tabs>
          <w:tab w:leader="none" w:pos="2142" w:val="left"/>
        </w:tabs>
        <w:numPr>
          <w:ilvl w:val="1"/>
          <w:numId w:val="234"/>
        </w:numPr>
        <w:rPr>
          <w:rFonts w:ascii="Arial" w:cs="Arial" w:eastAsia="Arial" w:hAnsi="Arial"/>
          <w:sz w:val="14"/>
          <w:szCs w:val="14"/>
          <w:color w:val="auto"/>
        </w:rPr>
      </w:pPr>
      <w:r>
        <w:rPr>
          <w:rFonts w:ascii="Arial" w:cs="Arial" w:eastAsia="Arial" w:hAnsi="Arial"/>
          <w:sz w:val="14"/>
          <w:szCs w:val="14"/>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124" w:lineRule="exact"/>
        <w:rPr>
          <w:rFonts w:ascii="Arial" w:cs="Arial" w:eastAsia="Arial" w:hAnsi="Arial"/>
          <w:sz w:val="14"/>
          <w:szCs w:val="14"/>
          <w:color w:val="auto"/>
        </w:rPr>
      </w:pPr>
    </w:p>
    <w:p>
      <w:pPr>
        <w:ind w:left="2120" w:hanging="507"/>
        <w:spacing w:after="0"/>
        <w:tabs>
          <w:tab w:leader="none" w:pos="212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such Guarantor shall make such deduction or withholding,</w:t>
      </w:r>
    </w:p>
    <w:p>
      <w:pPr>
        <w:spacing w:after="0" w:line="362" w:lineRule="exact"/>
        <w:rPr>
          <w:rFonts w:ascii="Arial" w:cs="Arial" w:eastAsia="Arial" w:hAnsi="Arial"/>
          <w:sz w:val="15"/>
          <w:szCs w:val="15"/>
          <w:color w:val="auto"/>
        </w:rPr>
      </w:pPr>
    </w:p>
    <w:p>
      <w:pPr>
        <w:ind w:left="5700" w:hanging="90"/>
        <w:spacing w:after="0"/>
        <w:tabs>
          <w:tab w:leader="none" w:pos="5700" w:val="left"/>
        </w:tabs>
        <w:numPr>
          <w:ilvl w:val="2"/>
          <w:numId w:val="234"/>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8" w:name="page179"/>
    <w:bookmarkEnd w:id="178"/>
    <w:p>
      <w:pPr>
        <w:ind w:left="1122" w:hanging="587"/>
        <w:spacing w:after="0"/>
        <w:tabs>
          <w:tab w:leader="none" w:pos="1122" w:val="left"/>
        </w:tabs>
        <w:numPr>
          <w:ilvl w:val="1"/>
          <w:numId w:val="235"/>
        </w:numPr>
        <w:rPr>
          <w:rFonts w:ascii="Arial" w:cs="Arial" w:eastAsia="Arial" w:hAnsi="Arial"/>
          <w:sz w:val="15"/>
          <w:szCs w:val="15"/>
          <w:color w:val="auto"/>
        </w:rPr>
      </w:pPr>
      <w:r>
        <w:rPr>
          <w:rFonts w:ascii="Arial" w:cs="Arial" w:eastAsia="Arial" w:hAnsi="Arial"/>
          <w:sz w:val="15"/>
          <w:szCs w:val="15"/>
          <w:color w:val="auto"/>
        </w:rPr>
        <w:t>such Guarantor shall pay the full amount deducted or withheld to the relevant taxation authority in accordance with applicable law, and</w:t>
      </w:r>
    </w:p>
    <w:p>
      <w:pPr>
        <w:spacing w:after="0" w:line="183" w:lineRule="exact"/>
        <w:rPr>
          <w:rFonts w:ascii="Arial" w:cs="Arial" w:eastAsia="Arial" w:hAnsi="Arial"/>
          <w:sz w:val="15"/>
          <w:szCs w:val="15"/>
          <w:color w:val="auto"/>
        </w:rPr>
      </w:pPr>
    </w:p>
    <w:p>
      <w:pPr>
        <w:jc w:val="both"/>
        <w:ind w:left="-1078" w:firstLine="1613"/>
        <w:spacing w:after="0" w:line="255" w:lineRule="auto"/>
        <w:tabs>
          <w:tab w:leader="none" w:pos="1377"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5"/>
          <w:szCs w:val="15"/>
          <w:b w:val="1"/>
          <w:bCs w:val="1"/>
          <w:color w:val="auto"/>
        </w:rPr>
        <w:t>Other Taxes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jc w:val="both"/>
        <w:ind w:left="-1078" w:firstLine="1078"/>
        <w:spacing w:after="0" w:line="275" w:lineRule="auto"/>
        <w:tabs>
          <w:tab w:leader="none" w:pos="561" w:val="left"/>
        </w:tabs>
        <w:numPr>
          <w:ilvl w:val="0"/>
          <w:numId w:val="236"/>
        </w:numPr>
        <w:rPr>
          <w:rFonts w:ascii="Arial" w:cs="Arial" w:eastAsia="Arial" w:hAnsi="Arial"/>
          <w:sz w:val="14"/>
          <w:szCs w:val="14"/>
          <w:color w:val="auto"/>
        </w:rPr>
      </w:pPr>
      <w:r>
        <w:rPr>
          <w:rFonts w:ascii="Arial" w:cs="Arial" w:eastAsia="Arial" w:hAnsi="Arial"/>
          <w:sz w:val="14"/>
          <w:szCs w:val="14"/>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4"/>
          <w:szCs w:val="14"/>
          <w:u w:val="single" w:color="auto"/>
          <w:color w:val="auto"/>
        </w:rPr>
        <w:t>Section 11</w:t>
      </w:r>
      <w:r>
        <w:rPr>
          <w:rFonts w:ascii="Arial" w:cs="Arial" w:eastAsia="Arial" w:hAnsi="Arial"/>
          <w:sz w:val="14"/>
          <w:szCs w:val="14"/>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146" w:lineRule="exact"/>
        <w:rPr>
          <w:rFonts w:ascii="Arial" w:cs="Arial" w:eastAsia="Arial" w:hAnsi="Arial"/>
          <w:sz w:val="14"/>
          <w:szCs w:val="14"/>
          <w:color w:val="auto"/>
        </w:rPr>
      </w:pPr>
    </w:p>
    <w:p>
      <w:pPr>
        <w:jc w:val="both"/>
        <w:ind w:left="-1078" w:firstLine="1078"/>
        <w:spacing w:after="0" w:line="258" w:lineRule="auto"/>
        <w:tabs>
          <w:tab w:leader="none" w:pos="567" w:val="left"/>
        </w:tabs>
        <w:numPr>
          <w:ilvl w:val="0"/>
          <w:numId w:val="236"/>
        </w:numPr>
        <w:rPr>
          <w:rFonts w:ascii="Arial" w:cs="Arial" w:eastAsia="Arial" w:hAnsi="Arial"/>
          <w:sz w:val="15"/>
          <w:szCs w:val="15"/>
          <w:color w:val="auto"/>
        </w:rPr>
      </w:pPr>
      <w:r>
        <w:rPr>
          <w:rFonts w:ascii="Arial" w:cs="Arial" w:eastAsia="Arial" w:hAnsi="Arial"/>
          <w:sz w:val="15"/>
          <w:szCs w:val="15"/>
          <w:color w:val="auto"/>
        </w:rPr>
        <w:t xml:space="preserve">If any Guarantor fails to perform any of its obligations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survive the termination of this Guaranty and the payment of the Obligations and all other amounts payable hereunder.</w:t>
      </w:r>
    </w:p>
    <w:p>
      <w:pPr>
        <w:spacing w:after="0" w:line="157" w:lineRule="exact"/>
        <w:rPr>
          <w:sz w:val="20"/>
          <w:szCs w:val="20"/>
          <w:color w:val="auto"/>
        </w:rPr>
      </w:pPr>
    </w:p>
    <w:p>
      <w:pPr>
        <w:ind w:left="2"/>
        <w:spacing w:after="0"/>
        <w:tabs>
          <w:tab w:leader="none" w:pos="981"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84" w:lineRule="exact"/>
        <w:rPr>
          <w:sz w:val="20"/>
          <w:szCs w:val="20"/>
          <w:color w:val="auto"/>
        </w:rPr>
      </w:pPr>
    </w:p>
    <w:p>
      <w:pPr>
        <w:ind w:left="-1078" w:right="20" w:firstLine="1078"/>
        <w:spacing w:after="0" w:line="269" w:lineRule="auto"/>
        <w:tabs>
          <w:tab w:leader="none" w:pos="587"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147" w:lineRule="exact"/>
        <w:rPr>
          <w:rFonts w:ascii="Arial" w:cs="Arial" w:eastAsia="Arial" w:hAnsi="Arial"/>
          <w:sz w:val="15"/>
          <w:szCs w:val="15"/>
          <w:color w:val="auto"/>
        </w:rPr>
      </w:pPr>
    </w:p>
    <w:p>
      <w:pPr>
        <w:jc w:val="both"/>
        <w:ind w:left="-1078" w:firstLine="1078"/>
        <w:spacing w:after="0" w:line="258" w:lineRule="auto"/>
        <w:tabs>
          <w:tab w:leader="none" w:pos="601" w:val="left"/>
        </w:tabs>
        <w:numPr>
          <w:ilvl w:val="0"/>
          <w:numId w:val="237"/>
        </w:numPr>
        <w:rPr>
          <w:rFonts w:ascii="Arial" w:cs="Arial" w:eastAsia="Arial" w:hAnsi="Arial"/>
          <w:sz w:val="15"/>
          <w:szCs w:val="15"/>
          <w:color w:val="auto"/>
        </w:rPr>
      </w:pPr>
      <w:r>
        <w:rPr>
          <w:rFonts w:ascii="Arial" w:cs="Arial" w:eastAsia="Arial" w:hAnsi="Arial"/>
          <w:sz w:val="15"/>
          <w:szCs w:val="15"/>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156" w:lineRule="exact"/>
        <w:rPr>
          <w:rFonts w:ascii="Arial" w:cs="Arial" w:eastAsia="Arial" w:hAnsi="Arial"/>
          <w:sz w:val="15"/>
          <w:szCs w:val="15"/>
          <w:color w:val="auto"/>
        </w:rPr>
      </w:pPr>
    </w:p>
    <w:p>
      <w:pPr>
        <w:jc w:val="both"/>
        <w:ind w:left="-1078" w:firstLine="1078"/>
        <w:spacing w:after="0" w:line="275" w:lineRule="auto"/>
        <w:tabs>
          <w:tab w:leader="none" w:pos="615" w:val="left"/>
        </w:tabs>
        <w:numPr>
          <w:ilvl w:val="0"/>
          <w:numId w:val="237"/>
        </w:numPr>
        <w:rPr>
          <w:rFonts w:ascii="Arial" w:cs="Arial" w:eastAsia="Arial" w:hAnsi="Arial"/>
          <w:sz w:val="14"/>
          <w:szCs w:val="14"/>
          <w:color w:val="auto"/>
        </w:rPr>
      </w:pPr>
      <w:r>
        <w:rPr>
          <w:rFonts w:ascii="Arial" w:cs="Arial" w:eastAsia="Arial" w:hAnsi="Arial"/>
          <w:sz w:val="14"/>
          <w:szCs w:val="14"/>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325" w:lineRule="exact"/>
        <w:rPr>
          <w:rFonts w:ascii="Arial" w:cs="Arial" w:eastAsia="Arial" w:hAnsi="Arial"/>
          <w:sz w:val="14"/>
          <w:szCs w:val="14"/>
          <w:color w:val="auto"/>
        </w:rPr>
      </w:pPr>
    </w:p>
    <w:p>
      <w:pPr>
        <w:ind w:left="4622" w:hanging="90"/>
        <w:spacing w:after="0"/>
        <w:tabs>
          <w:tab w:leader="none" w:pos="4622" w:val="left"/>
        </w:tabs>
        <w:numPr>
          <w:ilvl w:val="1"/>
          <w:numId w:val="237"/>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931" w:right="219" w:bottom="1440" w:gutter="0" w:footer="0" w:header="0"/>
        </w:sectPr>
      </w:pPr>
    </w:p>
    <w:bookmarkStart w:id="179" w:name="page180"/>
    <w:bookmarkEnd w:id="179"/>
    <w:p>
      <w:pPr>
        <w:ind w:firstLine="1078"/>
        <w:spacing w:after="0" w:line="269" w:lineRule="auto"/>
        <w:tabs>
          <w:tab w:leader="none" w:pos="1636"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47" w:lineRule="exact"/>
        <w:rPr>
          <w:rFonts w:ascii="Arial" w:cs="Arial" w:eastAsia="Arial" w:hAnsi="Arial"/>
          <w:sz w:val="15"/>
          <w:szCs w:val="15"/>
          <w:color w:val="auto"/>
        </w:rPr>
      </w:pPr>
    </w:p>
    <w:p>
      <w:pPr>
        <w:jc w:val="both"/>
        <w:ind w:firstLine="1078"/>
        <w:spacing w:after="0" w:line="253" w:lineRule="auto"/>
        <w:tabs>
          <w:tab w:leader="none" w:pos="1704"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160" w:lineRule="exact"/>
        <w:rPr>
          <w:rFonts w:ascii="Arial" w:cs="Arial" w:eastAsia="Arial" w:hAnsi="Arial"/>
          <w:sz w:val="15"/>
          <w:szCs w:val="15"/>
          <w:color w:val="auto"/>
        </w:rPr>
      </w:pPr>
    </w:p>
    <w:p>
      <w:pPr>
        <w:ind w:firstLine="1078"/>
        <w:spacing w:after="0" w:line="269" w:lineRule="auto"/>
        <w:tabs>
          <w:tab w:leader="none" w:pos="1603"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reflects the entire understanding of the transaction contemplated hereby and shall not be contradicted or qualified by any other agreement, oral or written, entered into before the date hereof.</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Section headings herein are included for convenience of reference only and shall not constitute a part of this Agreement for any other purpose.</w:t>
      </w:r>
    </w:p>
    <w:p>
      <w:pPr>
        <w:spacing w:after="0" w:line="183" w:lineRule="exact"/>
        <w:rPr>
          <w:rFonts w:ascii="Arial" w:cs="Arial" w:eastAsia="Arial" w:hAnsi="Arial"/>
          <w:sz w:val="15"/>
          <w:szCs w:val="15"/>
          <w:color w:val="auto"/>
        </w:rPr>
      </w:pPr>
    </w:p>
    <w:p>
      <w:pPr>
        <w:ind w:firstLine="1078"/>
        <w:spacing w:after="0" w:line="269" w:lineRule="auto"/>
        <w:tabs>
          <w:tab w:leader="none" w:pos="164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SHALL BE GOVERNED BY AND CONSTRUED IN ACCORDANCE WITH THE LAW OF THE STATE OF NEW YORK APPLICABLE TO CONTRACTS MADE AND TO BE PERFORMED THEREIN WITHOUT REGARD TO CONFLICT OF LAW PRINCIPLES.</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33" w:val="left"/>
        </w:tabs>
        <w:numPr>
          <w:ilvl w:val="0"/>
          <w:numId w:val="238"/>
        </w:numPr>
        <w:rPr>
          <w:rFonts w:ascii="Arial" w:cs="Arial" w:eastAsia="Arial" w:hAnsi="Arial"/>
          <w:sz w:val="15"/>
          <w:szCs w:val="15"/>
          <w:color w:val="auto"/>
        </w:rPr>
      </w:pPr>
      <w:r>
        <w:rPr>
          <w:rFonts w:ascii="Arial" w:cs="Arial" w:eastAsia="Arial" w:hAnsi="Arial"/>
          <w:sz w:val="15"/>
          <w:szCs w:val="15"/>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156" w:lineRule="exact"/>
        <w:rPr>
          <w:rFonts w:ascii="Arial" w:cs="Arial" w:eastAsia="Arial" w:hAnsi="Arial"/>
          <w:sz w:val="15"/>
          <w:szCs w:val="15"/>
          <w:color w:val="auto"/>
        </w:rPr>
      </w:pPr>
    </w:p>
    <w:p>
      <w:pPr>
        <w:jc w:val="both"/>
        <w:ind w:firstLine="1078"/>
        <w:spacing w:after="0" w:line="253" w:lineRule="auto"/>
        <w:tabs>
          <w:tab w:leader="none" w:pos="161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THIS PAGE INTENTIONALLY LEFT BLANK]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auto"/>
        </w:rPr>
        <w:t>IN WITNESS WHEREOF, each Guarantor has caused this Guaranty to be executed by its respective duly authorized officer, as of the date first above written.</w:t>
      </w: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VRINGO, INC.</w:t>
      </w:r>
      <w:r>
        <w:rPr>
          <w:rFonts w:ascii="Arial" w:cs="Arial" w:eastAsia="Arial" w:hAnsi="Arial"/>
          <w:sz w:val="15"/>
          <w:szCs w:val="15"/>
          <w:color w:val="auto"/>
        </w:rPr>
        <w:t>, a Delaware corporation</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I/P LABS, INC.</w:t>
      </w:r>
      <w:r>
        <w:rPr>
          <w:rFonts w:ascii="Arial" w:cs="Arial" w:eastAsia="Arial" w:hAnsi="Arial"/>
          <w:sz w:val="15"/>
          <w:szCs w:val="15"/>
          <w:color w:val="auto"/>
        </w:rPr>
        <w:t>, a Delaware corporation</w:t>
      </w:r>
    </w:p>
    <w:p>
      <w:pPr>
        <w:spacing w:after="0" w:line="20"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formerly known as Scottish Terrier Capital, Inc.</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7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349885</wp:posOffset>
            </wp:positionV>
            <wp:extent cx="727075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380"/>
          </w:cols>
          <w:pgMar w:left="1300" w:top="753" w:right="1219" w:bottom="1440" w:gutter="0" w:footer="0" w:header="0"/>
        </w:sectPr>
      </w:pPr>
    </w:p>
    <w:bookmarkStart w:id="181" w:name="page182"/>
    <w:bookmarkEnd w:id="181"/>
    <w:p>
      <w:pPr>
        <w:ind w:left="4520"/>
        <w:spacing w:after="0"/>
        <w:rPr>
          <w:sz w:val="20"/>
          <w:szCs w:val="20"/>
          <w:color w:val="auto"/>
        </w:rPr>
      </w:pPr>
      <w:r>
        <w:rPr>
          <w:rFonts w:ascii="Arial" w:cs="Arial" w:eastAsia="Arial" w:hAnsi="Arial"/>
          <w:sz w:val="13"/>
          <w:szCs w:val="13"/>
          <w:b w:val="1"/>
          <w:bCs w:val="1"/>
          <w:color w:val="auto"/>
        </w:rPr>
        <w:t>I/P ENGINE, INC.</w:t>
      </w:r>
      <w:r>
        <w:rPr>
          <w:rFonts w:ascii="Arial" w:cs="Arial" w:eastAsia="Arial" w:hAnsi="Arial"/>
          <w:sz w:val="13"/>
          <w:szCs w:val="13"/>
          <w:color w:val="auto"/>
        </w:rPr>
        <w:t>, a Virginia corporation formerly known as Smart Search Labs, Inc.</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10160</wp:posOffset>
            </wp:positionV>
            <wp:extent cx="333819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VRINGO, LTD.</w:t>
      </w:r>
      <w:r>
        <w:rPr>
          <w:rFonts w:ascii="Arial" w:cs="Arial" w:eastAsia="Arial" w:hAnsi="Arial"/>
          <w:sz w:val="15"/>
          <w:szCs w:val="15"/>
          <w:color w:val="auto"/>
        </w:rPr>
        <w:t>, an Israeli corporation</w:t>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10160</wp:posOffset>
            </wp:positionV>
            <wp:extent cx="333819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349885</wp:posOffset>
            </wp:positionV>
            <wp:extent cx="727075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720"/>
          </w:cols>
          <w:pgMar w:left="1440" w:top="749" w:right="739" w:bottom="1440" w:gutter="0" w:footer="0" w:header="0"/>
        </w:sectPr>
      </w:pPr>
    </w:p>
    <w:bookmarkStart w:id="182" w:name="page183"/>
    <w:bookmarkEnd w:id="182"/>
    <w:p>
      <w:pPr>
        <w:ind w:left="10840"/>
        <w:spacing w:after="0"/>
        <w:rPr>
          <w:sz w:val="20"/>
          <w:szCs w:val="20"/>
          <w:color w:val="auto"/>
        </w:rPr>
      </w:pPr>
      <w:r>
        <w:rPr>
          <w:rFonts w:ascii="Arial" w:cs="Arial" w:eastAsia="Arial" w:hAnsi="Arial"/>
          <w:sz w:val="14"/>
          <w:szCs w:val="14"/>
          <w:b w:val="1"/>
          <w:bCs w:val="1"/>
          <w:color w:val="auto"/>
        </w:rPr>
        <w:t>Exhibit 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VIP MERGER SUB, INC.</w:t>
      </w:r>
    </w:p>
    <w:p>
      <w:pPr>
        <w:spacing w:after="0" w:line="188"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The undersigned, for the purpose of organizing a corporation under the provisions and subject to the requirements of the Delaware General Corporation Law (the “DGCL”), hereby certifies that: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FIRST: The name of the corporation is VIP Merger Sub, Inc. (the “Corporation”).</w:t>
      </w:r>
    </w:p>
    <w:p>
      <w:pPr>
        <w:spacing w:after="0" w:line="184"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THIRD: The purpose of the Corporation is to engage in any lawful act or activity for which corporations may be organized under the DGCL.</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FOURTH: The total number of shares of all classes of stock which the Corporation shall have authority to issue is five thousand (5,000) shares of common stock, par value $0.01 per share.</w:t>
      </w:r>
    </w:p>
    <w:p>
      <w:pPr>
        <w:spacing w:after="0" w:line="207"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FIFTH: The name and mailing address of the sole incorporator of the Corporation is Michael A. Brown, c/o Mintz, Levin, Cohn, Ferris, Glovsky and Popeo, P.C., 666 Third Avenue, New York, New York 10017.</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SIXTH: The Corporation is to have perpetual existence.</w:t>
      </w:r>
    </w:p>
    <w:p>
      <w:pPr>
        <w:spacing w:after="0" w:line="184"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148" w:lineRule="exact"/>
        <w:rPr>
          <w:sz w:val="20"/>
          <w:szCs w:val="20"/>
          <w:color w:val="auto"/>
        </w:rPr>
      </w:pPr>
    </w:p>
    <w:p>
      <w:pPr>
        <w:jc w:val="both"/>
        <w:ind w:firstLine="544"/>
        <w:spacing w:after="0" w:line="286" w:lineRule="auto"/>
        <w:tabs>
          <w:tab w:leader="none" w:pos="924"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37" w:lineRule="exact"/>
        <w:rPr>
          <w:rFonts w:ascii="Arial" w:cs="Arial" w:eastAsia="Arial" w:hAnsi="Arial"/>
          <w:sz w:val="14"/>
          <w:szCs w:val="14"/>
          <w:color w:val="auto"/>
        </w:rPr>
      </w:pPr>
    </w:p>
    <w:p>
      <w:pPr>
        <w:jc w:val="both"/>
        <w:ind w:firstLine="544"/>
        <w:spacing w:after="0" w:line="348" w:lineRule="auto"/>
        <w:tabs>
          <w:tab w:leader="none" w:pos="880" w:val="left"/>
        </w:tabs>
        <w:numPr>
          <w:ilvl w:val="0"/>
          <w:numId w:val="239"/>
        </w:numPr>
        <w:rPr>
          <w:rFonts w:ascii="Arial" w:cs="Arial" w:eastAsia="Arial" w:hAnsi="Arial"/>
          <w:sz w:val="13"/>
          <w:szCs w:val="13"/>
          <w:color w:val="auto"/>
        </w:rPr>
      </w:pPr>
      <w:r>
        <w:rPr>
          <w:rFonts w:ascii="Arial" w:cs="Arial" w:eastAsia="Arial" w:hAnsi="Arial"/>
          <w:sz w:val="13"/>
          <w:szCs w:val="13"/>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727075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83" w:name="page184"/>
    <w:bookmarkEnd w:id="183"/>
    <w:p>
      <w:pPr>
        <w:ind w:firstLine="544"/>
        <w:spacing w:after="0" w:line="269" w:lineRule="auto"/>
        <w:tabs>
          <w:tab w:leader="none" w:pos="909" w:val="left"/>
        </w:tabs>
        <w:numPr>
          <w:ilvl w:val="0"/>
          <w:numId w:val="240"/>
        </w:numPr>
        <w:rPr>
          <w:rFonts w:ascii="Arial" w:cs="Arial" w:eastAsia="Arial" w:hAnsi="Arial"/>
          <w:sz w:val="15"/>
          <w:szCs w:val="15"/>
          <w:color w:val="auto"/>
        </w:rPr>
      </w:pPr>
      <w:r>
        <w:rPr>
          <w:rFonts w:ascii="Arial" w:cs="Arial" w:eastAsia="Arial" w:hAnsi="Arial"/>
          <w:sz w:val="15"/>
          <w:szCs w:val="15"/>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148"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4"/>
          <w:szCs w:val="14"/>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9"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4"/>
          <w:szCs w:val="14"/>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84" w:name="page185"/>
    <w:bookmarkEnd w:id="184"/>
    <w:p>
      <w:pPr>
        <w:jc w:val="both"/>
        <w:ind w:firstLine="535"/>
        <w:spacing w:after="0" w:line="258" w:lineRule="auto"/>
        <w:rPr>
          <w:sz w:val="20"/>
          <w:szCs w:val="20"/>
          <w:color w:val="auto"/>
        </w:rPr>
      </w:pPr>
      <w:r>
        <w:rPr>
          <w:rFonts w:ascii="Arial" w:cs="Arial" w:eastAsia="Arial" w:hAnsi="Arial"/>
          <w:sz w:val="15"/>
          <w:szCs w:val="15"/>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236855</wp:posOffset>
            </wp:positionV>
            <wp:extent cx="254635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46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5"/>
          <w:szCs w:val="15"/>
          <w:color w:val="auto"/>
        </w:rPr>
        <w:t>Exhibit 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VIP MERGER SUB, INC.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BYLAWS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ARTICLE I - STOCKHOLDERS</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Annual Meeting.</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Special Meetings.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3"/>
          <w:szCs w:val="13"/>
          <w:i w:val="1"/>
          <w:iCs w:val="1"/>
          <w:color w:val="auto"/>
        </w:rPr>
        <w:t>Notice of Meetings.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157"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6" w:name="page187"/>
    <w:bookmarkEnd w:id="186"/>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137"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3"/>
          <w:szCs w:val="13"/>
          <w:i w:val="1"/>
          <w:iCs w:val="1"/>
          <w:color w:val="auto"/>
        </w:rPr>
        <w:t>Organization.</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2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13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2"/>
          <w:szCs w:val="12"/>
          <w:i w:val="1"/>
          <w:iCs w:val="1"/>
          <w:color w:val="auto"/>
        </w:rPr>
        <w:t>Proxies and Voting.</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stockholders, every stockholder entitled to vote may vote in person or by proxy authorized by an instrument in writing filed in accordance with the procedure established for the meeting.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7" w:name="page188"/>
    <w:bookmarkEnd w:id="187"/>
    <w:p>
      <w:pPr>
        <w:jc w:val="both"/>
        <w:ind w:firstLine="427"/>
        <w:spacing w:after="0" w:line="269" w:lineRule="auto"/>
        <w:rPr>
          <w:sz w:val="20"/>
          <w:szCs w:val="20"/>
          <w:color w:val="auto"/>
        </w:rPr>
      </w:pPr>
      <w:r>
        <w:rPr>
          <w:rFonts w:ascii="Arial" w:cs="Arial" w:eastAsia="Arial" w:hAnsi="Arial"/>
          <w:sz w:val="15"/>
          <w:szCs w:val="15"/>
          <w:color w:val="auto"/>
        </w:rPr>
        <w:t>Each stockholder shall have one (1) vote for every share of stock entitled to vote which is registered in his or her name on the record date for the meeting, except as otherwise provided herein or required by law.</w:t>
      </w:r>
    </w:p>
    <w:p>
      <w:pPr>
        <w:spacing w:after="0" w:line="14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14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Action Without Meeting.</w:t>
      </w:r>
    </w:p>
    <w:p>
      <w:pPr>
        <w:spacing w:after="0" w:line="184"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3"/>
          <w:szCs w:val="13"/>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13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Stock List.</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15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i w:val="1"/>
          <w:iCs w:val="1"/>
          <w:color w:val="auto"/>
        </w:rPr>
        <w:t>ARTICLE II - BOARD OF DIRECTORS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Number, Election, Tenure and Qualification.</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Vacancies and Newly Created Directorships.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Resignation and Removal.</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3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Regular Meetings.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89" w:name="page190"/>
    <w:bookmarkEnd w:id="189"/>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Special Meetings.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142"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3"/>
          <w:szCs w:val="13"/>
          <w:i w:val="1"/>
          <w:iCs w:val="1"/>
          <w:color w:val="auto"/>
        </w:rPr>
        <w:t>Action by Consent.</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Participation in Meetings By Conference Telephone.</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4"/>
          <w:szCs w:val="14"/>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12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0" w:name="page191"/>
    <w:bookmarkEnd w:id="190"/>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2"/>
          <w:szCs w:val="12"/>
          <w:i w:val="1"/>
          <w:iCs w:val="1"/>
          <w:color w:val="auto"/>
        </w:rPr>
        <w:t>Powers.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48" w:lineRule="exact"/>
        <w:rPr>
          <w:sz w:val="20"/>
          <w:szCs w:val="20"/>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declare dividends from time to time in accordance with law;</w:t>
      </w:r>
    </w:p>
    <w:p>
      <w:pPr>
        <w:spacing w:after="0" w:line="183"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purchase or otherwise acquire any property, rights or privileges on such terms as it shall determine;</w:t>
      </w:r>
    </w:p>
    <w:p>
      <w:pPr>
        <w:spacing w:after="0" w:line="183"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147"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To remove any officer of the Corporation with or without cause, and from time to time to devolve the powers and duties of any officer upon any other person for the time being;</w:t>
      </w:r>
    </w:p>
    <w:p>
      <w:pPr>
        <w:spacing w:after="0" w:line="206" w:lineRule="exact"/>
        <w:rPr>
          <w:rFonts w:ascii="Arial" w:cs="Arial" w:eastAsia="Arial" w:hAnsi="Arial"/>
          <w:sz w:val="13"/>
          <w:szCs w:val="13"/>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confer upon any officer of the Corporation the power to appoint, remove and suspend subordinate officers, employees and agents;</w:t>
      </w:r>
    </w:p>
    <w:p>
      <w:pPr>
        <w:spacing w:after="0" w:line="183"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such stock, option, stock purchase, bonus or other compensation plans for directors, officers, employees and agents of the Corporation and its subsidiaries as it may determine;</w:t>
      </w:r>
    </w:p>
    <w:p>
      <w:pPr>
        <w:spacing w:after="0" w:line="147"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such insurance, retirement, and other benefit plans for directors, officers, employees and agents of the Corporation and its subsidiaries as it may determine; and,</w:t>
      </w:r>
    </w:p>
    <w:p>
      <w:pPr>
        <w:spacing w:after="0" w:line="147"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regulations, not inconsistent with these Bylaws, for the management of the Corporation's business and affairs.</w:t>
      </w:r>
    </w:p>
    <w:p>
      <w:pPr>
        <w:spacing w:after="0" w:line="18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5"/>
          <w:szCs w:val="15"/>
          <w:i w:val="1"/>
          <w:iCs w:val="1"/>
          <w:color w:val="auto"/>
        </w:rPr>
        <w:t>Section 11.</w:t>
      </w:r>
      <w:r>
        <w:rPr>
          <w:sz w:val="20"/>
          <w:szCs w:val="20"/>
          <w:color w:val="auto"/>
        </w:rPr>
        <w:tab/>
      </w:r>
      <w:r>
        <w:rPr>
          <w:rFonts w:ascii="Arial" w:cs="Arial" w:eastAsia="Arial" w:hAnsi="Arial"/>
          <w:sz w:val="13"/>
          <w:szCs w:val="13"/>
          <w:i w:val="1"/>
          <w:iCs w:val="1"/>
          <w:color w:val="auto"/>
        </w:rPr>
        <w:t>Compensation of Directors.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i w:val="1"/>
          <w:iCs w:val="1"/>
          <w:color w:val="auto"/>
        </w:rPr>
        <w:t>ARTICLE III - COMMITTEES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Committees of the Board of Directors.</w:t>
      </w:r>
    </w:p>
    <w:p>
      <w:pPr>
        <w:spacing w:after="0" w:line="184" w:lineRule="exact"/>
        <w:rPr>
          <w:sz w:val="20"/>
          <w:szCs w:val="20"/>
          <w:color w:val="auto"/>
        </w:rPr>
      </w:pPr>
    </w:p>
    <w:p>
      <w:pPr>
        <w:jc w:val="both"/>
        <w:ind w:firstLine="427"/>
        <w:spacing w:after="0" w:line="292" w:lineRule="auto"/>
        <w:rPr>
          <w:sz w:val="20"/>
          <w:szCs w:val="20"/>
          <w:color w:val="auto"/>
        </w:rPr>
      </w:pPr>
      <w:r>
        <w:rPr>
          <w:rFonts w:ascii="Arial" w:cs="Arial" w:eastAsia="Arial" w:hAnsi="Arial"/>
          <w:sz w:val="13"/>
          <w:szCs w:val="13"/>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3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i w:val="1"/>
          <w:iCs w:val="1"/>
          <w:color w:val="auto"/>
        </w:rPr>
        <w:t>ARTICLE IV - OFFICERS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Enumeration.</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Election.</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3"/>
          <w:szCs w:val="13"/>
          <w:i w:val="1"/>
          <w:iCs w:val="1"/>
          <w:color w:val="auto"/>
        </w:rPr>
        <w:t>Qualification.</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93" w:name="page194"/>
    <w:bookmarkEnd w:id="193"/>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2"/>
          <w:szCs w:val="12"/>
          <w:i w:val="1"/>
          <w:iCs w:val="1"/>
          <w:color w:val="auto"/>
        </w:rPr>
        <w:t>Tenure and Removal.</w:t>
      </w:r>
    </w:p>
    <w:p>
      <w:pPr>
        <w:spacing w:after="0" w:line="184" w:lineRule="exact"/>
        <w:rPr>
          <w:sz w:val="20"/>
          <w:szCs w:val="20"/>
          <w:color w:val="auto"/>
        </w:rPr>
      </w:pPr>
    </w:p>
    <w:p>
      <w:pPr>
        <w:jc w:val="both"/>
        <w:ind w:firstLine="427"/>
        <w:spacing w:after="0" w:line="296" w:lineRule="auto"/>
        <w:rPr>
          <w:sz w:val="20"/>
          <w:szCs w:val="20"/>
          <w:color w:val="auto"/>
        </w:rPr>
      </w:pPr>
      <w:r>
        <w:rPr>
          <w:rFonts w:ascii="Arial" w:cs="Arial" w:eastAsia="Arial" w:hAnsi="Arial"/>
          <w:sz w:val="13"/>
          <w:szCs w:val="13"/>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13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3"/>
          <w:szCs w:val="13"/>
          <w:i w:val="1"/>
          <w:iCs w:val="1"/>
          <w:color w:val="auto"/>
        </w:rPr>
        <w:t>Chairman of the Board.</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2"/>
          <w:szCs w:val="12"/>
          <w:i w:val="1"/>
          <w:iCs w:val="1"/>
          <w:color w:val="auto"/>
        </w:rPr>
        <w:t>President.</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2"/>
          <w:szCs w:val="12"/>
          <w:i w:val="1"/>
          <w:iCs w:val="1"/>
          <w:color w:val="auto"/>
        </w:rPr>
        <w:t>Vice Presidents.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4" w:name="page195"/>
    <w:bookmarkEnd w:id="194"/>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2"/>
          <w:szCs w:val="12"/>
          <w:i w:val="1"/>
          <w:iCs w:val="1"/>
          <w:color w:val="auto"/>
        </w:rPr>
        <w:t>Treasurer and Assistant Treasurers.</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3"/>
          <w:szCs w:val="13"/>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12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Secretary and Assistant Secretaries.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142"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3"/>
          <w:szCs w:val="13"/>
          <w:i w:val="1"/>
          <w:iCs w:val="1"/>
          <w:color w:val="auto"/>
        </w:rPr>
        <w:t>Bond.</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15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5"/>
          <w:szCs w:val="15"/>
          <w:i w:val="1"/>
          <w:iCs w:val="1"/>
          <w:color w:val="auto"/>
        </w:rPr>
        <w:t>Section 11.</w:t>
      </w:r>
      <w:r>
        <w:rPr>
          <w:sz w:val="20"/>
          <w:szCs w:val="20"/>
          <w:color w:val="auto"/>
        </w:rPr>
        <w:tab/>
      </w:r>
      <w:r>
        <w:rPr>
          <w:rFonts w:ascii="Arial" w:cs="Arial" w:eastAsia="Arial" w:hAnsi="Arial"/>
          <w:sz w:val="13"/>
          <w:szCs w:val="13"/>
          <w:i w:val="1"/>
          <w:iCs w:val="1"/>
          <w:color w:val="auto"/>
        </w:rPr>
        <w:t>Action with Respect to Securities of Other Corporations.</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i w:val="1"/>
          <w:iCs w:val="1"/>
          <w:color w:val="auto"/>
        </w:rPr>
        <w:t>ARTICLE V - STOCK</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Certificates of Stock.</w:t>
      </w:r>
    </w:p>
    <w:p>
      <w:pPr>
        <w:spacing w:after="0" w:line="184" w:lineRule="exact"/>
        <w:rPr>
          <w:sz w:val="20"/>
          <w:szCs w:val="20"/>
          <w:color w:val="auto"/>
        </w:rPr>
      </w:pPr>
    </w:p>
    <w:p>
      <w:pPr>
        <w:jc w:val="both"/>
        <w:ind w:firstLine="427"/>
        <w:spacing w:after="0" w:line="348" w:lineRule="auto"/>
        <w:rPr>
          <w:sz w:val="20"/>
          <w:szCs w:val="20"/>
          <w:color w:val="auto"/>
        </w:rPr>
      </w:pPr>
      <w:r>
        <w:rPr>
          <w:rFonts w:ascii="Arial" w:cs="Arial" w:eastAsia="Arial" w:hAnsi="Arial"/>
          <w:sz w:val="13"/>
          <w:szCs w:val="13"/>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101"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Transfers of Stock.</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Record Date.</w:t>
      </w:r>
    </w:p>
    <w:p>
      <w:pPr>
        <w:spacing w:after="0" w:line="184"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4"/>
          <w:szCs w:val="14"/>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50" w:lineRule="exact"/>
        <w:rPr>
          <w:sz w:val="20"/>
          <w:szCs w:val="20"/>
          <w:color w:val="auto"/>
        </w:rPr>
      </w:pPr>
    </w:p>
    <w:p>
      <w:pPr>
        <w:jc w:val="both"/>
        <w:ind w:right="20" w:firstLine="427"/>
        <w:spacing w:after="0" w:line="269"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96" w:name="page197"/>
    <w:bookmarkEnd w:id="196"/>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Lost, Stolen or Destroyed Certificates.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Regulations.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issue, transfer, conversion and registration of certificates of stock shall be governed by such other regulations as the Board of Directors may establish.</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Interpretation.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Board of Directors shall have the power to interpret all of the terms and provisions of these Bylaws, which interpretation shall be conclusive.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ARTICLE VI - NOTICES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Notices.</w:t>
      </w:r>
    </w:p>
    <w:p>
      <w:pPr>
        <w:spacing w:after="0" w:line="184"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5"/>
          <w:szCs w:val="15"/>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16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Waiver of Notice.</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97" w:name="page198"/>
    <w:bookmarkEnd w:id="197"/>
    <w:p>
      <w:pPr>
        <w:ind w:left="4440"/>
        <w:spacing w:after="0"/>
        <w:rPr>
          <w:sz w:val="20"/>
          <w:szCs w:val="20"/>
          <w:color w:val="auto"/>
        </w:rPr>
      </w:pPr>
      <w:r>
        <w:rPr>
          <w:rFonts w:ascii="Arial" w:cs="Arial" w:eastAsia="Arial" w:hAnsi="Arial"/>
          <w:sz w:val="18"/>
          <w:szCs w:val="18"/>
          <w:i w:val="1"/>
          <w:iCs w:val="1"/>
          <w:color w:val="auto"/>
        </w:rPr>
        <w:t>ARTICLE VII - INDEMNIFICATION</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Actions other than by or in the Right of the Corporation.</w:t>
      </w:r>
    </w:p>
    <w:p>
      <w:pPr>
        <w:spacing w:after="0" w:line="184" w:lineRule="exact"/>
        <w:rPr>
          <w:sz w:val="20"/>
          <w:szCs w:val="20"/>
          <w:color w:val="auto"/>
        </w:rPr>
      </w:pPr>
    </w:p>
    <w:p>
      <w:pPr>
        <w:jc w:val="both"/>
        <w:ind w:firstLine="427"/>
        <w:spacing w:after="0" w:line="294" w:lineRule="auto"/>
        <w:rPr>
          <w:sz w:val="20"/>
          <w:szCs w:val="20"/>
          <w:color w:val="auto"/>
        </w:rPr>
      </w:pPr>
      <w:r>
        <w:rPr>
          <w:rFonts w:ascii="Arial" w:cs="Arial" w:eastAsia="Arial" w:hAnsi="Arial"/>
          <w:sz w:val="13"/>
          <w:szCs w:val="13"/>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3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Actions by or in the Right of the Corporation.</w:t>
      </w:r>
    </w:p>
    <w:p>
      <w:pPr>
        <w:spacing w:after="0" w:line="184"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4"/>
          <w:szCs w:val="14"/>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98" w:name="page199"/>
    <w:bookmarkEnd w:id="198"/>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Success on the Merits.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Specific Authorization.</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3"/>
          <w:szCs w:val="13"/>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12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Advance Payment.</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Non-Exclusivity.</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9" w:name="page200"/>
    <w:bookmarkEnd w:id="199"/>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3"/>
          <w:szCs w:val="13"/>
          <w:i w:val="1"/>
          <w:iCs w:val="1"/>
          <w:color w:val="auto"/>
        </w:rPr>
        <w:t>Insurance.</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Continuation of Indemnification and Advancement of Expenses.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3"/>
          <w:szCs w:val="13"/>
          <w:i w:val="1"/>
          <w:iCs w:val="1"/>
          <w:color w:val="auto"/>
        </w:rPr>
        <w:t>Severability.</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148"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3"/>
          <w:szCs w:val="13"/>
          <w:i w:val="1"/>
          <w:iCs w:val="1"/>
          <w:color w:val="auto"/>
        </w:rPr>
        <w:t>Intent of Article.</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ARTICLE VIII - CERTAIN TRANSACTIONS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Transactions with Interested Parties.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0" w:name="page201"/>
    <w:bookmarkEnd w:id="200"/>
    <w:p>
      <w:pPr>
        <w:jc w:val="both"/>
        <w:ind w:left="440" w:hanging="3"/>
        <w:spacing w:after="0" w:line="258" w:lineRule="auto"/>
        <w:tabs>
          <w:tab w:leader="none" w:pos="982"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56" w:lineRule="exact"/>
        <w:rPr>
          <w:rFonts w:ascii="Arial" w:cs="Arial" w:eastAsia="Arial" w:hAnsi="Arial"/>
          <w:sz w:val="15"/>
          <w:szCs w:val="15"/>
          <w:color w:val="auto"/>
        </w:rPr>
      </w:pPr>
    </w:p>
    <w:p>
      <w:pPr>
        <w:ind w:left="440" w:hanging="3"/>
        <w:spacing w:after="0" w:line="269" w:lineRule="auto"/>
        <w:tabs>
          <w:tab w:leader="none" w:pos="963"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47" w:lineRule="exact"/>
        <w:rPr>
          <w:rFonts w:ascii="Arial" w:cs="Arial" w:eastAsia="Arial" w:hAnsi="Arial"/>
          <w:sz w:val="15"/>
          <w:szCs w:val="15"/>
          <w:color w:val="auto"/>
        </w:rPr>
      </w:pPr>
    </w:p>
    <w:p>
      <w:pPr>
        <w:ind w:left="940" w:hanging="503"/>
        <w:spacing w:after="0"/>
        <w:tabs>
          <w:tab w:leader="none" w:pos="94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The contract or transaction is fair as to the Corporation as of the time it is authorized, approved or ratified, by the Board of Directors, a committee thereof, or the stockholders.</w:t>
      </w:r>
    </w:p>
    <w:p>
      <w:pPr>
        <w:spacing w:after="0" w:line="20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Common or interested directors may be counted in determining the presence of a quorum at a meeting of the Board of Directors or of a committee which authorizes the contract or transaction.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ARTICLE IX - MISCELLANEOUS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2"/>
          <w:szCs w:val="12"/>
          <w:i w:val="1"/>
          <w:iCs w:val="1"/>
          <w:color w:val="auto"/>
        </w:rPr>
        <w:t>Facsimile Signatures.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Corporate Seal.</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1" w:name="page202"/>
    <w:bookmarkEnd w:id="201"/>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Reliance upon Books, Reports and Records.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42"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2"/>
          <w:szCs w:val="12"/>
          <w:i w:val="1"/>
          <w:iCs w:val="1"/>
          <w:color w:val="auto"/>
        </w:rPr>
        <w:t>Fiscal Year.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Except as otherwise determined by the Board of Directors from time to time, the fiscal yearof the Corporation shall end on the last day of December of each year.</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Time Periods.</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4"/>
          <w:szCs w:val="14"/>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ARTICLE X - AMENDMENTS</w:t>
      </w:r>
    </w:p>
    <w:p>
      <w:pPr>
        <w:spacing w:after="0" w:line="180" w:lineRule="exact"/>
        <w:rPr>
          <w:sz w:val="20"/>
          <w:szCs w:val="20"/>
          <w:color w:val="auto"/>
        </w:rPr>
      </w:pPr>
    </w:p>
    <w:p>
      <w:pPr>
        <w:jc w:val="both"/>
        <w:ind w:firstLine="462"/>
        <w:spacing w:after="0" w:line="258" w:lineRule="auto"/>
        <w:rPr>
          <w:sz w:val="20"/>
          <w:szCs w:val="20"/>
          <w:color w:val="auto"/>
        </w:rPr>
      </w:pPr>
      <w:r>
        <w:rPr>
          <w:rFonts w:ascii="Arial" w:cs="Arial" w:eastAsia="Arial" w:hAnsi="Arial"/>
          <w:sz w:val="15"/>
          <w:szCs w:val="15"/>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color w:val="auto"/>
        </w:rPr>
        <w:t>Exhibit 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777 Third Avenue, 30 Floor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 NY 10017</w:t>
      </w:r>
    </w:p>
    <w:p>
      <w:pPr>
        <w:spacing w:after="0" w:line="17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__________, 2012</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Vringo,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44 West 28th Street, Suite 1414</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Attention: Andrew Perlman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Gentlemen:</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This letter agreement (this "</w:t>
      </w:r>
      <w:r>
        <w:rPr>
          <w:rFonts w:ascii="Arial" w:cs="Arial" w:eastAsia="Arial" w:hAnsi="Arial"/>
          <w:sz w:val="14"/>
          <w:szCs w:val="14"/>
          <w:b w:val="1"/>
          <w:bCs w:val="1"/>
          <w:color w:val="auto"/>
        </w:rPr>
        <w:t>Letter Agreement</w:t>
      </w:r>
      <w:r>
        <w:rPr>
          <w:rFonts w:ascii="Arial" w:cs="Arial" w:eastAsia="Arial" w:hAnsi="Arial"/>
          <w:sz w:val="14"/>
          <w:szCs w:val="14"/>
          <w:color w:val="auto"/>
        </w:rPr>
        <w:t>") is made with reference to that certain Agreement and Plan of Merger (the "</w:t>
      </w:r>
      <w:r>
        <w:rPr>
          <w:rFonts w:ascii="Arial" w:cs="Arial" w:eastAsia="Arial" w:hAnsi="Arial"/>
          <w:sz w:val="14"/>
          <w:szCs w:val="14"/>
          <w:b w:val="1"/>
          <w:bCs w:val="1"/>
          <w:color w:val="auto"/>
        </w:rPr>
        <w:t>Merger Agreement</w:t>
      </w:r>
      <w:r>
        <w:rPr>
          <w:rFonts w:ascii="Arial" w:cs="Arial" w:eastAsia="Arial" w:hAnsi="Arial"/>
          <w:sz w:val="14"/>
          <w:szCs w:val="14"/>
          <w:color w:val="auto"/>
        </w:rPr>
        <w:t>"), dated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 2012, by and among Vringo, Inc., a Delaware corporation ("</w:t>
      </w:r>
      <w:r>
        <w:rPr>
          <w:rFonts w:ascii="Arial" w:cs="Arial" w:eastAsia="Arial" w:hAnsi="Arial"/>
          <w:sz w:val="14"/>
          <w:szCs w:val="14"/>
          <w:b w:val="1"/>
          <w:bCs w:val="1"/>
          <w:color w:val="auto"/>
        </w:rPr>
        <w:t>Parent</w:t>
      </w:r>
      <w:r>
        <w:rPr>
          <w:rFonts w:ascii="Arial" w:cs="Arial" w:eastAsia="Arial" w:hAnsi="Arial"/>
          <w:sz w:val="14"/>
          <w:szCs w:val="14"/>
          <w:color w:val="auto"/>
        </w:rPr>
        <w:t>"), VIP Merger Sub, Inc., a Delaware corporation and wholly-owned subsidiary of Parent and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a Delaware corporation. Capitalized terms used and not otherwise defined herein shall have the meanings ascribed to them in the Merger Agreement.</w:t>
      </w:r>
    </w:p>
    <w:p>
      <w:pPr>
        <w:spacing w:after="0" w:line="174" w:lineRule="exact"/>
        <w:rPr>
          <w:sz w:val="20"/>
          <w:szCs w:val="20"/>
          <w:color w:val="auto"/>
        </w:rPr>
      </w:pPr>
    </w:p>
    <w:p>
      <w:pPr>
        <w:jc w:val="both"/>
        <w:ind w:left="540" w:hanging="531"/>
        <w:spacing w:after="0" w:line="291" w:lineRule="auto"/>
        <w:tabs>
          <w:tab w:leader="none" w:pos="5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In consideration of the premises and the agreements herein and for other consideration, the sufficiency of which is hereby acknowledged, Hudson Bay Master Fund Ltd. (the "</w:t>
      </w:r>
      <w:r>
        <w:rPr>
          <w:rFonts w:ascii="Arial" w:cs="Arial" w:eastAsia="Arial" w:hAnsi="Arial"/>
          <w:sz w:val="13"/>
          <w:szCs w:val="13"/>
          <w:b w:val="1"/>
          <w:bCs w:val="1"/>
          <w:color w:val="auto"/>
        </w:rPr>
        <w:t>Undersigned</w:t>
      </w:r>
      <w:r>
        <w:rPr>
          <w:rFonts w:ascii="Arial" w:cs="Arial" w:eastAsia="Arial" w:hAnsi="Arial"/>
          <w:sz w:val="13"/>
          <w:szCs w:val="13"/>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3"/>
          <w:szCs w:val="13"/>
          <w:b w:val="1"/>
          <w:bCs w:val="1"/>
          <w:color w:val="auto"/>
        </w:rPr>
        <w:t>Excess Discounted Shares</w:t>
      </w:r>
      <w:r>
        <w:rPr>
          <w:rFonts w:ascii="Arial" w:cs="Arial" w:eastAsia="Arial" w:hAnsi="Arial"/>
          <w:sz w:val="13"/>
          <w:szCs w:val="13"/>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3"/>
          <w:szCs w:val="13"/>
          <w:b w:val="1"/>
          <w:bCs w:val="1"/>
          <w:color w:val="auto"/>
        </w:rPr>
        <w:t>Merger Shares</w:t>
      </w:r>
      <w:r>
        <w:rPr>
          <w:rFonts w:ascii="Arial" w:cs="Arial" w:eastAsia="Arial" w:hAnsi="Arial"/>
          <w:sz w:val="13"/>
          <w:szCs w:val="13"/>
          <w:color w:val="auto"/>
        </w:rPr>
        <w:t>" means shares of common stock, $0.01 par value per share (the "</w:t>
      </w:r>
      <w:r>
        <w:rPr>
          <w:rFonts w:ascii="Arial" w:cs="Arial" w:eastAsia="Arial" w:hAnsi="Arial"/>
          <w:sz w:val="13"/>
          <w:szCs w:val="13"/>
          <w:b w:val="1"/>
          <w:bCs w:val="1"/>
          <w:color w:val="auto"/>
        </w:rPr>
        <w:t>Common Stock</w:t>
      </w:r>
      <w:r>
        <w:rPr>
          <w:rFonts w:ascii="Arial" w:cs="Arial" w:eastAsia="Arial" w:hAnsi="Arial"/>
          <w:sz w:val="13"/>
          <w:szCs w:val="13"/>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3"/>
          <w:szCs w:val="13"/>
          <w:b w:val="1"/>
          <w:bCs w:val="1"/>
          <w:color w:val="auto"/>
        </w:rPr>
        <w:t>Preferred Shares</w:t>
      </w:r>
      <w:r>
        <w:rPr>
          <w:rFonts w:ascii="Arial" w:cs="Arial" w:eastAsia="Arial" w:hAnsi="Arial"/>
          <w:sz w:val="13"/>
          <w:szCs w:val="13"/>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3"/>
          <w:szCs w:val="13"/>
          <w:b w:val="1"/>
          <w:bCs w:val="1"/>
          <w:color w:val="auto"/>
        </w:rPr>
        <w:t>Termination Date</w:t>
      </w:r>
      <w:r>
        <w:rPr>
          <w:rFonts w:ascii="Arial" w:cs="Arial" w:eastAsia="Arial" w:hAnsi="Arial"/>
          <w:sz w:val="13"/>
          <w:szCs w:val="13"/>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3" w:name="page204"/>
    <w:bookmarkEnd w:id="203"/>
    <w:p>
      <w:pPr>
        <w:jc w:val="both"/>
        <w:ind w:firstLine="1069"/>
        <w:spacing w:after="0" w:line="258" w:lineRule="auto"/>
        <w:rPr>
          <w:sz w:val="20"/>
          <w:szCs w:val="20"/>
          <w:color w:val="auto"/>
        </w:rPr>
      </w:pPr>
      <w:r>
        <w:rPr>
          <w:rFonts w:ascii="Arial" w:cs="Arial" w:eastAsia="Arial" w:hAnsi="Arial"/>
          <w:sz w:val="15"/>
          <w:szCs w:val="15"/>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157" w:lineRule="exact"/>
        <w:rPr>
          <w:sz w:val="20"/>
          <w:szCs w:val="20"/>
          <w:color w:val="auto"/>
        </w:rPr>
      </w:pPr>
    </w:p>
    <w:p>
      <w:pPr>
        <w:jc w:val="both"/>
        <w:ind w:firstLine="1078"/>
        <w:spacing w:after="0" w:line="288" w:lineRule="auto"/>
        <w:tabs>
          <w:tab w:leader="none" w:pos="1505" w:val="left"/>
        </w:tabs>
        <w:numPr>
          <w:ilvl w:val="0"/>
          <w:numId w:val="244"/>
        </w:numPr>
        <w:rPr>
          <w:rFonts w:ascii="Arial" w:cs="Arial" w:eastAsia="Arial" w:hAnsi="Arial"/>
          <w:sz w:val="13"/>
          <w:szCs w:val="13"/>
          <w:color w:val="auto"/>
        </w:rPr>
      </w:pPr>
      <w:r>
        <w:rPr>
          <w:rFonts w:ascii="Arial" w:cs="Arial" w:eastAsia="Arial" w:hAnsi="Arial"/>
          <w:sz w:val="13"/>
          <w:szCs w:val="13"/>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3"/>
          <w:szCs w:val="13"/>
          <w:b w:val="1"/>
          <w:bCs w:val="1"/>
          <w:color w:val="auto"/>
        </w:rPr>
        <w:t>Pre-Notice</w:t>
      </w:r>
      <w:r>
        <w:rPr>
          <w:rFonts w:ascii="Arial" w:cs="Arial" w:eastAsia="Arial" w:hAnsi="Arial"/>
          <w:sz w:val="13"/>
          <w:szCs w:val="13"/>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3"/>
          <w:szCs w:val="13"/>
          <w:b w:val="1"/>
          <w:bCs w:val="1"/>
          <w:color w:val="auto"/>
        </w:rPr>
        <w:t>Offer</w:t>
      </w:r>
      <w:r>
        <w:rPr>
          <w:rFonts w:ascii="Arial" w:cs="Arial" w:eastAsia="Arial" w:hAnsi="Arial"/>
          <w:sz w:val="13"/>
          <w:szCs w:val="13"/>
          <w:color w:val="auto"/>
        </w:rPr>
        <w:t xml:space="preserve"> </w:t>
      </w:r>
      <w:r>
        <w:rPr>
          <w:rFonts w:ascii="Arial" w:cs="Arial" w:eastAsia="Arial" w:hAnsi="Arial"/>
          <w:sz w:val="13"/>
          <w:szCs w:val="13"/>
          <w:b w:val="1"/>
          <w:bCs w:val="1"/>
          <w:color w:val="auto"/>
        </w:rPr>
        <w:t>Notice</w:t>
      </w:r>
      <w:r>
        <w:rPr>
          <w:rFonts w:ascii="Arial" w:cs="Arial" w:eastAsia="Arial" w:hAnsi="Arial"/>
          <w:sz w:val="13"/>
          <w:szCs w:val="13"/>
          <w:color w:val="auto"/>
        </w:rPr>
        <w:t>" and the time Parent so contacts the Undersigned, the "</w:t>
      </w:r>
      <w:r>
        <w:rPr>
          <w:rFonts w:ascii="Arial" w:cs="Arial" w:eastAsia="Arial" w:hAnsi="Arial"/>
          <w:sz w:val="13"/>
          <w:szCs w:val="13"/>
          <w:b w:val="1"/>
          <w:bCs w:val="1"/>
          <w:color w:val="auto"/>
        </w:rPr>
        <w:t>Notice Time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case of an Overnight Offering (as defined below), Parent shall not be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3"/>
          <w:szCs w:val="13"/>
          <w:b w:val="1"/>
          <w:bCs w:val="1"/>
          <w:color w:val="auto"/>
        </w:rPr>
        <w:t>Undersigned's Contact Persons</w:t>
      </w:r>
      <w:r>
        <w:rPr>
          <w:rFonts w:ascii="Arial" w:cs="Arial" w:eastAsia="Arial" w:hAnsi="Arial"/>
          <w:sz w:val="13"/>
          <w:szCs w:val="13"/>
          <w:color w:val="auto"/>
        </w:rPr>
        <w:t>") by e-mail (all of the following: __________________, __________________, __________________, and</w:t>
      </w:r>
    </w:p>
    <w:p>
      <w:pPr>
        <w:spacing w:after="0" w:line="2" w:lineRule="exact"/>
        <w:rPr>
          <w:rFonts w:ascii="Arial" w:cs="Arial" w:eastAsia="Arial" w:hAnsi="Arial"/>
          <w:sz w:val="13"/>
          <w:szCs w:val="13"/>
          <w:color w:val="auto"/>
        </w:rPr>
      </w:pPr>
    </w:p>
    <w:p>
      <w:pPr>
        <w:jc w:val="both"/>
        <w:spacing w:after="0" w:line="268" w:lineRule="auto"/>
        <w:rPr>
          <w:rFonts w:ascii="Arial" w:cs="Arial" w:eastAsia="Arial" w:hAnsi="Arial"/>
          <w:sz w:val="13"/>
          <w:szCs w:val="13"/>
          <w:color w:val="auto"/>
        </w:rPr>
      </w:pPr>
      <w:r>
        <w:rPr>
          <w:rFonts w:ascii="Arial" w:cs="Arial" w:eastAsia="Arial" w:hAnsi="Arial"/>
          <w:sz w:val="14"/>
          <w:szCs w:val="14"/>
          <w:color w:val="auto"/>
        </w:rPr>
        <w:t xml:space="preserve">__________________), facsimile (__________________), telephone (__________________) and cell phone (__________________ and __________________) to communicate to both the details set forth in the Offer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4"/>
          <w:szCs w:val="14"/>
          <w:b w:val="1"/>
          <w:bCs w:val="1"/>
          <w:color w:val="auto"/>
        </w:rPr>
        <w:t>Offer</w:t>
      </w:r>
      <w:r>
        <w:rPr>
          <w:rFonts w:ascii="Arial" w:cs="Arial" w:eastAsia="Arial" w:hAnsi="Arial"/>
          <w:sz w:val="14"/>
          <w:szCs w:val="14"/>
          <w:color w:val="auto"/>
        </w:rPr>
        <w:t>") of the securities being offered (the "</w:t>
      </w:r>
      <w:r>
        <w:rPr>
          <w:rFonts w:ascii="Arial" w:cs="Arial" w:eastAsia="Arial" w:hAnsi="Arial"/>
          <w:sz w:val="14"/>
          <w:szCs w:val="14"/>
          <w:b w:val="1"/>
          <w:bCs w:val="1"/>
          <w:color w:val="auto"/>
        </w:rPr>
        <w:t>Offered Securities</w:t>
      </w:r>
      <w:r>
        <w:rPr>
          <w:rFonts w:ascii="Arial" w:cs="Arial" w:eastAsia="Arial" w:hAnsi="Arial"/>
          <w:sz w:val="14"/>
          <w:szCs w:val="14"/>
          <w:color w:val="auto"/>
        </w:rPr>
        <w:t>"), including, the price and other terms upon which they are to be issued, sold or exchanged, and the number or amount 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4"/>
          <w:szCs w:val="14"/>
          <w:b w:val="1"/>
          <w:bCs w:val="1"/>
          <w:color w:val="auto"/>
        </w:rPr>
        <w:t>Basic Amount</w:t>
      </w:r>
      <w:r>
        <w:rPr>
          <w:rFonts w:ascii="Arial" w:cs="Arial" w:eastAsia="Arial" w:hAnsi="Arial"/>
          <w:sz w:val="14"/>
          <w:szCs w:val="14"/>
          <w:color w:val="auto"/>
        </w:rPr>
        <w:t>").</w:t>
      </w:r>
    </w:p>
    <w:p>
      <w:pPr>
        <w:spacing w:after="0" w:line="148" w:lineRule="exact"/>
        <w:rPr>
          <w:rFonts w:ascii="Arial" w:cs="Arial" w:eastAsia="Arial" w:hAnsi="Arial"/>
          <w:sz w:val="13"/>
          <w:szCs w:val="13"/>
          <w:color w:val="auto"/>
        </w:rPr>
      </w:pPr>
    </w:p>
    <w:p>
      <w:pPr>
        <w:jc w:val="both"/>
        <w:ind w:firstLine="1078"/>
        <w:spacing w:after="0" w:line="257" w:lineRule="auto"/>
        <w:tabs>
          <w:tab w:leader="none" w:pos="1495"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To accept an Offer, in whole or in part, the Undersigned must deliver a written notice to Parent within five (5) hours of the Notice Time (the "</w:t>
      </w:r>
      <w:r>
        <w:rPr>
          <w:rFonts w:ascii="Arial" w:cs="Arial" w:eastAsia="Arial" w:hAnsi="Arial"/>
          <w:sz w:val="15"/>
          <w:szCs w:val="15"/>
          <w:b w:val="1"/>
          <w:bCs w:val="1"/>
          <w:color w:val="auto"/>
        </w:rPr>
        <w:t>Offer Period</w:t>
      </w:r>
      <w:r>
        <w:rPr>
          <w:rFonts w:ascii="Arial" w:cs="Arial" w:eastAsia="Arial" w:hAnsi="Arial"/>
          <w:sz w:val="15"/>
          <w:szCs w:val="15"/>
          <w:color w:val="auto"/>
        </w:rPr>
        <w:t>"), setting forth the portion of the Undersigned's Basic Amount that the Undersigned elects to purchase (the "</w:t>
      </w:r>
      <w:r>
        <w:rPr>
          <w:rFonts w:ascii="Arial" w:cs="Arial" w:eastAsia="Arial" w:hAnsi="Arial"/>
          <w:sz w:val="15"/>
          <w:szCs w:val="15"/>
          <w:b w:val="1"/>
          <w:bCs w:val="1"/>
          <w:color w:val="auto"/>
        </w:rPr>
        <w:t>Notice of Acceptance</w:t>
      </w:r>
      <w:r>
        <w:rPr>
          <w:rFonts w:ascii="Arial" w:cs="Arial" w:eastAsia="Arial" w:hAnsi="Arial"/>
          <w:sz w:val="15"/>
          <w:szCs w:val="15"/>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4" w:name="page205"/>
    <w:bookmarkEnd w:id="204"/>
    <w:p>
      <w:pPr>
        <w:jc w:val="both"/>
        <w:ind w:left="-1078" w:firstLine="1078"/>
        <w:spacing w:after="0" w:line="272" w:lineRule="auto"/>
        <w:tabs>
          <w:tab w:leader="none" w:pos="388"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4"/>
          <w:szCs w:val="14"/>
          <w:b w:val="1"/>
          <w:bCs w:val="1"/>
          <w:color w:val="auto"/>
        </w:rPr>
        <w:t>Refused Securities</w:t>
      </w:r>
      <w:r>
        <w:rPr>
          <w:rFonts w:ascii="Arial" w:cs="Arial" w:eastAsia="Arial" w:hAnsi="Arial"/>
          <w:sz w:val="14"/>
          <w:szCs w:val="14"/>
          <w:color w:val="auto"/>
        </w:rPr>
        <w:t>") pursuant to a definitive agreement (the "</w:t>
      </w:r>
      <w:r>
        <w:rPr>
          <w:rFonts w:ascii="Arial" w:cs="Arial" w:eastAsia="Arial" w:hAnsi="Arial"/>
          <w:sz w:val="14"/>
          <w:szCs w:val="14"/>
          <w:b w:val="1"/>
          <w:bCs w:val="1"/>
          <w:color w:val="auto"/>
        </w:rPr>
        <w:t>Subsequent Placement Agreement</w:t>
      </w:r>
      <w:r>
        <w:rPr>
          <w:rFonts w:ascii="Arial" w:cs="Arial" w:eastAsia="Arial" w:hAnsi="Arial"/>
          <w:sz w:val="14"/>
          <w:szCs w:val="14"/>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on a Current Report on Form 8-K with such Subsequent Placement Agreement and any documents contemplated therein filed as exhibits thereto.</w:t>
      </w:r>
    </w:p>
    <w:p>
      <w:pPr>
        <w:spacing w:after="0" w:line="148" w:lineRule="exact"/>
        <w:rPr>
          <w:rFonts w:ascii="Arial" w:cs="Arial" w:eastAsia="Arial" w:hAnsi="Arial"/>
          <w:sz w:val="14"/>
          <w:szCs w:val="14"/>
          <w:color w:val="auto"/>
        </w:rPr>
      </w:pPr>
    </w:p>
    <w:p>
      <w:pPr>
        <w:jc w:val="both"/>
        <w:ind w:left="-1078" w:firstLine="1078"/>
        <w:spacing w:after="0" w:line="272" w:lineRule="auto"/>
        <w:tabs>
          <w:tab w:leader="none" w:pos="406"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148" w:lineRule="exact"/>
        <w:rPr>
          <w:rFonts w:ascii="Arial" w:cs="Arial" w:eastAsia="Arial" w:hAnsi="Arial"/>
          <w:sz w:val="14"/>
          <w:szCs w:val="14"/>
          <w:color w:val="auto"/>
        </w:rPr>
      </w:pPr>
    </w:p>
    <w:p>
      <w:pPr>
        <w:jc w:val="both"/>
        <w:ind w:left="-1078" w:firstLine="1078"/>
        <w:spacing w:after="0" w:line="306" w:lineRule="auto"/>
        <w:tabs>
          <w:tab w:leader="none" w:pos="408" w:val="left"/>
        </w:tabs>
        <w:numPr>
          <w:ilvl w:val="0"/>
          <w:numId w:val="245"/>
        </w:numPr>
        <w:rPr>
          <w:rFonts w:ascii="Arial" w:cs="Arial" w:eastAsia="Arial" w:hAnsi="Arial"/>
          <w:sz w:val="13"/>
          <w:szCs w:val="13"/>
          <w:color w:val="auto"/>
        </w:rPr>
      </w:pPr>
      <w:r>
        <w:rPr>
          <w:rFonts w:ascii="Arial" w:cs="Arial" w:eastAsia="Arial" w:hAnsi="Arial"/>
          <w:sz w:val="13"/>
          <w:szCs w:val="13"/>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128" w:lineRule="exact"/>
        <w:rPr>
          <w:rFonts w:ascii="Arial" w:cs="Arial" w:eastAsia="Arial" w:hAnsi="Arial"/>
          <w:sz w:val="13"/>
          <w:szCs w:val="13"/>
          <w:color w:val="auto"/>
        </w:rPr>
      </w:pPr>
    </w:p>
    <w:p>
      <w:pPr>
        <w:ind w:left="-1078" w:firstLine="1078"/>
        <w:spacing w:after="0" w:line="269" w:lineRule="auto"/>
        <w:tabs>
          <w:tab w:leader="none" w:pos="405"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327025</wp:posOffset>
            </wp:positionV>
            <wp:extent cx="727075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205" w:name="page206"/>
    <w:bookmarkEnd w:id="205"/>
    <w:p>
      <w:pPr>
        <w:jc w:val="both"/>
        <w:ind w:firstLine="1078"/>
        <w:spacing w:after="0" w:line="255" w:lineRule="auto"/>
        <w:tabs>
          <w:tab w:leader="none" w:pos="148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5"/>
          <w:szCs w:val="15"/>
          <w:b w:val="1"/>
          <w:bCs w:val="1"/>
          <w:color w:val="auto"/>
        </w:rPr>
        <w:t>Subsequent Placement Documents</w:t>
      </w:r>
      <w:r>
        <w:rPr>
          <w:rFonts w:ascii="Arial" w:cs="Arial" w:eastAsia="Arial" w:hAnsi="Arial"/>
          <w:sz w:val="15"/>
          <w:szCs w:val="15"/>
          <w:color w:val="auto"/>
        </w:rPr>
        <w:t>") shall include any term or provisions whereby the Undersigned shall be required to agree to any 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157" w:lineRule="exact"/>
        <w:rPr>
          <w:rFonts w:ascii="Arial" w:cs="Arial" w:eastAsia="Arial" w:hAnsi="Arial"/>
          <w:sz w:val="15"/>
          <w:szCs w:val="15"/>
          <w:color w:val="auto"/>
        </w:rPr>
      </w:pPr>
    </w:p>
    <w:p>
      <w:pPr>
        <w:jc w:val="both"/>
        <w:ind w:firstLine="1078"/>
        <w:spacing w:after="0" w:line="257" w:lineRule="auto"/>
        <w:tabs>
          <w:tab w:leader="none" w:pos="1465" w:val="left"/>
        </w:tabs>
        <w:numPr>
          <w:ilvl w:val="0"/>
          <w:numId w:val="246"/>
        </w:numPr>
        <w:rPr>
          <w:rFonts w:ascii="Arial" w:cs="Arial" w:eastAsia="Arial" w:hAnsi="Arial"/>
          <w:sz w:val="13"/>
          <w:szCs w:val="13"/>
          <w:color w:val="auto"/>
        </w:rPr>
      </w:pPr>
      <w:r>
        <w:rPr>
          <w:rFonts w:ascii="Arial" w:cs="Arial" w:eastAsia="Arial" w:hAnsi="Arial"/>
          <w:sz w:val="13"/>
          <w:szCs w:val="13"/>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 in possession of material non-public information, by (i) the fifteenth (15</w:t>
      </w:r>
      <w:r>
        <w:rPr>
          <w:rFonts w:ascii="Arial" w:cs="Arial" w:eastAsia="Arial" w:hAnsi="Arial"/>
          <w:sz w:val="21"/>
          <w:szCs w:val="21"/>
          <w:color w:val="auto"/>
          <w:vertAlign w:val="superscript"/>
        </w:rPr>
        <w:t>th</w:t>
      </w:r>
      <w:r>
        <w:rPr>
          <w:rFonts w:ascii="Arial" w:cs="Arial" w:eastAsia="Arial" w:hAnsi="Arial"/>
          <w:sz w:val="13"/>
          <w:szCs w:val="13"/>
          <w:color w:val="auto"/>
        </w:rPr>
        <w:t>) Business Day following delivery of the Offer Notice or (ii) in case of an Overnight Offering,</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by the fortieth (40</w:t>
      </w:r>
      <w:r>
        <w:rPr>
          <w:rFonts w:ascii="Arial" w:cs="Arial" w:eastAsia="Arial" w:hAnsi="Arial"/>
          <w:sz w:val="21"/>
          <w:szCs w:val="21"/>
          <w:color w:val="auto"/>
          <w:vertAlign w:val="superscript"/>
        </w:rPr>
        <w:t>th</w:t>
      </w:r>
      <w:r>
        <w:rPr>
          <w:rFonts w:ascii="Arial" w:cs="Arial" w:eastAsia="Arial" w:hAnsi="Arial"/>
          <w:sz w:val="13"/>
          <w:szCs w:val="13"/>
          <w:color w:val="auto"/>
        </w:rPr>
        <w:t>) hour following delivery of the Offer Notice. If by the fifteenth (15</w:t>
      </w:r>
      <w:r>
        <w:rPr>
          <w:rFonts w:ascii="Arial" w:cs="Arial" w:eastAsia="Arial" w:hAnsi="Arial"/>
          <w:sz w:val="21"/>
          <w:szCs w:val="21"/>
          <w:color w:val="auto"/>
          <w:vertAlign w:val="superscript"/>
        </w:rPr>
        <w:t>th</w:t>
      </w:r>
      <w:r>
        <w:rPr>
          <w:rFonts w:ascii="Arial" w:cs="Arial" w:eastAsia="Arial" w:hAnsi="Arial"/>
          <w:sz w:val="13"/>
          <w:szCs w:val="13"/>
          <w:color w:val="auto"/>
        </w:rPr>
        <w:t>) Business Day or the fortieth (40</w:t>
      </w:r>
      <w:r>
        <w:rPr>
          <w:rFonts w:ascii="Arial" w:cs="Arial" w:eastAsia="Arial" w:hAnsi="Arial"/>
          <w:sz w:val="21"/>
          <w:szCs w:val="21"/>
          <w:color w:val="auto"/>
          <w:vertAlign w:val="superscript"/>
        </w:rPr>
        <w:t>th</w:t>
      </w:r>
      <w:r>
        <w:rPr>
          <w:rFonts w:ascii="Arial" w:cs="Arial" w:eastAsia="Arial" w:hAnsi="Arial"/>
          <w:sz w:val="13"/>
          <w:szCs w:val="13"/>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154" w:lineRule="exact"/>
        <w:rPr>
          <w:sz w:val="20"/>
          <w:szCs w:val="20"/>
          <w:color w:val="auto"/>
        </w:rPr>
      </w:pPr>
    </w:p>
    <w:p>
      <w:pPr>
        <w:ind w:left="1480" w:hanging="402"/>
        <w:spacing w:after="0"/>
        <w:tabs>
          <w:tab w:leader="none" w:pos="148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foregoing restrictions shall not apply in connection with the issuance of any Excluded Securities.</w:t>
      </w:r>
    </w:p>
    <w:p>
      <w:pPr>
        <w:spacing w:after="0" w:line="179" w:lineRule="exact"/>
        <w:rPr>
          <w:rFonts w:ascii="Arial" w:cs="Arial" w:eastAsia="Arial" w:hAnsi="Arial"/>
          <w:sz w:val="15"/>
          <w:szCs w:val="15"/>
          <w:color w:val="auto"/>
        </w:rPr>
      </w:pPr>
    </w:p>
    <w:p>
      <w:pPr>
        <w:jc w:val="both"/>
        <w:ind w:firstLine="1078"/>
        <w:spacing w:after="0" w:line="291" w:lineRule="auto"/>
        <w:tabs>
          <w:tab w:leader="none" w:pos="1485"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As used herein, (t) "</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 required by law to remain closed, (u) "</w:t>
      </w:r>
      <w:r>
        <w:rPr>
          <w:rFonts w:ascii="Arial" w:cs="Arial" w:eastAsia="Arial" w:hAnsi="Arial"/>
          <w:sz w:val="13"/>
          <w:szCs w:val="13"/>
          <w:b w:val="1"/>
          <w:bCs w:val="1"/>
          <w:color w:val="auto"/>
        </w:rPr>
        <w:t>Overnight Offering</w:t>
      </w:r>
      <w:r>
        <w:rPr>
          <w:rFonts w:ascii="Arial" w:cs="Arial" w:eastAsia="Arial" w:hAnsi="Arial"/>
          <w:sz w:val="13"/>
          <w:szCs w:val="13"/>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3"/>
          <w:szCs w:val="13"/>
          <w:b w:val="1"/>
          <w:bCs w:val="1"/>
          <w:color w:val="auto"/>
        </w:rPr>
        <w:t>Subsequent Placement</w:t>
      </w:r>
      <w:r>
        <w:rPr>
          <w:rFonts w:ascii="Arial" w:cs="Arial" w:eastAsia="Arial" w:hAnsi="Arial"/>
          <w:sz w:val="13"/>
          <w:szCs w:val="13"/>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3"/>
          <w:szCs w:val="13"/>
          <w:b w:val="1"/>
          <w:bCs w:val="1"/>
          <w:color w:val="auto"/>
        </w:rPr>
        <w:t>Common Stock Equivalents</w:t>
      </w:r>
      <w:r>
        <w:rPr>
          <w:rFonts w:ascii="Arial" w:cs="Arial" w:eastAsia="Arial" w:hAnsi="Arial"/>
          <w:sz w:val="13"/>
          <w:szCs w:val="13"/>
          <w:color w:val="auto"/>
        </w:rPr>
        <w:t>" means, collectively, Options and Convertible Securities; (x) "</w:t>
      </w:r>
      <w:r>
        <w:rPr>
          <w:rFonts w:ascii="Arial" w:cs="Arial" w:eastAsia="Arial" w:hAnsi="Arial"/>
          <w:sz w:val="13"/>
          <w:szCs w:val="13"/>
          <w:b w:val="1"/>
          <w:bCs w:val="1"/>
          <w:color w:val="auto"/>
        </w:rPr>
        <w:t>Options</w:t>
      </w:r>
      <w:r>
        <w:rPr>
          <w:rFonts w:ascii="Arial" w:cs="Arial" w:eastAsia="Arial" w:hAnsi="Arial"/>
          <w:sz w:val="13"/>
          <w:szCs w:val="13"/>
          <w:color w:val="auto"/>
        </w:rPr>
        <w:t>" means any rights, warrants or options to subscribe for or purchase Common Stock or Convertible Securities; (y) "</w:t>
      </w:r>
      <w:r>
        <w:rPr>
          <w:rFonts w:ascii="Arial" w:cs="Arial" w:eastAsia="Arial" w:hAnsi="Arial"/>
          <w:sz w:val="13"/>
          <w:szCs w:val="13"/>
          <w:b w:val="1"/>
          <w:bCs w:val="1"/>
          <w:color w:val="auto"/>
        </w:rPr>
        <w:t>Convertible Securities</w:t>
      </w:r>
      <w:r>
        <w:rPr>
          <w:rFonts w:ascii="Arial" w:cs="Arial" w:eastAsia="Arial" w:hAnsi="Arial"/>
          <w:sz w:val="13"/>
          <w:szCs w:val="13"/>
          <w:color w:val="auto"/>
        </w:rPr>
        <w:t>" means any stock or securities (other than Options) directly or indirectly convertible into or exchangeable or exercisable for Common Stock; and (z) "</w:t>
      </w:r>
      <w:r>
        <w:rPr>
          <w:rFonts w:ascii="Arial" w:cs="Arial" w:eastAsia="Arial" w:hAnsi="Arial"/>
          <w:sz w:val="13"/>
          <w:szCs w:val="13"/>
          <w:b w:val="1"/>
          <w:bCs w:val="1"/>
          <w:color w:val="auto"/>
        </w:rPr>
        <w:t>Excluded Securities</w:t>
      </w:r>
      <w:r>
        <w:rPr>
          <w:rFonts w:ascii="Arial" w:cs="Arial" w:eastAsia="Arial" w:hAnsi="Arial"/>
          <w:sz w:val="13"/>
          <w:szCs w:val="13"/>
          <w:color w:val="auto"/>
        </w:rPr>
        <w:t>" means any capital stock issued or issuable: (i) upon conversion of the Preferred Shares; provided that the terms of the 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319405</wp:posOffset>
            </wp:positionV>
            <wp:extent cx="727075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6" w:name="page207"/>
    <w:bookmarkEnd w:id="206"/>
    <w:p>
      <w:pPr>
        <w:jc w:val="both"/>
        <w:ind w:firstLine="1069"/>
        <w:spacing w:after="0" w:line="258" w:lineRule="auto"/>
        <w:rPr>
          <w:sz w:val="20"/>
          <w:szCs w:val="20"/>
          <w:color w:val="auto"/>
        </w:rPr>
      </w:pPr>
      <w:r>
        <w:rPr>
          <w:rFonts w:ascii="Arial" w:cs="Arial" w:eastAsia="Arial" w:hAnsi="Arial"/>
          <w:sz w:val="15"/>
          <w:szCs w:val="15"/>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157"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7" w:name="page208"/>
    <w:bookmarkEnd w:id="207"/>
    <w:p>
      <w:pPr>
        <w:ind w:left="5720"/>
        <w:spacing w:after="0"/>
        <w:rPr>
          <w:sz w:val="20"/>
          <w:szCs w:val="20"/>
          <w:color w:val="auto"/>
        </w:rPr>
      </w:pPr>
      <w:r>
        <w:rPr>
          <w:rFonts w:ascii="Arial" w:cs="Arial" w:eastAsia="Arial" w:hAnsi="Arial"/>
          <w:sz w:val="15"/>
          <w:szCs w:val="15"/>
          <w:b w:val="1"/>
          <w:bCs w:val="1"/>
          <w:color w:val="auto"/>
        </w:rPr>
        <w:t>HUDSON BAY MASTER FUND LTD.</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 HUDSON BAY CAPITAL MANAGEMENT, L.P., its Investment Manager</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10160</wp:posOffset>
            </wp:positionV>
            <wp:extent cx="333819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Agreed and Accepted as of this __th</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day of ______, 2012</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31330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33090" cy="698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[Signature Pages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727075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460"/>
          </w:cols>
          <w:pgMar w:left="220" w:top="927" w:right="12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5"/>
          <w:szCs w:val="15"/>
          <w:b w:val="1"/>
          <w:bCs w:val="1"/>
          <w:color w:val="auto"/>
        </w:rPr>
        <w:t>VRINGO AND INNOVATE/PROTECT SIGN DEFINITIVE MERGER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Merger Expected to Enhance Technology Leadership and Portfolio of Intellectual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Andrew Perlman Named CEO of Vringo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Vringo and Innovate/Protect to Host Conference Call to Discuss Announcement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NEW YORK, March 14, 2012 – Vringo, Inc. (NYSE Amex: VRNG), a provider of software platforms for mobile social and video applications, and Innovate/Protect Inc., a company that maximizes the economic benefits of intellectual property assets, today announced that they have entered into a definitive agreement to merge.</w:t>
      </w:r>
    </w:p>
    <w:p>
      <w:pPr>
        <w:spacing w:after="0" w:line="13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Through the strategic combination with Innovate/Protect, Vringo will substantially increase its intellectual property portfolio, add significant talent in technological innovation, and be positioned to enhance its opportunities for revenue generation through the monetization of the combined company’s assets.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Innovate/Protect is the owner of patent assets acquired from Lycos, one of the largest search engine websites of its kind in the mid-late 1990s, with technologies that remain critical to current search platforms. Innovate/Protect’s Chief Executive Officer and Chief Technology Officer,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The Markman claim construction hearing is scheduled for June 4, 2012, and the trial is scheduled to begin on October 16, 2012. I/P Engine is represented by Dickstein Shapiro LLP, a nationally ranked intellectual property law practice headquartered in Washington, DC.</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Vringo also announced today that Andrew Perlman, its President, has been named Chief Executive Officer, replacing Jonathan Medved who is stepping down. Mr. Perlman will remain CEO following the closing of the transaction.</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combined company will be led by a premier management team and Board of Directors with substantial and proven experience and expertise in technological innovation, licensing and intellectual property protection. In addition to Mr. Perlman, Mr. Lang will serve as President and Chief Technology Officer of Vringo. David L. Cohen joins the company as Special Counsel after serving at Nokia, where he was senior litigation counsel. Alexander R. Berger, Innovate/Protect’s Chief Operating Officer and Chief Financial Officer, will be Vringo’s Chief Operating Officer and Secretary. Ellen Cohl will continue as Vringo’s Chief Financial Officer and Treasurer. Clifford Weinstein, Vringo’s Vice President of Corporate Development, has been elevated to Chief Communications Officer, and Josh Wolff will become Senior Vice President of Partner Solutions, overseeing partnerships, sales activities and the active engineering subsidiaries.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9" w:name="page210"/>
    <w:bookmarkEnd w:id="209"/>
    <w:p>
      <w:pPr>
        <w:jc w:val="both"/>
        <w:spacing w:after="0" w:line="288" w:lineRule="auto"/>
        <w:rPr>
          <w:sz w:val="20"/>
          <w:szCs w:val="20"/>
          <w:color w:val="auto"/>
        </w:rPr>
      </w:pPr>
      <w:r>
        <w:rPr>
          <w:rFonts w:ascii="Arial" w:cs="Arial" w:eastAsia="Arial" w:hAnsi="Arial"/>
          <w:sz w:val="13"/>
          <w:szCs w:val="13"/>
          <w:color w:val="auto"/>
        </w:rPr>
        <w:t>The Board of Directors of the combined company will be comprised of seven directors, three from Vringo and four from Innovate/Protect. Seth M. Siegel, a licensing industry leader and co-founder of Beanstalk, will continue as Vringo's Chairman. Mr. Siegel is now the co-founder and a partner at Sixpoint Partners. Vringo directors John Engelman, co-founder and CEO of Classic Media and former CEO of Broadway Video, and Andrew Perlman will continue to serve as directors. The board will be joined by Innovate/Protect directors H. Van Sinclair, President and Chief Executive Officer of the RLJ Companies, Donald E. Stout, founder of NTP, Inc. and a partner at the law firm Antonelli, Terry, Stout &amp; Kraus, as well as Mr. Lang and Mr. Berger.</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Andrew Perlman, Chief Executive Officer of Vringo, said: “The transaction with Innovate/Protect is a significant milestone as we continue to fulfill our stated strategic objectives, and serves as an important catalyst for Vringo’s future growth. Combining with Innovate/Protect significantly enhances our creative and innovative capabilities. We are thrilled to add Andrew Lang, a pioneer and leader whose inventions have changed the way the world experiences digital media, as our new Chief Technology Officer. We believe that the combination of Innovate/Protect’s litigation expertise and patent portfolio combined with our licensing experience and mobile-related patent portfolio will allow the enhanced Vringo to fully realize the potential of our joint intellectual property.”</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Mr. Lang said: “I am excited to lead the technology vision at Vringo and develop new mobile applications for distribution across Vringo’s platform, taking advantage of our combined patent portfolio and talent pool. I believe that the new Vringo will have the creativity, talent, platform, intellectual property assets and capital to create shareholder value with both near-term high profile results and long-term strategic opportunities.”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Upon completion of the merger, in exchange for all of the issued and outstanding shares of capital stock of Innovate/Protect, Vringo will issue (i) approximately 16,972,977 shares of Vringo common stock in exchange for all of the issued and outstanding shares of common stock of Innovate/Protect and (ii) 6,968 shares of a newly-created Series A Convertible Preferred Stock (which shall be convertible into approximately 21,026,637 shares of Vringo common stock) in exchange for all of the issued and outstanding shares of preferred stock of Innovate/Protect. In addition, at the effective time of the merger, Vringo will issue to the holders of Innovate/Protect capital stock and the holder of Innovate/Protect’s issued and outstanding warrant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as-converted basis) an aggregate of 15,959,838 warrants to purchase an aggregate of 15,959,838 shares of Vringo Common Stock with an exercise price of $1.76 per share and the currently issued and outstanding warrant to purchase Innovate/Protect common stock shall be exchanged by the holder of such warrant for 250,000 shares of Vringo common stock and 850,000 warrants to purchase 850,000 shares of Vringo common stock with an exercise price of $1.76 per share. The newly-created class of Vringo Series A Convertible Preferred Stock to be issued in the merger will have the powers, designations, preferences and other rights as will be set forth in a Certificate of Designations, Preferences and Rights of Series A Convertible Preferred Stock to be filed by Vringo prior to closing.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64" w:right="219" w:bottom="1440" w:gutter="0" w:footer="0" w:header="0"/>
        </w:sectPr>
      </w:pPr>
    </w:p>
    <w:bookmarkStart w:id="210" w:name="page211"/>
    <w:bookmarkEnd w:id="210"/>
    <w:p>
      <w:pPr>
        <w:jc w:val="both"/>
        <w:spacing w:after="0" w:line="239" w:lineRule="auto"/>
        <w:rPr>
          <w:sz w:val="20"/>
          <w:szCs w:val="20"/>
          <w:color w:val="auto"/>
        </w:rPr>
      </w:pPr>
      <w:r>
        <w:rPr>
          <w:rFonts w:ascii="Arial" w:cs="Arial" w:eastAsia="Arial" w:hAnsi="Arial"/>
          <w:sz w:val="15"/>
          <w:szCs w:val="15"/>
          <w:color w:val="auto"/>
        </w:rPr>
        <w:t>Immediately following the completion of the merger, the former stockholders of Innovate/Protect are expected to own approximately 55.41% of the outstanding common stock of the combined company and the current stockholders of Vringo are expected to own approximately 44.59%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Completion of the transaction, which is expected to occur in the second quarter, will be subject to approval by Vringo’s shareholders and customary closing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Teleconference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host a teleconference on Wednesday, March 14, 2012, at 8:45 am EDT to discuss today’s announcement.</w:t>
      </w:r>
    </w:p>
    <w:p>
      <w:pPr>
        <w:spacing w:after="0" w:line="150" w:lineRule="exact"/>
        <w:rPr>
          <w:sz w:val="20"/>
          <w:szCs w:val="20"/>
          <w:color w:val="auto"/>
        </w:rPr>
      </w:pPr>
    </w:p>
    <w:p>
      <w:pPr>
        <w:ind w:left="540" w:hanging="264"/>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To access the live conference call, participants may dial 866-770-7051 or 617-213-8064, passcode 62161274.</w:t>
      </w:r>
    </w:p>
    <w:p>
      <w:pPr>
        <w:spacing w:after="0" w:line="183" w:lineRule="exact"/>
        <w:rPr>
          <w:rFonts w:ascii="Arial" w:cs="Arial" w:eastAsia="Arial" w:hAnsi="Arial"/>
          <w:sz w:val="15"/>
          <w:szCs w:val="15"/>
          <w:color w:val="auto"/>
        </w:rPr>
      </w:pPr>
    </w:p>
    <w:p>
      <w:pPr>
        <w:ind w:left="1080" w:right="100" w:hanging="804"/>
        <w:spacing w:after="0" w:line="517" w:lineRule="auto"/>
        <w:tabs>
          <w:tab w:leader="none" w:pos="545"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 simultaneous webcast will be available and can be accessed through the Investors section of Vringo’s website at www.vringoinc.com. It can also be accessed via the following link: http://www.media-server.com/m/acs/748729f15d3395743b29d00f5d843e1b</w:t>
      </w:r>
    </w:p>
    <w:p>
      <w:pPr>
        <w:spacing w:after="0" w:line="114" w:lineRule="exact"/>
        <w:rPr>
          <w:rFonts w:ascii="Arial" w:cs="Arial" w:eastAsia="Arial" w:hAnsi="Arial"/>
          <w:sz w:val="15"/>
          <w:szCs w:val="15"/>
          <w:color w:val="auto"/>
        </w:rPr>
      </w:pPr>
    </w:p>
    <w:p>
      <w:pPr>
        <w:ind w:left="540" w:right="280" w:hanging="264"/>
        <w:spacing w:after="0" w:line="269" w:lineRule="auto"/>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 recorded replay of the teleconference will be available from 10:45 am EDT until March 21, 2012. The replay may be accessed through the Investors section of Vringo’s website, www.vringoinc.com, or by dialing 888-286-8010 or 617-801-6888 and entering passcode 21675695.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Additional Information: www.VringoIP.com</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Innovate/Protect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is an intellectual property firm founded in 2011 whose wholly-owned subsidiary, I/P Engine, holds eight patents that were acquired from Lycos Inc.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64" w:right="219"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b w:val="1"/>
          <w:bCs w:val="1"/>
          <w:color w:val="auto"/>
        </w:rPr>
        <w:t>About Vringo</w:t>
      </w:r>
    </w:p>
    <w:p>
      <w:pPr>
        <w:spacing w:after="0" w:line="20"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Vringo (NYSE Amex: VRNG) is a provider of software platforms for mobile social and video applications.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Lastly, Fan Loyalty is a platform that lets users interact, vote and communicate with contestants in reality TV series with which Vringo partners, as well as downloading and setting clips from such shows as video ringtones. Vringo's video ringtone application has been heralded by The New York Times as "the next big thing in ringtones" and USA Today said it has "to be seen to be believed." For more information, visit: www.vringoip.com.</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of Vringo, Inc. ("</w:t>
      </w:r>
      <w:r>
        <w:rPr>
          <w:rFonts w:ascii="Arial" w:cs="Arial" w:eastAsia="Arial" w:hAnsi="Arial"/>
          <w:sz w:val="14"/>
          <w:szCs w:val="14"/>
          <w:b w:val="1"/>
          <w:bCs w:val="1"/>
          <w:color w:val="auto"/>
        </w:rPr>
        <w:t>Vringo</w:t>
      </w:r>
      <w:r>
        <w:rPr>
          <w:rFonts w:ascii="Arial" w:cs="Arial" w:eastAsia="Arial" w:hAnsi="Arial"/>
          <w:sz w:val="14"/>
          <w:szCs w:val="14"/>
          <w:color w:val="auto"/>
        </w:rPr>
        <w:t>") or Innovate/Protect, Inc. ("</w:t>
      </w:r>
      <w:r>
        <w:rPr>
          <w:rFonts w:ascii="Arial" w:cs="Arial" w:eastAsia="Arial" w:hAnsi="Arial"/>
          <w:sz w:val="14"/>
          <w:szCs w:val="14"/>
          <w:b w:val="1"/>
          <w:bCs w:val="1"/>
          <w:color w:val="auto"/>
        </w:rPr>
        <w:t>Innovate/Protect</w:t>
      </w:r>
      <w:r>
        <w:rPr>
          <w:rFonts w:ascii="Arial" w:cs="Arial" w:eastAsia="Arial" w:hAnsi="Arial"/>
          <w:sz w:val="14"/>
          <w:szCs w:val="14"/>
          <w:color w:val="auto"/>
        </w:rPr>
        <w:t>") or the solicitation of any vote or approval. In connection with the proposed transaction, Vringo will file with the U.S.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w:t>
      </w:r>
    </w:p>
    <w:p>
      <w:pPr>
        <w:jc w:val="both"/>
        <w:spacing w:after="0" w:line="232" w:lineRule="auto"/>
        <w:rPr>
          <w:sz w:val="20"/>
          <w:szCs w:val="20"/>
          <w:color w:val="auto"/>
        </w:rPr>
      </w:pPr>
      <w:r>
        <w:rPr>
          <w:rFonts w:ascii="Arial" w:cs="Arial" w:eastAsia="Arial" w:hAnsi="Arial"/>
          <w:sz w:val="14"/>
          <w:szCs w:val="14"/>
          <w:color w:val="auto"/>
        </w:rPr>
        <w:t>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1" w:right="21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Statements in this press release regarding the proposed transaction between Vringo and Innovate/Protect; the expected timetable for completing the transaction; the potential value created by the proposed merger for Vringo's and Innovate/Protect's stockholders; the potential of the combined companies' technology platform; our respective or combined ability to raise capital to fund our combined operations and business plan; the continued listing of Vringo's or the combined company's securities on the NYSE Amex; market acceptance of Vringo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Vringo's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Vringo and Innovate/Protect may not be able to complete the proposed transaction; the inability to realize the potential value created by the proposed merger for Vringo's and Innovate/Protect's stockholders; our respective or combined inability to raise capital to fund our combined operations and business plan; Vringo's or the combined company's inability to maintain the listing of our securities on the NYSE Amex; the potential lack of market acceptance of Vringo's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Vringo's Annual Report on Form 10-K for the year ended December 31, 2010 and its Quarterly Reports on Form 10-Q for the quarters ended March 31, 2011, June 30, 2011 and September 30, 2011, each as filed with the SEC, as well as the other filings that Vringo makes with the SEC. Investors and stockholders are also urged to read the risk factors set forth in the proxy statement/prospectus carefully when they are available.</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addition, the statements in this press release reflect our expectations and beliefs as of the date of this release.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Investors</w:t>
      </w:r>
      <w:r>
        <w:rPr>
          <w:rFonts w:ascii="Arial" w:cs="Arial" w:eastAsia="Arial" w:hAnsi="Arial"/>
          <w:sz w:val="15"/>
          <w:szCs w:val="15"/>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Cliff Weinstein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Vringo,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646-794-4226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cliff@vringo.com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49" w:right="219"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u w:val="single" w:color="auto"/>
          <w:color w:val="auto"/>
        </w:rPr>
        <w:t>Media</w:t>
      </w:r>
      <w:r>
        <w:rPr>
          <w:rFonts w:ascii="Arial" w:cs="Arial" w:eastAsia="Arial" w:hAnsi="Arial"/>
          <w:sz w:val="15"/>
          <w:szCs w:val="15"/>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Micheline Tang/Mark Semer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Kekst and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212-521-4800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Caroline L. Platt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The Hodges Partnership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804-788-1414 (o)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804-317-9061 (m)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cplatt@hodgespart.com</w:t>
      </w:r>
    </w:p>
    <w:p>
      <w:pPr>
        <w:spacing w:after="0" w:line="200" w:lineRule="exact"/>
        <w:rPr>
          <w:sz w:val="20"/>
          <w:szCs w:val="20"/>
          <w:color w:val="auto"/>
        </w:rPr>
      </w:pPr>
    </w:p>
    <w:p>
      <w:pPr>
        <w:spacing w:after="0" w:line="308" w:lineRule="exact"/>
        <w:rPr>
          <w:sz w:val="20"/>
          <w:szCs w:val="20"/>
          <w:color w:val="auto"/>
        </w:rPr>
      </w:pPr>
    </w:p>
    <w:p>
      <w:pPr>
        <w:jc w:val="right"/>
        <w:ind w:right="44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216535</wp:posOffset>
            </wp:positionV>
            <wp:extent cx="7297420" cy="52038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322185" cy="5607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22185" cy="560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320280" cy="55645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20280" cy="5564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387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7420" cy="5387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600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74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3809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742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VRINGO AND INNOVATE/PROTECT TO HOLD TELECONFERENCE TO DISCUSS MERGER</w:t>
      </w:r>
    </w:p>
    <w:p>
      <w:pPr>
        <w:spacing w:after="0" w:line="361"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NEW YORK, March 14, 2012 – Vringo, Inc. (NYSE Amex: VRNG) and Innovate/Protect Inc. will hold a teleconference today to discuss details of their merger agreement, announced this morning. Executives from both companies will participate in the teleconference, which will include a presentation regarding the merger and a question and answer session.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20"/>
                <w:szCs w:val="20"/>
                <w:color w:val="auto"/>
              </w:rPr>
            </w:pPr>
            <w:r>
              <w:rPr>
                <w:rFonts w:ascii="Arial" w:cs="Arial" w:eastAsia="Arial" w:hAnsi="Arial"/>
                <w:sz w:val="15"/>
                <w:szCs w:val="15"/>
                <w:b w:val="1"/>
                <w:bCs w:val="1"/>
                <w:color w:val="auto"/>
              </w:rPr>
              <w:t>WHEN</w:t>
            </w:r>
            <w:r>
              <w:rPr>
                <w:rFonts w:ascii="Arial" w:cs="Arial" w:eastAsia="Arial" w:hAnsi="Arial"/>
                <w:sz w:val="15"/>
                <w:szCs w:val="15"/>
                <w:color w:val="auto"/>
              </w:rPr>
              <w:t>:</w:t>
            </w:r>
          </w:p>
        </w:tc>
        <w:tc>
          <w:tcPr>
            <w:tcW w:w="7440" w:type="dxa"/>
            <w:vAlign w:val="bottom"/>
            <w:gridSpan w:val="2"/>
          </w:tcPr>
          <w:p>
            <w:pPr>
              <w:ind w:left="220"/>
              <w:spacing w:after="0"/>
              <w:rPr>
                <w:sz w:val="20"/>
                <w:szCs w:val="20"/>
                <w:color w:val="auto"/>
              </w:rPr>
            </w:pPr>
            <w:r>
              <w:rPr>
                <w:rFonts w:ascii="Arial" w:cs="Arial" w:eastAsia="Arial" w:hAnsi="Arial"/>
                <w:sz w:val="15"/>
                <w:szCs w:val="15"/>
                <w:color w:val="auto"/>
              </w:rPr>
              <w:t>TODAY, Wednesday, March 14, 2012</w:t>
            </w:r>
          </w:p>
        </w:tc>
      </w:tr>
      <w:tr>
        <w:trPr>
          <w:trHeight w:val="334"/>
        </w:trPr>
        <w:tc>
          <w:tcPr>
            <w:tcW w:w="900" w:type="dxa"/>
            <w:vAlign w:val="bottom"/>
          </w:tcPr>
          <w:p>
            <w:pPr>
              <w:spacing w:after="0"/>
              <w:rPr>
                <w:sz w:val="24"/>
                <w:szCs w:val="24"/>
                <w:color w:val="auto"/>
              </w:rPr>
            </w:pPr>
          </w:p>
        </w:tc>
        <w:tc>
          <w:tcPr>
            <w:tcW w:w="7440" w:type="dxa"/>
            <w:vAlign w:val="bottom"/>
            <w:gridSpan w:val="2"/>
          </w:tcPr>
          <w:p>
            <w:pPr>
              <w:ind w:left="220"/>
              <w:spacing w:after="0"/>
              <w:rPr>
                <w:sz w:val="20"/>
                <w:szCs w:val="20"/>
                <w:color w:val="auto"/>
              </w:rPr>
            </w:pPr>
            <w:r>
              <w:rPr>
                <w:rFonts w:ascii="Arial" w:cs="Arial" w:eastAsia="Arial" w:hAnsi="Arial"/>
                <w:sz w:val="15"/>
                <w:szCs w:val="15"/>
                <w:color w:val="auto"/>
              </w:rPr>
              <w:t>8:45 am EDT (please dial or log in ten minutes in advance to ensure access)</w:t>
            </w:r>
          </w:p>
        </w:tc>
      </w:tr>
      <w:tr>
        <w:trPr>
          <w:trHeight w:val="501"/>
        </w:trPr>
        <w:tc>
          <w:tcPr>
            <w:tcW w:w="900" w:type="dxa"/>
            <w:vAlign w:val="bottom"/>
          </w:tcPr>
          <w:p>
            <w:pPr>
              <w:spacing w:after="0"/>
              <w:rPr>
                <w:sz w:val="20"/>
                <w:szCs w:val="20"/>
                <w:color w:val="auto"/>
              </w:rPr>
            </w:pPr>
            <w:r>
              <w:rPr>
                <w:rFonts w:ascii="Arial" w:cs="Arial" w:eastAsia="Arial" w:hAnsi="Arial"/>
                <w:sz w:val="15"/>
                <w:szCs w:val="15"/>
                <w:b w:val="1"/>
                <w:bCs w:val="1"/>
                <w:color w:val="auto"/>
              </w:rPr>
              <w:t>DETAILS</w:t>
            </w:r>
            <w:r>
              <w:rPr>
                <w:rFonts w:ascii="Arial" w:cs="Arial" w:eastAsia="Arial" w:hAnsi="Arial"/>
                <w:sz w:val="15"/>
                <w:szCs w:val="15"/>
                <w:color w:val="auto"/>
              </w:rPr>
              <w:t>:</w:t>
            </w:r>
          </w:p>
        </w:tc>
        <w:tc>
          <w:tcPr>
            <w:tcW w:w="1960" w:type="dxa"/>
            <w:vAlign w:val="bottom"/>
          </w:tcPr>
          <w:p>
            <w:pPr>
              <w:ind w:left="220"/>
              <w:spacing w:after="0"/>
              <w:rPr>
                <w:sz w:val="20"/>
                <w:szCs w:val="20"/>
                <w:color w:val="auto"/>
              </w:rPr>
            </w:pPr>
            <w:r>
              <w:rPr>
                <w:rFonts w:ascii="Arial" w:cs="Arial" w:eastAsia="Arial" w:hAnsi="Arial"/>
                <w:sz w:val="15"/>
                <w:szCs w:val="15"/>
                <w:color w:val="auto"/>
              </w:rPr>
              <w:t>Toll Free U.S. Call in:</w:t>
            </w:r>
          </w:p>
        </w:tc>
        <w:tc>
          <w:tcPr>
            <w:tcW w:w="5480" w:type="dxa"/>
            <w:vAlign w:val="bottom"/>
          </w:tcPr>
          <w:p>
            <w:pPr>
              <w:ind w:left="400"/>
              <w:spacing w:after="0"/>
              <w:rPr>
                <w:sz w:val="20"/>
                <w:szCs w:val="20"/>
                <w:color w:val="auto"/>
              </w:rPr>
            </w:pPr>
            <w:r>
              <w:rPr>
                <w:rFonts w:ascii="Arial" w:cs="Arial" w:eastAsia="Arial" w:hAnsi="Arial"/>
                <w:sz w:val="15"/>
                <w:szCs w:val="15"/>
                <w:color w:val="auto"/>
              </w:rPr>
              <w:t>866-770-7051</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International:</w:t>
            </w:r>
          </w:p>
        </w:tc>
        <w:tc>
          <w:tcPr>
            <w:tcW w:w="5480" w:type="dxa"/>
            <w:vAlign w:val="bottom"/>
          </w:tcPr>
          <w:p>
            <w:pPr>
              <w:ind w:left="400"/>
              <w:spacing w:after="0"/>
              <w:rPr>
                <w:sz w:val="20"/>
                <w:szCs w:val="20"/>
                <w:color w:val="auto"/>
              </w:rPr>
            </w:pPr>
            <w:r>
              <w:rPr>
                <w:rFonts w:ascii="Arial" w:cs="Arial" w:eastAsia="Arial" w:hAnsi="Arial"/>
                <w:sz w:val="15"/>
                <w:szCs w:val="15"/>
                <w:color w:val="auto"/>
              </w:rPr>
              <w:t>617-213-8064</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Passcode:</w:t>
            </w:r>
          </w:p>
        </w:tc>
        <w:tc>
          <w:tcPr>
            <w:tcW w:w="5480" w:type="dxa"/>
            <w:vAlign w:val="bottom"/>
          </w:tcPr>
          <w:p>
            <w:pPr>
              <w:ind w:left="400"/>
              <w:spacing w:after="0"/>
              <w:rPr>
                <w:sz w:val="20"/>
                <w:szCs w:val="20"/>
                <w:color w:val="auto"/>
              </w:rPr>
            </w:pPr>
            <w:r>
              <w:rPr>
                <w:rFonts w:ascii="Arial" w:cs="Arial" w:eastAsia="Arial" w:hAnsi="Arial"/>
                <w:sz w:val="15"/>
                <w:szCs w:val="15"/>
                <w:color w:val="auto"/>
              </w:rPr>
              <w:t>62161274</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Webcast:</w:t>
            </w:r>
          </w:p>
        </w:tc>
        <w:tc>
          <w:tcPr>
            <w:tcW w:w="5480" w:type="dxa"/>
            <w:vAlign w:val="bottom"/>
          </w:tcPr>
          <w:p>
            <w:pPr>
              <w:ind w:left="400"/>
              <w:spacing w:after="0"/>
              <w:rPr>
                <w:sz w:val="20"/>
                <w:szCs w:val="20"/>
                <w:color w:val="auto"/>
              </w:rPr>
            </w:pPr>
            <w:r>
              <w:rPr>
                <w:rFonts w:ascii="Arial" w:cs="Arial" w:eastAsia="Arial" w:hAnsi="Arial"/>
                <w:sz w:val="15"/>
                <w:szCs w:val="15"/>
                <w:color w:val="auto"/>
                <w:w w:val="92"/>
              </w:rPr>
              <w:t>Investors section of Vringo’s website at www.vringoinc.com or via the following link</w:t>
            </w:r>
          </w:p>
        </w:tc>
      </w:tr>
    </w:tbl>
    <w:p>
      <w:pPr>
        <w:spacing w:after="0" w:line="14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http://www.media-server.com/m/acs/748729f15d3395743b29d00f5d843e1b</w:t>
      </w:r>
    </w:p>
    <w:p>
      <w:pPr>
        <w:spacing w:after="0" w:line="173" w:lineRule="exact"/>
        <w:rPr>
          <w:sz w:val="20"/>
          <w:szCs w:val="20"/>
          <w:color w:val="auto"/>
        </w:rPr>
      </w:pPr>
    </w:p>
    <w:p>
      <w:pPr>
        <w:ind w:right="820"/>
        <w:spacing w:after="0" w:line="269" w:lineRule="auto"/>
        <w:rPr>
          <w:sz w:val="20"/>
          <w:szCs w:val="20"/>
          <w:color w:val="auto"/>
        </w:rPr>
      </w:pPr>
      <w:r>
        <w:rPr>
          <w:rFonts w:ascii="Arial" w:cs="Arial" w:eastAsia="Arial" w:hAnsi="Arial"/>
          <w:sz w:val="15"/>
          <w:szCs w:val="15"/>
          <w:color w:val="auto"/>
        </w:rPr>
        <w:t>A recorded replay of the teleconference will be available from 10:45 am EDT until March 21, 2012. The replay may be accessed through the Investors section of Vringo’s website, www.vringoinc.com, or by dialing 888-286-8010 or 617-801-6888 and entering passcode 21675695.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b w:val="1"/>
                <w:bCs w:val="1"/>
                <w:color w:val="auto"/>
              </w:rPr>
              <w:t>Contact</w:t>
            </w:r>
            <w:r>
              <w:rPr>
                <w:rFonts w:ascii="Arial" w:cs="Arial" w:eastAsia="Arial" w:hAnsi="Arial"/>
                <w:sz w:val="15"/>
                <w:szCs w:val="15"/>
                <w:color w:val="auto"/>
              </w:rPr>
              <w:t>:</w:t>
            </w:r>
          </w:p>
        </w:tc>
        <w:tc>
          <w:tcPr>
            <w:tcW w:w="1460" w:type="dxa"/>
            <w:vAlign w:val="bottom"/>
          </w:tcPr>
          <w:p>
            <w:pPr>
              <w:ind w:left="240"/>
              <w:spacing w:after="0"/>
              <w:rPr>
                <w:sz w:val="20"/>
                <w:szCs w:val="20"/>
                <w:color w:val="auto"/>
              </w:rPr>
            </w:pPr>
            <w:r>
              <w:rPr>
                <w:rFonts w:ascii="Arial" w:cs="Arial" w:eastAsia="Arial" w:hAnsi="Arial"/>
                <w:sz w:val="15"/>
                <w:szCs w:val="15"/>
                <w:color w:val="auto"/>
              </w:rPr>
              <w:t>Investors:</w:t>
            </w:r>
          </w:p>
        </w:tc>
        <w:tc>
          <w:tcPr>
            <w:tcW w:w="9200" w:type="dxa"/>
            <w:vAlign w:val="bottom"/>
          </w:tcPr>
          <w:p>
            <w:pPr>
              <w:ind w:left="620"/>
              <w:spacing w:after="0"/>
              <w:rPr>
                <w:sz w:val="20"/>
                <w:szCs w:val="20"/>
                <w:color w:val="auto"/>
              </w:rPr>
            </w:pPr>
            <w:r>
              <w:rPr>
                <w:rFonts w:ascii="Arial" w:cs="Arial" w:eastAsia="Arial" w:hAnsi="Arial"/>
                <w:sz w:val="15"/>
                <w:szCs w:val="15"/>
                <w:color w:val="auto"/>
              </w:rPr>
              <w:t>Cliff Weinstein</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Vringo, Inc</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646-794-4226</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cliff@vringo.com</w:t>
            </w:r>
          </w:p>
        </w:tc>
      </w:tr>
      <w:tr>
        <w:trPr>
          <w:trHeight w:val="313"/>
        </w:trPr>
        <w:tc>
          <w:tcPr>
            <w:tcW w:w="800" w:type="dxa"/>
            <w:vAlign w:val="bottom"/>
          </w:tcPr>
          <w:p>
            <w:pPr>
              <w:spacing w:after="0"/>
              <w:rPr>
                <w:sz w:val="24"/>
                <w:szCs w:val="24"/>
                <w:color w:val="auto"/>
              </w:rPr>
            </w:pPr>
          </w:p>
        </w:tc>
        <w:tc>
          <w:tcPr>
            <w:tcW w:w="1460" w:type="dxa"/>
            <w:vAlign w:val="bottom"/>
          </w:tcPr>
          <w:p>
            <w:pPr>
              <w:ind w:left="240"/>
              <w:spacing w:after="0"/>
              <w:rPr>
                <w:sz w:val="20"/>
                <w:szCs w:val="20"/>
                <w:color w:val="auto"/>
              </w:rPr>
            </w:pPr>
            <w:r>
              <w:rPr>
                <w:rFonts w:ascii="Arial" w:cs="Arial" w:eastAsia="Arial" w:hAnsi="Arial"/>
                <w:sz w:val="15"/>
                <w:szCs w:val="15"/>
                <w:color w:val="auto"/>
              </w:rPr>
              <w:t>Media:</w:t>
            </w:r>
          </w:p>
        </w:tc>
        <w:tc>
          <w:tcPr>
            <w:tcW w:w="9200" w:type="dxa"/>
            <w:vAlign w:val="bottom"/>
          </w:tcPr>
          <w:p>
            <w:pPr>
              <w:ind w:left="620"/>
              <w:spacing w:after="0"/>
              <w:rPr>
                <w:sz w:val="20"/>
                <w:szCs w:val="20"/>
                <w:color w:val="auto"/>
              </w:rPr>
            </w:pPr>
            <w:r>
              <w:rPr>
                <w:rFonts w:ascii="Arial" w:cs="Arial" w:eastAsia="Arial" w:hAnsi="Arial"/>
                <w:sz w:val="15"/>
                <w:szCs w:val="15"/>
                <w:color w:val="auto"/>
              </w:rPr>
              <w:t>Micheline Tang/Mark Semer</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Kekst and Company</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212-521-4800</w:t>
            </w:r>
          </w:p>
        </w:tc>
      </w:tr>
      <w:tr>
        <w:trPr>
          <w:trHeight w:val="313"/>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Caroline L. Platt</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The Hodges Partnership</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804-788-1414 (o)</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804-317-9061 (m)</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cplatt@hodgespart.com</w:t>
            </w:r>
          </w:p>
        </w:tc>
      </w:tr>
      <w:tr>
        <w:trPr>
          <w:trHeight w:val="524"/>
        </w:trPr>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18" w:right="21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of Vringo, Inc. ("</w:t>
      </w:r>
      <w:r>
        <w:rPr>
          <w:rFonts w:ascii="Arial" w:cs="Arial" w:eastAsia="Arial" w:hAnsi="Arial"/>
          <w:sz w:val="14"/>
          <w:szCs w:val="14"/>
          <w:b w:val="1"/>
          <w:bCs w:val="1"/>
          <w:color w:val="auto"/>
        </w:rPr>
        <w:t>Vringo</w:t>
      </w:r>
      <w:r>
        <w:rPr>
          <w:rFonts w:ascii="Arial" w:cs="Arial" w:eastAsia="Arial" w:hAnsi="Arial"/>
          <w:sz w:val="14"/>
          <w:szCs w:val="14"/>
          <w:color w:val="auto"/>
        </w:rPr>
        <w:t>") or Innovate/Protect, Inc. ("</w:t>
      </w:r>
      <w:r>
        <w:rPr>
          <w:rFonts w:ascii="Arial" w:cs="Arial" w:eastAsia="Arial" w:hAnsi="Arial"/>
          <w:sz w:val="14"/>
          <w:szCs w:val="14"/>
          <w:b w:val="1"/>
          <w:bCs w:val="1"/>
          <w:color w:val="auto"/>
        </w:rPr>
        <w:t>Innovate/Protect</w:t>
      </w:r>
      <w:r>
        <w:rPr>
          <w:rFonts w:ascii="Arial" w:cs="Arial" w:eastAsia="Arial" w:hAnsi="Arial"/>
          <w:sz w:val="14"/>
          <w:szCs w:val="14"/>
          <w:color w:val="auto"/>
        </w:rPr>
        <w:t>") or the solicitation of any vote or approval. In connection with the proposed transaction, Vringo will file with the U.S.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w:t>
      </w:r>
    </w:p>
    <w:p>
      <w:pPr>
        <w:jc w:val="both"/>
        <w:spacing w:after="0" w:line="232" w:lineRule="auto"/>
        <w:rPr>
          <w:sz w:val="20"/>
          <w:szCs w:val="20"/>
          <w:color w:val="auto"/>
        </w:rPr>
      </w:pPr>
      <w:r>
        <w:rPr>
          <w:rFonts w:ascii="Arial" w:cs="Arial" w:eastAsia="Arial" w:hAnsi="Arial"/>
          <w:sz w:val="14"/>
          <w:szCs w:val="14"/>
          <w:color w:val="auto"/>
        </w:rPr>
        <w:t>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429895</wp:posOffset>
            </wp:positionV>
            <wp:extent cx="727075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49" w:right="2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5"/>
          <w:szCs w:val="15"/>
          <w:b w:val="1"/>
          <w:bCs w:val="1"/>
          <w:color w:val="auto"/>
        </w:rPr>
        <w:t>Vringo, Inc. and Subsidiary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For the Year</w:t>
            </w:r>
          </w:p>
        </w:tc>
      </w:t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Ended</w:t>
            </w:r>
          </w:p>
        </w:tc>
      </w:t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December</w:t>
            </w:r>
          </w:p>
        </w:tc>
      </w:tr>
      <w:tr>
        <w:trPr>
          <w:trHeight w:val="192"/>
        </w:trPr>
        <w:tc>
          <w:tcPr>
            <w:tcW w:w="10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31, 2011</w:t>
            </w:r>
          </w:p>
        </w:tc>
        <w:tc>
          <w:tcPr>
            <w:tcW w:w="120" w:type="dxa"/>
            <w:vAlign w:val="bottom"/>
          </w:tcPr>
          <w:p>
            <w:pPr>
              <w:spacing w:after="0"/>
              <w:rPr>
                <w:sz w:val="16"/>
                <w:szCs w:val="16"/>
                <w:color w:val="auto"/>
              </w:rPr>
            </w:pPr>
          </w:p>
        </w:tc>
      </w:tr>
      <w:tr>
        <w:trPr>
          <w:trHeight w:val="170"/>
        </w:trPr>
        <w:tc>
          <w:tcPr>
            <w:tcW w:w="10100" w:type="dxa"/>
            <w:vAlign w:val="bottom"/>
          </w:tcPr>
          <w:p>
            <w:pPr>
              <w:spacing w:after="0"/>
              <w:rPr>
                <w:sz w:val="14"/>
                <w:szCs w:val="14"/>
                <w:color w:val="auto"/>
              </w:rPr>
            </w:pPr>
          </w:p>
        </w:tc>
        <w:tc>
          <w:tcPr>
            <w:tcW w:w="12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U.S.$</w:t>
            </w:r>
          </w:p>
        </w:tc>
        <w:tc>
          <w:tcPr>
            <w:tcW w:w="120" w:type="dxa"/>
            <w:vAlign w:val="bottom"/>
          </w:tcPr>
          <w:p>
            <w:pPr>
              <w:spacing w:after="0"/>
              <w:rPr>
                <w:sz w:val="14"/>
                <w:szCs w:val="14"/>
                <w:color w:val="auto"/>
              </w:rPr>
            </w:pPr>
          </w:p>
        </w:tc>
      </w:tr>
      <w:tr>
        <w:trPr>
          <w:trHeight w:val="169"/>
        </w:trPr>
        <w:tc>
          <w:tcPr>
            <w:tcW w:w="10100" w:type="dxa"/>
            <w:vAlign w:val="bottom"/>
            <w:shd w:val="clear" w:color="auto" w:fill="CCFFCC"/>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360" w:type="dxa"/>
            <w:vAlign w:val="bottom"/>
            <w:gridSpan w:val="2"/>
            <w:shd w:val="clear" w:color="auto" w:fill="CCFFCC"/>
          </w:tcPr>
          <w:p>
            <w:pPr>
              <w:jc w:val="right"/>
              <w:ind w:right="120"/>
              <w:spacing w:after="0" w:line="169" w:lineRule="exact"/>
              <w:rPr>
                <w:sz w:val="20"/>
                <w:szCs w:val="20"/>
                <w:color w:val="auto"/>
              </w:rPr>
            </w:pPr>
            <w:r>
              <w:rPr>
                <w:rFonts w:ascii="Arial" w:cs="Arial" w:eastAsia="Arial" w:hAnsi="Arial"/>
                <w:sz w:val="15"/>
                <w:szCs w:val="15"/>
                <w:b w:val="1"/>
                <w:bCs w:val="1"/>
                <w:color w:val="auto"/>
              </w:rPr>
              <w:t>718</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Costs and Expenses</w:t>
            </w:r>
          </w:p>
        </w:tc>
        <w:tc>
          <w:tcPr>
            <w:tcW w:w="1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Cost of revenue</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155</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Research and development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2,017</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Marketing</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2,193</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General and administrative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2,777</w:t>
            </w:r>
          </w:p>
        </w:tc>
      </w:tr>
      <w:tr>
        <w:trPr>
          <w:trHeight w:val="20"/>
        </w:trPr>
        <w:tc>
          <w:tcPr>
            <w:tcW w:w="10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10100" w:type="dxa"/>
            <w:vAlign w:val="bottom"/>
          </w:tcPr>
          <w:p>
            <w:pPr>
              <w:spacing w:after="0" w:line="169" w:lineRule="exact"/>
              <w:rPr>
                <w:sz w:val="20"/>
                <w:szCs w:val="20"/>
                <w:color w:val="auto"/>
              </w:rPr>
            </w:pPr>
            <w:r>
              <w:rPr>
                <w:rFonts w:ascii="Arial" w:cs="Arial" w:eastAsia="Arial" w:hAnsi="Arial"/>
                <w:sz w:val="15"/>
                <w:szCs w:val="15"/>
                <w:b w:val="1"/>
                <w:bCs w:val="1"/>
                <w:color w:val="auto"/>
              </w:rPr>
              <w:t>Total operating expenses</w:t>
            </w:r>
          </w:p>
        </w:tc>
        <w:tc>
          <w:tcPr>
            <w:tcW w:w="1360" w:type="dxa"/>
            <w:vAlign w:val="bottom"/>
            <w:gridSpan w:val="2"/>
          </w:tcPr>
          <w:p>
            <w:pPr>
              <w:jc w:val="right"/>
              <w:ind w:right="120"/>
              <w:spacing w:after="0" w:line="169" w:lineRule="exact"/>
              <w:rPr>
                <w:sz w:val="20"/>
                <w:szCs w:val="20"/>
                <w:color w:val="auto"/>
              </w:rPr>
            </w:pPr>
            <w:r>
              <w:rPr>
                <w:rFonts w:ascii="Arial" w:cs="Arial" w:eastAsia="Arial" w:hAnsi="Arial"/>
                <w:sz w:val="15"/>
                <w:szCs w:val="15"/>
                <w:b w:val="1"/>
                <w:bCs w:val="1"/>
                <w:color w:val="auto"/>
              </w:rPr>
              <w:t>7,142</w:t>
            </w:r>
          </w:p>
        </w:tc>
      </w:tr>
      <w:tr>
        <w:trPr>
          <w:trHeight w:val="20"/>
        </w:trPr>
        <w:tc>
          <w:tcPr>
            <w:tcW w:w="10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10100" w:type="dxa"/>
            <w:vAlign w:val="bottom"/>
            <w:shd w:val="clear" w:color="auto" w:fill="CCFFCC"/>
          </w:tcPr>
          <w:p>
            <w:pPr>
              <w:spacing w:after="0" w:line="169" w:lineRule="exact"/>
              <w:rPr>
                <w:sz w:val="20"/>
                <w:szCs w:val="20"/>
                <w:color w:val="auto"/>
              </w:rPr>
            </w:pPr>
            <w:r>
              <w:rPr>
                <w:rFonts w:ascii="Arial" w:cs="Arial" w:eastAsia="Arial" w:hAnsi="Arial"/>
                <w:sz w:val="15"/>
                <w:szCs w:val="15"/>
                <w:b w:val="1"/>
                <w:bCs w:val="1"/>
                <w:color w:val="auto"/>
              </w:rPr>
              <w:t>Operating loss</w:t>
            </w:r>
          </w:p>
        </w:tc>
        <w:tc>
          <w:tcPr>
            <w:tcW w:w="1360" w:type="dxa"/>
            <w:vAlign w:val="bottom"/>
            <w:gridSpan w:val="2"/>
            <w:shd w:val="clear" w:color="auto" w:fill="CCFFCC"/>
          </w:tcPr>
          <w:p>
            <w:pPr>
              <w:jc w:val="right"/>
              <w:ind w:right="60"/>
              <w:spacing w:after="0" w:line="169" w:lineRule="exact"/>
              <w:rPr>
                <w:sz w:val="20"/>
                <w:szCs w:val="20"/>
                <w:color w:val="auto"/>
              </w:rPr>
            </w:pPr>
            <w:r>
              <w:rPr>
                <w:rFonts w:ascii="Arial" w:cs="Arial" w:eastAsia="Arial" w:hAnsi="Arial"/>
                <w:sz w:val="15"/>
                <w:szCs w:val="15"/>
                <w:b w:val="1"/>
                <w:bCs w:val="1"/>
                <w:color w:val="auto"/>
              </w:rPr>
              <w:t>(6,424)</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Non-operating income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Non-operating expenses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(14)</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Interest and amortization of debt discount expense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(1,525)</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Loss on revaluation of warrants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(402)</w:t>
            </w:r>
          </w:p>
        </w:tc>
      </w:tr>
      <w:tr>
        <w:trPr>
          <w:trHeight w:val="189"/>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Gain on restructuring of venture loan</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963</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Loss before taxes on income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(7,389)</w:t>
            </w:r>
          </w:p>
        </w:tc>
      </w:tr>
      <w:tr>
        <w:trPr>
          <w:trHeight w:val="20"/>
        </w:trPr>
        <w:tc>
          <w:tcPr>
            <w:tcW w:w="10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10100" w:type="dxa"/>
            <w:vAlign w:val="bottom"/>
          </w:tcPr>
          <w:p>
            <w:pPr>
              <w:spacing w:after="0" w:line="169" w:lineRule="exact"/>
              <w:rPr>
                <w:sz w:val="20"/>
                <w:szCs w:val="20"/>
                <w:color w:val="auto"/>
              </w:rPr>
            </w:pPr>
            <w:r>
              <w:rPr>
                <w:rFonts w:ascii="Arial" w:cs="Arial" w:eastAsia="Arial" w:hAnsi="Arial"/>
                <w:sz w:val="15"/>
                <w:szCs w:val="15"/>
                <w:color w:val="auto"/>
              </w:rPr>
              <w:t>Income tax expense</w:t>
            </w:r>
          </w:p>
        </w:tc>
        <w:tc>
          <w:tcPr>
            <w:tcW w:w="1360" w:type="dxa"/>
            <w:vAlign w:val="bottom"/>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(90)</w:t>
            </w:r>
          </w:p>
        </w:tc>
      </w:tr>
      <w:tr>
        <w:trPr>
          <w:trHeight w:val="169"/>
        </w:trPr>
        <w:tc>
          <w:tcPr>
            <w:tcW w:w="10100" w:type="dxa"/>
            <w:vAlign w:val="bottom"/>
            <w:shd w:val="clear" w:color="auto" w:fill="CCFFCC"/>
          </w:tcPr>
          <w:p>
            <w:pPr>
              <w:spacing w:after="0"/>
              <w:rPr>
                <w:sz w:val="14"/>
                <w:szCs w:val="14"/>
                <w:color w:val="auto"/>
              </w:rPr>
            </w:pPr>
          </w:p>
        </w:tc>
        <w:tc>
          <w:tcPr>
            <w:tcW w:w="124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r>
      <w:tr>
        <w:trPr>
          <w:trHeight w:val="211"/>
        </w:trPr>
        <w:tc>
          <w:tcPr>
            <w:tcW w:w="1010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(7,479)</w:t>
            </w:r>
          </w:p>
        </w:tc>
      </w:tr>
      <w:tr>
        <w:trPr>
          <w:trHeight w:val="20"/>
        </w:trPr>
        <w:tc>
          <w:tcPr>
            <w:tcW w:w="10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Basic and diluted net loss per common share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(1.17)</w:t>
            </w:r>
          </w:p>
        </w:tc>
      </w:tr>
      <w:tr>
        <w:trPr>
          <w:trHeight w:val="152"/>
        </w:trPr>
        <w:tc>
          <w:tcPr>
            <w:tcW w:w="10100" w:type="dxa"/>
            <w:vAlign w:val="bottom"/>
            <w:tcBorders>
              <w:top w:val="single" w:sz="8" w:color="CCFFCC"/>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r>
      <w:tr>
        <w:trPr>
          <w:trHeight w:val="251"/>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Weighted average number of shares used in computing basic and dilutive net loss per common share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6,372,659</w:t>
            </w:r>
          </w:p>
        </w:tc>
      </w:tr>
      <w:tr>
        <w:trPr>
          <w:trHeight w:val="508"/>
        </w:trPr>
        <w:tc>
          <w:tcPr>
            <w:tcW w:w="10100" w:type="dxa"/>
            <w:vAlign w:val="bottom"/>
            <w:tcBorders>
              <w:top w:val="single" w:sz="8" w:color="CCFFCC"/>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60"/>
          </w:cols>
          <w:pgMar w:left="220" w:top="303" w:right="21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145415</wp:posOffset>
            </wp:positionH>
            <wp:positionV relativeFrom="page">
              <wp:posOffset>201930</wp:posOffset>
            </wp:positionV>
            <wp:extent cx="883920" cy="3467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t>March 8, 2012</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Mr. Jon Medved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Zerubavel 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Jerusalem 93511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Dear Jon:</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As discussed between us we have mutually determined that you will cease providing services to Vringo (Israel) Ltd. (“</w:t>
      </w:r>
      <w:r>
        <w:rPr>
          <w:rFonts w:ascii="Arial" w:cs="Arial" w:eastAsia="Arial" w:hAnsi="Arial"/>
          <w:sz w:val="15"/>
          <w:szCs w:val="15"/>
          <w:b w:val="1"/>
          <w:bCs w:val="1"/>
          <w:color w:val="auto"/>
        </w:rPr>
        <w:t>Vringo</w:t>
      </w:r>
      <w:r>
        <w:rPr>
          <w:rFonts w:ascii="Arial" w:cs="Arial" w:eastAsia="Arial" w:hAnsi="Arial"/>
          <w:sz w:val="15"/>
          <w:szCs w:val="15"/>
          <w:color w:val="auto"/>
        </w:rPr>
        <w:t>” or the “</w:t>
      </w:r>
      <w:r>
        <w:rPr>
          <w:rFonts w:ascii="Arial" w:cs="Arial" w:eastAsia="Arial" w:hAnsi="Arial"/>
          <w:sz w:val="15"/>
          <w:szCs w:val="15"/>
          <w:b w:val="1"/>
          <w:bCs w:val="1"/>
          <w:color w:val="auto"/>
        </w:rPr>
        <w:t>Company</w:t>
      </w:r>
      <w:r>
        <w:rPr>
          <w:rFonts w:ascii="Arial" w:cs="Arial" w:eastAsia="Arial" w:hAnsi="Arial"/>
          <w:sz w:val="15"/>
          <w:szCs w:val="15"/>
          <w:color w:val="auto"/>
        </w:rPr>
        <w:t>”) as its Chief Executive Officer. This letter sets out the terms of such separation, including provisions set forth in your Employment Agreement with the Company dated as of July 29, 2007, as amended (the “</w:t>
      </w:r>
      <w:r>
        <w:rPr>
          <w:rFonts w:ascii="Arial" w:cs="Arial" w:eastAsia="Arial" w:hAnsi="Arial"/>
          <w:sz w:val="15"/>
          <w:szCs w:val="15"/>
          <w:b w:val="1"/>
          <w:bCs w:val="1"/>
          <w:color w:val="auto"/>
        </w:rPr>
        <w:t>Employment Agreement</w:t>
      </w:r>
      <w:r>
        <w:rPr>
          <w:rFonts w:ascii="Arial" w:cs="Arial" w:eastAsia="Arial" w:hAnsi="Arial"/>
          <w:sz w:val="15"/>
          <w:szCs w:val="15"/>
          <w:color w:val="auto"/>
        </w:rPr>
        <w:t>”), as well as several items which are now offered at the Company’s discretion in exchange for your agreement to the terms hereof. Unless indicated otherwise, capitalized terms contained in this Separation Letter Agreement are defined in the Employment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This Separation Letter Agreement constitutes a notice of cessation of your Employment Agreement and your employment with the Company and sets forth the terms governing such separation.</w:t>
      </w:r>
    </w:p>
    <w:p>
      <w:pPr>
        <w:spacing w:after="0" w:line="207" w:lineRule="exact"/>
        <w:rPr>
          <w:sz w:val="20"/>
          <w:szCs w:val="20"/>
          <w:color w:val="auto"/>
        </w:rPr>
      </w:pPr>
    </w:p>
    <w:p>
      <w:pPr>
        <w:jc w:val="both"/>
        <w:ind w:left="540" w:hanging="264"/>
        <w:spacing w:after="0" w:line="272" w:lineRule="auto"/>
        <w:tabs>
          <w:tab w:leader="none" w:pos="54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Company agrees with you that you have ceased providing services to the Company as an employee as of the date of signing this Separation Letter Agreement and that the effective date of such cessation for the purposes described herein shall be May 6, 2012 (the “</w:t>
      </w:r>
      <w:r>
        <w:rPr>
          <w:rFonts w:ascii="Arial" w:cs="Arial" w:eastAsia="Arial" w:hAnsi="Arial"/>
          <w:sz w:val="14"/>
          <w:szCs w:val="14"/>
          <w:b w:val="1"/>
          <w:bCs w:val="1"/>
          <w:color w:val="auto"/>
        </w:rPr>
        <w:t>Effective Date</w:t>
      </w:r>
      <w:r>
        <w:rPr>
          <w:rFonts w:ascii="Arial" w:cs="Arial" w:eastAsia="Arial" w:hAnsi="Arial"/>
          <w:sz w:val="14"/>
          <w:szCs w:val="14"/>
          <w:color w:val="auto"/>
        </w:rPr>
        <w:t>”). The period from March 8, 2012 until the Effective Date shall be deemed sufficient prior notice for all purposes. Notwithstanding the aforementioned Effective Date, by your signature below, you are acknowledging that as of March 7, 2012 (the “</w:t>
      </w:r>
      <w:r>
        <w:rPr>
          <w:rFonts w:ascii="Arial" w:cs="Arial" w:eastAsia="Arial" w:hAnsi="Arial"/>
          <w:sz w:val="14"/>
          <w:szCs w:val="14"/>
          <w:b w:val="1"/>
          <w:bCs w:val="1"/>
          <w:color w:val="auto"/>
        </w:rPr>
        <w:t>Separation</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 you are officially leaving your position as the Company’s CEO, as well as resigning from your directorships with the Company and with Vringo, Inc., the parent company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(hereinafter referred to as the “</w:t>
      </w:r>
      <w:r>
        <w:rPr>
          <w:rFonts w:ascii="Arial" w:cs="Arial" w:eastAsia="Arial" w:hAnsi="Arial"/>
          <w:sz w:val="14"/>
          <w:szCs w:val="14"/>
          <w:b w:val="1"/>
          <w:bCs w:val="1"/>
          <w:color w:val="auto"/>
        </w:rPr>
        <w:t>Parent Company</w:t>
      </w:r>
      <w:r>
        <w:rPr>
          <w:rFonts w:ascii="Arial" w:cs="Arial" w:eastAsia="Arial" w:hAnsi="Arial"/>
          <w:sz w:val="14"/>
          <w:szCs w:val="14"/>
          <w:color w:val="auto"/>
        </w:rPr>
        <w:t>”). For the avoidance of doubt, as of the Separation Date, you will relinquish all titles, offices and authority and you will not act on behalf of or hold yourself out as being a representative of the Company or Parent Company following such date. The Parent Company shall provide you with a copy of a press release regarding your resignation prior to the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984885</wp:posOffset>
            </wp:positionV>
            <wp:extent cx="727075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100965</wp:posOffset>
            </wp:positionV>
            <wp:extent cx="955040" cy="544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55040" cy="544830"/>
                    </a:xfrm>
                    <a:prstGeom prst="rect">
                      <a:avLst/>
                    </a:prstGeom>
                    <a:noFill/>
                  </pic:spPr>
                </pic:pic>
              </a:graphicData>
            </a:graphic>
          </wp:anchor>
        </w:drawing>
      </w:r>
    </w:p>
    <w:p>
      <w:pPr>
        <w:sectPr>
          <w:pgSz w:w="11900" w:h="16838" w:orient="portrait"/>
          <w:cols w:equalWidth="0" w:num="1">
            <w:col w:w="11460"/>
          </w:cols>
          <w:pgMar w:left="220" w:top="1031" w:right="219" w:bottom="1440" w:gutter="0" w:footer="0" w:header="0"/>
        </w:sectPr>
      </w:pPr>
    </w:p>
    <w:bookmarkStart w:id="237" w:name="page238"/>
    <w:bookmarkEnd w:id="237"/>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264" w:right="100"/>
        <w:spacing w:after="0" w:line="298" w:lineRule="auto"/>
        <w:rPr>
          <w:sz w:val="20"/>
          <w:szCs w:val="20"/>
          <w:color w:val="auto"/>
        </w:rPr>
      </w:pPr>
      <w:r>
        <w:rPr>
          <w:rFonts w:ascii="Arial" w:cs="Arial" w:eastAsia="Arial" w:hAnsi="Arial"/>
          <w:sz w:val="13"/>
          <w:szCs w:val="13"/>
          <w:color w:val="auto"/>
        </w:rPr>
        <w:t>Within thirty (30) calendar days of the Effective Date, you shall transfer to the Company or the Company’s specific designee any relevant Company or Parent Company materials that are not already in the Company’s possession with other employees. This will include paper and electronic files related to Company or Parent Company matters and other items as defined in your Employment Agreement. Notwithstanding this transfer of Company or Parent Company tangible and electronic files, provided you are not in breach of any terms or provisions of this Separation Letter Agreement you are permitted to maintain your confidential Company email address (jon@vringo.com) and specify instructions for automatic forwarding to an address of your choice for a transition period of thirty-six (36) months following the Effective Date, with the stipulation that you immediately forward to the Company’s designee all emails involving Vringo business and maintain in confidence (per your Employment Agreement) the content of such emails.</w:t>
      </w:r>
    </w:p>
    <w:p>
      <w:pPr>
        <w:spacing w:after="0" w:line="134" w:lineRule="exact"/>
        <w:rPr>
          <w:sz w:val="20"/>
          <w:szCs w:val="20"/>
          <w:color w:val="auto"/>
        </w:rPr>
      </w:pPr>
    </w:p>
    <w:p>
      <w:pPr>
        <w:jc w:val="both"/>
        <w:ind w:left="264" w:hanging="264"/>
        <w:spacing w:after="0" w:line="272" w:lineRule="auto"/>
        <w:tabs>
          <w:tab w:leader="none" w:pos="264" w:val="left"/>
        </w:tabs>
        <w:numPr>
          <w:ilvl w:val="0"/>
          <w:numId w:val="250"/>
        </w:numPr>
        <w:rPr>
          <w:rFonts w:ascii="Arial" w:cs="Arial" w:eastAsia="Arial" w:hAnsi="Arial"/>
          <w:sz w:val="14"/>
          <w:szCs w:val="14"/>
          <w:color w:val="auto"/>
        </w:rPr>
      </w:pPr>
      <w:r>
        <w:rPr>
          <w:rFonts w:ascii="Arial" w:cs="Arial" w:eastAsia="Arial" w:hAnsi="Arial"/>
          <w:sz w:val="14"/>
          <w:szCs w:val="14"/>
          <w:color w:val="auto"/>
        </w:rPr>
        <w:t>Under the terms of your Employment Agreement, since we agree that you are resigning as CEO of the Company for Good Reason, you are entitled to receive severance payments in an amount equal to your adjusted Salary of US $15,937.50 plus full benefits per month, for a period of nine (9) months following the Effective Date (that is, until February 6, 2013 (the “</w:t>
      </w:r>
      <w:r>
        <w:rPr>
          <w:rFonts w:ascii="Arial" w:cs="Arial" w:eastAsia="Arial" w:hAnsi="Arial"/>
          <w:sz w:val="14"/>
          <w:szCs w:val="14"/>
          <w:b w:val="1"/>
          <w:bCs w:val="1"/>
          <w:color w:val="auto"/>
        </w:rPr>
        <w:t>Termination Date</w:t>
      </w:r>
      <w:r>
        <w:rPr>
          <w:rFonts w:ascii="Arial" w:cs="Arial" w:eastAsia="Arial" w:hAnsi="Arial"/>
          <w:sz w:val="14"/>
          <w:szCs w:val="14"/>
          <w:color w:val="auto"/>
        </w:rPr>
        <w:t>”)), payable on a monthly basis in accordance with the Company’s normal payroll policies. The severance payments will be paid in NIS, according to a previously-agreed normalized exchange rate of 4.00 NIS/$. You will provide us at the Separation Date with an updated standard Form 101, and provide further updated forms during the period through the Termination Date to the extent that there are changes in your status, including if you will have additional employment income during such period. If at any time during the period through the Termination Date, you receive employment income from another employer, the Company will process payments to you at the maximum tax rates, as required by law, unless the Company is presented with a tax reconcilation document from the Tax Authorities (“</w:t>
      </w:r>
      <w:r>
        <w:rPr>
          <w:rFonts w:ascii="Arial" w:cs="Arial" w:eastAsia="Arial" w:hAnsi="Arial"/>
          <w:sz w:val="14"/>
          <w:szCs w:val="14"/>
          <w:i w:val="1"/>
          <w:iCs w:val="1"/>
          <w:color w:val="auto"/>
        </w:rPr>
        <w:t>Teum Ma</w:t>
      </w:r>
      <w:r>
        <w:rPr>
          <w:rFonts w:ascii="Arial" w:cs="Arial" w:eastAsia="Arial" w:hAnsi="Arial"/>
          <w:sz w:val="14"/>
          <w:szCs w:val="14"/>
          <w:color w:val="auto"/>
        </w:rPr>
        <w:t>s”).</w:t>
      </w:r>
    </w:p>
    <w:p>
      <w:pPr>
        <w:spacing w:after="0" w:line="148" w:lineRule="exact"/>
        <w:rPr>
          <w:rFonts w:ascii="Arial" w:cs="Arial" w:eastAsia="Arial" w:hAnsi="Arial"/>
          <w:sz w:val="14"/>
          <w:szCs w:val="14"/>
          <w:color w:val="auto"/>
        </w:rPr>
      </w:pPr>
    </w:p>
    <w:p>
      <w:pPr>
        <w:jc w:val="both"/>
        <w:ind w:left="264" w:hanging="264"/>
        <w:spacing w:after="0" w:line="298" w:lineRule="auto"/>
        <w:tabs>
          <w:tab w:leader="none" w:pos="264" w:val="left"/>
        </w:tabs>
        <w:numPr>
          <w:ilvl w:val="0"/>
          <w:numId w:val="250"/>
        </w:numPr>
        <w:rPr>
          <w:rFonts w:ascii="Arial" w:cs="Arial" w:eastAsia="Arial" w:hAnsi="Arial"/>
          <w:sz w:val="13"/>
          <w:szCs w:val="13"/>
          <w:color w:val="auto"/>
        </w:rPr>
      </w:pPr>
      <w:r>
        <w:rPr>
          <w:rFonts w:ascii="Arial" w:cs="Arial" w:eastAsia="Arial" w:hAnsi="Arial"/>
          <w:sz w:val="13"/>
          <w:szCs w:val="13"/>
          <w:color w:val="auto"/>
        </w:rPr>
        <w:t>In addition to the severance payments described in item 2 above, you will receive all the benefits associated with your Salary as the Company’s CEO, including the timely release shortly following the Termination Date, in full, of your Manager’s Insurance Fund/</w:t>
      </w:r>
      <w:r>
        <w:rPr>
          <w:rFonts w:ascii="Arial" w:cs="Arial" w:eastAsia="Arial" w:hAnsi="Arial"/>
          <w:sz w:val="13"/>
          <w:szCs w:val="13"/>
          <w:i w:val="1"/>
          <w:iCs w:val="1"/>
          <w:color w:val="auto"/>
        </w:rPr>
        <w:t>Bituach M’nahalim</w:t>
      </w:r>
      <w:r>
        <w:rPr>
          <w:rFonts w:ascii="Arial" w:cs="Arial" w:eastAsia="Arial" w:hAnsi="Arial"/>
          <w:sz w:val="13"/>
          <w:szCs w:val="13"/>
          <w:color w:val="auto"/>
        </w:rPr>
        <w:t xml:space="preserve"> (including its severance, disability and pension components) for the entire period you will have been employed by the Company (April 1, 2006 through the Termination Date). You shall also receive through the Termination Date, continuing benefits from the Company to include: national insurance payments (</w:t>
      </w:r>
      <w:r>
        <w:rPr>
          <w:rFonts w:ascii="Arial" w:cs="Arial" w:eastAsia="Arial" w:hAnsi="Arial"/>
          <w:sz w:val="13"/>
          <w:szCs w:val="13"/>
          <w:i w:val="1"/>
          <w:iCs w:val="1"/>
          <w:color w:val="auto"/>
        </w:rPr>
        <w:t>Bituach Leumi</w:t>
      </w:r>
      <w:r>
        <w:rPr>
          <w:rFonts w:ascii="Arial" w:cs="Arial" w:eastAsia="Arial" w:hAnsi="Arial"/>
          <w:sz w:val="13"/>
          <w:szCs w:val="13"/>
          <w:color w:val="auto"/>
        </w:rPr>
        <w:t>); Further Education Fund contributions (</w:t>
      </w:r>
      <w:r>
        <w:rPr>
          <w:rFonts w:ascii="Arial" w:cs="Arial" w:eastAsia="Arial" w:hAnsi="Arial"/>
          <w:sz w:val="13"/>
          <w:szCs w:val="13"/>
          <w:i w:val="1"/>
          <w:iCs w:val="1"/>
          <w:color w:val="auto"/>
        </w:rPr>
        <w:t>Keren Hishtalmut</w:t>
      </w:r>
      <w:r>
        <w:rPr>
          <w:rFonts w:ascii="Arial" w:cs="Arial" w:eastAsia="Arial" w:hAnsi="Arial"/>
          <w:sz w:val="13"/>
          <w:szCs w:val="13"/>
          <w:color w:val="auto"/>
        </w:rPr>
        <w:t>); payments for Car expenses (maintenance, lease and other related expenses) up to US $1,000 per month; and your personal life insurance premiums up to NIS 5,500 per month. You agree that during the period from the Effective Date through the Termination Date, you will be deemed to be utilizing any vacation days that accrue during such period, and will not be entitled to any further payment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431165</wp:posOffset>
            </wp:positionV>
            <wp:extent cx="727075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38" w:name="page239"/>
    <w:bookmarkEnd w:id="238"/>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hanging="264"/>
        <w:spacing w:after="0" w:line="255" w:lineRule="auto"/>
        <w:tabs>
          <w:tab w:leader="none" w:pos="26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Your final Salary for the month immediately following the Termination Date shall also include payments for any unpaid vacation days and recuperation pay (</w:t>
      </w:r>
      <w:r>
        <w:rPr>
          <w:rFonts w:ascii="Arial" w:cs="Arial" w:eastAsia="Arial" w:hAnsi="Arial"/>
          <w:sz w:val="15"/>
          <w:szCs w:val="15"/>
          <w:i w:val="1"/>
          <w:iCs w:val="1"/>
          <w:color w:val="auto"/>
        </w:rPr>
        <w:t>D’may Havra’a</w:t>
      </w:r>
      <w:r>
        <w:rPr>
          <w:rFonts w:ascii="Arial" w:cs="Arial" w:eastAsia="Arial" w:hAnsi="Arial"/>
          <w:sz w:val="15"/>
          <w:szCs w:val="15"/>
          <w:color w:val="auto"/>
        </w:rPr>
        <w:t>) through the Effective Date, subject only to deduction of any amounts the Company may need to withhold to cover any amounts owed by you to the Company (and that such amount is estimated as of the date of this Separation Letter Agreement to be NIS 141,929 for vacation (representing 48.24 accrued and unused vacation days) and NIS 1,916 for “recuperation pay” (</w:t>
      </w:r>
      <w:r>
        <w:rPr>
          <w:rFonts w:ascii="Arial" w:cs="Arial" w:eastAsia="Arial" w:hAnsi="Arial"/>
          <w:sz w:val="15"/>
          <w:szCs w:val="15"/>
          <w:i w:val="1"/>
          <w:iCs w:val="1"/>
          <w:color w:val="auto"/>
        </w:rPr>
        <w:t>D’may Havra’a</w:t>
      </w:r>
      <w:r>
        <w:rPr>
          <w:rFonts w:ascii="Arial" w:cs="Arial" w:eastAsia="Arial" w:hAnsi="Arial"/>
          <w:sz w:val="15"/>
          <w:szCs w:val="15"/>
          <w:color w:val="auto"/>
        </w:rPr>
        <w:t>) representing 279 accrued and unpaid days).</w:t>
      </w:r>
    </w:p>
    <w:p>
      <w:pPr>
        <w:spacing w:after="0" w:line="157" w:lineRule="exact"/>
        <w:rPr>
          <w:rFonts w:ascii="Arial" w:cs="Arial" w:eastAsia="Arial" w:hAnsi="Arial"/>
          <w:sz w:val="15"/>
          <w:szCs w:val="15"/>
          <w:color w:val="auto"/>
        </w:rPr>
      </w:pPr>
    </w:p>
    <w:p>
      <w:pPr>
        <w:jc w:val="both"/>
        <w:ind w:left="264" w:hanging="264"/>
        <w:spacing w:after="0" w:line="258" w:lineRule="auto"/>
        <w:tabs>
          <w:tab w:leader="none" w:pos="26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To the extent such policy is in effect, you will personally continue to be covered (for acts performed as CEO and Director of the Company and Parent Company prior to the Effective Date) by the Company’s and/or Parent Company’s D&amp;O insurance policy, for a period of seven (7) years following the Effective Date, or for such other period considered customary in the industry and readily obtainable as D&amp;O tail coverage.</w:t>
      </w:r>
    </w:p>
    <w:p>
      <w:pPr>
        <w:spacing w:after="0" w:line="156" w:lineRule="exact"/>
        <w:rPr>
          <w:rFonts w:ascii="Arial" w:cs="Arial" w:eastAsia="Arial" w:hAnsi="Arial"/>
          <w:sz w:val="15"/>
          <w:szCs w:val="15"/>
          <w:color w:val="auto"/>
        </w:rPr>
      </w:pPr>
    </w:p>
    <w:p>
      <w:pPr>
        <w:jc w:val="both"/>
        <w:ind w:left="264" w:hanging="264"/>
        <w:spacing w:after="0" w:line="269" w:lineRule="auto"/>
        <w:tabs>
          <w:tab w:leader="none" w:pos="264" w:val="left"/>
        </w:tabs>
        <w:numPr>
          <w:ilvl w:val="0"/>
          <w:numId w:val="251"/>
        </w:numPr>
        <w:rPr>
          <w:rFonts w:ascii="Arial" w:cs="Arial" w:eastAsia="Arial" w:hAnsi="Arial"/>
          <w:sz w:val="14"/>
          <w:szCs w:val="14"/>
          <w:color w:val="auto"/>
        </w:rPr>
      </w:pPr>
      <w:r>
        <w:rPr>
          <w:rFonts w:ascii="Arial" w:cs="Arial" w:eastAsia="Arial" w:hAnsi="Arial"/>
          <w:sz w:val="14"/>
          <w:szCs w:val="14"/>
          <w:color w:val="auto"/>
        </w:rPr>
        <w:t xml:space="preserve">You have on several previous occasions been awarded options to purchase stock of the Parent Company. The numbers of such options, as well as their respective grant dates, vesting periods, and strike prices, are all set forth in </w:t>
      </w:r>
      <w:r>
        <w:rPr>
          <w:rFonts w:ascii="Arial" w:cs="Arial" w:eastAsia="Arial" w:hAnsi="Arial"/>
          <w:sz w:val="14"/>
          <w:szCs w:val="14"/>
          <w:u w:val="single" w:color="auto"/>
          <w:color w:val="auto"/>
        </w:rPr>
        <w:t>Appendix 1</w:t>
      </w:r>
      <w:r>
        <w:rPr>
          <w:rFonts w:ascii="Arial" w:cs="Arial" w:eastAsia="Arial" w:hAnsi="Arial"/>
          <w:sz w:val="14"/>
          <w:szCs w:val="14"/>
          <w:color w:val="auto"/>
        </w:rPr>
        <w:t xml:space="preserve"> to this Separation Letter Agreement. Per our discussions and agreements, and notwithstanding that which is set forth in your option agreements or the original vesting schedules with the Company or Parent Company, we agree that, subject only to your good faith compliance with your obligations to the Company that survive the termination of your employment, (i) all unvested options set forth in </w:t>
      </w:r>
      <w:r>
        <w:rPr>
          <w:rFonts w:ascii="Arial" w:cs="Arial" w:eastAsia="Arial" w:hAnsi="Arial"/>
          <w:sz w:val="14"/>
          <w:szCs w:val="14"/>
          <w:u w:val="single" w:color="auto"/>
          <w:color w:val="auto"/>
        </w:rPr>
        <w:t>Appendix 1</w:t>
      </w:r>
      <w:r>
        <w:rPr>
          <w:rFonts w:ascii="Arial" w:cs="Arial" w:eastAsia="Arial" w:hAnsi="Arial"/>
          <w:sz w:val="14"/>
          <w:szCs w:val="14"/>
          <w:color w:val="auto"/>
        </w:rPr>
        <w:t xml:space="preserve"> (other than the penny options, as described below) shall continue to vest according to the current vesting schedule despite the cessation of your employment with the Company, (ii) your right to exercise all options that have vested on or before June 21, 2013 shall remain available to you until September 21, 2013, and, if and to the extent that the Company shall in the future make available such a possibility to its Israeli employees under the relevant incentive plan, you may choose to engage in a cashless exercise of such vested options, and (iii) all options granted to you on March 17, 2010 at a strike price of $ 0.01 that remain unvested shall fully vest as of June 21, 2012. If you decide to exercise some or all of the aforesaid options before September 21, 2012, the Company, to the extent possible and upon written instructions from you, can deduct the relevant amounts from some of its continuing Salary and other payment obligations it has to you. Otherwise, as well as with respect to your potential exercise of other vested options after September 21, 2012, exercise will only be possible upon receipt of a check made payable to the Company in the amount set forth above (or the NIS equivalent converted at the representative rate on the date of receipt of the check). You represent and warrant that you will not dispose of any securities of the Parent Company in violation of any securities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442595</wp:posOffset>
            </wp:positionV>
            <wp:extent cx="727075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39" w:name="page240"/>
    <w:bookmarkEnd w:id="239"/>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right="20" w:hanging="264"/>
        <w:spacing w:after="0" w:line="255" w:lineRule="auto"/>
        <w:tabs>
          <w:tab w:leader="none" w:pos="264"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In addition to the options set forth in </w:t>
      </w:r>
      <w:r>
        <w:rPr>
          <w:rFonts w:ascii="Arial" w:cs="Arial" w:eastAsia="Arial" w:hAnsi="Arial"/>
          <w:sz w:val="15"/>
          <w:szCs w:val="15"/>
          <w:u w:val="single" w:color="auto"/>
          <w:color w:val="auto"/>
        </w:rPr>
        <w:t>Appendix 1</w:t>
      </w:r>
      <w:r>
        <w:rPr>
          <w:rFonts w:ascii="Arial" w:cs="Arial" w:eastAsia="Arial" w:hAnsi="Arial"/>
          <w:sz w:val="15"/>
          <w:szCs w:val="15"/>
          <w:color w:val="auto"/>
        </w:rPr>
        <w:t xml:space="preserve"> hereto, the Company hereby grants to you an additional 100,000 options, vesting over three (3) years, subject only to your good faith compliance with your obligations to the Company that survive the termination of your employment. Vesting for such options shall commence as of the Separation Date, subject to the approval of this grant at the next regularly scheduled board meeting to take place not later than April 15, 2012, and the strike price shall be the closing market value price determined on such date.</w:t>
      </w:r>
    </w:p>
    <w:p>
      <w:pPr>
        <w:spacing w:after="0" w:line="157" w:lineRule="exact"/>
        <w:rPr>
          <w:rFonts w:ascii="Arial" w:cs="Arial" w:eastAsia="Arial" w:hAnsi="Arial"/>
          <w:sz w:val="15"/>
          <w:szCs w:val="15"/>
          <w:color w:val="auto"/>
        </w:rPr>
      </w:pPr>
    </w:p>
    <w:p>
      <w:pPr>
        <w:jc w:val="both"/>
        <w:ind w:left="264" w:hanging="264"/>
        <w:spacing w:after="0" w:line="258" w:lineRule="auto"/>
        <w:tabs>
          <w:tab w:leader="none" w:pos="264"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In the event that, at any time, the Parent Company files any registration statement with a public stock exchange to include options or shares of stock held or owned by its or the Company’s employees and/or service providers, it shall include within such registration statement all shares of Parent Company stock and options to purchase such stock held by you, including those options and shares referenced in paragraphs 6 and 7 above.</w:t>
      </w:r>
    </w:p>
    <w:p>
      <w:pPr>
        <w:spacing w:after="0" w:line="156" w:lineRule="exact"/>
        <w:rPr>
          <w:rFonts w:ascii="Arial" w:cs="Arial" w:eastAsia="Arial" w:hAnsi="Arial"/>
          <w:sz w:val="15"/>
          <w:szCs w:val="15"/>
          <w:color w:val="auto"/>
        </w:rPr>
      </w:pPr>
    </w:p>
    <w:p>
      <w:pPr>
        <w:jc w:val="both"/>
        <w:ind w:left="264" w:hanging="264"/>
        <w:spacing w:after="0" w:line="271" w:lineRule="auto"/>
        <w:tabs>
          <w:tab w:leader="none" w:pos="264" w:val="left"/>
        </w:tabs>
        <w:numPr>
          <w:ilvl w:val="0"/>
          <w:numId w:val="252"/>
        </w:numPr>
        <w:rPr>
          <w:rFonts w:ascii="Arial" w:cs="Arial" w:eastAsia="Arial" w:hAnsi="Arial"/>
          <w:sz w:val="14"/>
          <w:szCs w:val="14"/>
          <w:color w:val="auto"/>
        </w:rPr>
      </w:pPr>
      <w:r>
        <w:rPr>
          <w:rFonts w:ascii="Arial" w:cs="Arial" w:eastAsia="Arial" w:hAnsi="Arial"/>
          <w:sz w:val="14"/>
          <w:szCs w:val="14"/>
          <w:color w:val="auto"/>
        </w:rPr>
        <w:t>In return for the Company and Parent Company's agreements to the terms set forth in this Separation Letter Agreement, and as a condition to such terms, you, for yourself, your heirs, privies, executors, administrators, assigns, successors-in-interest and predecessors-in-interest, hereby release and forever discharge the Company, the Parent Company, and each of their affiliates and subsidiaries, the present or former officers, directors, employees and agents of all of them (collectively, the “</w:t>
      </w:r>
      <w:r>
        <w:rPr>
          <w:rFonts w:ascii="Arial" w:cs="Arial" w:eastAsia="Arial" w:hAnsi="Arial"/>
          <w:sz w:val="14"/>
          <w:szCs w:val="14"/>
          <w:b w:val="1"/>
          <w:bCs w:val="1"/>
          <w:color w:val="auto"/>
        </w:rPr>
        <w:t>Company Releasees</w:t>
      </w:r>
      <w:r>
        <w:rPr>
          <w:rFonts w:ascii="Arial" w:cs="Arial" w:eastAsia="Arial" w:hAnsi="Arial"/>
          <w:sz w:val="14"/>
          <w:szCs w:val="14"/>
          <w:color w:val="auto"/>
        </w:rPr>
        <w:t>”) of and from any and all charges, complaints, actions, causes of action, grievances, suits, liabilities, obligations, promises, controversies, damages, losses, debts and expenses and claims in law or in equity of any nature whatsoever, known or unknown, suspected or unsuspected, you ever had, now have or shall have against any Company Releasees to the Effective Date, including those arising by reason of any and all matters connected with your past employment with, compensation during, and separation from the Company. The Company acknowledges that the release contained in this paragraph shall not preclude you from suing to enforce your rights (i) under this Separation Letter Agreement, or (ii) with respect to any future act or omission involving misconduct or gross negligence by the Company that directly causes you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441325</wp:posOffset>
            </wp:positionV>
            <wp:extent cx="727075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0" w:name="page241"/>
    <w:bookmarkEnd w:id="240"/>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hanging="264"/>
        <w:spacing w:after="0" w:line="258" w:lineRule="auto"/>
        <w:tabs>
          <w:tab w:leader="none" w:pos="26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In return for your execution of this Separation Letter Agreement, the Company, for itself and its affiliates (including the Parent Company), predecessor organizations, present or former partners, members, committees and officers hereby releases and forever discharges you, your heirs, privies, executors, administrators, assigns, successors-in-interest and predecessors-in-interest to the same extent you released the Company in paragraph 9 above.</w:t>
      </w:r>
    </w:p>
    <w:p>
      <w:pPr>
        <w:spacing w:after="0" w:line="156" w:lineRule="exact"/>
        <w:rPr>
          <w:rFonts w:ascii="Arial" w:cs="Arial" w:eastAsia="Arial" w:hAnsi="Arial"/>
          <w:sz w:val="15"/>
          <w:szCs w:val="15"/>
          <w:color w:val="auto"/>
        </w:rPr>
      </w:pPr>
    </w:p>
    <w:p>
      <w:pPr>
        <w:jc w:val="both"/>
        <w:ind w:left="264" w:hanging="264"/>
        <w:spacing w:after="0" w:line="279" w:lineRule="auto"/>
        <w:tabs>
          <w:tab w:leader="none" w:pos="264"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In return for the Company's agreement to the terms set forth in this Separation Letter Agreement, and as a condition to such terms, you agree to vote all voting securities of the Parent Company created (by grant or extended exercise period) or otherwise accelerated by the terms hereof consistent with the written recommendation of the Parent Company's Board of Directors. For the removal of any doubt, however, you are free to vote securities you hold in the Parent Company that are unrelated to the options granted, subject to extended exercise or accelerated by the provisions of this Separation Letter Agreement, in any manner you so choose.</w:t>
      </w:r>
    </w:p>
    <w:p>
      <w:pPr>
        <w:spacing w:after="0" w:line="142" w:lineRule="exact"/>
        <w:rPr>
          <w:rFonts w:ascii="Arial" w:cs="Arial" w:eastAsia="Arial" w:hAnsi="Arial"/>
          <w:sz w:val="14"/>
          <w:szCs w:val="14"/>
          <w:color w:val="auto"/>
        </w:rPr>
      </w:pPr>
    </w:p>
    <w:p>
      <w:pPr>
        <w:jc w:val="both"/>
        <w:ind w:left="264" w:hanging="264"/>
        <w:spacing w:after="0" w:line="301" w:lineRule="auto"/>
        <w:tabs>
          <w:tab w:leader="none" w:pos="264"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Company and you hereby agree to refrain from making any written or oral statement or taking any action, directly or indirectly, which the parties know or reasonably should know to be disparaging or negative concerning the other, except as required by law. We each also hereby agree to refrain from suggesting to anyone that any written or oral statements be made which the parties know or reasonably should know to be disparaging or negative concerning the other party. This provision shall include, but not be limited to, the requirement that we each refrain from expressing any disparaging or negative opinions concerning one another, your separation from the Company, any of the Company's officers, directors, or employees, or other matters relative to the Company's reputation as an employer or any other matters relative to your reputation as 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429895</wp:posOffset>
            </wp:positionV>
            <wp:extent cx="727075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1" w:name="page242"/>
    <w:bookmarkEnd w:id="241"/>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264" w:right="60" w:hanging="264"/>
        <w:spacing w:after="0" w:line="231" w:lineRule="auto"/>
        <w:tabs>
          <w:tab w:leader="none" w:pos="264" w:val="left"/>
        </w:tabs>
        <w:numPr>
          <w:ilvl w:val="0"/>
          <w:numId w:val="254"/>
        </w:numPr>
        <w:rPr>
          <w:rFonts w:ascii="Arial" w:cs="Arial" w:eastAsia="Arial" w:hAnsi="Arial"/>
          <w:sz w:val="28"/>
          <w:szCs w:val="28"/>
          <w:color w:val="auto"/>
          <w:vertAlign w:val="superscript"/>
        </w:rPr>
      </w:pPr>
      <w:r>
        <w:rPr>
          <w:rFonts w:ascii="Arial" w:cs="Arial" w:eastAsia="Arial" w:hAnsi="Arial"/>
          <w:sz w:val="14"/>
          <w:szCs w:val="14"/>
          <w:color w:val="auto"/>
        </w:rPr>
        <w:t>By February 6</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 2013, you are required to either return to the Company your Company Car and keys or personally assume the Car lease on your Company Car. This choice will be at your option. To avoid doubt, you will be solely responsible for any penalty fees incurred for early or late return of the Company Car, any damages to the Company Car and traffic and parking violations relating to the period of your use of the Company Car. An appropriate portion of your February 2013 entitlements will be withheld for up to 30 days to ensure payment of any outstanding matters relating to the use of the Company Car or other Company property. A single laptop computer and mobile phone / SIM card you have been using are yours to keep (and any additional items should be promptly returned within 30 days of the Separation Date).</w:t>
      </w:r>
    </w:p>
    <w:p>
      <w:pPr>
        <w:spacing w:after="0" w:line="171" w:lineRule="exact"/>
        <w:rPr>
          <w:rFonts w:ascii="Arial" w:cs="Arial" w:eastAsia="Arial" w:hAnsi="Arial"/>
          <w:sz w:val="28"/>
          <w:szCs w:val="28"/>
          <w:color w:val="auto"/>
          <w:vertAlign w:val="superscript"/>
        </w:rPr>
      </w:pPr>
    </w:p>
    <w:p>
      <w:pPr>
        <w:jc w:val="both"/>
        <w:ind w:left="264" w:hanging="264"/>
        <w:spacing w:after="0" w:line="258" w:lineRule="auto"/>
        <w:tabs>
          <w:tab w:leader="none" w:pos="264" w:val="left"/>
        </w:tabs>
        <w:numPr>
          <w:ilvl w:val="0"/>
          <w:numId w:val="254"/>
        </w:numPr>
        <w:rPr>
          <w:rFonts w:ascii="Arial" w:cs="Arial" w:eastAsia="Arial" w:hAnsi="Arial"/>
          <w:sz w:val="15"/>
          <w:szCs w:val="15"/>
          <w:color w:val="auto"/>
        </w:rPr>
      </w:pPr>
      <w:r>
        <w:rPr>
          <w:rFonts w:ascii="Arial" w:cs="Arial" w:eastAsia="Arial" w:hAnsi="Arial"/>
          <w:sz w:val="15"/>
          <w:szCs w:val="15"/>
          <w:color w:val="auto"/>
        </w:rPr>
        <w:t>You agree that, as of the Termination Date, you will cease to incur expenses in the name of the Company or Parent Company, or for which the Company or Parent Company could be liable, including but not limited to your expense accounts. Neither the Company nor Parent Company will be responsible for reimbursing any expenses which have not been submitted prior to the execution and delivery of this Separation Letter Agreement.</w:t>
      </w:r>
    </w:p>
    <w:p>
      <w:pPr>
        <w:spacing w:after="0" w:line="156" w:lineRule="exact"/>
        <w:rPr>
          <w:rFonts w:ascii="Arial" w:cs="Arial" w:eastAsia="Arial" w:hAnsi="Arial"/>
          <w:sz w:val="15"/>
          <w:szCs w:val="15"/>
          <w:color w:val="auto"/>
        </w:rPr>
      </w:pPr>
    </w:p>
    <w:p>
      <w:pPr>
        <w:ind w:left="264" w:right="120" w:hanging="264"/>
        <w:spacing w:after="0" w:line="271" w:lineRule="auto"/>
        <w:tabs>
          <w:tab w:leader="none" w:pos="264"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The terms contained in this Separation Letter Agreement are contingent upon your provision of the release contained in paragraph 9 hereof, your full co-operation in the transition arising from your departure from the Company, and your compliance with the terms of your Employment Agreement with the Company, including but not limited to provisions regarding confidentiality and noncompetition (see sections 10 and 12 thereof), which survive this departure from the Company. In furtherance of those confidentiality and noncompetition undertakings, we agree that (A) the terms of this Separation Letter Agreement are confidential and shall not be the subject of any disclosure to third parties other than to advisors or as required by law, regulation, or any NYSE Amex rule and (B) notwithstanding the Employment Agreement provision, you may provide professional services to Movius, Swagbucks and MEN, as well as any other companies brought by you to the Company and approved as a specific carveout to your non-compete obligations under the Employment Agreement on a case-by-case basis, provided that in each such instance you shall refrain from any use of or reliance upon trade secrets or other confidential, proprietary or non-public information of the Company and the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441325</wp:posOffset>
            </wp:positionV>
            <wp:extent cx="727075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2" w:name="page243"/>
    <w:bookmarkEnd w:id="242"/>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540" w:hanging="264"/>
        <w:spacing w:after="0" w:line="269" w:lineRule="auto"/>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This Separation Letter Agreement contains the entire understanding between the parties. This Separation Letter Agreement supersedes all prior understandings among the parties hereto with respect to the subject matter contained herein.</w:t>
      </w:r>
    </w:p>
    <w:p>
      <w:pPr>
        <w:spacing w:after="0" w:line="147" w:lineRule="exact"/>
        <w:rPr>
          <w:rFonts w:ascii="Arial" w:cs="Arial" w:eastAsia="Arial" w:hAnsi="Arial"/>
          <w:sz w:val="15"/>
          <w:szCs w:val="15"/>
          <w:color w:val="auto"/>
        </w:rPr>
      </w:pPr>
    </w:p>
    <w:p>
      <w:pPr>
        <w:ind w:left="540" w:hanging="264"/>
        <w:spacing w:after="0" w:line="306" w:lineRule="auto"/>
        <w:tabs>
          <w:tab w:leader="none" w:pos="54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By signing this Separation Letter Agreement, you acknowledge that you are not aware of having violated any material provision of your Employment Agreement or any other employment-related agreement entered into by you and the Company, which would have given the Company the right to terminate you for Cause (as defined thereunder).</w:t>
      </w:r>
    </w:p>
    <w:p>
      <w:pPr>
        <w:spacing w:after="0" w:line="124" w:lineRule="exact"/>
        <w:rPr>
          <w:rFonts w:ascii="Arial" w:cs="Arial" w:eastAsia="Arial" w:hAnsi="Arial"/>
          <w:sz w:val="14"/>
          <w:szCs w:val="14"/>
          <w:color w:val="auto"/>
        </w:rPr>
      </w:pPr>
    </w:p>
    <w:p>
      <w:pPr>
        <w:ind w:left="540" w:hanging="264"/>
        <w:spacing w:after="0" w:line="269" w:lineRule="auto"/>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This Separation Letter Agreement may be signed in counterparts, each of which may be delivered by facsimile or other electronic transmission, and each of which, when taken together, shall constitute one and the same Separation Letter Agreement.</w:t>
      </w:r>
    </w:p>
    <w:p>
      <w:pPr>
        <w:spacing w:after="0" w:line="147" w:lineRule="exact"/>
        <w:rPr>
          <w:rFonts w:ascii="Arial" w:cs="Arial" w:eastAsia="Arial" w:hAnsi="Arial"/>
          <w:sz w:val="15"/>
          <w:szCs w:val="15"/>
          <w:color w:val="auto"/>
        </w:rPr>
      </w:pPr>
    </w:p>
    <w:p>
      <w:pPr>
        <w:jc w:val="both"/>
        <w:ind w:left="540" w:hanging="264"/>
        <w:spacing w:after="0" w:line="286" w:lineRule="auto"/>
        <w:tabs>
          <w:tab w:leader="none" w:pos="54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Any notice to the Company or Parent Company shall be addressed to it in care of its Chief Financial Officer at its executive offices located at 1Yigal Allon Blvd. Beit Shemesh 99062 Israel, and any notice to you shall be addressed to the you at the address currently in the records of the Company. Any notice shall be deemed duly given if and when properly addressed and either (i) posted by registered or certified mail, postage prepaid or (ii) sent by reputable overnight courier or (iii) delivered in person.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/s/ Seth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7313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3138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Seth Siegel, Chairman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Vringo, Inc., on behalf of Vringo (Israel) Ltd.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by: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73138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3138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Jon Medved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Date: March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727075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69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742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69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742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7644130</wp:posOffset>
            </wp:positionV>
            <wp:extent cx="729742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7420" cy="32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rFonts w:ascii="Arial" w:cs="Arial" w:eastAsia="Arial" w:hAnsi="Arial"/>
          <w:sz w:val="15"/>
          <w:szCs w:val="15"/>
          <w:b w:val="1"/>
          <w:bCs w:val="1"/>
          <w:color w:val="auto"/>
        </w:rPr>
        <w:t>Exhibit 99.7</w:t>
      </w:r>
    </w:p>
    <w:p>
      <w:pPr>
        <w:spacing w:after="0" w:line="200" w:lineRule="exact"/>
        <w:rPr>
          <w:sz w:val="20"/>
          <w:szCs w:val="20"/>
          <w:color w:val="auto"/>
        </w:rPr>
      </w:pPr>
    </w:p>
    <w:p>
      <w:pPr>
        <w:spacing w:after="0" w:line="340" w:lineRule="exact"/>
        <w:rPr>
          <w:sz w:val="20"/>
          <w:szCs w:val="20"/>
          <w:color w:val="auto"/>
        </w:rPr>
      </w:pPr>
    </w:p>
    <w:p>
      <w:pPr>
        <w:jc w:val="both"/>
        <w:ind w:firstLine="535"/>
        <w:spacing w:after="0" w:line="261" w:lineRule="auto"/>
        <w:rPr>
          <w:sz w:val="20"/>
          <w:szCs w:val="20"/>
          <w:color w:val="auto"/>
        </w:rPr>
      </w:pPr>
      <w:r>
        <w:rPr>
          <w:rFonts w:ascii="Arial" w:cs="Arial" w:eastAsia="Arial" w:hAnsi="Arial"/>
          <w:sz w:val="15"/>
          <w:szCs w:val="15"/>
          <w:color w:val="auto"/>
        </w:rPr>
        <w:t>On September 15, 2011, I/P Engine, Inc. (“</w:t>
      </w:r>
      <w:r>
        <w:rPr>
          <w:rFonts w:ascii="Arial" w:cs="Arial" w:eastAsia="Arial" w:hAnsi="Arial"/>
          <w:sz w:val="15"/>
          <w:szCs w:val="15"/>
          <w:b w:val="1"/>
          <w:bCs w:val="1"/>
          <w:color w:val="auto"/>
        </w:rPr>
        <w:t>I/P Engine</w:t>
      </w:r>
      <w:r>
        <w:rPr>
          <w:rFonts w:ascii="Arial" w:cs="Arial" w:eastAsia="Arial" w:hAnsi="Arial"/>
          <w:sz w:val="15"/>
          <w:szCs w:val="15"/>
          <w:color w:val="auto"/>
        </w:rPr>
        <w:t>”) filed a patent infringement lawsuit in the United States District Court, Eastern District of Virginia, Alexandria Division against AOL, Inc., Google, Inc., IAC Search &amp; Media, Inc., Gannett Company, Inc., and Target Corporation for patent infringement regarding two of the Lycos Patents (U.S. Patent Nos. 6,314,420 and 6,775,664). The case was assigned to the Norfolk Division.</w:t>
      </w:r>
    </w:p>
    <w:p>
      <w:pPr>
        <w:spacing w:after="0" w:line="15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The patents relate to relevance filtering technology used in the search engine industry to place high quality advertisements in the best positions on websites and thereby maximizing the potential for generating substantial advertising revenue to the website owner. In this lawsuit, I/P Engine alleges that the defendants have used, and continue to use, search and search advertising systems that infringe upon our relevant filtering patents. I/P Engine is seeking unspecified compensatory damages, past and future, amounting to no less than reasonable royalties and attorneys’ fees.</w:t>
      </w:r>
    </w:p>
    <w:p>
      <w:pPr>
        <w:spacing w:after="0" w:line="158" w:lineRule="exact"/>
        <w:rPr>
          <w:sz w:val="20"/>
          <w:szCs w:val="20"/>
          <w:color w:val="auto"/>
        </w:rPr>
      </w:pPr>
    </w:p>
    <w:p>
      <w:pPr>
        <w:ind w:right="220" w:firstLine="535"/>
        <w:spacing w:after="0" w:line="255" w:lineRule="auto"/>
        <w:rPr>
          <w:sz w:val="20"/>
          <w:szCs w:val="20"/>
          <w:color w:val="auto"/>
        </w:rPr>
      </w:pPr>
      <w:r>
        <w:rPr>
          <w:rFonts w:ascii="Arial" w:cs="Arial" w:eastAsia="Arial" w:hAnsi="Arial"/>
          <w:sz w:val="15"/>
          <w:szCs w:val="15"/>
          <w:color w:val="auto"/>
        </w:rPr>
        <w:t>On November 4, 2011, I/P Engine entered into a stipulation with all of the defendants, which provided, among other things, that: (i) I/P Engine would provide the defendants with a preliminary identification of the asserted claims, and representative claim charts, and (ii) the defendants would not move or otherwise seek to transfer or sever any party from the action, or otherwise assert that the Eastern District of Virginia is inconvenient for any reason. The defendants filed their answers to the complaint on November 14, 2011, and also asserted declaratory judgment counterclaims of non-infringement and invalidity.</w:t>
      </w:r>
    </w:p>
    <w:p>
      <w:pPr>
        <w:spacing w:after="0" w:line="158" w:lineRule="exact"/>
        <w:rPr>
          <w:sz w:val="20"/>
          <w:szCs w:val="20"/>
          <w:color w:val="auto"/>
        </w:rPr>
      </w:pPr>
    </w:p>
    <w:p>
      <w:pPr>
        <w:ind w:right="300" w:firstLine="535"/>
        <w:spacing w:after="0" w:line="269" w:lineRule="auto"/>
        <w:rPr>
          <w:sz w:val="20"/>
          <w:szCs w:val="20"/>
          <w:color w:val="auto"/>
        </w:rPr>
      </w:pPr>
      <w:r>
        <w:rPr>
          <w:rFonts w:ascii="Arial" w:cs="Arial" w:eastAsia="Arial" w:hAnsi="Arial"/>
          <w:sz w:val="15"/>
          <w:szCs w:val="15"/>
          <w:color w:val="auto"/>
        </w:rPr>
        <w:t>On November 28, 2011, all defendants (except AOL, which asserted no such allegation) amended their counterclaims to remove an allegation of unenforceability. On December 5, 2011, I/P Engine filed answers to AOL’s counterclaims.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December 9, 2011, I/P Engine filed answers to the counterclaims of the remaining defendants.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February 15, 2012, the Court entered a scheduling order in the case setting a Markman hearing for June 4, 2012 and trial for October 16, 2012.</w:t>
      </w:r>
    </w:p>
    <w:p>
      <w:pPr>
        <w:spacing w:after="0" w:line="184" w:lineRule="exact"/>
        <w:rPr>
          <w:sz w:val="20"/>
          <w:szCs w:val="20"/>
          <w:color w:val="auto"/>
        </w:rPr>
      </w:pPr>
    </w:p>
    <w:p>
      <w:pPr>
        <w:ind w:right="460" w:firstLine="535"/>
        <w:spacing w:after="0" w:line="269" w:lineRule="auto"/>
        <w:rPr>
          <w:sz w:val="20"/>
          <w:szCs w:val="20"/>
          <w:color w:val="auto"/>
        </w:rPr>
      </w:pPr>
      <w:r>
        <w:rPr>
          <w:rFonts w:ascii="Arial" w:cs="Arial" w:eastAsia="Arial" w:hAnsi="Arial"/>
          <w:sz w:val="15"/>
          <w:szCs w:val="15"/>
          <w:color w:val="auto"/>
        </w:rPr>
        <w:t>After giving effect to the costs and expenses of the litigation, I/P Engine expects that it will retain approximately 80% of any recovery awarded or agreed to in settlement of this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440055</wp:posOffset>
            </wp:positionV>
            <wp:extent cx="727075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76465" cy="67144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6465" cy="671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214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6465" cy="6721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05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6465" cy="6700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05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6465" cy="6700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75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6465" cy="670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284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6465" cy="672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rFonts w:ascii="Arial" w:cs="Arial" w:eastAsia="Arial" w:hAnsi="Arial"/>
          <w:sz w:val="15"/>
          <w:szCs w:val="15"/>
          <w:b w:val="1"/>
          <w:bCs w:val="1"/>
          <w:color w:val="auto"/>
        </w:rPr>
        <w:t>Exhibit 99.9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BIOGRAPHIES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MEMBERS OF THE BOARD OF DIRECTORS, MANAGEMENT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SIGNIFICANT CONSULTANT</w:t>
      </w:r>
    </w:p>
    <w:p>
      <w:pPr>
        <w:spacing w:after="0" w:line="170" w:lineRule="exact"/>
        <w:rPr>
          <w:sz w:val="20"/>
          <w:szCs w:val="20"/>
          <w:color w:val="auto"/>
        </w:rPr>
      </w:pPr>
    </w:p>
    <w:p>
      <w:pPr>
        <w:jc w:val="both"/>
        <w:ind w:firstLine="535"/>
        <w:spacing w:after="0" w:line="281" w:lineRule="auto"/>
        <w:rPr>
          <w:sz w:val="20"/>
          <w:szCs w:val="20"/>
          <w:color w:val="auto"/>
        </w:rPr>
      </w:pPr>
      <w:r>
        <w:rPr>
          <w:rFonts w:ascii="Arial" w:cs="Arial" w:eastAsia="Arial" w:hAnsi="Arial"/>
          <w:sz w:val="14"/>
          <w:szCs w:val="14"/>
          <w:b w:val="1"/>
          <w:bCs w:val="1"/>
          <w:color w:val="auto"/>
        </w:rPr>
        <w:t>Yoav Roth</w:t>
      </w:r>
      <w:r>
        <w:rPr>
          <w:rFonts w:ascii="Arial" w:cs="Arial" w:eastAsia="Arial" w:hAnsi="Arial"/>
          <w:sz w:val="14"/>
          <w:szCs w:val="14"/>
          <w:color w:val="auto"/>
        </w:rPr>
        <w:t>, 35, has served as Chairman of the Board of directors of our company since June 22, 2011. Mr. Roth is a founding partner of Hudson Bay Capital Management LP, the</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 manager of Hudson Bay, a multi-strategy investment fund with over $1 billion under management. Mr. Roth began his career at UBS Financial Services Inc. in 1999 as a research analyst on the convertibles desk, performing derivative modeling and credit analysis. In 2001, Mr. Roth joined Hudson Bay's predecessor fund, and has since led a team that makes direct investments in growth-stage companies. Mr. Roth holds a Bachelor's degree, with honors, in Economics from Union College.</w:t>
      </w:r>
    </w:p>
    <w:p>
      <w:pPr>
        <w:spacing w:after="0" w:line="137" w:lineRule="exact"/>
        <w:rPr>
          <w:sz w:val="20"/>
          <w:szCs w:val="20"/>
          <w:color w:val="auto"/>
        </w:rPr>
      </w:pPr>
    </w:p>
    <w:p>
      <w:pPr>
        <w:jc w:val="both"/>
        <w:ind w:firstLine="535"/>
        <w:spacing w:after="0" w:line="274" w:lineRule="auto"/>
        <w:rPr>
          <w:sz w:val="20"/>
          <w:szCs w:val="20"/>
          <w:color w:val="auto"/>
        </w:rPr>
      </w:pPr>
      <w:r>
        <w:rPr>
          <w:rFonts w:ascii="Arial" w:cs="Arial" w:eastAsia="Arial" w:hAnsi="Arial"/>
          <w:sz w:val="14"/>
          <w:szCs w:val="14"/>
          <w:b w:val="1"/>
          <w:bCs w:val="1"/>
          <w:color w:val="auto"/>
        </w:rPr>
        <w:t>Andrew Kennedy Lang</w:t>
      </w:r>
      <w:r>
        <w:rPr>
          <w:rFonts w:ascii="Arial" w:cs="Arial" w:eastAsia="Arial" w:hAnsi="Arial"/>
          <w:sz w:val="14"/>
          <w:szCs w:val="14"/>
          <w:color w:val="auto"/>
        </w:rPr>
        <w:t>, 45, has served as President, Chief Executive Officer, Chief Technology Officer and a Director of our company since June 22, 2011. Mr. Lang has been an</w:t>
      </w:r>
      <w:r>
        <w:rPr>
          <w:rFonts w:ascii="Arial" w:cs="Arial" w:eastAsia="Arial" w:hAnsi="Arial"/>
          <w:sz w:val="14"/>
          <w:szCs w:val="14"/>
          <w:b w:val="1"/>
          <w:bCs w:val="1"/>
          <w:color w:val="auto"/>
        </w:rPr>
        <w:t xml:space="preserve"> </w:t>
      </w:r>
      <w:r>
        <w:rPr>
          <w:rFonts w:ascii="Arial" w:cs="Arial" w:eastAsia="Arial" w:hAnsi="Arial"/>
          <w:sz w:val="14"/>
          <w:szCs w:val="14"/>
          <w:color w:val="auto"/>
        </w:rPr>
        <w:t>inventor and entrepreneur for over two decades, innovating through a variety of companies and across numerous fields that include artificial intelligence, adaptive filtering/search/advertising, computer gaming, fitness management, and asset allocation modeling. Mr. Lang founded WiseWire Corporation in 1995 and sold it to Lycos in 1998 for $39.75 million. He served as the Chief Technology Officer of Lycos prior to its sale to Terra Networks in 2000 for $5.4 billion. Thereafter, Mr. Lang served as CEO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Mellon University.</w:t>
      </w:r>
    </w:p>
    <w:p>
      <w:pPr>
        <w:spacing w:after="0" w:line="145" w:lineRule="exact"/>
        <w:rPr>
          <w:sz w:val="20"/>
          <w:szCs w:val="20"/>
          <w:color w:val="auto"/>
        </w:rPr>
      </w:pPr>
    </w:p>
    <w:p>
      <w:pPr>
        <w:jc w:val="both"/>
        <w:ind w:firstLine="535"/>
        <w:spacing w:after="0" w:line="320" w:lineRule="auto"/>
        <w:rPr>
          <w:sz w:val="20"/>
          <w:szCs w:val="20"/>
          <w:color w:val="auto"/>
        </w:rPr>
      </w:pPr>
      <w:r>
        <w:rPr>
          <w:rFonts w:ascii="Arial" w:cs="Arial" w:eastAsia="Arial" w:hAnsi="Arial"/>
          <w:sz w:val="13"/>
          <w:szCs w:val="13"/>
          <w:b w:val="1"/>
          <w:bCs w:val="1"/>
          <w:color w:val="auto"/>
        </w:rPr>
        <w:t>Alexander R. Berger</w:t>
      </w:r>
      <w:r>
        <w:rPr>
          <w:rFonts w:ascii="Arial" w:cs="Arial" w:eastAsia="Arial" w:hAnsi="Arial"/>
          <w:sz w:val="13"/>
          <w:szCs w:val="13"/>
          <w:color w:val="auto"/>
        </w:rPr>
        <w:t>, 28, has served as our Chief Operating Officer, Chief Financial Officer, Secretary and Treasurer and a Director of our company since inception. Prior to joining</w:t>
      </w:r>
      <w:r>
        <w:rPr>
          <w:rFonts w:ascii="Arial" w:cs="Arial" w:eastAsia="Arial" w:hAnsi="Arial"/>
          <w:sz w:val="13"/>
          <w:szCs w:val="13"/>
          <w:b w:val="1"/>
          <w:bCs w:val="1"/>
          <w:color w:val="auto"/>
        </w:rPr>
        <w:t xml:space="preserve"> </w:t>
      </w:r>
      <w:r>
        <w:rPr>
          <w:rFonts w:ascii="Arial" w:cs="Arial" w:eastAsia="Arial" w:hAnsi="Arial"/>
          <w:sz w:val="13"/>
          <w:szCs w:val="13"/>
          <w:color w:val="auto"/>
        </w:rPr>
        <w:t>our company, from February 2008 to August 2011, Mr. Berger was employed at Hudson Bay Capital Management LP, most recently as a Vice President. From 2005 to 2007, Mr. Berger was an aide to the President's energy and environmental policy adviser at the White House. Mr. Berger holds a Bachelor's degree in Accounting from The George Washington University.</w:t>
      </w:r>
    </w:p>
    <w:p>
      <w:pPr>
        <w:spacing w:after="0" w:line="115" w:lineRule="exact"/>
        <w:rPr>
          <w:sz w:val="20"/>
          <w:szCs w:val="20"/>
          <w:color w:val="auto"/>
        </w:rPr>
      </w:pPr>
    </w:p>
    <w:p>
      <w:pPr>
        <w:jc w:val="both"/>
        <w:ind w:firstLine="535"/>
        <w:spacing w:after="0" w:line="271" w:lineRule="auto"/>
        <w:rPr>
          <w:sz w:val="20"/>
          <w:szCs w:val="20"/>
          <w:color w:val="auto"/>
        </w:rPr>
      </w:pPr>
      <w:r>
        <w:rPr>
          <w:rFonts w:ascii="Arial" w:cs="Arial" w:eastAsia="Arial" w:hAnsi="Arial"/>
          <w:sz w:val="14"/>
          <w:szCs w:val="14"/>
          <w:b w:val="1"/>
          <w:bCs w:val="1"/>
          <w:color w:val="auto"/>
        </w:rPr>
        <w:t>Donald E. Stout</w:t>
      </w:r>
      <w:r>
        <w:rPr>
          <w:rFonts w:ascii="Arial" w:cs="Arial" w:eastAsia="Arial" w:hAnsi="Arial"/>
          <w:sz w:val="14"/>
          <w:szCs w:val="14"/>
          <w:color w:val="auto"/>
        </w:rPr>
        <w:t>, 65, is a Director of our company since August 15, 2011. In a career spanning over forty years, Mr. Stout has been involved in virtually all facets of intellectual</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146"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4"/>
          <w:szCs w:val="14"/>
          <w:b w:val="1"/>
          <w:bCs w:val="1"/>
          <w:color w:val="auto"/>
        </w:rPr>
        <w:t>H. Van Sinclair</w:t>
      </w:r>
      <w:r>
        <w:rPr>
          <w:rFonts w:ascii="Arial" w:cs="Arial" w:eastAsia="Arial" w:hAnsi="Arial"/>
          <w:sz w:val="14"/>
          <w:szCs w:val="14"/>
          <w:color w:val="auto"/>
        </w:rPr>
        <w:t>, 59, has been a Director of our company since November 7, 2011. Since 2003, Mr. Sinclair has served as President and Chief Executive Officer of The RLJ</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146" w:lineRule="exact"/>
        <w:rPr>
          <w:sz w:val="20"/>
          <w:szCs w:val="20"/>
          <w:color w:val="auto"/>
        </w:rPr>
      </w:pPr>
    </w:p>
    <w:p>
      <w:pPr>
        <w:jc w:val="both"/>
        <w:ind w:firstLine="535"/>
        <w:spacing w:after="0" w:line="273" w:lineRule="auto"/>
        <w:rPr>
          <w:sz w:val="20"/>
          <w:szCs w:val="20"/>
          <w:color w:val="auto"/>
        </w:rPr>
      </w:pPr>
      <w:r>
        <w:rPr>
          <w:rFonts w:ascii="Arial" w:cs="Arial" w:eastAsia="Arial" w:hAnsi="Arial"/>
          <w:sz w:val="14"/>
          <w:szCs w:val="14"/>
          <w:b w:val="1"/>
          <w:bCs w:val="1"/>
          <w:color w:val="auto"/>
        </w:rPr>
        <w:t>David L. Cohen</w:t>
      </w:r>
      <w:r>
        <w:rPr>
          <w:rFonts w:ascii="Arial" w:cs="Arial" w:eastAsia="Arial" w:hAnsi="Arial"/>
          <w:sz w:val="14"/>
          <w:szCs w:val="14"/>
          <w:color w:val="auto"/>
        </w:rPr>
        <w:t>, 41, has been Special Counsel to our company since February 22, 2012. Prior to joining our company, Mr. Cohen was Senior Litigation Counsel for Nokia, where he</w:t>
      </w:r>
      <w:r>
        <w:rPr>
          <w:rFonts w:ascii="Arial" w:cs="Arial" w:eastAsia="Arial" w:hAnsi="Arial"/>
          <w:sz w:val="14"/>
          <w:szCs w:val="14"/>
          <w:b w:val="1"/>
          <w:bCs w:val="1"/>
          <w:color w:val="auto"/>
        </w:rPr>
        <w:t xml:space="preserve"> </w:t>
      </w:r>
      <w:r>
        <w:rPr>
          <w:rFonts w:ascii="Arial" w:cs="Arial" w:eastAsia="Arial" w:hAnsi="Arial"/>
          <w:sz w:val="14"/>
          <w:szCs w:val="14"/>
          <w:color w:val="auto"/>
        </w:rPr>
        <w:t>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727075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8" w:name="page279"/>
    <w:bookmarkEnd w:id="278"/>
    <w:p>
      <w:pPr>
        <w:ind w:left="540"/>
        <w:spacing w:after="0"/>
        <w:rPr>
          <w:sz w:val="20"/>
          <w:szCs w:val="20"/>
          <w:color w:val="auto"/>
        </w:rPr>
      </w:pPr>
      <w:r>
        <w:rPr>
          <w:rFonts w:ascii="Arial" w:cs="Arial" w:eastAsia="Arial" w:hAnsi="Arial"/>
          <w:sz w:val="15"/>
          <w:szCs w:val="15"/>
          <w:color w:val="auto"/>
        </w:rPr>
        <w:t>There are no family relationships among any of our directors and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Significant Consultant</w:t>
      </w:r>
    </w:p>
    <w:p>
      <w:pPr>
        <w:spacing w:after="0" w:line="180" w:lineRule="exact"/>
        <w:rPr>
          <w:sz w:val="20"/>
          <w:szCs w:val="20"/>
          <w:color w:val="auto"/>
        </w:rPr>
      </w:pPr>
    </w:p>
    <w:p>
      <w:pPr>
        <w:jc w:val="both"/>
        <w:ind w:firstLine="535"/>
        <w:spacing w:after="0" w:line="271" w:lineRule="auto"/>
        <w:rPr>
          <w:sz w:val="20"/>
          <w:szCs w:val="20"/>
          <w:color w:val="auto"/>
        </w:rPr>
      </w:pPr>
      <w:r>
        <w:rPr>
          <w:rFonts w:ascii="Arial" w:cs="Arial" w:eastAsia="Arial" w:hAnsi="Arial"/>
          <w:sz w:val="14"/>
          <w:szCs w:val="14"/>
          <w:b w:val="1"/>
          <w:bCs w:val="1"/>
          <w:color w:val="auto"/>
        </w:rPr>
        <w:t>Donald Kosak</w:t>
      </w:r>
      <w:r>
        <w:rPr>
          <w:rFonts w:ascii="Arial" w:cs="Arial" w:eastAsia="Arial" w:hAnsi="Arial"/>
          <w:sz w:val="14"/>
          <w:szCs w:val="14"/>
          <w:color w:val="auto"/>
        </w:rPr>
        <w:t>, 48, is a consulting inventor for our wholly-owned subsidiary, I/P Engine. Since April 2009, Mr. Kosak has been a principal at Kosak &amp; Associates, an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consulting firm, where he assists businesses with scalability, intellectual property matters, virtualization and cloud computing deployments. From 2004 to 2009, Mr. Kosak served as Chief Technology Officer of Lycos, where he was responsible for software engineering, data centers, and technical operations. Mr. Kosak integrated the infrastructure of acquired companies including Wired.com, HotBot.com, Tripod.com, Angelfire.com, Matchmaker.com, Quote.com, RagingBull.com and Gamesville. Mr. Kosak led the globalization of Lycos Search in Japan and Korea and of Tripod throughout Europe, Latin America, Japan and Korea, and served as the Director of Lycos Labs, an Internet business incubator. Earlier in his career at Lycos, Mr. Kosak was Vice President of Engineering from October 2000 to October 2004, and Senior Director of Engineering an head of Core Technology from May 1998 to October 2000. Prior to joining Lycos, Mr. Kosak was among the core founding team at WiseWire Corporation. Mr. Kosak has created large-scale systems for Westinghouse, Alcoa, the U.S. Navy and the U.S. Senate. He has numerous patents in the fields of information retrieval, machine learning, video and internet technologies. Mr. Kosak studied Computer Science and Psychology at the University of Pittsburgh, and holds an Executive Certificate in Strategy and Technology from the Massachusetts Institute of Technology Sloan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727075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FOR THE PERIOD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FROM JUNE 8, 2011(Inception)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464185</wp:posOffset>
            </wp:positionV>
            <wp:extent cx="727075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019"/>
          </w:cols>
          <w:pgMar w:left="1440" w:top="682" w:right="1440"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ind w:left="20"/>
              <w:spacing w:after="0"/>
              <w:rPr>
                <w:sz w:val="20"/>
                <w:szCs w:val="20"/>
                <w:color w:val="auto"/>
              </w:rPr>
            </w:pPr>
            <w:r>
              <w:rPr>
                <w:rFonts w:ascii="Arial" w:cs="Arial" w:eastAsia="Arial" w:hAnsi="Arial"/>
                <w:sz w:val="15"/>
                <w:szCs w:val="15"/>
                <w:color w:val="auto"/>
              </w:rPr>
              <w:t>CONSOLIDATED FINANCIAL STATEMENTS</w:t>
            </w:r>
          </w:p>
        </w:tc>
        <w:tc>
          <w:tcPr>
            <w:tcW w:w="4160" w:type="dxa"/>
            <w:vAlign w:val="bottom"/>
          </w:tcPr>
          <w:p>
            <w:pPr>
              <w:spacing w:after="0"/>
              <w:rPr>
                <w:sz w:val="16"/>
                <w:szCs w:val="16"/>
                <w:color w:val="auto"/>
              </w:rPr>
            </w:pP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Report of Independent Registered Public Accounting Firm</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1</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Balance Sheet</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2</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Operations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3</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Stockholders' Equity</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4</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Cash Flows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Notes to Consolidated Financial Statements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6 – 17</w:t>
            </w:r>
          </w:p>
        </w:tc>
      </w:tr>
      <w:tr>
        <w:trPr>
          <w:trHeight w:val="179"/>
        </w:trPr>
        <w:tc>
          <w:tcPr>
            <w:tcW w:w="73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r>
      <w:tr>
        <w:trPr>
          <w:trHeight w:val="526"/>
        </w:trPr>
        <w:tc>
          <w:tcPr>
            <w:tcW w:w="7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949" w:right="219" w:bottom="1440" w:gutter="0" w:footer="0" w:header="0"/>
        </w:sectPr>
      </w:pPr>
    </w:p>
    <w:bookmarkStart w:id="281" w:name="page282"/>
    <w:bookmarkEnd w:id="281"/>
    <w:p>
      <w:pPr>
        <w:jc w:val="center"/>
        <w:ind w:right="100"/>
        <w:spacing w:after="0"/>
        <w:rPr>
          <w:sz w:val="20"/>
          <w:szCs w:val="20"/>
          <w:color w:val="auto"/>
        </w:rPr>
      </w:pPr>
      <w:r>
        <w:rPr>
          <w:rFonts w:ascii="Arial" w:cs="Arial" w:eastAsia="Arial" w:hAnsi="Arial"/>
          <w:sz w:val="15"/>
          <w:szCs w:val="15"/>
          <w:color w:val="auto"/>
        </w:rPr>
        <w:t>REPORT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Management and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(f/k/a Labrador Search Company)</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137"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157"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/s/ 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March 2, 2012</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00"/>
          </w:cols>
          <w:pgMar w:left="220" w:top="775" w:right="279" w:bottom="1440" w:gutter="0" w:footer="0" w:header="0"/>
        </w:sectPr>
      </w:pPr>
    </w:p>
    <w:bookmarkStart w:id="282" w:name="page283"/>
    <w:bookmarkEnd w:id="282"/>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b w:val="1"/>
                <w:bCs w:val="1"/>
                <w:color w:val="auto"/>
              </w:rPr>
              <w:t>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Current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50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5,212,142</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Prepaid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25,886</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current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5,238,028</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Property and Equipment, net</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8,006</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Other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Intangible assets, net</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3,067,592</w:t>
            </w:r>
          </w:p>
        </w:tc>
        <w:tc>
          <w:tcPr>
            <w:tcW w:w="0" w:type="dxa"/>
            <w:vAlign w:val="bottom"/>
          </w:tcPr>
          <w:p>
            <w:pPr>
              <w:spacing w:after="0"/>
              <w:rPr>
                <w:sz w:val="1"/>
                <w:szCs w:val="1"/>
                <w:color w:val="auto"/>
              </w:rPr>
            </w:pPr>
          </w:p>
        </w:tc>
      </w:tr>
      <w:tr>
        <w:trPr>
          <w:trHeight w:val="169"/>
        </w:trPr>
        <w:tc>
          <w:tcPr>
            <w:tcW w:w="5380" w:type="dxa"/>
            <w:vAlign w:val="bottom"/>
            <w:shd w:val="clear" w:color="auto" w:fill="CCFFCC"/>
          </w:tcPr>
          <w:p>
            <w:pPr>
              <w:spacing w:after="0"/>
              <w:rPr>
                <w:sz w:val="14"/>
                <w:szCs w:val="14"/>
                <w:color w:val="auto"/>
              </w:rPr>
            </w:pPr>
          </w:p>
        </w:tc>
        <w:tc>
          <w:tcPr>
            <w:tcW w:w="4720" w:type="dxa"/>
            <w:vAlign w:val="bottom"/>
            <w:shd w:val="clear" w:color="auto" w:fill="CCFFCC"/>
          </w:tcPr>
          <w:p>
            <w:pPr>
              <w:spacing w:after="0"/>
              <w:rPr>
                <w:sz w:val="14"/>
                <w:szCs w:val="14"/>
                <w:color w:val="auto"/>
              </w:rPr>
            </w:pPr>
          </w:p>
        </w:tc>
        <w:tc>
          <w:tcPr>
            <w:tcW w:w="34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520"/>
              <w:spacing w:after="0"/>
              <w:rPr>
                <w:sz w:val="20"/>
                <w:szCs w:val="20"/>
                <w:color w:val="auto"/>
              </w:rPr>
            </w:pPr>
            <w:r>
              <w:rPr>
                <w:rFonts w:ascii="Arial" w:cs="Arial" w:eastAsia="Arial" w:hAnsi="Arial"/>
                <w:sz w:val="15"/>
                <w:szCs w:val="15"/>
                <w:b w:val="1"/>
                <w:bCs w:val="1"/>
                <w:color w:val="auto"/>
              </w:rPr>
              <w:t>Total assets</w:t>
            </w:r>
          </w:p>
        </w:tc>
        <w:tc>
          <w:tcPr>
            <w:tcW w:w="50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8,313,626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80" w:type="dxa"/>
            <w:vAlign w:val="bottom"/>
            <w:shd w:val="clear" w:color="auto" w:fill="CCFFCC"/>
          </w:tcPr>
          <w:p>
            <w:pPr>
              <w:spacing w:after="0"/>
              <w:rPr>
                <w:sz w:val="13"/>
                <w:szCs w:val="13"/>
                <w:color w:val="auto"/>
              </w:rPr>
            </w:pPr>
          </w:p>
        </w:tc>
        <w:tc>
          <w:tcPr>
            <w:tcW w:w="47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b w:val="1"/>
                <w:bCs w:val="1"/>
                <w:color w:val="auto"/>
              </w:rPr>
              <w:t>LIABILITIES AND STOCKHOLDERS' EQUITY</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15"/>
                <w:szCs w:val="15"/>
                <w:color w:val="auto"/>
              </w:rPr>
            </w:pP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20"/>
                <w:szCs w:val="20"/>
                <w:color w:val="auto"/>
              </w:rPr>
            </w:pPr>
            <w:r>
              <w:rPr>
                <w:rFonts w:ascii="Arial" w:cs="Arial" w:eastAsia="Arial" w:hAnsi="Arial"/>
                <w:sz w:val="15"/>
                <w:szCs w:val="15"/>
                <w:color w:val="auto"/>
              </w:rPr>
              <w:t>Current Liabilities</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Accounts payable</w:t>
            </w:r>
          </w:p>
        </w:tc>
        <w:tc>
          <w:tcPr>
            <w:tcW w:w="506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201</w:t>
            </w: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448,264</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Current portion, note payable-related party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2,000,000</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current liabilities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2,448,465</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Note Payable-related party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1,200,000</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liabilities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3,648,465</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Commitments and Contingencies (See note 11)</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Preferred stock, Series A Convertible, $.0001 par value;</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1,800,000</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w w:val="93"/>
              </w:rPr>
              <w:t>liquidation value $1,250 per share; 6,968 shares authorized, issued and outstanding</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Stockholders' Equity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line="168" w:lineRule="exact"/>
              <w:rPr>
                <w:sz w:val="20"/>
                <w:szCs w:val="20"/>
                <w:color w:val="auto"/>
              </w:rPr>
            </w:pPr>
            <w:r>
              <w:rPr>
                <w:rFonts w:ascii="Arial" w:cs="Arial" w:eastAsia="Arial" w:hAnsi="Arial"/>
                <w:sz w:val="15"/>
                <w:szCs w:val="15"/>
                <w:color w:val="auto"/>
              </w:rPr>
              <w:t>Common stock, $.0001 par value; 100,000,000 shares authorized;</w:t>
            </w:r>
          </w:p>
        </w:tc>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563</w:t>
            </w:r>
          </w:p>
        </w:tc>
        <w:tc>
          <w:tcPr>
            <w:tcW w:w="0" w:type="dxa"/>
            <w:vAlign w:val="bottom"/>
          </w:tcPr>
          <w:p>
            <w:pPr>
              <w:spacing w:after="0"/>
              <w:rPr>
                <w:sz w:val="1"/>
                <w:szCs w:val="1"/>
                <w:color w:val="auto"/>
              </w:rPr>
            </w:pPr>
          </w:p>
        </w:tc>
      </w:tr>
      <w:tr>
        <w:trPr>
          <w:trHeight w:val="189"/>
        </w:trPr>
        <w:tc>
          <w:tcPr>
            <w:tcW w:w="5380" w:type="dxa"/>
            <w:vAlign w:val="bottom"/>
          </w:tcPr>
          <w:p>
            <w:pPr>
              <w:ind w:left="260"/>
              <w:spacing w:after="0"/>
              <w:rPr>
                <w:sz w:val="20"/>
                <w:szCs w:val="20"/>
                <w:color w:val="auto"/>
              </w:rPr>
            </w:pPr>
            <w:r>
              <w:rPr>
                <w:rFonts w:ascii="Arial" w:cs="Arial" w:eastAsia="Arial" w:hAnsi="Arial"/>
                <w:sz w:val="15"/>
                <w:szCs w:val="15"/>
                <w:color w:val="auto"/>
              </w:rPr>
              <w:t>5,624,661 shares issued and outstanding</w:t>
            </w:r>
          </w:p>
        </w:tc>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Additional paid-in capital</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5,618,780</w:t>
            </w: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Deficit accumulated during the development stage</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(2,754,182)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shd w:val="clear" w:color="auto" w:fill="CCFFCC"/>
          </w:tcPr>
          <w:p>
            <w:pPr>
              <w:spacing w:after="0"/>
              <w:rPr>
                <w:sz w:val="14"/>
                <w:szCs w:val="14"/>
                <w:color w:val="auto"/>
              </w:rPr>
            </w:pPr>
          </w:p>
        </w:tc>
        <w:tc>
          <w:tcPr>
            <w:tcW w:w="47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line="169" w:lineRule="exact"/>
              <w:rPr>
                <w:sz w:val="20"/>
                <w:szCs w:val="20"/>
                <w:color w:val="auto"/>
              </w:rPr>
            </w:pPr>
            <w:r>
              <w:rPr>
                <w:rFonts w:ascii="Arial" w:cs="Arial" w:eastAsia="Arial" w:hAnsi="Arial"/>
                <w:sz w:val="15"/>
                <w:szCs w:val="15"/>
                <w:b w:val="1"/>
                <w:bCs w:val="1"/>
                <w:color w:val="auto"/>
              </w:rPr>
              <w:t>2,865,161</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liabilities and stockholders' equity</w:t>
            </w:r>
          </w:p>
        </w:tc>
        <w:tc>
          <w:tcPr>
            <w:tcW w:w="506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8,313,626</w:t>
            </w:r>
          </w:p>
        </w:tc>
        <w:tc>
          <w:tcPr>
            <w:tcW w:w="0" w:type="dxa"/>
            <w:vAlign w:val="bottom"/>
          </w:tcPr>
          <w:p>
            <w:pPr>
              <w:spacing w:after="0"/>
              <w:rPr>
                <w:sz w:val="1"/>
                <w:szCs w:val="1"/>
                <w:color w:val="auto"/>
              </w:rPr>
            </w:pPr>
          </w:p>
        </w:tc>
      </w:tr>
      <w:tr>
        <w:trPr>
          <w:trHeight w:val="508"/>
        </w:trPr>
        <w:tc>
          <w:tcPr>
            <w:tcW w:w="5380" w:type="dxa"/>
            <w:vAlign w:val="bottom"/>
            <w:tcBorders>
              <w:top w:val="single" w:sz="8" w:color="CCFFCC"/>
              <w:bottom w:val="single" w:sz="8" w:color="auto"/>
            </w:tcBorders>
          </w:tcPr>
          <w:p>
            <w:pPr>
              <w:spacing w:after="0"/>
              <w:rPr>
                <w:sz w:val="24"/>
                <w:szCs w:val="24"/>
                <w:color w:val="auto"/>
              </w:rPr>
            </w:pPr>
          </w:p>
        </w:tc>
        <w:tc>
          <w:tcPr>
            <w:tcW w:w="4720" w:type="dxa"/>
            <w:vAlign w:val="bottom"/>
            <w:tcBorders>
              <w:top w:val="single" w:sz="8" w:color="CCFFCC"/>
              <w:bottom w:val="single" w:sz="8" w:color="auto"/>
            </w:tcBorders>
          </w:tcPr>
          <w:p>
            <w:pPr>
              <w:jc w:val="right"/>
              <w:ind w:right="4246"/>
              <w:spacing w:after="0"/>
              <w:rPr>
                <w:sz w:val="20"/>
                <w:szCs w:val="20"/>
                <w:color w:val="auto"/>
              </w:rPr>
            </w:pPr>
            <w:r>
              <w:rPr>
                <w:rFonts w:ascii="Arial" w:cs="Arial" w:eastAsia="Arial" w:hAnsi="Arial"/>
                <w:sz w:val="15"/>
                <w:szCs w:val="15"/>
                <w:color w:val="auto"/>
              </w:rPr>
              <w:t>2</w:t>
            </w: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49" w:right="21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shd w:val="clear" w:color="auto" w:fill="CCFFCC"/>
          </w:tcPr>
          <w:p>
            <w:pPr>
              <w:spacing w:after="0"/>
              <w:rPr>
                <w:sz w:val="20"/>
                <w:szCs w:val="20"/>
                <w:color w:val="auto"/>
              </w:rPr>
            </w:pPr>
            <w:r>
              <w:rPr>
                <w:rFonts w:ascii="Arial" w:cs="Arial" w:eastAsia="Arial" w:hAnsi="Arial"/>
                <w:sz w:val="15"/>
                <w:szCs w:val="15"/>
                <w:color w:val="auto"/>
              </w:rPr>
              <w:t>Revenue</w:t>
            </w:r>
          </w:p>
        </w:tc>
        <w:tc>
          <w:tcPr>
            <w:tcW w:w="608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69"/>
        </w:trPr>
        <w:tc>
          <w:tcPr>
            <w:tcW w:w="4360" w:type="dxa"/>
            <w:vAlign w:val="bottom"/>
            <w:tcBorders>
              <w:top w:val="single" w:sz="8" w:color="CCFFCC"/>
            </w:tcBorders>
          </w:tcPr>
          <w:p>
            <w:pPr>
              <w:spacing w:after="0"/>
              <w:rPr>
                <w:sz w:val="14"/>
                <w:szCs w:val="14"/>
                <w:color w:val="auto"/>
              </w:rPr>
            </w:pPr>
          </w:p>
        </w:tc>
        <w:tc>
          <w:tcPr>
            <w:tcW w:w="574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4360" w:type="dxa"/>
            <w:vAlign w:val="bottom"/>
            <w:shd w:val="clear" w:color="auto" w:fill="CCFFCC"/>
          </w:tcPr>
          <w:p>
            <w:pPr>
              <w:spacing w:after="0"/>
              <w:rPr>
                <w:sz w:val="15"/>
                <w:szCs w:val="15"/>
                <w:color w:val="auto"/>
              </w:rPr>
            </w:pP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spacing w:after="0"/>
              <w:rPr>
                <w:sz w:val="20"/>
                <w:szCs w:val="20"/>
                <w:color w:val="auto"/>
              </w:rPr>
            </w:pPr>
            <w:r>
              <w:rPr>
                <w:rFonts w:ascii="Arial" w:cs="Arial" w:eastAsia="Arial" w:hAnsi="Arial"/>
                <w:sz w:val="15"/>
                <w:szCs w:val="15"/>
                <w:color w:val="auto"/>
              </w:rPr>
              <w:t>Operating Expenses</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Legal</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1,102,100</w:t>
            </w: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996,913</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Amortization and depreciation</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328,278</w:t>
            </w: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213,192</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Startup and capital acquisition costs</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105,971</w:t>
            </w:r>
          </w:p>
        </w:tc>
      </w:tr>
      <w:tr>
        <w:trPr>
          <w:trHeight w:val="20"/>
        </w:trPr>
        <w:tc>
          <w:tcPr>
            <w:tcW w:w="4360" w:type="dxa"/>
            <w:vAlign w:val="bottom"/>
            <w:shd w:val="clear" w:color="auto" w:fill="CCFFCC"/>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b w:val="1"/>
                <w:bCs w:val="1"/>
                <w:color w:val="auto"/>
              </w:rPr>
              <w:t>2,746,454</w:t>
            </w:r>
          </w:p>
        </w:tc>
      </w:tr>
      <w:tr>
        <w:trPr>
          <w:trHeight w:val="169"/>
        </w:trPr>
        <w:tc>
          <w:tcPr>
            <w:tcW w:w="4360" w:type="dxa"/>
            <w:vAlign w:val="bottom"/>
            <w:shd w:val="clear" w:color="auto" w:fill="CCFFCC"/>
          </w:tcPr>
          <w:p>
            <w:pPr>
              <w:spacing w:after="0"/>
              <w:rPr>
                <w:sz w:val="14"/>
                <w:szCs w:val="14"/>
                <w:color w:val="auto"/>
              </w:rPr>
            </w:pPr>
          </w:p>
        </w:tc>
        <w:tc>
          <w:tcPr>
            <w:tcW w:w="5740" w:type="dxa"/>
            <w:vAlign w:val="bottom"/>
            <w:shd w:val="clear" w:color="auto" w:fill="CCFFCC"/>
          </w:tcPr>
          <w:p>
            <w:pPr>
              <w:spacing w:after="0"/>
              <w:rPr>
                <w:sz w:val="14"/>
                <w:szCs w:val="14"/>
                <w:color w:val="auto"/>
              </w:rPr>
            </w:pPr>
          </w:p>
        </w:tc>
        <w:tc>
          <w:tcPr>
            <w:tcW w:w="34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r>
      <w:tr>
        <w:trPr>
          <w:trHeight w:val="178"/>
        </w:trPr>
        <w:tc>
          <w:tcPr>
            <w:tcW w:w="4360" w:type="dxa"/>
            <w:vAlign w:val="bottom"/>
          </w:tcPr>
          <w:p>
            <w:pPr>
              <w:ind w:left="520"/>
              <w:spacing w:after="0"/>
              <w:rPr>
                <w:sz w:val="20"/>
                <w:szCs w:val="20"/>
                <w:color w:val="auto"/>
              </w:rPr>
            </w:pPr>
            <w:r>
              <w:rPr>
                <w:rFonts w:ascii="Arial" w:cs="Arial" w:eastAsia="Arial" w:hAnsi="Arial"/>
                <w:sz w:val="15"/>
                <w:szCs w:val="15"/>
                <w:b w:val="1"/>
                <w:bCs w:val="1"/>
                <w:color w:val="auto"/>
              </w:rPr>
              <w:t>Loss from operations</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(2,746,454)</w:t>
            </w:r>
          </w:p>
        </w:tc>
      </w:tr>
      <w:tr>
        <w:trPr>
          <w:trHeight w:val="178"/>
        </w:trPr>
        <w:tc>
          <w:tcPr>
            <w:tcW w:w="4360" w:type="dxa"/>
            <w:vAlign w:val="bottom"/>
            <w:shd w:val="clear" w:color="auto" w:fill="CCFFCC"/>
          </w:tcPr>
          <w:p>
            <w:pPr>
              <w:spacing w:after="0"/>
              <w:rPr>
                <w:sz w:val="15"/>
                <w:szCs w:val="15"/>
                <w:color w:val="auto"/>
              </w:rPr>
            </w:pP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spacing w:after="0"/>
              <w:rPr>
                <w:sz w:val="20"/>
                <w:szCs w:val="20"/>
                <w:color w:val="auto"/>
              </w:rPr>
            </w:pPr>
            <w:r>
              <w:rPr>
                <w:rFonts w:ascii="Arial" w:cs="Arial" w:eastAsia="Arial" w:hAnsi="Arial"/>
                <w:sz w:val="15"/>
                <w:szCs w:val="15"/>
                <w:color w:val="auto"/>
              </w:rPr>
              <w:t>Other Expense</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Interest expense</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7,728</w:t>
            </w:r>
          </w:p>
        </w:tc>
      </w:tr>
      <w:tr>
        <w:trPr>
          <w:trHeight w:val="169"/>
        </w:trPr>
        <w:tc>
          <w:tcPr>
            <w:tcW w:w="4360" w:type="dxa"/>
            <w:vAlign w:val="bottom"/>
            <w:tcBorders>
              <w:top w:val="single" w:sz="8" w:color="CCFFCC"/>
            </w:tcBorders>
          </w:tcPr>
          <w:p>
            <w:pPr>
              <w:spacing w:after="0"/>
              <w:rPr>
                <w:sz w:val="14"/>
                <w:szCs w:val="14"/>
                <w:color w:val="auto"/>
              </w:rPr>
            </w:pPr>
          </w:p>
        </w:tc>
        <w:tc>
          <w:tcPr>
            <w:tcW w:w="574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218"/>
        </w:trPr>
        <w:tc>
          <w:tcPr>
            <w:tcW w:w="436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Net loss</w:t>
            </w:r>
          </w:p>
        </w:tc>
        <w:tc>
          <w:tcPr>
            <w:tcW w:w="608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(2,754,182)</w:t>
            </w:r>
          </w:p>
        </w:tc>
      </w:tr>
      <w:tr>
        <w:trPr>
          <w:trHeight w:val="152"/>
        </w:trPr>
        <w:tc>
          <w:tcPr>
            <w:tcW w:w="4360" w:type="dxa"/>
            <w:vAlign w:val="bottom"/>
            <w:tcBorders>
              <w:top w:val="single" w:sz="8" w:color="CCFFCC"/>
            </w:tcBorders>
          </w:tcPr>
          <w:p>
            <w:pPr>
              <w:spacing w:after="0"/>
              <w:rPr>
                <w:sz w:val="13"/>
                <w:szCs w:val="13"/>
                <w:color w:val="auto"/>
              </w:rPr>
            </w:pPr>
          </w:p>
        </w:tc>
        <w:tc>
          <w:tcPr>
            <w:tcW w:w="5740" w:type="dxa"/>
            <w:vAlign w:val="bottom"/>
            <w:tcBorders>
              <w:top w:val="single" w:sz="8" w:color="CCFFC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r>
      <w:tr>
        <w:trPr>
          <w:trHeight w:val="178"/>
        </w:trPr>
        <w:tc>
          <w:tcPr>
            <w:tcW w:w="4360" w:type="dxa"/>
            <w:vAlign w:val="bottom"/>
            <w:shd w:val="clear" w:color="auto" w:fill="CCFFCC"/>
          </w:tcPr>
          <w:p>
            <w:pPr>
              <w:spacing w:after="0"/>
              <w:rPr>
                <w:sz w:val="20"/>
                <w:szCs w:val="20"/>
                <w:color w:val="auto"/>
              </w:rPr>
            </w:pPr>
            <w:r>
              <w:rPr>
                <w:rFonts w:ascii="Arial" w:cs="Arial" w:eastAsia="Arial" w:hAnsi="Arial"/>
                <w:sz w:val="15"/>
                <w:szCs w:val="15"/>
                <w:color w:val="auto"/>
              </w:rPr>
              <w:t>Basic and diluted loss per share</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Net Loss</w:t>
            </w:r>
          </w:p>
        </w:tc>
        <w:tc>
          <w:tcPr>
            <w:tcW w:w="6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(2,754,182)</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2,802,100</w:t>
            </w:r>
          </w:p>
        </w:tc>
      </w:tr>
      <w:tr>
        <w:trPr>
          <w:trHeight w:val="192"/>
        </w:trPr>
        <w:tc>
          <w:tcPr>
            <w:tcW w:w="4360" w:type="dxa"/>
            <w:vAlign w:val="bottom"/>
          </w:tcPr>
          <w:p>
            <w:pPr>
              <w:ind w:left="520"/>
              <w:spacing w:after="0"/>
              <w:rPr>
                <w:sz w:val="20"/>
                <w:szCs w:val="20"/>
                <w:color w:val="auto"/>
              </w:rPr>
            </w:pPr>
            <w:r>
              <w:rPr>
                <w:rFonts w:ascii="Arial" w:cs="Arial" w:eastAsia="Arial" w:hAnsi="Arial"/>
                <w:sz w:val="15"/>
                <w:szCs w:val="15"/>
                <w:color w:val="auto"/>
              </w:rPr>
              <w:t>Basic and diluted loss per share</w:t>
            </w:r>
          </w:p>
        </w:tc>
        <w:tc>
          <w:tcPr>
            <w:tcW w:w="6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(0.98)</w:t>
            </w:r>
          </w:p>
        </w:tc>
      </w:tr>
      <w:tr>
        <w:trPr>
          <w:trHeight w:val="520"/>
        </w:trPr>
        <w:tc>
          <w:tcPr>
            <w:tcW w:w="43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4246"/>
              <w:spacing w:after="0"/>
              <w:rPr>
                <w:sz w:val="20"/>
                <w:szCs w:val="20"/>
                <w:color w:val="auto"/>
              </w:rPr>
            </w:pPr>
            <w:r>
              <w:rPr>
                <w:rFonts w:ascii="Arial" w:cs="Arial" w:eastAsia="Arial" w:hAnsi="Arial"/>
                <w:sz w:val="15"/>
                <w:szCs w:val="15"/>
                <w:color w:val="auto"/>
              </w:rPr>
              <w:t>3</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71" w:right="219" w:bottom="1440" w:gutter="0" w:footer="0" w:header="0"/>
        </w:sectPr>
      </w:pPr>
    </w:p>
    <w:bookmarkStart w:id="284" w:name="page285"/>
    <w:bookmarkEnd w:id="284"/>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STOCKHOLDERS' EQUITY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Deficit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Accumulated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Common</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Paid-in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During the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3"/>
        </w:trPr>
        <w:tc>
          <w:tcPr>
            <w:tcW w:w="3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Capital</w:t>
            </w:r>
          </w:p>
        </w:tc>
        <w:tc>
          <w:tcPr>
            <w:tcW w:w="16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7"/>
              </w:rPr>
              <w:t>Development Stage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Total</w:t>
            </w:r>
          </w:p>
        </w:tc>
      </w:tr>
      <w:tr>
        <w:trPr>
          <w:trHeight w:val="170"/>
        </w:trPr>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Balance, June 8, 2011 (inception)</w:t>
            </w:r>
          </w:p>
        </w:tc>
        <w:tc>
          <w:tcPr>
            <w:tcW w:w="2640" w:type="dxa"/>
            <w:vAlign w:val="bottom"/>
            <w:gridSpan w:val="2"/>
            <w:shd w:val="clear" w:color="auto" w:fill="CCFFCC"/>
          </w:tcPr>
          <w:p>
            <w:pPr>
              <w:jc w:val="right"/>
              <w:ind w:right="84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Issuance of common stock</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563</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5,144,662</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5,145,225</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Stock-based compensation</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474,118</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474,118</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Net loss</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(2,754,182)</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(2,754,182)</w:t>
            </w:r>
          </w:p>
        </w:tc>
      </w:tr>
      <w:tr>
        <w:trPr>
          <w:trHeight w:val="169"/>
        </w:trPr>
        <w:tc>
          <w:tcPr>
            <w:tcW w:w="3640" w:type="dxa"/>
            <w:vAlign w:val="bottom"/>
            <w:tcBorders>
              <w:top w:val="single" w:sz="8" w:color="CCFFCC"/>
            </w:tcBorders>
          </w:tcPr>
          <w:p>
            <w:pPr>
              <w:spacing w:after="0"/>
              <w:rPr>
                <w:sz w:val="14"/>
                <w:szCs w:val="14"/>
                <w:color w:val="auto"/>
              </w:rPr>
            </w:pPr>
          </w:p>
        </w:tc>
        <w:tc>
          <w:tcPr>
            <w:tcW w:w="1640" w:type="dxa"/>
            <w:vAlign w:val="bottom"/>
            <w:tcBorders>
              <w:top w:val="single" w:sz="8" w:color="CCFFC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21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Balance, December 31, 2011</w:t>
            </w:r>
          </w:p>
        </w:tc>
        <w:tc>
          <w:tcPr>
            <w:tcW w:w="16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846"/>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rPr>
              <w:t>563</w:t>
            </w:r>
          </w:p>
        </w:tc>
        <w:tc>
          <w:tcPr>
            <w:tcW w:w="18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5,618,780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5"/>
                <w:szCs w:val="15"/>
                <w:b w:val="1"/>
                <w:bCs w:val="1"/>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b w:val="1"/>
                <w:bCs w:val="1"/>
                <w:color w:val="auto"/>
              </w:rPr>
              <w:t>(2,754,182)</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2,865,161</w:t>
            </w:r>
          </w:p>
        </w:tc>
      </w:tr>
      <w:tr>
        <w:trPr>
          <w:trHeight w:val="686"/>
        </w:trPr>
        <w:tc>
          <w:tcPr>
            <w:tcW w:w="3640" w:type="dxa"/>
            <w:vAlign w:val="bottom"/>
            <w:tcBorders>
              <w:top w:val="single" w:sz="8" w:color="CCFFCC"/>
              <w:bottom w:val="single" w:sz="8" w:color="auto"/>
            </w:tcBorders>
          </w:tcPr>
          <w:p>
            <w:pPr>
              <w:spacing w:after="0"/>
              <w:rPr>
                <w:sz w:val="24"/>
                <w:szCs w:val="24"/>
                <w:color w:val="auto"/>
              </w:rPr>
            </w:pPr>
          </w:p>
        </w:tc>
        <w:tc>
          <w:tcPr>
            <w:tcW w:w="1640" w:type="dxa"/>
            <w:vAlign w:val="bottom"/>
            <w:tcBorders>
              <w:top w:val="single" w:sz="8" w:color="CCFFCC"/>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color w:val="auto"/>
              </w:rPr>
              <w:t>4</w:t>
            </w:r>
          </w:p>
        </w:tc>
        <w:tc>
          <w:tcPr>
            <w:tcW w:w="2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60"/>
          </w:cols>
          <w:pgMar w:left="220" w:top="771" w:right="219" w:bottom="1440" w:gutter="0" w:footer="0" w:header="0"/>
        </w:sectPr>
      </w:pPr>
    </w:p>
    <w:bookmarkStart w:id="285" w:name="page286"/>
    <w:bookmarkEnd w:id="285"/>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CASH FLOWS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Net loss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5"/>
          <w:szCs w:val="15"/>
          <w:color w:val="auto"/>
        </w:rPr>
        <w:t>Amortization and depreciation</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Increase in prepaid assets</w:t>
      </w:r>
    </w:p>
    <w:p>
      <w:pPr>
        <w:spacing w:after="0" w:line="6" w:lineRule="exact"/>
        <w:rPr>
          <w:sz w:val="20"/>
          <w:szCs w:val="20"/>
          <w:color w:val="auto"/>
        </w:rPr>
      </w:pPr>
    </w:p>
    <w:p>
      <w:pPr>
        <w:jc w:val="center"/>
        <w:ind w:right="6080"/>
        <w:spacing w:after="0"/>
        <w:rPr>
          <w:sz w:val="20"/>
          <w:szCs w:val="20"/>
          <w:color w:val="auto"/>
        </w:rPr>
      </w:pPr>
      <w:r>
        <w:rPr>
          <w:rFonts w:ascii="Arial" w:cs="Arial" w:eastAsia="Arial" w:hAnsi="Arial"/>
          <w:sz w:val="14"/>
          <w:szCs w:val="14"/>
          <w:color w:val="auto"/>
        </w:rPr>
        <w:t>Increase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727075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270750" cy="1200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Purchase of intangible assets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270750"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Proceeds from note payable</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issuance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270750" cy="1130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7270750" cy="1130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75" w:lineRule="exact"/>
        <w:rPr>
          <w:sz w:val="20"/>
          <w:szCs w:val="20"/>
          <w:color w:val="auto"/>
        </w:rPr>
      </w:pPr>
    </w:p>
    <w:p>
      <w:pPr>
        <w:jc w:val="center"/>
        <w:ind w:right="7340"/>
        <w:spacing w:after="0"/>
        <w:rPr>
          <w:sz w:val="20"/>
          <w:szCs w:val="20"/>
          <w:color w:val="auto"/>
        </w:rPr>
      </w:pPr>
      <w:r>
        <w:rPr>
          <w:rFonts w:ascii="Arial" w:cs="Arial" w:eastAsia="Arial" w:hAnsi="Arial"/>
          <w:sz w:val="15"/>
          <w:szCs w:val="15"/>
          <w:b w:val="1"/>
          <w:bCs w:val="1"/>
          <w:color w:val="auto"/>
        </w:rPr>
        <w:t>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270750" cy="1130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Cash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1130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Cash Balance, ending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70750" cy="1130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Supplemental Disclosures of Cash Flow Information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34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0750" cy="1346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right"/>
        <w:ind w:right="36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hanging="600"/>
        <w:spacing w:after="0"/>
        <w:tabs>
          <w:tab w:leader="none" w:pos="600" w:val="left"/>
        </w:tabs>
        <w:numPr>
          <w:ilvl w:val="0"/>
          <w:numId w:val="256"/>
        </w:numPr>
        <w:rPr>
          <w:rFonts w:ascii="Arial" w:cs="Arial" w:eastAsia="Arial" w:hAnsi="Arial"/>
          <w:sz w:val="13"/>
          <w:szCs w:val="13"/>
          <w:b w:val="1"/>
          <w:bCs w:val="1"/>
          <w:color w:val="auto"/>
        </w:rPr>
      </w:pPr>
      <w:r>
        <w:rPr>
          <w:rFonts w:ascii="Arial" w:cs="Arial" w:eastAsia="Arial" w:hAnsi="Arial"/>
          <w:sz w:val="13"/>
          <w:szCs w:val="13"/>
          <w:b w:val="1"/>
          <w:bCs w:val="1"/>
          <w:color w:val="auto"/>
        </w:rPr>
        <w:t>(2,754,182)</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328,277</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474,118</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(25,886)</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448,465</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(1,529,208)</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(3,395,187)</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(8,688)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(3,403,875)</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3,200,000</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1,800,000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5,145,225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9184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10,145,225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9184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5,212,142</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9184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75" w:lineRule="exact"/>
        <w:rPr>
          <w:sz w:val="20"/>
          <w:szCs w:val="20"/>
          <w:color w:val="auto"/>
        </w:rPr>
      </w:pPr>
    </w:p>
    <w:p>
      <w:pPr>
        <w:ind w:left="660" w:hanging="660"/>
        <w:spacing w:after="0"/>
        <w:tabs>
          <w:tab w:leader="none" w:pos="660" w:val="left"/>
        </w:tabs>
        <w:numPr>
          <w:ilvl w:val="0"/>
          <w:numId w:val="257"/>
        </w:numPr>
        <w:rPr>
          <w:rFonts w:ascii="Arial" w:cs="Arial" w:eastAsia="Arial" w:hAnsi="Arial"/>
          <w:sz w:val="14"/>
          <w:szCs w:val="14"/>
          <w:b w:val="1"/>
          <w:bCs w:val="1"/>
          <w:color w:val="auto"/>
        </w:rPr>
      </w:pPr>
      <w:r>
        <w:rPr>
          <w:rFonts w:ascii="Arial" w:cs="Arial" w:eastAsia="Arial" w:hAnsi="Arial"/>
          <w:sz w:val="14"/>
          <w:szCs w:val="14"/>
          <w:b w:val="1"/>
          <w:bCs w:val="1"/>
          <w:color w:val="auto"/>
        </w:rPr>
        <w:t>5,212,142</w:t>
      </w:r>
    </w:p>
    <w:p>
      <w:pPr>
        <w:spacing w:after="0" w:line="200"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ind w:left="920" w:hanging="920"/>
        <w:spacing w:after="0"/>
        <w:tabs>
          <w:tab w:leader="none" w:pos="920" w:val="left"/>
        </w:tabs>
        <w:numPr>
          <w:ilvl w:val="0"/>
          <w:numId w:val="257"/>
        </w:numPr>
        <w:rPr>
          <w:rFonts w:ascii="Arial" w:cs="Arial" w:eastAsia="Arial" w:hAnsi="Arial"/>
          <w:sz w:val="15"/>
          <w:szCs w:val="15"/>
          <w:b w:val="1"/>
          <w:bCs w:val="1"/>
          <w:color w:val="auto"/>
        </w:rPr>
      </w:pPr>
      <w:r>
        <w:rPr>
          <w:rFonts w:ascii="Arial" w:cs="Arial" w:eastAsia="Arial" w:hAnsi="Arial"/>
          <w:sz w:val="15"/>
          <w:szCs w:val="15"/>
          <w:b w:val="1"/>
          <w:bCs w:val="1"/>
          <w:color w:val="auto"/>
        </w:rPr>
        <w:t>7,728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9184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918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-332740</wp:posOffset>
            </wp:positionV>
            <wp:extent cx="79184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ectPr>
          <w:pgSz w:w="11900" w:h="16838" w:orient="portrait"/>
          <w:cols w:equalWidth="0" w:num="2">
            <w:col w:w="9380" w:space="720"/>
            <w:col w:w="1300"/>
          </w:cols>
          <w:pgMar w:left="220" w:top="771" w:right="279" w:bottom="1440" w:gutter="0" w:footer="0" w:header="0"/>
        </w:sectPr>
      </w:pPr>
    </w:p>
    <w:bookmarkStart w:id="286" w:name="page287"/>
    <w:bookmarkEnd w:id="286"/>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3"/>
          <w:szCs w:val="13"/>
          <w:b w:val="1"/>
          <w:bCs w:val="1"/>
          <w:i w:val="1"/>
          <w:iCs w:val="1"/>
          <w:color w:val="auto"/>
        </w:rPr>
        <w:t xml:space="preserve">Nature of business: </w:t>
      </w:r>
      <w:r>
        <w:rPr>
          <w:rFonts w:ascii="Arial" w:cs="Arial" w:eastAsia="Arial" w:hAnsi="Arial"/>
          <w:sz w:val="13"/>
          <w:szCs w:val="13"/>
          <w:color w:val="auto"/>
        </w:rPr>
        <w:t>Innovate/Protect, Inc. ("I/P") was incorporated under the laws of the state of Delaware on June 8, 2011 ("Inception"), as Labrador Search Corporation. On September 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 xml:space="preserve">Principles of consolidation: </w:t>
      </w:r>
      <w:r>
        <w:rPr>
          <w:rFonts w:ascii="Arial" w:cs="Arial" w:eastAsia="Arial" w:hAnsi="Arial"/>
          <w:sz w:val="15"/>
          <w:szCs w:val="15"/>
          <w:color w:val="auto"/>
        </w:rPr>
        <w:t>The consolidated financial statements include the accounts of I/P and the Subsidiaries. Unless the context otherwise indicates, the terms "I/P" or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mean Innovate/Protect, Inc. and its consolidated subsidiaries. All intercompany balances and transactions have been eliminated in consolidation.</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Estimates and assumptions: </w:t>
      </w:r>
      <w:r>
        <w:rPr>
          <w:rFonts w:ascii="Arial" w:cs="Arial" w:eastAsia="Arial" w:hAnsi="Arial"/>
          <w:sz w:val="15"/>
          <w:szCs w:val="15"/>
          <w:color w:val="auto"/>
        </w:rPr>
        <w:t>The preparation of financial statements in conformity with accounting principles generally accepted in the United States of America requires management to make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Development stage: </w:t>
      </w:r>
      <w:r>
        <w:rPr>
          <w:rFonts w:ascii="Arial" w:cs="Arial" w:eastAsia="Arial" w:hAnsi="Arial"/>
          <w:sz w:val="15"/>
          <w:szCs w:val="15"/>
          <w:color w:val="auto"/>
        </w:rPr>
        <w:t>The Company is in the development stage and had not yet generated revenue for the period from inception to December 31, 2011.</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Cash and cash equivalents include cash and highly liquid investments with original maturities of 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 xml:space="preserve">Intangible assets: </w:t>
      </w:r>
      <w:r>
        <w:rPr>
          <w:rFonts w:ascii="Arial" w:cs="Arial" w:eastAsia="Arial" w:hAnsi="Arial"/>
          <w:sz w:val="14"/>
          <w:szCs w:val="14"/>
          <w:color w:val="auto"/>
        </w:rPr>
        <w:t>Intangible assets consist of patents that were purchased and the costs to acquire them. They are amortized over their legal lives, for periods that vary from five to ten years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Property and equipment: </w:t>
      </w:r>
      <w:r>
        <w:rPr>
          <w:rFonts w:ascii="Arial" w:cs="Arial" w:eastAsia="Arial" w:hAnsi="Arial"/>
          <w:sz w:val="14"/>
          <w:szCs w:val="14"/>
          <w:color w:val="auto"/>
        </w:rPr>
        <w:t>Property and equipment purchases are recorded at cost. Depreciation is computed using the straight-line method over estimated useful lives of 5 years.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7" w:name="page288"/>
    <w:bookmarkEnd w:id="287"/>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Stock-based compensation: </w:t>
      </w:r>
      <w:r>
        <w:rPr>
          <w:rFonts w:ascii="Arial" w:cs="Arial" w:eastAsia="Arial" w:hAnsi="Arial"/>
          <w:sz w:val="15"/>
          <w:szCs w:val="15"/>
          <w:color w:val="auto"/>
        </w:rPr>
        <w:t>The Company has made the following types of stock-based awards, valued and reflected in the financial statements as follows:</w:t>
      </w:r>
    </w:p>
    <w:p>
      <w:pPr>
        <w:spacing w:after="0" w:line="180"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5"/>
          <w:szCs w:val="15"/>
          <w:b w:val="1"/>
          <w:bCs w:val="1"/>
          <w:color w:val="auto"/>
        </w:rPr>
        <w:t xml:space="preserve">Common Stock Grants: </w:t>
      </w:r>
      <w:r>
        <w:rPr>
          <w:rFonts w:ascii="Arial" w:cs="Arial" w:eastAsia="Arial" w:hAnsi="Arial"/>
          <w:sz w:val="15"/>
          <w:szCs w:val="15"/>
          <w:color w:val="auto"/>
        </w:rPr>
        <w:t>Common stock grants are valued at their fair market value at the date of the grant, multiplied by the number of shares granted. These grants are reflected as</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expense in the period during which the respective awards vest, ranging from immediate to 36 months from the grant dates.</w:t>
      </w:r>
    </w:p>
    <w:p>
      <w:pPr>
        <w:spacing w:after="0" w:line="139"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4"/>
          <w:szCs w:val="14"/>
          <w:b w:val="1"/>
          <w:bCs w:val="1"/>
          <w:color w:val="auto"/>
        </w:rPr>
        <w:t xml:space="preserve">Sales of Common Stock at Less than Fair Market Value: </w:t>
      </w:r>
      <w:r>
        <w:rPr>
          <w:rFonts w:ascii="Arial" w:cs="Arial" w:eastAsia="Arial" w:hAnsi="Arial"/>
          <w:sz w:val="14"/>
          <w:szCs w:val="14"/>
          <w:color w:val="auto"/>
        </w:rPr>
        <w:t>Common stock sales at less than fair market value to executive officers are valued at their fair market value on the date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140"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5"/>
          <w:szCs w:val="15"/>
          <w:b w:val="1"/>
          <w:bCs w:val="1"/>
          <w:color w:val="auto"/>
        </w:rPr>
        <w:t xml:space="preserve">Common Stock Options: </w:t>
      </w:r>
      <w:r>
        <w:rPr>
          <w:rFonts w:ascii="Arial" w:cs="Arial" w:eastAsia="Arial" w:hAnsi="Arial"/>
          <w:sz w:val="15"/>
          <w:szCs w:val="15"/>
          <w:color w:val="auto"/>
        </w:rPr>
        <w:t>Common stock options are valued at their fair market value at the time the options are granted, using the Black-Scholes option pricing model for valuing</w:t>
      </w:r>
      <w:r>
        <w:rPr>
          <w:rFonts w:ascii="Arial" w:cs="Arial" w:eastAsia="Arial" w:hAnsi="Arial"/>
          <w:sz w:val="15"/>
          <w:szCs w:val="15"/>
          <w:b w:val="1"/>
          <w:bCs w:val="1"/>
          <w:color w:val="auto"/>
        </w:rPr>
        <w:t xml:space="preserve"> </w:t>
      </w:r>
      <w:r>
        <w:rPr>
          <w:rFonts w:ascii="Arial" w:cs="Arial" w:eastAsia="Arial" w:hAnsi="Arial"/>
          <w:sz w:val="15"/>
          <w:szCs w:val="15"/>
          <w:color w:val="auto"/>
        </w:rPr>
        <w:t>stock-based compensation awards. Common stock options are reflected as compensation expense in the period during which they vest.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 xml:space="preserve">Fair value of common stock: </w:t>
      </w:r>
      <w:r>
        <w:rPr>
          <w:rFonts w:ascii="Arial" w:cs="Arial" w:eastAsia="Arial" w:hAnsi="Arial"/>
          <w:sz w:val="14"/>
          <w:szCs w:val="14"/>
          <w:color w:val="auto"/>
        </w:rPr>
        <w:t>At inception, the Company determined the fair value of each common share to be $.25832. Management determined the amount of capital it estimated would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8" w:name="page289"/>
    <w:bookmarkEnd w:id="288"/>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Fair value of financial assets and liabilities is defined as the exchange price that would be received to sell an asset or paid to transfer a liability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orderly transaction between market participants in the principal market at the measurement date (exit price). The Company is required to classify fair value measurements in one of the following categories: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Level 1 inputs which are defined as quoted prices (unadjusted) in active markets for identical assets or liabilities that the reporting entity has the ability to access at the measurement date.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Level 2 inputs which are defined as inputs other than quoted prices included within Level 1 that are observable for the assets or liabilities, either directly or indirectly.</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Deferred income tax assets and liabilities are determined using the asset and liability method. Under this method, the net deferred tax asset or liability is determined based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 effects of permanent and temporary differences between the book and tax bases of the various balance sheet assets and liabilities and gives current recognition to changes in tax rates and laws.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A valuation allowance is recorded when it is more likely than not that some portion or all of the deferred tax assets will not be realized.</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 calculated by dividing net loss attributable to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by the weighted average shares outstanding during the period. Diluted loss per share is calculated by dividing net loss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9" w:name="page290"/>
    <w:bookmarkEnd w:id="289"/>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2011, the Company excluded the following potentially dilutive securities:</w:t>
      </w:r>
    </w:p>
    <w:p>
      <w:pPr>
        <w:spacing w:after="0" w:line="184" w:lineRule="exact"/>
        <w:rPr>
          <w:sz w:val="20"/>
          <w:szCs w:val="20"/>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Series A Preferred Stock convertible into 6,968,000 shares of common stock.</w:t>
      </w:r>
    </w:p>
    <w:p>
      <w:pPr>
        <w:spacing w:after="0" w:line="1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Warrants to purchase 250,000 shares of common stock.</w:t>
      </w:r>
    </w:p>
    <w:p>
      <w:pPr>
        <w:spacing w:after="0" w:line="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Options to purchase 13,646 shares of common stock.</w:t>
      </w:r>
    </w:p>
    <w:p>
      <w:pPr>
        <w:spacing w:after="0" w:line="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1,237,270 shares of common stock granted but not vested.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0" w:name="page291"/>
    <w:bookmarkEnd w:id="290"/>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Liquidity and Capital Resources, Going Concern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a development stage company, the Company requires significant amounts of capital to support its operations during the period prior to the commencement of a revenue stream or other liquidity events.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1" w:name="page292"/>
    <w:bookmarkEnd w:id="291"/>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gridSpan w:val="2"/>
          </w:tcPr>
          <w:p>
            <w:pPr>
              <w:spacing w:after="0"/>
              <w:rPr>
                <w:sz w:val="20"/>
                <w:szCs w:val="20"/>
                <w:color w:val="auto"/>
              </w:rPr>
            </w:pPr>
            <w:r>
              <w:rPr>
                <w:rFonts w:ascii="Arial" w:cs="Arial" w:eastAsia="Arial" w:hAnsi="Arial"/>
                <w:sz w:val="15"/>
                <w:szCs w:val="15"/>
                <w:b w:val="1"/>
                <w:bCs w:val="1"/>
                <w:color w:val="auto"/>
              </w:rPr>
              <w:t>Note 3. Property and Equipment</w:t>
            </w:r>
          </w:p>
        </w:tc>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color w:val="auto"/>
              </w:rPr>
              <w:t>Property and equipment consisted of the following as of December 31, 2011:</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420" w:type="dxa"/>
            <w:vAlign w:val="bottom"/>
            <w:shd w:val="clear" w:color="auto" w:fill="CCFFCC"/>
          </w:tcPr>
          <w:p>
            <w:pPr>
              <w:ind w:left="80"/>
              <w:spacing w:after="0"/>
              <w:rPr>
                <w:sz w:val="20"/>
                <w:szCs w:val="20"/>
                <w:color w:val="auto"/>
              </w:rPr>
            </w:pPr>
            <w:r>
              <w:rPr>
                <w:rFonts w:ascii="Arial" w:cs="Arial" w:eastAsia="Arial" w:hAnsi="Arial"/>
                <w:sz w:val="15"/>
                <w:szCs w:val="15"/>
                <w:color w:val="auto"/>
              </w:rPr>
              <w:t>Computer equipment</w:t>
            </w:r>
          </w:p>
        </w:tc>
        <w:tc>
          <w:tcPr>
            <w:tcW w:w="2520" w:type="dxa"/>
            <w:vAlign w:val="bottom"/>
            <w:gridSpan w:val="2"/>
            <w:shd w:val="clear" w:color="auto" w:fill="CCFFCC"/>
          </w:tcPr>
          <w:p>
            <w:pPr>
              <w:jc w:val="right"/>
              <w:ind w:right="5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8,688</w:t>
            </w:r>
          </w:p>
        </w:tc>
      </w:tr>
      <w:tr>
        <w:trPr>
          <w:trHeight w:val="178"/>
        </w:trPr>
        <w:tc>
          <w:tcPr>
            <w:tcW w:w="1160" w:type="dxa"/>
            <w:vAlign w:val="bottom"/>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5"/>
                <w:szCs w:val="15"/>
                <w:color w:val="auto"/>
              </w:rPr>
              <w:t>Less accumulated depreciation</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(682)</w:t>
            </w: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5420" w:type="dxa"/>
            <w:vAlign w:val="bottom"/>
            <w:shd w:val="clear" w:color="auto" w:fill="CCFFCC"/>
          </w:tcPr>
          <w:p>
            <w:pPr>
              <w:spacing w:after="0"/>
              <w:rPr>
                <w:sz w:val="16"/>
                <w:szCs w:val="16"/>
                <w:color w:val="auto"/>
              </w:rPr>
            </w:pPr>
          </w:p>
        </w:tc>
        <w:tc>
          <w:tcPr>
            <w:tcW w:w="2520" w:type="dxa"/>
            <w:vAlign w:val="bottom"/>
            <w:gridSpan w:val="2"/>
            <w:shd w:val="clear" w:color="auto" w:fill="CCFFCC"/>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8,006</w:t>
            </w:r>
          </w:p>
        </w:tc>
      </w:tr>
      <w:tr>
        <w:trPr>
          <w:trHeight w:val="20"/>
        </w:trPr>
        <w:tc>
          <w:tcPr>
            <w:tcW w:w="1160" w:type="dxa"/>
            <w:vAlign w:val="bottom"/>
          </w:tcPr>
          <w:p>
            <w:pPr>
              <w:spacing w:after="0" w:line="20" w:lineRule="exact"/>
              <w:rPr>
                <w:sz w:val="1"/>
                <w:szCs w:val="1"/>
                <w:color w:val="auto"/>
              </w:rPr>
            </w:pPr>
          </w:p>
        </w:tc>
        <w:tc>
          <w:tcPr>
            <w:tcW w:w="5420" w:type="dxa"/>
            <w:vAlign w:val="bottom"/>
            <w:tcBorders>
              <w:top w:val="single" w:sz="8" w:color="CCFFCC"/>
            </w:tcBorders>
            <w:shd w:val="clear" w:color="auto" w:fill="CCFFCC"/>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07"/>
        </w:trPr>
        <w:tc>
          <w:tcPr>
            <w:tcW w:w="6580" w:type="dxa"/>
            <w:vAlign w:val="bottom"/>
            <w:gridSpan w:val="2"/>
          </w:tcPr>
          <w:p>
            <w:pPr>
              <w:spacing w:after="0"/>
              <w:rPr>
                <w:sz w:val="20"/>
                <w:szCs w:val="20"/>
                <w:color w:val="auto"/>
              </w:rPr>
            </w:pPr>
            <w:r>
              <w:rPr>
                <w:rFonts w:ascii="Arial" w:cs="Arial" w:eastAsia="Arial" w:hAnsi="Arial"/>
                <w:sz w:val="15"/>
                <w:szCs w:val="15"/>
                <w:color w:val="auto"/>
              </w:rPr>
              <w:t>Property and equipment are being depreciated over their expected useful lives.</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b w:val="1"/>
                <w:bCs w:val="1"/>
                <w:color w:val="auto"/>
              </w:rPr>
              <w:t>Note 4. Intangible Assets</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color w:val="auto"/>
              </w:rPr>
              <w:t>Intangible assets consisted of the following as of December 31, 2011:</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52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420" w:type="dxa"/>
            <w:vAlign w:val="bottom"/>
            <w:shd w:val="clear" w:color="auto" w:fill="CCFFCC"/>
          </w:tcPr>
          <w:p>
            <w:pPr>
              <w:ind w:left="80"/>
              <w:spacing w:after="0"/>
              <w:rPr>
                <w:sz w:val="20"/>
                <w:szCs w:val="20"/>
                <w:color w:val="auto"/>
              </w:rPr>
            </w:pPr>
            <w:r>
              <w:rPr>
                <w:rFonts w:ascii="Arial" w:cs="Arial" w:eastAsia="Arial" w:hAnsi="Arial"/>
                <w:sz w:val="15"/>
                <w:szCs w:val="15"/>
                <w:color w:val="auto"/>
              </w:rPr>
              <w:t>Patents</w:t>
            </w:r>
          </w:p>
        </w:tc>
        <w:tc>
          <w:tcPr>
            <w:tcW w:w="2520" w:type="dxa"/>
            <w:vAlign w:val="bottom"/>
            <w:gridSpan w:val="2"/>
            <w:shd w:val="clear" w:color="auto" w:fill="CCFFCC"/>
          </w:tcPr>
          <w:p>
            <w:pPr>
              <w:jc w:val="right"/>
              <w:ind w:right="5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3,395,188</w:t>
            </w:r>
          </w:p>
        </w:tc>
      </w:tr>
      <w:tr>
        <w:trPr>
          <w:trHeight w:val="178"/>
        </w:trPr>
        <w:tc>
          <w:tcPr>
            <w:tcW w:w="1160" w:type="dxa"/>
            <w:vAlign w:val="bottom"/>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5"/>
                <w:szCs w:val="15"/>
                <w:color w:val="auto"/>
              </w:rPr>
              <w:t>Less accumulated amortization</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(327,596)</w:t>
            </w: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5420" w:type="dxa"/>
            <w:vAlign w:val="bottom"/>
            <w:shd w:val="clear" w:color="auto" w:fill="CCFFCC"/>
          </w:tcPr>
          <w:p>
            <w:pPr>
              <w:spacing w:after="0"/>
              <w:rPr>
                <w:sz w:val="16"/>
                <w:szCs w:val="16"/>
                <w:color w:val="auto"/>
              </w:rPr>
            </w:pPr>
          </w:p>
        </w:tc>
        <w:tc>
          <w:tcPr>
            <w:tcW w:w="2520" w:type="dxa"/>
            <w:vAlign w:val="bottom"/>
            <w:gridSpan w:val="2"/>
            <w:shd w:val="clear" w:color="auto" w:fill="CCFFCC"/>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3,067,592</w:t>
            </w:r>
          </w:p>
        </w:tc>
      </w:tr>
      <w:tr>
        <w:trPr>
          <w:trHeight w:val="20"/>
        </w:trPr>
        <w:tc>
          <w:tcPr>
            <w:tcW w:w="1160" w:type="dxa"/>
            <w:vAlign w:val="bottom"/>
          </w:tcPr>
          <w:p>
            <w:pPr>
              <w:spacing w:after="0" w:line="20" w:lineRule="exact"/>
              <w:rPr>
                <w:sz w:val="1"/>
                <w:szCs w:val="1"/>
                <w:color w:val="auto"/>
              </w:rPr>
            </w:pPr>
          </w:p>
        </w:tc>
        <w:tc>
          <w:tcPr>
            <w:tcW w:w="5420" w:type="dxa"/>
            <w:vAlign w:val="bottom"/>
            <w:tcBorders>
              <w:top w:val="single" w:sz="8" w:color="CCFFCC"/>
            </w:tcBorders>
            <w:shd w:val="clear" w:color="auto" w:fill="CCFFCC"/>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Estimated amortization expense for each of the five succeeding years based upon intangible assets owned at December 31, 2011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Year</w:t>
            </w:r>
          </w:p>
        </w:tc>
        <w:tc>
          <w:tcPr>
            <w:tcW w:w="3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rPr>
              <w:t>Amount</w:t>
            </w:r>
          </w:p>
        </w:tc>
        <w:tc>
          <w:tcPr>
            <w:tcW w:w="1300" w:type="dxa"/>
            <w:vAlign w:val="bottom"/>
          </w:tcPr>
          <w:p>
            <w:pPr>
              <w:spacing w:after="0"/>
              <w:rPr>
                <w:sz w:val="16"/>
                <w:szCs w:val="16"/>
                <w:color w:val="auto"/>
              </w:rPr>
            </w:pPr>
          </w:p>
        </w:tc>
      </w:tr>
      <w:tr>
        <w:trPr>
          <w:trHeight w:val="170"/>
        </w:trPr>
        <w:tc>
          <w:tcPr>
            <w:tcW w:w="1160" w:type="dxa"/>
            <w:vAlign w:val="bottom"/>
          </w:tcPr>
          <w:p>
            <w:pPr>
              <w:spacing w:after="0"/>
              <w:rPr>
                <w:sz w:val="14"/>
                <w:szCs w:val="14"/>
                <w:color w:val="auto"/>
              </w:rPr>
            </w:pPr>
          </w:p>
        </w:tc>
        <w:tc>
          <w:tcPr>
            <w:tcW w:w="326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December 31, 2012</w:t>
            </w:r>
          </w:p>
        </w:tc>
        <w:tc>
          <w:tcPr>
            <w:tcW w:w="4120" w:type="dxa"/>
            <w:vAlign w:val="bottom"/>
            <w:gridSpan w:val="3"/>
            <w:shd w:val="clear" w:color="auto" w:fill="CCFFCC"/>
          </w:tcPr>
          <w:p>
            <w:pPr>
              <w:jc w:val="right"/>
              <w:ind w:right="360"/>
              <w:spacing w:after="0" w:line="170" w:lineRule="exact"/>
              <w:rPr>
                <w:sz w:val="20"/>
                <w:szCs w:val="20"/>
                <w:color w:val="auto"/>
              </w:rPr>
            </w:pPr>
            <w:r>
              <w:rPr>
                <w:rFonts w:ascii="Arial" w:cs="Arial" w:eastAsia="Arial" w:hAnsi="Arial"/>
                <w:sz w:val="15"/>
                <w:szCs w:val="15"/>
                <w:color w:val="auto"/>
              </w:rPr>
              <w:t>$</w:t>
            </w:r>
          </w:p>
        </w:tc>
        <w:tc>
          <w:tcPr>
            <w:tcW w:w="1620" w:type="dxa"/>
            <w:vAlign w:val="bottom"/>
            <w:shd w:val="clear" w:color="auto" w:fill="CCFFCC"/>
          </w:tcPr>
          <w:p>
            <w:pPr>
              <w:jc w:val="right"/>
              <w:ind w:right="66"/>
              <w:spacing w:after="0" w:line="170" w:lineRule="exact"/>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4"/>
                <w:szCs w:val="14"/>
                <w:color w:val="auto"/>
              </w:rPr>
            </w:pPr>
          </w:p>
        </w:tc>
      </w:tr>
      <w:tr>
        <w:trPr>
          <w:trHeight w:val="178"/>
        </w:trPr>
        <w:tc>
          <w:tcPr>
            <w:tcW w:w="116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December 31, 2013</w:t>
            </w: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5"/>
                <w:szCs w:val="15"/>
                <w:color w:val="auto"/>
              </w:rPr>
              <w:t>December 31, 2014</w:t>
            </w:r>
          </w:p>
        </w:tc>
        <w:tc>
          <w:tcPr>
            <w:tcW w:w="35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62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December 31, 2015</w:t>
            </w: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5"/>
                <w:szCs w:val="15"/>
                <w:color w:val="auto"/>
              </w:rPr>
              <w:t>December 31, 2016 and thereafter</w:t>
            </w:r>
          </w:p>
        </w:tc>
        <w:tc>
          <w:tcPr>
            <w:tcW w:w="35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62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576,492</w:t>
            </w:r>
          </w:p>
        </w:tc>
        <w:tc>
          <w:tcPr>
            <w:tcW w:w="1300" w:type="dxa"/>
            <w:vAlign w:val="bottom"/>
          </w:tcPr>
          <w:p>
            <w:pPr>
              <w:spacing w:after="0"/>
              <w:rPr>
                <w:sz w:val="15"/>
                <w:szCs w:val="15"/>
                <w:color w:val="auto"/>
              </w:rPr>
            </w:pPr>
          </w:p>
        </w:tc>
      </w:tr>
      <w:tr>
        <w:trPr>
          <w:trHeight w:val="540"/>
        </w:trPr>
        <w:tc>
          <w:tcPr>
            <w:tcW w:w="1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086"/>
              <w:spacing w:after="0"/>
              <w:rPr>
                <w:sz w:val="20"/>
                <w:szCs w:val="20"/>
                <w:color w:val="auto"/>
              </w:rPr>
            </w:pPr>
            <w:r>
              <w:rPr>
                <w:rFonts w:ascii="Arial" w:cs="Arial" w:eastAsia="Arial" w:hAnsi="Arial"/>
                <w:sz w:val="15"/>
                <w:szCs w:val="15"/>
                <w:color w:val="auto"/>
              </w:rPr>
              <w:t>11</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14" w:right="219" w:bottom="1440" w:gutter="0" w:footer="0" w:header="0"/>
        </w:sectPr>
      </w:pPr>
    </w:p>
    <w:bookmarkStart w:id="292" w:name="page293"/>
    <w:bookmarkEnd w:id="292"/>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Note Payable – Related Party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2011, there were no known conditions of default.</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evaluate the fair value of the derivative each reporting period and report changes in the fair value as other income (expense), net.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3" w:name="page294"/>
    <w:bookmarkEnd w:id="293"/>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Series A Convertible Preferred Stock</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triggering event (including, without limitation, an event of default or change of control) at a redemption price, pursuant to a formula, of up to 125% of the stated value of $1,000 per share, subject to adjustment.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Series A Preferred Stock is classified as mezzanine because certain Triggering Events may occur outside the control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Warrants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August 30, 2011, the Company issued 250,000 warrants to Hudson Bay. Each warrant entitles Hudson Bay to purchase one (1) 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157"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4" w:name="page295"/>
    <w:bookmarkEnd w:id="294"/>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illustrates the grants of common stock and the sales of common stock at less than fair value made during the period from inception through December 31 2011.</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Grants Of Common Stock and Sales of Common Stock at Less Than Fair Market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88"/>
              </w:rPr>
              <w:t>Compensation</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91"/>
              </w:rPr>
              <w:t>Grant,</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Fair Value at</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88"/>
              </w:rPr>
              <w:t>Recognized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86"/>
              </w:rPr>
              <w:t>Purchase or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5"/>
                <w:szCs w:val="15"/>
                <w:color w:val="auto"/>
              </w:rPr>
              <w:t>Grant, Purchase or</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5"/>
                <w:szCs w:val="15"/>
                <w:color w:val="auto"/>
                <w:w w:val="96"/>
              </w:rPr>
              <w:t>Amount Paid for</w:t>
            </w:r>
          </w:p>
        </w:tc>
        <w:tc>
          <w:tcPr>
            <w:tcW w:w="1240" w:type="dxa"/>
            <w:vAlign w:val="bottom"/>
            <w:gridSpan w:val="2"/>
          </w:tcPr>
          <w:p>
            <w:pPr>
              <w:ind w:left="20"/>
              <w:spacing w:after="0"/>
              <w:rPr>
                <w:sz w:val="20"/>
                <w:szCs w:val="20"/>
                <w:color w:val="auto"/>
              </w:rPr>
            </w:pPr>
            <w:r>
              <w:rPr>
                <w:rFonts w:ascii="Arial" w:cs="Arial" w:eastAsia="Arial" w:hAnsi="Arial"/>
                <w:sz w:val="15"/>
                <w:szCs w:val="15"/>
                <w:color w:val="auto"/>
                <w:w w:val="98"/>
              </w:rPr>
              <w:t>Total Stock Based</w:t>
            </w:r>
          </w:p>
        </w:tc>
        <w:tc>
          <w:tcPr>
            <w:tcW w:w="12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5"/>
                <w:szCs w:val="15"/>
                <w:color w:val="auto"/>
                <w:w w:val="91"/>
              </w:rPr>
              <w:t>Inception through</w:t>
            </w:r>
          </w:p>
        </w:tc>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5"/>
                <w:szCs w:val="15"/>
                <w:color w:val="auto"/>
                <w:w w:val="98"/>
              </w:rPr>
              <w:t>Compensation Not</w:t>
            </w:r>
          </w:p>
        </w:tc>
      </w:tr>
      <w:tr>
        <w:trPr>
          <w:trHeight w:val="189"/>
        </w:trPr>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Title</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Vest Date</w:t>
            </w: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7"/>
              </w:rPr>
              <w:t>Vest Date</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Total Value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Shares</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9"/>
              </w:rPr>
              <w:t>Compensation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color w:val="auto"/>
                <w:w w:val="88"/>
              </w:rPr>
              <w:t>12/31/11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7"/>
              </w:rPr>
              <w:t>Vested at 12/31/11</w:t>
            </w:r>
          </w:p>
        </w:tc>
        <w:tc>
          <w:tcPr>
            <w:tcW w:w="120" w:type="dxa"/>
            <w:vAlign w:val="bottom"/>
          </w:tcPr>
          <w:p>
            <w:pPr>
              <w:spacing w:after="0"/>
              <w:rPr>
                <w:sz w:val="16"/>
                <w:szCs w:val="16"/>
                <w:color w:val="auto"/>
              </w:rPr>
            </w:pPr>
          </w:p>
        </w:tc>
      </w:tr>
      <w:tr>
        <w:trPr>
          <w:trHeight w:val="170"/>
        </w:trPr>
        <w:tc>
          <w:tcPr>
            <w:tcW w:w="100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Consultant</w:t>
            </w:r>
          </w:p>
        </w:tc>
        <w:tc>
          <w:tcPr>
            <w:tcW w:w="860" w:type="dxa"/>
            <w:vAlign w:val="bottom"/>
            <w:gridSpan w:val="2"/>
            <w:shd w:val="clear" w:color="auto" w:fill="CCFFCC"/>
          </w:tcPr>
          <w:p>
            <w:pPr>
              <w:jc w:val="center"/>
              <w:ind w:left="66"/>
              <w:spacing w:after="0" w:line="170" w:lineRule="exact"/>
              <w:rPr>
                <w:sz w:val="20"/>
                <w:szCs w:val="20"/>
                <w:color w:val="auto"/>
              </w:rPr>
            </w:pPr>
            <w:r>
              <w:rPr>
                <w:rFonts w:ascii="Arial" w:cs="Arial" w:eastAsia="Arial" w:hAnsi="Arial"/>
                <w:sz w:val="15"/>
                <w:szCs w:val="15"/>
                <w:color w:val="auto"/>
                <w:w w:val="89"/>
              </w:rPr>
              <w:t>6/22/2011</w:t>
            </w:r>
          </w:p>
        </w:tc>
        <w:tc>
          <w:tcPr>
            <w:tcW w:w="1380" w:type="dxa"/>
            <w:vAlign w:val="bottom"/>
            <w:gridSpan w:val="3"/>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125,000</w:t>
            </w:r>
          </w:p>
        </w:tc>
        <w:tc>
          <w:tcPr>
            <w:tcW w:w="260" w:type="dxa"/>
            <w:vAlign w:val="bottom"/>
            <w:gridSpan w:val="2"/>
            <w:shd w:val="clear" w:color="auto" w:fill="CCFFCC"/>
          </w:tcPr>
          <w:p>
            <w:pPr>
              <w:ind w:left="120"/>
              <w:spacing w:after="0" w:line="170"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260"/>
              <w:spacing w:after="0" w:line="170" w:lineRule="exact"/>
              <w:rPr>
                <w:sz w:val="20"/>
                <w:szCs w:val="20"/>
                <w:color w:val="auto"/>
              </w:rPr>
            </w:pPr>
            <w:r>
              <w:rPr>
                <w:rFonts w:ascii="Arial" w:cs="Arial" w:eastAsia="Arial" w:hAnsi="Arial"/>
                <w:sz w:val="15"/>
                <w:szCs w:val="15"/>
                <w:color w:val="auto"/>
              </w:rPr>
              <w:t>0.25832</w:t>
            </w:r>
          </w:p>
        </w:tc>
        <w:tc>
          <w:tcPr>
            <w:tcW w:w="1360" w:type="dxa"/>
            <w:vAlign w:val="bottom"/>
            <w:gridSpan w:val="2"/>
            <w:shd w:val="clear" w:color="auto" w:fill="CCFFCC"/>
          </w:tcPr>
          <w:p>
            <w:pPr>
              <w:jc w:val="right"/>
              <w:ind w:right="240"/>
              <w:spacing w:after="0" w:line="170" w:lineRule="exact"/>
              <w:rPr>
                <w:sz w:val="20"/>
                <w:szCs w:val="20"/>
                <w:color w:val="auto"/>
              </w:rPr>
            </w:pPr>
            <w:r>
              <w:rPr>
                <w:rFonts w:ascii="Arial" w:cs="Arial" w:eastAsia="Arial" w:hAnsi="Arial"/>
                <w:sz w:val="15"/>
                <w:szCs w:val="15"/>
                <w:color w:val="auto"/>
              </w:rPr>
              <w:t>N/A</w:t>
            </w:r>
          </w:p>
        </w:tc>
        <w:tc>
          <w:tcPr>
            <w:tcW w:w="220" w:type="dxa"/>
            <w:vAlign w:val="bottom"/>
            <w:shd w:val="clear" w:color="auto" w:fill="CCFFCC"/>
          </w:tcPr>
          <w:p>
            <w:pPr>
              <w:jc w:val="right"/>
              <w:ind w:right="66"/>
              <w:spacing w:after="0" w:line="170"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170" w:lineRule="exact"/>
              <w:rPr>
                <w:sz w:val="20"/>
                <w:szCs w:val="20"/>
                <w:color w:val="auto"/>
              </w:rPr>
            </w:pPr>
            <w:r>
              <w:rPr>
                <w:rFonts w:ascii="Arial" w:cs="Arial" w:eastAsia="Arial" w:hAnsi="Arial"/>
                <w:sz w:val="15"/>
                <w:szCs w:val="15"/>
                <w:color w:val="auto"/>
              </w:rPr>
              <w:t>12</w:t>
            </w:r>
          </w:p>
        </w:tc>
        <w:tc>
          <w:tcPr>
            <w:tcW w:w="26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N/A</w:t>
            </w:r>
          </w:p>
        </w:tc>
        <w:tc>
          <w:tcPr>
            <w:tcW w:w="220" w:type="dxa"/>
            <w:vAlign w:val="bottom"/>
            <w:gridSpan w:val="2"/>
            <w:shd w:val="clear" w:color="auto" w:fill="CCFFCC"/>
          </w:tcPr>
          <w:p>
            <w:pPr>
              <w:jc w:val="right"/>
              <w:spacing w:after="0" w:line="170"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49,070</w:t>
            </w:r>
          </w:p>
        </w:tc>
        <w:tc>
          <w:tcPr>
            <w:tcW w:w="14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900" w:type="dxa"/>
            <w:vAlign w:val="bottom"/>
            <w:gridSpan w:val="2"/>
            <w:shd w:val="clear" w:color="auto" w:fill="CCFFCC"/>
          </w:tcPr>
          <w:p>
            <w:pPr>
              <w:ind w:left="300"/>
              <w:spacing w:after="0" w:line="170" w:lineRule="exact"/>
              <w:rPr>
                <w:sz w:val="20"/>
                <w:szCs w:val="20"/>
                <w:color w:val="auto"/>
              </w:rPr>
            </w:pPr>
            <w:r>
              <w:rPr>
                <w:rFonts w:ascii="Arial" w:cs="Arial" w:eastAsia="Arial" w:hAnsi="Arial"/>
                <w:sz w:val="15"/>
                <w:szCs w:val="15"/>
                <w:color w:val="auto"/>
                <w:w w:val="96"/>
              </w:rPr>
              <w:t>170,346*</w:t>
            </w:r>
          </w:p>
        </w:tc>
      </w:tr>
      <w:tr>
        <w:trPr>
          <w:trHeight w:val="178"/>
        </w:trPr>
        <w:tc>
          <w:tcPr>
            <w:tcW w:w="1000" w:type="dxa"/>
            <w:vAlign w:val="bottom"/>
          </w:tcPr>
          <w:p>
            <w:pPr>
              <w:spacing w:after="0"/>
              <w:rPr>
                <w:sz w:val="20"/>
                <w:szCs w:val="20"/>
                <w:color w:val="auto"/>
              </w:rPr>
            </w:pPr>
            <w:r>
              <w:rPr>
                <w:rFonts w:ascii="Arial" w:cs="Arial" w:eastAsia="Arial" w:hAnsi="Arial"/>
                <w:sz w:val="15"/>
                <w:szCs w:val="15"/>
                <w:color w:val="auto"/>
              </w:rPr>
              <w:t>Exec. Officer</w:t>
            </w:r>
          </w:p>
        </w:tc>
        <w:tc>
          <w:tcPr>
            <w:tcW w:w="860" w:type="dxa"/>
            <w:vAlign w:val="bottom"/>
            <w:gridSpan w:val="2"/>
          </w:tcPr>
          <w:p>
            <w:pPr>
              <w:jc w:val="center"/>
              <w:ind w:left="66"/>
              <w:spacing w:after="0"/>
              <w:rPr>
                <w:sz w:val="20"/>
                <w:szCs w:val="20"/>
                <w:color w:val="auto"/>
              </w:rPr>
            </w:pPr>
            <w:r>
              <w:rPr>
                <w:rFonts w:ascii="Arial" w:cs="Arial" w:eastAsia="Arial" w:hAnsi="Arial"/>
                <w:sz w:val="15"/>
                <w:szCs w:val="15"/>
                <w:color w:val="auto"/>
                <w:w w:val="89"/>
              </w:rPr>
              <w:t>6/22/2011</w:t>
            </w:r>
          </w:p>
        </w:tc>
        <w:tc>
          <w:tcPr>
            <w:tcW w:w="1380" w:type="dxa"/>
            <w:vAlign w:val="bottom"/>
            <w:gridSpan w:val="3"/>
          </w:tcPr>
          <w:p>
            <w:pPr>
              <w:jc w:val="right"/>
              <w:ind w:right="120"/>
              <w:spacing w:after="0"/>
              <w:rPr>
                <w:sz w:val="20"/>
                <w:szCs w:val="20"/>
                <w:color w:val="auto"/>
              </w:rPr>
            </w:pPr>
            <w:r>
              <w:rPr>
                <w:rFonts w:ascii="Arial" w:cs="Arial" w:eastAsia="Arial" w:hAnsi="Arial"/>
                <w:sz w:val="15"/>
                <w:szCs w:val="15"/>
                <w:color w:val="auto"/>
              </w:rPr>
              <w:t>2,115,625</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0.25832</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546,508</w:t>
            </w:r>
          </w:p>
        </w:tc>
        <w:tc>
          <w:tcPr>
            <w:tcW w:w="22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212</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546,296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346,329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ind w:left="300"/>
              <w:spacing w:after="0"/>
              <w:rPr>
                <w:sz w:val="20"/>
                <w:szCs w:val="20"/>
                <w:color w:val="auto"/>
              </w:rPr>
            </w:pPr>
            <w:r>
              <w:rPr>
                <w:rFonts w:ascii="Arial" w:cs="Arial" w:eastAsia="Arial" w:hAnsi="Arial"/>
                <w:sz w:val="15"/>
                <w:szCs w:val="15"/>
                <w:color w:val="auto"/>
              </w:rPr>
              <w:t>199,955</w:t>
            </w:r>
          </w:p>
        </w:tc>
      </w:tr>
      <w:tr>
        <w:trPr>
          <w:trHeight w:val="178"/>
        </w:trPr>
        <w:tc>
          <w:tcPr>
            <w:tcW w:w="1000" w:type="dxa"/>
            <w:vAlign w:val="bottom"/>
            <w:shd w:val="clear" w:color="auto" w:fill="CCFFCC"/>
          </w:tcPr>
          <w:p>
            <w:pPr>
              <w:spacing w:after="0"/>
              <w:rPr>
                <w:sz w:val="20"/>
                <w:szCs w:val="20"/>
                <w:color w:val="auto"/>
              </w:rPr>
            </w:pPr>
            <w:r>
              <w:rPr>
                <w:rFonts w:ascii="Arial" w:cs="Arial" w:eastAsia="Arial" w:hAnsi="Arial"/>
                <w:sz w:val="15"/>
                <w:szCs w:val="15"/>
                <w:color w:val="auto"/>
              </w:rPr>
              <w:t>Exec. Officer</w:t>
            </w:r>
          </w:p>
        </w:tc>
        <w:tc>
          <w:tcPr>
            <w:tcW w:w="860" w:type="dxa"/>
            <w:vAlign w:val="bottom"/>
            <w:gridSpan w:val="2"/>
            <w:shd w:val="clear" w:color="auto" w:fill="CCFFCC"/>
          </w:tcPr>
          <w:p>
            <w:pPr>
              <w:jc w:val="center"/>
              <w:ind w:left="66"/>
              <w:spacing w:after="0"/>
              <w:rPr>
                <w:sz w:val="20"/>
                <w:szCs w:val="20"/>
                <w:color w:val="auto"/>
              </w:rPr>
            </w:pPr>
            <w:r>
              <w:rPr>
                <w:rFonts w:ascii="Arial" w:cs="Arial" w:eastAsia="Arial" w:hAnsi="Arial"/>
                <w:sz w:val="15"/>
                <w:szCs w:val="15"/>
                <w:color w:val="auto"/>
                <w:w w:val="89"/>
              </w:rPr>
              <w:t>8/10/2011</w:t>
            </w:r>
          </w:p>
        </w:tc>
        <w:tc>
          <w:tcPr>
            <w:tcW w:w="138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625,000</w:t>
            </w:r>
          </w:p>
        </w:tc>
        <w:tc>
          <w:tcPr>
            <w:tcW w:w="260" w:type="dxa"/>
            <w:vAlign w:val="bottom"/>
            <w:gridSpan w:val="2"/>
            <w:shd w:val="clear" w:color="auto" w:fill="CCFFCC"/>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color w:val="auto"/>
              </w:rPr>
              <w:t>0.25832</w:t>
            </w: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161,450</w:t>
            </w:r>
          </w:p>
        </w:tc>
        <w:tc>
          <w:tcPr>
            <w:tcW w:w="22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161,450</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41,900</w:t>
            </w:r>
          </w:p>
        </w:tc>
        <w:tc>
          <w:tcPr>
            <w:tcW w:w="1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gridSpan w:val="2"/>
            <w:shd w:val="clear" w:color="auto" w:fill="CCFFCC"/>
          </w:tcPr>
          <w:p>
            <w:pPr>
              <w:ind w:left="300"/>
              <w:spacing w:after="0"/>
              <w:rPr>
                <w:sz w:val="20"/>
                <w:szCs w:val="20"/>
                <w:color w:val="auto"/>
              </w:rPr>
            </w:pPr>
            <w:r>
              <w:rPr>
                <w:rFonts w:ascii="Arial" w:cs="Arial" w:eastAsia="Arial" w:hAnsi="Arial"/>
                <w:sz w:val="15"/>
                <w:szCs w:val="15"/>
                <w:color w:val="auto"/>
              </w:rPr>
              <w:t>119,550</w:t>
            </w:r>
          </w:p>
        </w:tc>
      </w:tr>
      <w:tr>
        <w:trPr>
          <w:trHeight w:val="180"/>
        </w:trPr>
        <w:tc>
          <w:tcPr>
            <w:tcW w:w="1000" w:type="dxa"/>
            <w:vAlign w:val="bottom"/>
          </w:tcPr>
          <w:p>
            <w:pPr>
              <w:spacing w:after="0"/>
              <w:rPr>
                <w:sz w:val="20"/>
                <w:szCs w:val="20"/>
                <w:color w:val="auto"/>
              </w:rPr>
            </w:pPr>
            <w:r>
              <w:rPr>
                <w:rFonts w:ascii="Arial" w:cs="Arial" w:eastAsia="Arial" w:hAnsi="Arial"/>
                <w:sz w:val="15"/>
                <w:szCs w:val="15"/>
                <w:color w:val="auto"/>
              </w:rPr>
              <w:t>Director</w:t>
            </w:r>
          </w:p>
        </w:tc>
        <w:tc>
          <w:tcPr>
            <w:tcW w:w="860" w:type="dxa"/>
            <w:vAlign w:val="bottom"/>
            <w:gridSpan w:val="2"/>
          </w:tcPr>
          <w:p>
            <w:pPr>
              <w:jc w:val="center"/>
              <w:ind w:left="46"/>
              <w:spacing w:after="0"/>
              <w:rPr>
                <w:sz w:val="20"/>
                <w:szCs w:val="20"/>
                <w:color w:val="auto"/>
              </w:rPr>
            </w:pPr>
            <w:r>
              <w:rPr>
                <w:rFonts w:ascii="Arial" w:cs="Arial" w:eastAsia="Arial" w:hAnsi="Arial"/>
                <w:sz w:val="15"/>
                <w:szCs w:val="15"/>
                <w:color w:val="auto"/>
                <w:w w:val="87"/>
              </w:rPr>
              <w:t>11/07/2011</w:t>
            </w:r>
          </w:p>
        </w:tc>
        <w:tc>
          <w:tcPr>
            <w:tcW w:w="1380" w:type="dxa"/>
            <w:vAlign w:val="bottom"/>
            <w:gridSpan w:val="3"/>
          </w:tcPr>
          <w:p>
            <w:pPr>
              <w:jc w:val="right"/>
              <w:ind w:right="120"/>
              <w:spacing w:after="0"/>
              <w:rPr>
                <w:sz w:val="20"/>
                <w:szCs w:val="20"/>
                <w:color w:val="auto"/>
              </w:rPr>
            </w:pPr>
            <w:r>
              <w:rPr>
                <w:rFonts w:ascii="Arial" w:cs="Arial" w:eastAsia="Arial" w:hAnsi="Arial"/>
                <w:sz w:val="15"/>
                <w:szCs w:val="15"/>
                <w:color w:val="auto"/>
              </w:rPr>
              <w:t>40,000</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3.00</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120,000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120,000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11,781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color w:val="auto"/>
              </w:rPr>
              <w:t>108,219</w:t>
            </w:r>
          </w:p>
        </w:tc>
      </w:tr>
      <w:tr>
        <w:trPr>
          <w:trHeight w:val="229"/>
        </w:trPr>
        <w:tc>
          <w:tcPr>
            <w:tcW w:w="10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449,080</w:t>
            </w:r>
          </w:p>
        </w:tc>
        <w:tc>
          <w:tcPr>
            <w:tcW w:w="120" w:type="dxa"/>
            <w:vAlign w:val="bottom"/>
            <w:tcBorders>
              <w:bottom w:val="single" w:sz="8" w:color="auto"/>
            </w:tcBorders>
            <w:shd w:val="clear" w:color="auto" w:fill="CCFFCC"/>
          </w:tcPr>
          <w:p>
            <w:pPr>
              <w:spacing w:after="0"/>
              <w:rPr>
                <w:sz w:val="19"/>
                <w:szCs w:val="19"/>
                <w:color w:val="auto"/>
              </w:rPr>
            </w:pPr>
          </w:p>
        </w:tc>
        <w:tc>
          <w:tcPr>
            <w:tcW w:w="480" w:type="dxa"/>
            <w:vAlign w:val="bottom"/>
            <w:tcBorders>
              <w:bottom w:val="single" w:sz="8" w:color="auto"/>
            </w:tcBorders>
            <w:gridSpan w:val="2"/>
            <w:shd w:val="clear" w:color="auto" w:fill="CCFFCC"/>
          </w:tcPr>
          <w:p>
            <w:pPr>
              <w:ind w:left="14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gridSpan w:val="2"/>
            <w:shd w:val="clear" w:color="auto" w:fill="CCFFCC"/>
          </w:tcPr>
          <w:p>
            <w:pPr>
              <w:ind w:left="300"/>
              <w:spacing w:after="0"/>
              <w:rPr>
                <w:sz w:val="20"/>
                <w:szCs w:val="20"/>
                <w:color w:val="auto"/>
              </w:rPr>
            </w:pPr>
            <w:r>
              <w:rPr>
                <w:rFonts w:ascii="Arial" w:cs="Arial" w:eastAsia="Arial" w:hAnsi="Arial"/>
                <w:sz w:val="15"/>
                <w:szCs w:val="15"/>
                <w:color w:val="auto"/>
              </w:rPr>
              <w:t>598,070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*Based on the fair value of common stock of $3.30 per share, at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Nonvested compensation of $598,070 will vest over approximately 2.5 years.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 (Continued)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illustrates the common stock options granted during the period from inception through December 31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gridSpan w:val="4"/>
          </w:tcPr>
          <w:p>
            <w:pPr>
              <w:spacing w:after="0"/>
              <w:rPr>
                <w:sz w:val="20"/>
                <w:szCs w:val="20"/>
                <w:color w:val="auto"/>
              </w:rPr>
            </w:pPr>
            <w:r>
              <w:rPr>
                <w:rFonts w:ascii="Arial" w:cs="Arial" w:eastAsia="Arial" w:hAnsi="Arial"/>
                <w:sz w:val="15"/>
                <w:szCs w:val="15"/>
                <w:i w:val="1"/>
                <w:iCs w:val="1"/>
                <w:color w:val="auto"/>
              </w:rPr>
              <w:t>Grants of Common Stock Options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5"/>
                <w:szCs w:val="15"/>
                <w:color w:val="auto"/>
                <w:w w:val="88"/>
              </w:rPr>
              <w:t>Compensation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color w:val="auto"/>
                <w:w w:val="88"/>
              </w:rPr>
              <w:t>Recognized</w:t>
            </w:r>
          </w:p>
        </w:tc>
        <w:tc>
          <w:tcPr>
            <w:tcW w:w="94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Inception through</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Not Vested at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Grant Date</w:t>
            </w:r>
          </w:p>
        </w:tc>
        <w:tc>
          <w:tcPr>
            <w:tcW w:w="1520" w:type="dxa"/>
            <w:vAlign w:val="bottom"/>
            <w:gridSpan w:val="2"/>
          </w:tcPr>
          <w:p>
            <w:pPr>
              <w:ind w:left="340"/>
              <w:spacing w:after="0"/>
              <w:rPr>
                <w:sz w:val="20"/>
                <w:szCs w:val="20"/>
                <w:color w:val="auto"/>
              </w:rPr>
            </w:pPr>
            <w:r>
              <w:rPr>
                <w:rFonts w:ascii="Arial" w:cs="Arial" w:eastAsia="Arial" w:hAnsi="Arial"/>
                <w:sz w:val="15"/>
                <w:szCs w:val="15"/>
                <w:color w:val="auto"/>
              </w:rPr>
              <w:t># Shares</w:t>
            </w:r>
          </w:p>
        </w:tc>
        <w:tc>
          <w:tcPr>
            <w:tcW w:w="1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w w:val="91"/>
              </w:rPr>
              <w:t>Exercise Price</w:t>
            </w:r>
          </w:p>
        </w:tc>
        <w:tc>
          <w:tcPr>
            <w:tcW w:w="1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auto"/>
              </w:rPr>
              <w:t>FMV at Grant Date</w:t>
            </w:r>
          </w:p>
        </w:tc>
        <w:tc>
          <w:tcPr>
            <w:tcW w:w="1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auto"/>
              </w:rPr>
              <w:t>Total Option Value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6"/>
              <w:spacing w:after="0"/>
              <w:rPr>
                <w:sz w:val="20"/>
                <w:szCs w:val="20"/>
                <w:color w:val="auto"/>
              </w:rPr>
            </w:pPr>
            <w:r>
              <w:rPr>
                <w:rFonts w:ascii="Arial" w:cs="Arial" w:eastAsia="Arial" w:hAnsi="Arial"/>
                <w:sz w:val="15"/>
                <w:szCs w:val="15"/>
                <w:color w:val="auto"/>
                <w:w w:val="92"/>
              </w:rPr>
              <w:t>12/31/11</w:t>
            </w:r>
          </w:p>
        </w:tc>
        <w:tc>
          <w:tcPr>
            <w:tcW w:w="3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92"/>
              </w:rPr>
              <w:t>12/31/11</w:t>
            </w:r>
          </w:p>
        </w:tc>
        <w:tc>
          <w:tcPr>
            <w:tcW w:w="0" w:type="dxa"/>
            <w:vAlign w:val="bottom"/>
          </w:tcPr>
          <w:p>
            <w:pPr>
              <w:spacing w:after="0"/>
              <w:rPr>
                <w:sz w:val="1"/>
                <w:szCs w:val="1"/>
                <w:color w:val="auto"/>
              </w:rPr>
            </w:pPr>
          </w:p>
        </w:tc>
      </w:tr>
      <w:tr>
        <w:trPr>
          <w:trHeight w:val="181"/>
        </w:trPr>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FFCC"/>
          </w:tcPr>
          <w:p>
            <w:pPr>
              <w:spacing w:after="0"/>
              <w:rPr>
                <w:sz w:val="20"/>
                <w:szCs w:val="20"/>
                <w:color w:val="auto"/>
              </w:rPr>
            </w:pPr>
            <w:r>
              <w:rPr>
                <w:rFonts w:ascii="Arial" w:cs="Arial" w:eastAsia="Arial" w:hAnsi="Arial"/>
                <w:sz w:val="15"/>
                <w:szCs w:val="15"/>
                <w:color w:val="auto"/>
              </w:rPr>
              <w:t>Director</w:t>
            </w:r>
          </w:p>
        </w:tc>
        <w:tc>
          <w:tcPr>
            <w:tcW w:w="1740" w:type="dxa"/>
            <w:vAlign w:val="bottom"/>
            <w:gridSpan w:val="3"/>
            <w:shd w:val="clear" w:color="auto" w:fill="CCFFCC"/>
          </w:tcPr>
          <w:p>
            <w:pPr>
              <w:jc w:val="right"/>
              <w:ind w:right="320"/>
              <w:spacing w:after="0"/>
              <w:rPr>
                <w:sz w:val="20"/>
                <w:szCs w:val="20"/>
                <w:color w:val="auto"/>
              </w:rPr>
            </w:pPr>
            <w:r>
              <w:rPr>
                <w:rFonts w:ascii="Arial" w:cs="Arial" w:eastAsia="Arial" w:hAnsi="Arial"/>
                <w:sz w:val="15"/>
                <w:szCs w:val="15"/>
                <w:color w:val="auto"/>
              </w:rPr>
              <w:t>11/6/2011</w:t>
            </w:r>
          </w:p>
        </w:tc>
        <w:tc>
          <w:tcPr>
            <w:tcW w:w="152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13,646</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w:t>
            </w:r>
          </w:p>
        </w:tc>
        <w:tc>
          <w:tcPr>
            <w:tcW w:w="600" w:type="dxa"/>
            <w:vAlign w:val="bottom"/>
            <w:gridSpan w:val="2"/>
            <w:shd w:val="clear" w:color="auto" w:fill="CCFFCC"/>
          </w:tcPr>
          <w:p>
            <w:pPr>
              <w:jc w:val="right"/>
              <w:ind w:right="28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1.8341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jc w:val="right"/>
              <w:ind w:right="2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25,028</w:t>
            </w:r>
          </w:p>
        </w:tc>
        <w:tc>
          <w:tcPr>
            <w:tcW w:w="160" w:type="dxa"/>
            <w:vAlign w:val="bottom"/>
            <w:shd w:val="clear" w:color="auto" w:fill="CCFFCC"/>
          </w:tcPr>
          <w:p>
            <w:pPr>
              <w:spacing w:after="0"/>
              <w:rPr>
                <w:sz w:val="17"/>
                <w:szCs w:val="17"/>
                <w:color w:val="auto"/>
              </w:rPr>
            </w:pP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5"/>
                <w:szCs w:val="15"/>
                <w:color w:val="auto"/>
              </w:rPr>
              <w:t>25,028</w:t>
            </w: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0"/>
        </w:trPr>
        <w:tc>
          <w:tcPr>
            <w:tcW w:w="10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fair value of options granted is estimated on the date of grant using the Black-Scholes option pricing model based on the assumptions in the table below for the years ended December 31, 2011:</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5080" w:type="dxa"/>
            <w:vAlign w:val="bottom"/>
            <w:shd w:val="clear" w:color="auto" w:fill="CCFFCC"/>
          </w:tcPr>
          <w:p>
            <w:pPr>
              <w:spacing w:after="0"/>
              <w:rPr>
                <w:sz w:val="20"/>
                <w:szCs w:val="20"/>
                <w:color w:val="auto"/>
              </w:rPr>
            </w:pPr>
            <w:r>
              <w:rPr>
                <w:rFonts w:ascii="Arial" w:cs="Arial" w:eastAsia="Arial" w:hAnsi="Arial"/>
                <w:sz w:val="15"/>
                <w:szCs w:val="15"/>
                <w:color w:val="auto"/>
              </w:rPr>
              <w:t>Expected life (in years)</w:t>
            </w:r>
          </w:p>
        </w:tc>
        <w:tc>
          <w:tcPr>
            <w:tcW w:w="408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5</w:t>
            </w:r>
          </w:p>
        </w:tc>
      </w:tr>
      <w:tr>
        <w:trPr>
          <w:trHeight w:val="178"/>
        </w:trPr>
        <w:tc>
          <w:tcPr>
            <w:tcW w:w="5080" w:type="dxa"/>
            <w:vAlign w:val="bottom"/>
          </w:tcPr>
          <w:p>
            <w:pPr>
              <w:spacing w:after="0"/>
              <w:rPr>
                <w:sz w:val="20"/>
                <w:szCs w:val="20"/>
                <w:color w:val="auto"/>
              </w:rPr>
            </w:pPr>
            <w:r>
              <w:rPr>
                <w:rFonts w:ascii="Arial" w:cs="Arial" w:eastAsia="Arial" w:hAnsi="Arial"/>
                <w:sz w:val="15"/>
                <w:szCs w:val="15"/>
                <w:color w:val="auto"/>
              </w:rPr>
              <w:t>Risk-free interest rate</w:t>
            </w:r>
          </w:p>
        </w:tc>
        <w:tc>
          <w:tcPr>
            <w:tcW w:w="4080" w:type="dxa"/>
            <w:vAlign w:val="bottom"/>
          </w:tcPr>
          <w:p>
            <w:pPr>
              <w:jc w:val="right"/>
              <w:spacing w:after="0"/>
              <w:rPr>
                <w:sz w:val="20"/>
                <w:szCs w:val="20"/>
                <w:color w:val="auto"/>
              </w:rPr>
            </w:pPr>
            <w:r>
              <w:rPr>
                <w:rFonts w:ascii="Arial" w:cs="Arial" w:eastAsia="Arial" w:hAnsi="Arial"/>
                <w:sz w:val="15"/>
                <w:szCs w:val="15"/>
                <w:color w:val="auto"/>
              </w:rPr>
              <w:t>0.88%</w:t>
            </w:r>
          </w:p>
        </w:tc>
      </w:tr>
      <w:tr>
        <w:trPr>
          <w:trHeight w:val="178"/>
        </w:trPr>
        <w:tc>
          <w:tcPr>
            <w:tcW w:w="5080" w:type="dxa"/>
            <w:vAlign w:val="bottom"/>
            <w:shd w:val="clear" w:color="auto" w:fill="CCFFCC"/>
          </w:tcPr>
          <w:p>
            <w:pPr>
              <w:spacing w:after="0"/>
              <w:rPr>
                <w:sz w:val="20"/>
                <w:szCs w:val="20"/>
                <w:color w:val="auto"/>
              </w:rPr>
            </w:pPr>
            <w:r>
              <w:rPr>
                <w:rFonts w:ascii="Arial" w:cs="Arial" w:eastAsia="Arial" w:hAnsi="Arial"/>
                <w:sz w:val="15"/>
                <w:szCs w:val="15"/>
                <w:color w:val="auto"/>
              </w:rPr>
              <w:t>Volatility</w:t>
            </w:r>
          </w:p>
        </w:tc>
        <w:tc>
          <w:tcPr>
            <w:tcW w:w="4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75%</w:t>
            </w: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Dividend yield</w:t>
            </w:r>
          </w:p>
        </w:tc>
        <w:tc>
          <w:tcPr>
            <w:tcW w:w="4080" w:type="dxa"/>
            <w:vAlign w:val="bottom"/>
          </w:tcPr>
          <w:p>
            <w:pPr>
              <w:jc w:val="right"/>
              <w:ind w:right="66"/>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Income Taxes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differences between income tax computed using the statutory federal (35%) and state (10% net of federal deduction) income tax rates and the income tax provision for the period from inception through December 31, 2011,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Federal income tax benefit at statutory rate</w:t>
            </w:r>
          </w:p>
        </w:tc>
        <w:tc>
          <w:tcPr>
            <w:tcW w:w="1520" w:type="dxa"/>
            <w:vAlign w:val="bottom"/>
            <w:gridSpan w:val="2"/>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5"/>
                <w:szCs w:val="15"/>
                <w:color w:val="auto"/>
              </w:rPr>
              <w:t>(957,000)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State tax benefit, net of federal income tax benefit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(274,000)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Increase in valuation allowance</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ind w:left="340"/>
              <w:spacing w:after="0" w:line="169" w:lineRule="exact"/>
              <w:rPr>
                <w:sz w:val="20"/>
                <w:szCs w:val="20"/>
                <w:color w:val="auto"/>
              </w:rPr>
            </w:pPr>
            <w:r>
              <w:rPr>
                <w:rFonts w:ascii="Arial" w:cs="Arial" w:eastAsia="Arial" w:hAnsi="Arial"/>
                <w:sz w:val="15"/>
                <w:szCs w:val="15"/>
                <w:color w:val="auto"/>
              </w:rPr>
              <w:t>Income tax expense</w:t>
            </w:r>
          </w:p>
        </w:tc>
        <w:tc>
          <w:tcPr>
            <w:tcW w:w="15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846"/>
              <w:spacing w:after="0"/>
              <w:rPr>
                <w:sz w:val="20"/>
                <w:szCs w:val="20"/>
                <w:color w:val="auto"/>
              </w:rPr>
            </w:pPr>
            <w:r>
              <w:rPr>
                <w:rFonts w:ascii="Arial" w:cs="Arial" w:eastAsia="Arial" w:hAnsi="Arial"/>
                <w:sz w:val="15"/>
                <w:szCs w:val="15"/>
                <w:color w:val="auto"/>
                <w:w w:val="89"/>
              </w:rPr>
              <w:t>At December 31, 2011, the temporary differences resulted in net deferred tax assets consisting of the following:</w:t>
            </w: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5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Deferred tax assets resulting from:</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tcPr>
          <w:p>
            <w:pPr>
              <w:ind w:left="120"/>
              <w:spacing w:after="0"/>
              <w:rPr>
                <w:sz w:val="20"/>
                <w:szCs w:val="20"/>
                <w:color w:val="auto"/>
              </w:rPr>
            </w:pPr>
            <w:r>
              <w:rPr>
                <w:rFonts w:ascii="Arial" w:cs="Arial" w:eastAsia="Arial" w:hAnsi="Arial"/>
                <w:sz w:val="15"/>
                <w:szCs w:val="15"/>
                <w:color w:val="auto"/>
              </w:rPr>
              <w:t>Startup costs</w:t>
            </w:r>
          </w:p>
        </w:tc>
        <w:tc>
          <w:tcPr>
            <w:tcW w:w="152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46,000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ind w:left="120"/>
              <w:spacing w:after="0"/>
              <w:rPr>
                <w:sz w:val="20"/>
                <w:szCs w:val="20"/>
                <w:color w:val="auto"/>
              </w:rPr>
            </w:pPr>
            <w:r>
              <w:rPr>
                <w:rFonts w:ascii="Arial" w:cs="Arial" w:eastAsia="Arial" w:hAnsi="Arial"/>
                <w:sz w:val="15"/>
                <w:szCs w:val="15"/>
                <w:color w:val="auto"/>
              </w:rPr>
              <w:t>Estimated net operating loss carryforwards</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1,185,000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Less: valuation allowance</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ind w:left="380"/>
              <w:spacing w:after="0" w:line="169" w:lineRule="exact"/>
              <w:rPr>
                <w:sz w:val="20"/>
                <w:szCs w:val="20"/>
                <w:color w:val="auto"/>
              </w:rPr>
            </w:pPr>
            <w:r>
              <w:rPr>
                <w:rFonts w:ascii="Arial" w:cs="Arial" w:eastAsia="Arial" w:hAnsi="Arial"/>
                <w:sz w:val="15"/>
                <w:szCs w:val="15"/>
                <w:color w:val="auto"/>
              </w:rPr>
              <w:t>Net deferred tax</w:t>
            </w:r>
          </w:p>
        </w:tc>
        <w:tc>
          <w:tcPr>
            <w:tcW w:w="15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1686"/>
              <w:spacing w:after="0"/>
              <w:rPr>
                <w:sz w:val="20"/>
                <w:szCs w:val="20"/>
                <w:color w:val="auto"/>
              </w:rPr>
            </w:pPr>
            <w:r>
              <w:rPr>
                <w:rFonts w:ascii="Arial" w:cs="Arial" w:eastAsia="Arial" w:hAnsi="Arial"/>
                <w:sz w:val="15"/>
                <w:szCs w:val="15"/>
                <w:color w:val="auto"/>
              </w:rPr>
              <w:t>15</w:t>
            </w: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56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4" w:right="219" w:bottom="1440" w:gutter="0" w:footer="0" w:header="0"/>
        </w:sectPr>
      </w:pPr>
    </w:p>
    <w:bookmarkStart w:id="296" w:name="page297"/>
    <w:bookmarkEnd w:id="296"/>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Income Taxes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Lease Obligations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gridSpan w:val="4"/>
          </w:tcPr>
          <w:p>
            <w:pPr>
              <w:jc w:val="right"/>
              <w:ind w:right="1440"/>
              <w:spacing w:after="0"/>
              <w:rPr>
                <w:sz w:val="20"/>
                <w:szCs w:val="20"/>
                <w:color w:val="auto"/>
              </w:rPr>
            </w:pPr>
            <w:r>
              <w:rPr>
                <w:rFonts w:ascii="Arial" w:cs="Arial" w:eastAsia="Arial" w:hAnsi="Arial"/>
                <w:sz w:val="15"/>
                <w:szCs w:val="15"/>
                <w:color w:val="auto"/>
                <w:w w:val="88"/>
              </w:rPr>
              <w:t>Estimated occupancy expense for the remaining lease term based upon lease obligations at December 31, 2011 is as follows: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4"/>
                <w:szCs w:val="24"/>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Year</w:t>
            </w:r>
          </w:p>
        </w:tc>
        <w:tc>
          <w:tcPr>
            <w:tcW w:w="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Amount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642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2012</w:t>
            </w:r>
          </w:p>
        </w:tc>
        <w:tc>
          <w:tcPr>
            <w:tcW w:w="9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100"/>
              <w:spacing w:after="0" w:line="170" w:lineRule="exact"/>
              <w:rPr>
                <w:sz w:val="20"/>
                <w:szCs w:val="20"/>
                <w:color w:val="auto"/>
              </w:rPr>
            </w:pPr>
            <w:r>
              <w:rPr>
                <w:rFonts w:ascii="Arial" w:cs="Arial" w:eastAsia="Arial" w:hAnsi="Arial"/>
                <w:sz w:val="15"/>
                <w:szCs w:val="15"/>
                <w:color w:val="auto"/>
              </w:rPr>
              <w:t>25,824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2013</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25,824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7680" w:type="dxa"/>
            <w:vAlign w:val="bottom"/>
            <w:gridSpan w:val="3"/>
            <w:shd w:val="clear" w:color="auto" w:fill="CCFFC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48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51,648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1160" w:type="dxa"/>
            <w:vAlign w:val="bottom"/>
            <w:tcBorders>
              <w:bottom w:val="single" w:sz="8" w:color="auto"/>
            </w:tcBorders>
          </w:tcPr>
          <w:p>
            <w:pPr>
              <w:spacing w:after="0"/>
              <w:rPr>
                <w:sz w:val="24"/>
                <w:szCs w:val="24"/>
                <w:color w:val="auto"/>
              </w:rPr>
            </w:pPr>
          </w:p>
        </w:tc>
        <w:tc>
          <w:tcPr>
            <w:tcW w:w="6420" w:type="dxa"/>
            <w:vAlign w:val="bottom"/>
            <w:tcBorders>
              <w:top w:val="single" w:sz="8" w:color="CCFFCC"/>
              <w:bottom w:val="single" w:sz="8" w:color="auto"/>
            </w:tcBorders>
          </w:tcPr>
          <w:p>
            <w:pPr>
              <w:jc w:val="right"/>
              <w:ind w:right="1706"/>
              <w:spacing w:after="0"/>
              <w:rPr>
                <w:sz w:val="20"/>
                <w:szCs w:val="20"/>
                <w:color w:val="auto"/>
              </w:rPr>
            </w:pPr>
            <w:r>
              <w:rPr>
                <w:rFonts w:ascii="Arial" w:cs="Arial" w:eastAsia="Arial" w:hAnsi="Arial"/>
                <w:sz w:val="15"/>
                <w:szCs w:val="15"/>
                <w:color w:val="auto"/>
              </w:rPr>
              <w:t>16</w:t>
            </w:r>
          </w:p>
        </w:tc>
        <w:tc>
          <w:tcPr>
            <w:tcW w:w="92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4" w:right="21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Contingencies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Subsequent events have been evaluated through March 2, 2012, the date the financial statements were available to be issued.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sectPr>
      <w:pgSz w:w="11900" w:h="16838" w:orient="portrait"/>
      <w:cols w:equalWidth="0" w:num="1">
        <w:col w:w="11460"/>
      </w:cols>
      <w:pgMar w:left="220" w:top="2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
      <w:numFmt w:val="bullet"/>
      <w:start w:val="1"/>
    </w:lvl>
  </w:abstractNum>
  <w:abstractNum w:abstractNumId="2">
    <w:nsid w:val="75E0858A"/>
    <w:multiLevelType w:val="hybridMultilevel"/>
    <w:lvl w:ilvl="0">
      <w:lvlJc w:val="left"/>
      <w:lvlText w:val="(%1)"/>
      <w:numFmt w:val="lowerLetter"/>
      <w:start w:val="7"/>
    </w:lvl>
  </w:abstractNum>
  <w:abstractNum w:abstractNumId="3">
    <w:nsid w:val="57A61A29"/>
    <w:multiLevelType w:val="hybridMultilevel"/>
    <w:lvl w:ilvl="0">
      <w:lvlJc w:val="left"/>
      <w:lvlText w:val="(%1)"/>
      <w:numFmt w:val="lowerLetter"/>
      <w:start w:val="6"/>
    </w:lvl>
  </w:abstractNum>
  <w:abstractNum w:abstractNumId="4">
    <w:nsid w:val="5399C654"/>
    <w:multiLevelType w:val="hybridMultilevel"/>
    <w:lvl w:ilvl="0">
      <w:lvlJc w:val="left"/>
      <w:lvlText w:val="(%1)"/>
      <w:numFmt w:val="lowerLetter"/>
      <w:start w:val="2"/>
    </w:lvl>
  </w:abstractNum>
  <w:abstractNum w:abstractNumId="5">
    <w:nsid w:val="20EE1348"/>
    <w:multiLevelType w:val="hybridMultilevel"/>
    <w:lvl w:ilvl="0">
      <w:lvlJc w:val="left"/>
      <w:lvlText w:val="(%1)"/>
      <w:numFmt w:val="lowerLetter"/>
      <w:start w:val="3"/>
    </w:lvl>
  </w:abstractNum>
  <w:abstractNum w:abstractNumId="6">
    <w:nsid w:val="4427069A"/>
    <w:multiLevelType w:val="hybridMultilevel"/>
    <w:lvl w:ilvl="0">
      <w:lvlJc w:val="left"/>
      <w:lvlText w:val="·"/>
      <w:numFmt w:val="bullet"/>
      <w:start w:val="1"/>
    </w:lvl>
  </w:abstractNum>
  <w:abstractNum w:abstractNumId="7">
    <w:nsid w:val="B37E80A"/>
    <w:multiLevelType w:val="hybridMultilevel"/>
    <w:lvl w:ilvl="0">
      <w:lvlJc w:val="left"/>
      <w:lvlText w:val="·"/>
      <w:numFmt w:val="bullet"/>
      <w:start w:val="1"/>
    </w:lvl>
  </w:abstractNum>
  <w:abstractNum w:abstractNumId="8">
    <w:nsid w:val="2157F6BC"/>
    <w:multiLevelType w:val="hybridMultilevel"/>
    <w:lvl w:ilvl="0">
      <w:lvlJc w:val="left"/>
      <w:lvlText w:val="(%1)"/>
      <w:numFmt w:val="lowerLetter"/>
      <w:start w:val="1"/>
    </w:lvl>
    <w:lvl w:ilvl="1">
      <w:lvlJc w:val="left"/>
      <w:lvlText w:val="-"/>
      <w:numFmt w:val="bullet"/>
      <w:start w:val="1"/>
    </w:lvl>
  </w:abstractNum>
  <w:abstractNum w:abstractNumId="9">
    <w:nsid w:val="704E1DD5"/>
    <w:multiLevelType w:val="hybridMultilevel"/>
    <w:lvl w:ilvl="0">
      <w:lvlJc w:val="left"/>
      <w:lvlText w:val="(%1)"/>
      <w:numFmt w:val="lowerLetter"/>
      <w:start w:val="2"/>
    </w:lvl>
  </w:abstractNum>
  <w:abstractNum w:abstractNumId="10">
    <w:nsid w:val="57D2F10E"/>
    <w:multiLevelType w:val="hybridMultilevel"/>
    <w:lvl w:ilvl="0">
      <w:lvlJc w:val="left"/>
      <w:lvlText w:val="(%1)"/>
      <w:numFmt w:val="lowerLetter"/>
      <w:start w:val="1"/>
    </w:lvl>
  </w:abstractNum>
  <w:abstractNum w:abstractNumId="11">
    <w:nsid w:val="BFFAE18"/>
    <w:multiLevelType w:val="hybridMultilevel"/>
    <w:lvl w:ilvl="0">
      <w:lvlJc w:val="left"/>
      <w:lvlText w:val="(%1)"/>
      <w:numFmt w:val="lowerLetter"/>
      <w:start w:val="1"/>
    </w:lvl>
  </w:abstractNum>
  <w:abstractNum w:abstractNumId="12">
    <w:nsid w:val="E3E47A8"/>
    <w:multiLevelType w:val="hybridMultilevel"/>
    <w:lvl w:ilvl="0">
      <w:lvlJc w:val="left"/>
      <w:lvlText w:val="(%1)"/>
      <w:numFmt w:val="lowerLetter"/>
      <w:start w:val="1"/>
    </w:lvl>
  </w:abstractNum>
  <w:abstractNum w:abstractNumId="13">
    <w:nsid w:val="2E48F044"/>
    <w:multiLevelType w:val="hybridMultilevel"/>
    <w:lvl w:ilvl="0">
      <w:lvlJc w:val="left"/>
      <w:lvlText w:val="(%1)"/>
      <w:numFmt w:val="lowerLetter"/>
      <w:start w:val="1"/>
    </w:lvl>
    <w:lvl w:ilvl="1">
      <w:lvlJc w:val="left"/>
      <w:lvlText w:val="-"/>
      <w:numFmt w:val="bullet"/>
      <w:start w:val="1"/>
    </w:lvl>
  </w:abstractNum>
  <w:abstractNum w:abstractNumId="14">
    <w:nsid w:val="49D0FEAC"/>
    <w:multiLevelType w:val="hybridMultilevel"/>
    <w:lvl w:ilvl="0">
      <w:lvlJc w:val="left"/>
      <w:lvlText w:val="(%1)"/>
      <w:numFmt w:val="lowerLetter"/>
      <w:start w:val="3"/>
    </w:lvl>
    <w:lvl w:ilvl="1">
      <w:lvlJc w:val="left"/>
      <w:lvlText w:val="-"/>
      <w:numFmt w:val="bullet"/>
      <w:start w:val="1"/>
    </w:lvl>
  </w:abstractNum>
  <w:abstractNum w:abstractNumId="15">
    <w:nsid w:val="4BEE5A5B"/>
    <w:multiLevelType w:val="hybridMultilevel"/>
    <w:lvl w:ilvl="0">
      <w:lvlJc w:val="left"/>
      <w:lvlText w:val="(%1)"/>
      <w:numFmt w:val="lowerLetter"/>
      <w:start w:val="1"/>
    </w:lvl>
    <w:lvl w:ilvl="1">
      <w:lvlJc w:val="left"/>
      <w:lvlText w:val="-"/>
      <w:numFmt w:val="bullet"/>
      <w:start w:val="1"/>
    </w:lvl>
  </w:abstractNum>
  <w:abstractNum w:abstractNumId="16">
    <w:nsid w:val="5551B9F3"/>
    <w:multiLevelType w:val="hybridMultilevel"/>
    <w:lvl w:ilvl="0">
      <w:lvlJc w:val="left"/>
      <w:lvlText w:val="(%1)"/>
      <w:numFmt w:val="lowerLetter"/>
      <w:start w:val="6"/>
    </w:lvl>
  </w:abstractNum>
  <w:abstractNum w:abstractNumId="17">
    <w:nsid w:val="24F6AB8E"/>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8">
    <w:nsid w:val="634C574C"/>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19">
    <w:nsid w:val="24E99DD7"/>
    <w:multiLevelType w:val="hybridMultilevel"/>
    <w:lvl w:ilvl="0">
      <w:lvlJc w:val="left"/>
      <w:lvlText w:val="(%1)"/>
      <w:numFmt w:val="lowerLetter"/>
      <w:start w:val="3"/>
    </w:lvl>
  </w:abstractNum>
  <w:abstractNum w:abstractNumId="20">
    <w:nsid w:val="2A31B62D"/>
    <w:multiLevelType w:val="hybridMultilevel"/>
    <w:lvl w:ilvl="0">
      <w:lvlJc w:val="left"/>
      <w:lvlText w:val="(%1)"/>
      <w:numFmt w:val="lowerLetter"/>
      <w:start w:val="1"/>
    </w:lvl>
    <w:lvl w:ilvl="1">
      <w:lvlJc w:val="left"/>
      <w:lvlText w:val="-"/>
      <w:numFmt w:val="bullet"/>
      <w:start w:val="1"/>
    </w:lvl>
  </w:abstractNum>
  <w:abstractNum w:abstractNumId="21">
    <w:nsid w:val="1849C29B"/>
    <w:multiLevelType w:val="hybridMultilevel"/>
    <w:lvl w:ilvl="0">
      <w:lvlJc w:val="left"/>
      <w:lvlText w:val="(%1)"/>
      <w:numFmt w:val="lowerLetter"/>
      <w:start w:val="2"/>
    </w:lvl>
  </w:abstractNum>
  <w:abstractNum w:abstractNumId="22">
    <w:nsid w:val="7DFF9D09"/>
    <w:multiLevelType w:val="hybridMultilevel"/>
    <w:lvl w:ilvl="0">
      <w:lvlJc w:val="left"/>
      <w:lvlText w:val="%1"/>
      <w:numFmt w:val="decimal"/>
      <w:start w:val="1"/>
    </w:lvl>
    <w:lvl w:ilvl="1">
      <w:lvlJc w:val="left"/>
      <w:lvlText w:val="(%2)"/>
      <w:numFmt w:val="lowerLetter"/>
      <w:start w:val="1"/>
    </w:lvl>
  </w:abstractNum>
  <w:abstractNum w:abstractNumId="23">
    <w:nsid w:val="754342"/>
    <w:multiLevelType w:val="hybridMultilevel"/>
    <w:lvl w:ilvl="0">
      <w:lvlJc w:val="left"/>
      <w:lvlText w:val="(%1)"/>
      <w:numFmt w:val="decimal"/>
      <w:start w:val="30"/>
    </w:lvl>
    <w:lvl w:ilvl="1">
      <w:lvlJc w:val="left"/>
      <w:lvlText w:val="(%2)"/>
      <w:numFmt w:val="lowerLetter"/>
      <w:start w:val="2"/>
    </w:lvl>
  </w:abstractNum>
  <w:abstractNum w:abstractNumId="24">
    <w:nsid w:val="69E7F3E5"/>
    <w:multiLevelType w:val="hybridMultilevel"/>
    <w:lvl w:ilvl="0">
      <w:lvlJc w:val="left"/>
      <w:lvlText w:val="(%1)"/>
      <w:numFmt w:val="lowerLetter"/>
      <w:start w:val="1"/>
    </w:lvl>
    <w:lvl w:ilvl="1">
      <w:lvlJc w:val="left"/>
      <w:lvlText w:val="-"/>
      <w:numFmt w:val="bullet"/>
      <w:start w:val="1"/>
    </w:lvl>
  </w:abstractNum>
  <w:abstractNum w:abstractNumId="25">
    <w:nsid w:val="2A6DE806"/>
    <w:multiLevelType w:val="hybridMultilevel"/>
    <w:lvl w:ilvl="0">
      <w:lvlJc w:val="left"/>
      <w:lvlText w:val="(%1)"/>
      <w:numFmt w:val="lowerLetter"/>
      <w:start w:val="3"/>
    </w:lvl>
  </w:abstractNum>
  <w:abstractNum w:abstractNumId="26">
    <w:nsid w:val="1816F8C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37DF2233"/>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8">
    <w:nsid w:val="7AB49DAF"/>
    <w:multiLevelType w:val="hybridMultilevel"/>
    <w:lvl w:ilvl="0">
      <w:lvlJc w:val="left"/>
      <w:lvlText w:val="(%1)"/>
      <w:numFmt w:val="lowerLetter"/>
      <w:start w:val="1"/>
    </w:lvl>
    <w:lvl w:ilvl="1">
      <w:lvlJc w:val="left"/>
      <w:lvlText w:val="-"/>
      <w:numFmt w:val="bullet"/>
      <w:start w:val="1"/>
    </w:lvl>
  </w:abstractNum>
  <w:abstractNum w:abstractNumId="29">
    <w:nsid w:val="759F82CD"/>
    <w:multiLevelType w:val="hybridMultilevel"/>
    <w:lvl w:ilvl="0">
      <w:lvlJc w:val="left"/>
      <w:lvlText w:val="(%1)"/>
      <w:numFmt w:val="lowerLetter"/>
      <w:start w:val="1"/>
    </w:lvl>
  </w:abstractNum>
  <w:abstractNum w:abstractNumId="30">
    <w:nsid w:val="61E74EA3"/>
    <w:multiLevelType w:val="hybridMultilevel"/>
    <w:lvl w:ilvl="0">
      <w:lvlJc w:val="left"/>
      <w:lvlText w:val="(%1)"/>
      <w:numFmt w:val="lowerLetter"/>
      <w:start w:val="1"/>
    </w:lvl>
  </w:abstractNum>
  <w:abstractNum w:abstractNumId="31">
    <w:nsid w:val="597B4D84"/>
    <w:multiLevelType w:val="hybridMultilevel"/>
    <w:lvl w:ilvl="0">
      <w:lvlJc w:val="left"/>
      <w:lvlText w:val="(%1)"/>
      <w:numFmt w:val="lowerRoman"/>
      <w:start w:val="1"/>
    </w:lvl>
    <w:lvl w:ilvl="1">
      <w:lvlJc w:val="left"/>
      <w:lvlText w:val="(%2)"/>
      <w:numFmt w:val="lowerRoman"/>
      <w:start w:val="3"/>
    </w:lvl>
  </w:abstractNum>
  <w:abstractNum w:abstractNumId="32">
    <w:nsid w:val="F819E7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3">
    <w:nsid w:val="57C7D42D"/>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4">
    <w:nsid w:val="312167AD"/>
    <w:multiLevelType w:val="hybridMultilevel"/>
    <w:lvl w:ilvl="0">
      <w:lvlJc w:val="left"/>
      <w:lvlText w:val="(%1)"/>
      <w:numFmt w:val="lowerLetter"/>
      <w:start w:val="1"/>
    </w:lvl>
  </w:abstractNum>
  <w:abstractNum w:abstractNumId="35">
    <w:nsid w:val="631B64D4"/>
    <w:multiLevelType w:val="hybridMultilevel"/>
    <w:lvl w:ilvl="0">
      <w:lvlJc w:val="left"/>
      <w:lvlText w:val="(%1)"/>
      <w:numFmt w:val="lowerLetter"/>
      <w:start w:val="1"/>
    </w:lvl>
  </w:abstractNum>
  <w:abstractNum w:abstractNumId="36">
    <w:nsid w:val="78B5E776"/>
    <w:multiLevelType w:val="hybridMultilevel"/>
    <w:lvl w:ilvl="0">
      <w:lvlJc w:val="left"/>
      <w:lvlText w:val="(%1)"/>
      <w:numFmt w:val="lowerLetter"/>
      <w:start w:val="1"/>
    </w:lvl>
  </w:abstractNum>
  <w:abstractNum w:abstractNumId="37">
    <w:nsid w:val="75486E47"/>
    <w:multiLevelType w:val="hybridMultilevel"/>
    <w:lvl w:ilvl="0">
      <w:lvlJc w:val="left"/>
      <w:lvlText w:val="(%1)"/>
      <w:numFmt w:val="lowerLetter"/>
      <w:start w:val="2"/>
    </w:lvl>
  </w:abstractNum>
  <w:abstractNum w:abstractNumId="38">
    <w:nsid w:val="6E534CDE"/>
    <w:multiLevelType w:val="hybridMultilevel"/>
    <w:lvl w:ilvl="0">
      <w:lvlJc w:val="left"/>
      <w:lvlText w:val="(%1)"/>
      <w:numFmt w:val="lowerLetter"/>
      <w:start w:val="1"/>
    </w:lvl>
    <w:lvl w:ilvl="1">
      <w:lvlJc w:val="left"/>
      <w:lvlText w:val="-"/>
      <w:numFmt w:val="bullet"/>
      <w:start w:val="1"/>
    </w:lvl>
  </w:abstractNum>
  <w:abstractNum w:abstractNumId="39">
    <w:nsid w:val="1A0DDE32"/>
    <w:multiLevelType w:val="hybridMultilevel"/>
    <w:lvl w:ilvl="0">
      <w:lvlJc w:val="left"/>
      <w:lvlText w:val="(%1)"/>
      <w:numFmt w:val="lowerLetter"/>
      <w:start w:val="2"/>
    </w:lvl>
    <w:lvl w:ilvl="1">
      <w:lvlJc w:val="left"/>
      <w:lvlText w:val="-"/>
      <w:numFmt w:val="bullet"/>
      <w:start w:val="1"/>
    </w:lvl>
  </w:abstractNum>
  <w:abstractNum w:abstractNumId="40">
    <w:nsid w:val="65968C1C"/>
    <w:multiLevelType w:val="hybridMultilevel"/>
    <w:lvl w:ilvl="0">
      <w:lvlJc w:val="left"/>
      <w:lvlText w:val="%1"/>
      <w:numFmt w:val="upperLetter"/>
      <w:start w:val="1"/>
    </w:lvl>
    <w:lvl w:ilvl="1">
      <w:lvlJc w:val="left"/>
      <w:lvlText w:val="(%2)"/>
      <w:numFmt w:val="lowerLetter"/>
      <w:start w:val="4"/>
    </w:lvl>
  </w:abstractNum>
  <w:abstractNum w:abstractNumId="41">
    <w:nsid w:val="46263DEC"/>
    <w:multiLevelType w:val="hybridMultilevel"/>
    <w:lvl w:ilvl="0">
      <w:lvlJc w:val="left"/>
      <w:lvlText w:val="(%1)"/>
      <w:numFmt w:val="upperLetter"/>
      <w:start w:val="2"/>
    </w:lvl>
    <w:lvl w:ilvl="1">
      <w:lvlJc w:val="left"/>
      <w:lvlText w:val="%2"/>
      <w:numFmt w:val="lowerLetter"/>
      <w:start w:val="1"/>
    </w:lvl>
  </w:abstractNum>
  <w:abstractNum w:abstractNumId="42">
    <w:nsid w:val="260D8C4A"/>
    <w:multiLevelType w:val="hybridMultilevel"/>
    <w:lvl w:ilvl="0">
      <w:lvlJc w:val="left"/>
      <w:lvlText w:val="(%1)"/>
      <w:numFmt w:val="lowerLetter"/>
      <w:start w:val="1"/>
    </w:lvl>
  </w:abstractNum>
  <w:abstractNum w:abstractNumId="43">
    <w:nsid w:val="73D4D3C4"/>
    <w:multiLevelType w:val="hybridMultilevel"/>
    <w:lvl w:ilvl="0">
      <w:lvlJc w:val="left"/>
      <w:lvlText w:val="(%1)"/>
      <w:numFmt w:val="lowerRoman"/>
      <w:start w:val="4"/>
    </w:lvl>
    <w:lvl w:ilvl="1">
      <w:lvlJc w:val="left"/>
      <w:lvlText w:val="-"/>
      <w:numFmt w:val="bullet"/>
      <w:start w:val="1"/>
    </w:lvl>
  </w:abstractNum>
  <w:abstractNum w:abstractNumId="44">
    <w:nsid w:val="746F2E30"/>
    <w:multiLevelType w:val="hybridMultilevel"/>
    <w:lvl w:ilvl="0">
      <w:lvlJc w:val="left"/>
      <w:lvlText w:val="(%1)"/>
      <w:numFmt w:val="lowerLetter"/>
      <w:start w:val="1"/>
    </w:lvl>
  </w:abstractNum>
  <w:abstractNum w:abstractNumId="45">
    <w:nsid w:val="6FDE8AF6"/>
    <w:multiLevelType w:val="hybridMultilevel"/>
    <w:lvl w:ilvl="0">
      <w:lvlJc w:val="left"/>
      <w:lvlText w:val="(%1)"/>
      <w:numFmt w:val="lowerLetter"/>
      <w:start w:val="1"/>
    </w:lvl>
    <w:lvl w:ilvl="1">
      <w:lvlJc w:val="left"/>
      <w:lvlText w:val="-"/>
      <w:numFmt w:val="bullet"/>
      <w:start w:val="1"/>
    </w:lvl>
  </w:abstractNum>
  <w:abstractNum w:abstractNumId="46">
    <w:nsid w:val="3FC32E20"/>
    <w:multiLevelType w:val="hybridMultilevel"/>
    <w:lvl w:ilvl="0">
      <w:lvlJc w:val="left"/>
      <w:lvlText w:val="(%1)"/>
      <w:numFmt w:val="lowerLetter"/>
      <w:start w:val="2"/>
    </w:lvl>
  </w:abstractNum>
  <w:abstractNum w:abstractNumId="47">
    <w:nsid w:val="49C0E823"/>
    <w:multiLevelType w:val="hybridMultilevel"/>
    <w:lvl w:ilvl="0">
      <w:lvlJc w:val="left"/>
      <w:lvlText w:val="(%1)"/>
      <w:numFmt w:val="lowerLetter"/>
      <w:start w:val="1"/>
    </w:lvl>
    <w:lvl w:ilvl="1">
      <w:lvlJc w:val="left"/>
      <w:lvlText w:val="-"/>
      <w:numFmt w:val="bullet"/>
      <w:start w:val="1"/>
    </w:lvl>
  </w:abstractNum>
  <w:abstractNum w:abstractNumId="48">
    <w:nsid w:val="14D53685"/>
    <w:multiLevelType w:val="hybridMultilevel"/>
    <w:lvl w:ilvl="0">
      <w:lvlJc w:val="left"/>
      <w:lvlText w:val="(%1)"/>
      <w:numFmt w:val="lowerLetter"/>
      <w:start w:val="1"/>
    </w:lvl>
  </w:abstractNum>
  <w:abstractNum w:abstractNumId="49">
    <w:nsid w:val="230F856C"/>
    <w:multiLevelType w:val="hybridMultilevel"/>
    <w:lvl w:ilvl="0">
      <w:lvlJc w:val="left"/>
      <w:lvlText w:val="(%1)"/>
      <w:numFmt w:val="lowerLetter"/>
      <w:start w:val="1"/>
    </w:lvl>
    <w:lvl w:ilvl="1">
      <w:lvlJc w:val="left"/>
      <w:lvlText w:val="-"/>
      <w:numFmt w:val="bullet"/>
      <w:start w:val="1"/>
    </w:lvl>
  </w:abstractNum>
  <w:abstractNum w:abstractNumId="50">
    <w:nsid w:val="6EAA85FB"/>
    <w:multiLevelType w:val="hybridMultilevel"/>
    <w:lvl w:ilvl="0">
      <w:lvlJc w:val="left"/>
      <w:lvlText w:val="(%1)"/>
      <w:numFmt w:val="lowerLetter"/>
      <w:start w:val="1"/>
    </w:lvl>
  </w:abstractNum>
  <w:abstractNum w:abstractNumId="51">
    <w:nsid w:val="3F06ECB2"/>
    <w:multiLevelType w:val="hybridMultilevel"/>
    <w:lvl w:ilvl="0">
      <w:lvlJc w:val="left"/>
      <w:lvlText w:val="(%1)"/>
      <w:numFmt w:val="lowerLetter"/>
      <w:start w:val="1"/>
    </w:lvl>
  </w:abstractNum>
  <w:abstractNum w:abstractNumId="52">
    <w:nsid w:val="3B594807"/>
    <w:multiLevelType w:val="hybridMultilevel"/>
    <w:lvl w:ilvl="0">
      <w:lvlJc w:val="left"/>
      <w:lvlText w:val="(%1)"/>
      <w:numFmt w:val="lowerLetter"/>
      <w:start w:val="1"/>
    </w:lvl>
    <w:lvl w:ilvl="1">
      <w:lvlJc w:val="left"/>
      <w:lvlText w:val="-"/>
      <w:numFmt w:val="bullet"/>
      <w:start w:val="1"/>
    </w:lvl>
  </w:abstractNum>
  <w:abstractNum w:abstractNumId="53">
    <w:nsid w:val="6CAA23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
    <w:nsid w:val="3F7C2F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lvl w:ilvl="3">
      <w:lvlJc w:val="left"/>
      <w:lvlText w:val="-"/>
      <w:numFmt w:val="bullet"/>
      <w:start w:val="1"/>
    </w:lvl>
  </w:abstractNum>
  <w:abstractNum w:abstractNumId="55">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lvl w:ilvl="3">
      <w:lvlJc w:val="left"/>
      <w:lvlText w:val="-"/>
      <w:numFmt w:val="bullet"/>
      <w:start w:val="1"/>
    </w:lvl>
  </w:abstractNum>
  <w:abstractNum w:abstractNumId="56">
    <w:nsid w:val="17180B0B"/>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57">
    <w:nsid w:val="579328B9"/>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58">
    <w:nsid w:val="5D205E2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9">
    <w:nsid w:val="11CCA8BA"/>
    <w:multiLevelType w:val="hybridMultilevel"/>
    <w:lvl w:ilvl="0">
      <w:lvlJc w:val="left"/>
      <w:lvlText w:val="(%1)"/>
      <w:numFmt w:val="lowerRoman"/>
      <w:start w:val="2"/>
    </w:lvl>
  </w:abstractNum>
  <w:abstractNum w:abstractNumId="60">
    <w:nsid w:val="4D32AB86"/>
    <w:multiLevelType w:val="hybridMultilevel"/>
    <w:lvl w:ilvl="0">
      <w:lvlJc w:val="left"/>
      <w:lvlText w:val="(%1)"/>
      <w:numFmt w:val="lowerLetter"/>
      <w:start w:val="1"/>
    </w:lvl>
    <w:lvl w:ilvl="1">
      <w:lvlJc w:val="left"/>
      <w:lvlText w:val="-"/>
      <w:numFmt w:val="bullet"/>
      <w:start w:val="1"/>
    </w:lvl>
  </w:abstractNum>
  <w:abstractNum w:abstractNumId="61">
    <w:nsid w:val="3F07ACC3"/>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62">
    <w:nsid w:val="6B47F63E"/>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63">
    <w:nsid w:val="5CB44A05"/>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4">
    <w:nsid w:val="16CF80F1"/>
    <w:multiLevelType w:val="hybridMultilevel"/>
    <w:lvl w:ilvl="0">
      <w:lvlJc w:val="left"/>
      <w:lvlText w:val="(%1)"/>
      <w:numFmt w:val="lowerLetter"/>
      <w:start w:val="1"/>
    </w:lvl>
    <w:lvl w:ilvl="1">
      <w:lvlJc w:val="left"/>
      <w:lvlText w:val="-"/>
      <w:numFmt w:val="bullet"/>
      <w:start w:val="1"/>
    </w:lvl>
  </w:abstractNum>
  <w:abstractNum w:abstractNumId="65">
    <w:nsid w:val="1C695DEC"/>
    <w:multiLevelType w:val="hybridMultilevel"/>
    <w:lvl w:ilvl="0">
      <w:lvlJc w:val="left"/>
      <w:lvlText w:val="(%1)"/>
      <w:numFmt w:val="lowerLetter"/>
      <w:start w:val="3"/>
    </w:lvl>
    <w:lvl w:ilvl="1">
      <w:lvlJc w:val="left"/>
      <w:lvlText w:val="-"/>
      <w:numFmt w:val="bullet"/>
      <w:start w:val="1"/>
    </w:lvl>
  </w:abstractNum>
  <w:abstractNum w:abstractNumId="66">
    <w:nsid w:val="3FCFAED9"/>
    <w:multiLevelType w:val="hybridMultilevel"/>
    <w:lvl w:ilvl="0">
      <w:lvlJc w:val="left"/>
      <w:lvlText w:val="(%1)"/>
      <w:numFmt w:val="lowerLetter"/>
      <w:start w:val="5"/>
    </w:lvl>
  </w:abstractNum>
  <w:abstractNum w:abstractNumId="67">
    <w:nsid w:val="F856867"/>
    <w:multiLevelType w:val="hybridMultilevel"/>
    <w:lvl w:ilvl="0">
      <w:lvlJc w:val="left"/>
      <w:lvlText w:val="(%1)"/>
      <w:numFmt w:val="lowerLetter"/>
      <w:start w:val="1"/>
    </w:lvl>
    <w:lvl w:ilvl="1">
      <w:lvlJc w:val="left"/>
      <w:lvlText w:val="-"/>
      <w:numFmt w:val="bullet"/>
      <w:start w:val="1"/>
    </w:lvl>
  </w:abstractNum>
  <w:abstractNum w:abstractNumId="68">
    <w:nsid w:val="11B1CC33"/>
    <w:multiLevelType w:val="hybridMultilevel"/>
    <w:lvl w:ilvl="0">
      <w:lvlJc w:val="left"/>
      <w:lvlText w:val="(%1)"/>
      <w:numFmt w:val="lowerLetter"/>
      <w:start w:val="2"/>
    </w:lvl>
  </w:abstractNum>
  <w:abstractNum w:abstractNumId="69">
    <w:nsid w:val="2E22FBB7"/>
    <w:multiLevelType w:val="hybridMultilevel"/>
    <w:lvl w:ilvl="0">
      <w:lvlJc w:val="left"/>
      <w:lvlText w:val="(%1)"/>
      <w:numFmt w:val="lowerLetter"/>
      <w:start w:val="1"/>
    </w:lvl>
  </w:abstractNum>
  <w:abstractNum w:abstractNumId="70">
    <w:nsid w:val="29934699"/>
    <w:multiLevelType w:val="hybridMultilevel"/>
    <w:lvl w:ilvl="0">
      <w:lvlJc w:val="left"/>
      <w:lvlText w:val="(%1)"/>
      <w:numFmt w:val="lowerLetter"/>
      <w:start w:val="1"/>
    </w:lvl>
    <w:lvl w:ilvl="1">
      <w:lvlJc w:val="left"/>
      <w:lvlText w:val="-"/>
      <w:numFmt w:val="bullet"/>
      <w:start w:val="1"/>
    </w:lvl>
  </w:abstractNum>
  <w:abstractNum w:abstractNumId="71">
    <w:nsid w:val="77485850"/>
    <w:multiLevelType w:val="hybridMultilevel"/>
    <w:lvl w:ilvl="0">
      <w:lvlJc w:val="left"/>
      <w:lvlText w:val="(%1)"/>
      <w:numFmt w:val="lowerLetter"/>
      <w:start w:val="2"/>
    </w:lvl>
  </w:abstractNum>
  <w:abstractNum w:abstractNumId="72">
    <w:nsid w:val="744939A3"/>
    <w:multiLevelType w:val="hybridMultilevel"/>
    <w:lvl w:ilvl="0">
      <w:lvlJc w:val="left"/>
      <w:lvlText w:val="(%1)"/>
      <w:numFmt w:val="lowerLetter"/>
      <w:start w:val="1"/>
    </w:lvl>
  </w:abstractNum>
  <w:abstractNum w:abstractNumId="73">
    <w:nsid w:val="4FA0D2E3"/>
    <w:multiLevelType w:val="hybridMultilevel"/>
    <w:lvl w:ilvl="0">
      <w:lvlJc w:val="left"/>
      <w:lvlText w:val="(%1)"/>
      <w:numFmt w:val="lowerLetter"/>
      <w:start w:val="1"/>
    </w:lvl>
  </w:abstractNum>
  <w:abstractNum w:abstractNumId="74">
    <w:nsid w:val="6B1D2C14"/>
    <w:multiLevelType w:val="hybridMultilevel"/>
    <w:lvl w:ilvl="0">
      <w:lvlJc w:val="left"/>
      <w:lvlText w:val="(%1)"/>
      <w:numFmt w:val="lowerLetter"/>
      <w:start w:val="1"/>
    </w:lvl>
    <w:lvl w:ilvl="1">
      <w:lvlJc w:val="left"/>
      <w:lvlText w:val="-"/>
      <w:numFmt w:val="bullet"/>
      <w:start w:val="1"/>
    </w:lvl>
  </w:abstractNum>
  <w:abstractNum w:abstractNumId="75">
    <w:nsid w:val="68B867D3"/>
    <w:multiLevelType w:val="hybridMultilevel"/>
    <w:lvl w:ilvl="0">
      <w:lvlJc w:val="left"/>
      <w:lvlText w:val="(%1)"/>
      <w:numFmt w:val="lowerLetter"/>
      <w:start w:val="1"/>
    </w:lvl>
    <w:lvl w:ilvl="1">
      <w:lvlJc w:val="left"/>
      <w:lvlText w:val="-"/>
      <w:numFmt w:val="bullet"/>
      <w:start w:val="1"/>
    </w:lvl>
  </w:abstractNum>
  <w:abstractNum w:abstractNumId="76">
    <w:nsid w:val="3F7F5DD9"/>
    <w:multiLevelType w:val="hybridMultilevel"/>
    <w:lvl w:ilvl="0">
      <w:lvlJc w:val="left"/>
      <w:lvlText w:val="%1"/>
      <w:numFmt w:val="lowerLetter"/>
      <w:start w:val="1"/>
    </w:lvl>
    <w:lvl w:ilvl="1">
      <w:lvlJc w:val="left"/>
      <w:lvlText w:val="(%2)"/>
      <w:numFmt w:val="lowerLetter"/>
      <w:start w:val="4"/>
    </w:lvl>
  </w:abstractNum>
  <w:abstractNum w:abstractNumId="77">
    <w:nsid w:val="2AE05A34"/>
    <w:multiLevelType w:val="hybridMultilevel"/>
    <w:lvl w:ilvl="0">
      <w:lvlJc w:val="left"/>
      <w:lvlText w:val="(%1)"/>
      <w:numFmt w:val="lowerLetter"/>
      <w:start w:val="35"/>
    </w:lvl>
    <w:lvl w:ilvl="1">
      <w:lvlJc w:val="left"/>
      <w:lvlText w:val="%2"/>
      <w:numFmt w:val="lowerLetter"/>
      <w:start w:val="1"/>
    </w:lvl>
  </w:abstractNum>
  <w:abstractNum w:abstractNumId="78">
    <w:nsid w:val="32794FF7"/>
    <w:multiLevelType w:val="hybridMultilevel"/>
    <w:lvl w:ilvl="0">
      <w:lvlJc w:val="left"/>
      <w:lvlText w:val="%1"/>
      <w:numFmt w:val="lowerLetter"/>
      <w:start w:val="1"/>
    </w:lvl>
    <w:lvl w:ilvl="1">
      <w:lvlJc w:val="left"/>
      <w:lvlText w:val="(%2)"/>
      <w:numFmt w:val="lowerLetter"/>
      <w:start w:val="1"/>
    </w:lvl>
  </w:abstractNum>
  <w:abstractNum w:abstractNumId="79">
    <w:nsid w:val="5454945E"/>
    <w:multiLevelType w:val="hybridMultilevel"/>
    <w:lvl w:ilvl="0">
      <w:lvlJc w:val="left"/>
      <w:lvlText w:val="(%1)"/>
      <w:numFmt w:val="lowerLetter"/>
      <w:start w:val="61"/>
    </w:lvl>
    <w:lvl w:ilvl="1">
      <w:lvlJc w:val="left"/>
      <w:lvlText w:val="%2"/>
      <w:numFmt w:val="lowerLetter"/>
      <w:start w:val="1"/>
    </w:lvl>
  </w:abstractNum>
  <w:abstractNum w:abstractNumId="80">
    <w:nsid w:val="4DEFDFA0"/>
    <w:multiLevelType w:val="hybridMultilevel"/>
    <w:lvl w:ilvl="0">
      <w:lvlJc w:val="left"/>
      <w:lvlText w:val="(%1)"/>
      <w:numFmt w:val="lowerLetter"/>
      <w:start w:val="1"/>
    </w:lvl>
    <w:lvl w:ilvl="1">
      <w:lvlJc w:val="left"/>
      <w:lvlText w:val="-"/>
      <w:numFmt w:val="bullet"/>
      <w:start w:val="1"/>
    </w:lvl>
  </w:abstractNum>
  <w:abstractNum w:abstractNumId="81">
    <w:nsid w:val="2123D5F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2">
    <w:nsid w:val="135B8110"/>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3">
    <w:nsid w:val="94927A8"/>
    <w:multiLevelType w:val="hybridMultilevel"/>
    <w:lvl w:ilvl="0">
      <w:lvlJc w:val="left"/>
      <w:lvlText w:val="(%1)"/>
      <w:numFmt w:val="lowerLetter"/>
      <w:start w:val="10"/>
    </w:lvl>
  </w:abstractNum>
  <w:abstractNum w:abstractNumId="84">
    <w:nsid w:val="DCDF8F6"/>
    <w:multiLevelType w:val="hybridMultilevel"/>
    <w:lvl w:ilvl="0">
      <w:lvlJc w:val="left"/>
      <w:lvlText w:val="(%1)"/>
      <w:numFmt w:val="lowerLetter"/>
      <w:start w:val="1"/>
    </w:lvl>
    <w:lvl w:ilvl="1">
      <w:lvlJc w:val="left"/>
      <w:lvlText w:val="-"/>
      <w:numFmt w:val="bullet"/>
      <w:start w:val="1"/>
    </w:lvl>
  </w:abstractNum>
  <w:abstractNum w:abstractNumId="85">
    <w:nsid w:val="52D7B105"/>
    <w:multiLevelType w:val="hybridMultilevel"/>
    <w:lvl w:ilvl="0">
      <w:lvlJc w:val="left"/>
      <w:lvlText w:val="(%1)"/>
      <w:numFmt w:val="lowerLetter"/>
      <w:start w:val="3"/>
    </w:lvl>
  </w:abstractNum>
  <w:abstractNum w:abstractNumId="86">
    <w:nsid w:val="2E8A6394"/>
    <w:multiLevelType w:val="hybridMultilevel"/>
    <w:lvl w:ilvl="0">
      <w:lvlJc w:val="left"/>
      <w:lvlText w:val="(%1)"/>
      <w:numFmt w:val="lowerLetter"/>
      <w:start w:val="1"/>
    </w:lvl>
    <w:lvl w:ilvl="1">
      <w:lvlJc w:val="left"/>
      <w:lvlText w:val="-"/>
      <w:numFmt w:val="bullet"/>
      <w:start w:val="1"/>
    </w:lvl>
  </w:abstractNum>
  <w:abstractNum w:abstractNumId="87">
    <w:nsid w:val="24E60401"/>
    <w:multiLevelType w:val="hybridMultilevel"/>
    <w:lvl w:ilvl="0">
      <w:lvlJc w:val="left"/>
      <w:lvlText w:val="(%1)"/>
      <w:numFmt w:val="lowerLetter"/>
      <w:start w:val="3"/>
    </w:lvl>
    <w:lvl w:ilvl="1">
      <w:lvlJc w:val="left"/>
      <w:lvlText w:val="-"/>
      <w:numFmt w:val="bullet"/>
      <w:start w:val="1"/>
    </w:lvl>
  </w:abstractNum>
  <w:abstractNum w:abstractNumId="88">
    <w:nsid w:val="2A6AD9BE"/>
    <w:multiLevelType w:val="hybridMultilevel"/>
    <w:lvl w:ilvl="0">
      <w:lvlJc w:val="left"/>
      <w:lvlText w:val="(%1)"/>
      <w:numFmt w:val="lowerLetter"/>
      <w:start w:val="8"/>
    </w:lvl>
  </w:abstractNum>
  <w:abstractNum w:abstractNumId="89">
    <w:nsid w:val="BAAC1B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0">
    <w:nsid w:val="36B2ACBC"/>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91">
    <w:nsid w:val="779D8544"/>
    <w:multiLevelType w:val="hybridMultilevel"/>
    <w:lvl w:ilvl="0">
      <w:lvlJc w:val="left"/>
      <w:lvlText w:val="(%1)"/>
      <w:numFmt w:val="lowerLetter"/>
      <w:start w:val="5"/>
    </w:lvl>
  </w:abstractNum>
  <w:abstractNum w:abstractNumId="92">
    <w:nsid w:val="4AB26E78"/>
    <w:multiLevelType w:val="hybridMultilevel"/>
    <w:lvl w:ilvl="0">
      <w:lvlJc w:val="left"/>
      <w:lvlText w:val="(%1)"/>
      <w:numFmt w:val="lowerLetter"/>
      <w:start w:val="1"/>
    </w:lvl>
  </w:abstractNum>
  <w:abstractNum w:abstractNumId="93">
    <w:nsid w:val="21FAA2FA"/>
    <w:multiLevelType w:val="hybridMultilevel"/>
    <w:lvl w:ilvl="0">
      <w:lvlJc w:val="left"/>
      <w:lvlText w:val="(%1)"/>
      <w:numFmt w:val="lowerLetter"/>
      <w:start w:val="2"/>
    </w:lvl>
  </w:abstractNum>
  <w:abstractNum w:abstractNumId="94">
    <w:nsid w:val="5451CF4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5">
    <w:nsid w:val="6181EF69"/>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96">
    <w:nsid w:val="3E6400E6"/>
    <w:multiLevelType w:val="hybridMultilevel"/>
    <w:lvl w:ilvl="0">
      <w:lvlJc w:val="left"/>
      <w:lvlText w:val="%1."/>
      <w:numFmt w:val="decimal"/>
      <w:start w:val="1"/>
    </w:lvl>
  </w:abstractNum>
  <w:abstractNum w:abstractNumId="97">
    <w:nsid w:val="14217E23"/>
    <w:multiLevelType w:val="hybridMultilevel"/>
    <w:lvl w:ilvl="0">
      <w:lvlJc w:val="left"/>
      <w:lvlText w:val="%1."/>
      <w:numFmt w:val="decimal"/>
      <w:start w:val="6"/>
    </w:lvl>
  </w:abstractNum>
  <w:abstractNum w:abstractNumId="98">
    <w:nsid w:val="710757D0"/>
    <w:multiLevelType w:val="hybridMultilevel"/>
    <w:lvl w:ilvl="0">
      <w:lvlJc w:val="left"/>
      <w:lvlText w:val="(%1)"/>
      <w:numFmt w:val="lowerRoman"/>
      <w:start w:val="2"/>
    </w:lvl>
  </w:abstractNum>
  <w:abstractNum w:abstractNumId="99">
    <w:nsid w:val="5015CD1A"/>
    <w:multiLevelType w:val="hybridMultilevel"/>
    <w:lvl w:ilvl="0">
      <w:lvlJc w:val="left"/>
      <w:lvlText w:val="%1."/>
      <w:numFmt w:val="decimal"/>
      <w:start w:val="1"/>
    </w:lvl>
  </w:abstractNum>
  <w:abstractNum w:abstractNumId="100">
    <w:nsid w:val="424479DA"/>
    <w:multiLevelType w:val="hybridMultilevel"/>
    <w:lvl w:ilvl="0">
      <w:lvlJc w:val="left"/>
      <w:lvlText w:val="%1."/>
      <w:numFmt w:val="decimal"/>
      <w:start w:val="3"/>
    </w:lvl>
  </w:abstractNum>
  <w:abstractNum w:abstractNumId="101">
    <w:nsid w:val="1A9A9E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2">
    <w:nsid w:val="475E256A"/>
    <w:multiLevelType w:val="hybridMultilevel"/>
    <w:lvl w:ilvl="0">
      <w:lvlJc w:val="left"/>
      <w:lvlText w:val="(%1)"/>
      <w:numFmt w:val="lowerRoman"/>
      <w:start w:val="7"/>
    </w:lvl>
  </w:abstractNum>
  <w:abstractNum w:abstractNumId="103">
    <w:nsid w:val="368DB37E"/>
    <w:multiLevelType w:val="hybridMultilevel"/>
    <w:lvl w:ilvl="0">
      <w:lvlJc w:val="left"/>
      <w:lvlText w:val="%1"/>
      <w:numFmt w:val="lowerLetter"/>
      <w:start w:val="1"/>
    </w:lvl>
    <w:lvl w:ilvl="1">
      <w:lvlJc w:val="left"/>
      <w:lvlText w:val="(%2)"/>
      <w:numFmt w:val="lowerRoman"/>
      <w:start w:val="14"/>
    </w:lvl>
  </w:abstractNum>
  <w:abstractNum w:abstractNumId="104">
    <w:nsid w:val="6A3B714C"/>
    <w:multiLevelType w:val="hybridMultilevel"/>
    <w:lvl w:ilvl="0">
      <w:lvlJc w:val="left"/>
      <w:lvlText w:val="(%1)"/>
      <w:numFmt w:val="lowerLetter"/>
      <w:start w:val="2"/>
    </w:lvl>
    <w:lvl w:ilvl="1">
      <w:lvlJc w:val="left"/>
      <w:lvlText w:val="%2"/>
      <w:numFmt w:val="lowerRoman"/>
      <w:start w:val="1"/>
    </w:lvl>
  </w:abstractNum>
  <w:abstractNum w:abstractNumId="105">
    <w:nsid w:val="327B517E"/>
    <w:multiLevelType w:val="hybridMultilevel"/>
    <w:lvl w:ilvl="0">
      <w:lvlJc w:val="left"/>
      <w:lvlText w:val="(%1)"/>
      <w:numFmt w:val="lowerLetter"/>
      <w:start w:val="3"/>
    </w:lvl>
  </w:abstractNum>
  <w:abstractNum w:abstractNumId="106">
    <w:nsid w:val="1F461B51"/>
    <w:multiLevelType w:val="hybridMultilevel"/>
    <w:lvl w:ilvl="0">
      <w:lvlJc w:val="left"/>
      <w:lvlText w:val="(%1)"/>
      <w:numFmt w:val="lowerLetter"/>
      <w:start w:val="4"/>
    </w:lvl>
  </w:abstractNum>
  <w:abstractNum w:abstractNumId="107">
    <w:nsid w:val="29BACF25"/>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08">
    <w:nsid w:val="5D5BABB3"/>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09">
    <w:nsid w:val="51BF6B48"/>
    <w:multiLevelType w:val="hybridMultilevel"/>
    <w:lvl w:ilvl="0">
      <w:lvlJc w:val="left"/>
      <w:lvlText w:val="(%1)"/>
      <w:numFmt w:val="lowerLetter"/>
      <w:start w:val="2"/>
    </w:lvl>
    <w:lvl w:ilvl="1">
      <w:lvlJc w:val="left"/>
      <w:lvlText w:val="(%2)"/>
      <w:numFmt w:val="lowerRoman"/>
      <w:start w:val="1"/>
    </w:lvl>
  </w:abstractNum>
  <w:abstractNum w:abstractNumId="110">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1">
    <w:nsid w:val="2B4B8B5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12">
    <w:nsid w:val="72E3413A"/>
    <w:multiLevelType w:val="hybridMultilevel"/>
    <w:lvl w:ilvl="0">
      <w:lvlJc w:val="left"/>
      <w:lvlText w:val="(%1)"/>
      <w:numFmt w:val="lowerRoman"/>
      <w:start w:val="2"/>
    </w:lvl>
  </w:abstractNum>
  <w:abstractNum w:abstractNumId="113">
    <w:nsid w:val="116AE494"/>
    <w:multiLevelType w:val="hybridMultilevel"/>
    <w:lvl w:ilvl="0">
      <w:lvlJc w:val="left"/>
      <w:lvlText w:val="(%1)"/>
      <w:numFmt w:val="lowerLetter"/>
      <w:start w:val="2"/>
    </w:lvl>
  </w:abstractNum>
  <w:abstractNum w:abstractNumId="114">
    <w:nsid w:val="3494B2FB"/>
    <w:multiLevelType w:val="hybridMultilevel"/>
    <w:lvl w:ilvl="0">
      <w:lvlJc w:val="left"/>
      <w:lvlText w:val="(%1)"/>
      <w:numFmt w:val="lowerLetter"/>
      <w:start w:val="3"/>
    </w:lvl>
    <w:lvl w:ilvl="1">
      <w:lvlJc w:val="left"/>
      <w:lvlText w:val="(%2)"/>
      <w:numFmt w:val="lowerLetter"/>
      <w:start w:val="9"/>
    </w:lvl>
  </w:abstractNum>
  <w:abstractNum w:abstractNumId="115">
    <w:nsid w:val="B13A31"/>
    <w:multiLevelType w:val="hybridMultilevel"/>
    <w:lvl w:ilvl="0">
      <w:lvlJc w:val="left"/>
      <w:lvlText w:val="(%1)"/>
      <w:numFmt w:val="lowerRoman"/>
      <w:start w:val="2"/>
    </w:lvl>
  </w:abstractNum>
  <w:abstractNum w:abstractNumId="116">
    <w:nsid w:val="64429599"/>
    <w:multiLevelType w:val="hybridMultilevel"/>
    <w:lvl w:ilvl="0">
      <w:lvlJc w:val="left"/>
      <w:lvlText w:val="(%1)"/>
      <w:numFmt w:val="decimal"/>
      <w:start w:val="5"/>
    </w:lvl>
    <w:lvl w:ilvl="1">
      <w:lvlJc w:val="left"/>
      <w:lvlText w:val="(%2)"/>
      <w:numFmt w:val="lowerRoman"/>
      <w:start w:val="3"/>
    </w:lvl>
    <w:lvl w:ilvl="2">
      <w:lvlJc w:val="left"/>
      <w:lvlText w:val="(%3)"/>
      <w:numFmt w:val="upperLetter"/>
      <w:start w:val="1"/>
    </w:lvl>
  </w:abstractNum>
  <w:abstractNum w:abstractNumId="117">
    <w:nsid w:val="631F1690"/>
    <w:multiLevelType w:val="hybridMultilevel"/>
    <w:lvl w:ilvl="0">
      <w:lvlJc w:val="left"/>
      <w:lvlText w:val="(%1)"/>
      <w:numFmt w:val="upperLetter"/>
      <w:start w:val="2"/>
    </w:lvl>
  </w:abstractNum>
  <w:abstractNum w:abstractNumId="118">
    <w:nsid w:val="25973E32"/>
    <w:multiLevelType w:val="hybridMultilevel"/>
    <w:lvl w:ilvl="0">
      <w:lvlJc w:val="left"/>
      <w:lvlText w:val="(%1)"/>
      <w:numFmt w:val="lowerRoman"/>
      <w:start w:val="4"/>
    </w:lvl>
  </w:abstractNum>
  <w:abstractNum w:abstractNumId="119">
    <w:nsid w:val="EAD6F57"/>
    <w:multiLevelType w:val="hybridMultilevel"/>
    <w:lvl w:ilvl="0">
      <w:lvlJc w:val="left"/>
      <w:lvlText w:val="(%1)"/>
      <w:numFmt w:val="lowerLetter"/>
      <w:start w:val="4"/>
    </w:lvl>
    <w:lvl w:ilvl="1">
      <w:lvlJc w:val="left"/>
      <w:lvlText w:val="(%2)"/>
      <w:numFmt w:val="lowerRoman"/>
      <w:start w:val="1"/>
    </w:lvl>
  </w:abstractNum>
  <w:abstractNum w:abstractNumId="120">
    <w:nsid w:val="6EC9D844"/>
    <w:multiLevelType w:val="hybridMultilevel"/>
    <w:lvl w:ilvl="0">
      <w:lvlJc w:val="left"/>
      <w:lvlText w:val="(%1)"/>
      <w:numFmt w:val="lowerLetter"/>
      <w:start w:val="5"/>
    </w:lvl>
  </w:abstractNum>
  <w:abstractNum w:abstractNumId="121">
    <w:nsid w:val="5C49EAEE"/>
    <w:multiLevelType w:val="hybridMultilevel"/>
    <w:lvl w:ilvl="0">
      <w:lvlJc w:val="left"/>
      <w:lvlText w:val="(%1)"/>
      <w:numFmt w:val="lowerRoman"/>
      <w:start w:val="1"/>
    </w:lvl>
  </w:abstractNum>
  <w:abstractNum w:abstractNumId="122">
    <w:nsid w:val="64AF49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3">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4">
    <w:nsid w:val="7E448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6"/>
    </w:lvl>
  </w:abstractNum>
  <w:abstractNum w:abstractNumId="125">
    <w:nsid w:val="5A9CC3E5"/>
    <w:multiLevelType w:val="hybridMultilevel"/>
    <w:lvl w:ilvl="0">
      <w:lvlJc w:val="left"/>
      <w:lvlText w:val="(%1)"/>
      <w:numFmt w:val="lowerRoman"/>
      <w:start w:val="1"/>
    </w:lvl>
  </w:abstractNum>
  <w:abstractNum w:abstractNumId="126">
    <w:nsid w:val="1AFE3625"/>
    <w:multiLevelType w:val="hybridMultilevel"/>
    <w:lvl w:ilvl="0">
      <w:lvlJc w:val="left"/>
      <w:lvlText w:val="(%1)"/>
      <w:numFmt w:val="lowerRoman"/>
      <w:start w:val="3"/>
    </w:lvl>
  </w:abstractNum>
  <w:abstractNum w:abstractNumId="127">
    <w:nsid w:val="3CA88ECF"/>
    <w:multiLevelType w:val="hybridMultilevel"/>
    <w:lvl w:ilvl="0">
      <w:lvlJc w:val="left"/>
      <w:lvlText w:val="(%1)"/>
      <w:numFmt w:val="lowerLetter"/>
      <w:start w:val="3"/>
    </w:lvl>
    <w:lvl w:ilvl="1">
      <w:lvlJc w:val="left"/>
      <w:lvlText w:val="(%2)"/>
      <w:numFmt w:val="lowerLetter"/>
      <w:start w:val="9"/>
    </w:lvl>
  </w:abstractNum>
  <w:abstractNum w:abstractNumId="128">
    <w:nsid w:val="6EBE4208"/>
    <w:multiLevelType w:val="hybridMultilevel"/>
    <w:lvl w:ilvl="0">
      <w:lvlJc w:val="left"/>
      <w:lvlText w:val="%1"/>
      <w:numFmt w:val="decimal"/>
      <w:start w:val="1"/>
    </w:lvl>
    <w:lvl w:ilvl="1">
      <w:lvlJc w:val="left"/>
      <w:lvlText w:val="(%2)"/>
      <w:numFmt w:val="lowerRoman"/>
      <w:start w:val="2"/>
    </w:lvl>
  </w:abstractNum>
  <w:abstractNum w:abstractNumId="129">
    <w:nsid w:val="C058DF5"/>
    <w:multiLevelType w:val="hybridMultilevel"/>
    <w:lvl w:ilvl="0">
      <w:lvlJc w:val="left"/>
      <w:lvlText w:val="%1."/>
      <w:numFmt w:val="decimal"/>
      <w:start w:val="9"/>
    </w:lvl>
    <w:lvl w:ilvl="1">
      <w:lvlJc w:val="left"/>
      <w:lvlText w:val="%2"/>
      <w:numFmt w:val="lowerRoman"/>
      <w:start w:val="1"/>
    </w:lvl>
  </w:abstractNum>
  <w:abstractNum w:abstractNumId="130">
    <w:nsid w:val="CBE5BE9"/>
    <w:multiLevelType w:val="hybridMultilevel"/>
    <w:lvl w:ilvl="0">
      <w:lvlJc w:val="left"/>
      <w:lvlText w:val="%1."/>
      <w:numFmt w:val="decimal"/>
      <w:start w:val="10"/>
    </w:lvl>
  </w:abstractNum>
  <w:abstractNum w:abstractNumId="131">
    <w:nsid w:val="3102BBE2"/>
    <w:multiLevelType w:val="hybridMultilevel"/>
    <w:lvl w:ilvl="0">
      <w:lvlJc w:val="left"/>
      <w:lvlText w:val="%1."/>
      <w:numFmt w:val="decimal"/>
      <w:start w:val="16"/>
    </w:lvl>
  </w:abstractNum>
  <w:abstractNum w:abstractNumId="132">
    <w:nsid w:val="26A02C5E"/>
    <w:multiLevelType w:val="hybridMultilevel"/>
    <w:lvl w:ilvl="0">
      <w:lvlJc w:val="left"/>
      <w:lvlText w:val="%1."/>
      <w:numFmt w:val="decimal"/>
      <w:start w:val="1"/>
    </w:lvl>
    <w:lvl w:ilvl="1">
      <w:lvlJc w:val="left"/>
      <w:lvlText w:val="(%2)"/>
      <w:numFmt w:val="lowerLetter"/>
      <w:start w:val="1"/>
    </w:lvl>
  </w:abstractNum>
  <w:abstractNum w:abstractNumId="133">
    <w:nsid w:val="541C8153"/>
    <w:multiLevelType w:val="hybridMultilevel"/>
    <w:lvl w:ilvl="0">
      <w:lvlJc w:val="left"/>
      <w:lvlText w:val=";"/>
      <w:numFmt w:val="bullet"/>
      <w:start w:val="1"/>
    </w:lvl>
    <w:lvl w:ilvl="1">
      <w:lvlJc w:val="left"/>
      <w:lvlText w:val="(%2)"/>
      <w:numFmt w:val="lowerLetter"/>
      <w:start w:val="3"/>
    </w:lvl>
  </w:abstractNum>
  <w:abstractNum w:abstractNumId="134">
    <w:nsid w:val="67906F60"/>
    <w:multiLevelType w:val="hybridMultilevel"/>
    <w:lvl w:ilvl="0">
      <w:lvlJc w:val="left"/>
      <w:lvlText w:val="(%1)"/>
      <w:numFmt w:val="decimal"/>
      <w:start w:val="1"/>
    </w:lvl>
  </w:abstractNum>
  <w:abstractNum w:abstractNumId="135">
    <w:nsid w:val="10DB9DAA"/>
    <w:multiLevelType w:val="hybridMultilevel"/>
    <w:lvl w:ilvl="0">
      <w:lvlJc w:val="left"/>
      <w:lvlText w:val="(%1)"/>
      <w:numFmt w:val="lowerLetter"/>
      <w:start w:val="4"/>
    </w:lvl>
    <w:lvl w:ilvl="1">
      <w:lvlJc w:val="left"/>
      <w:lvlText w:val="(%2)"/>
      <w:numFmt w:val="lowerRoman"/>
      <w:start w:val="1"/>
    </w:lvl>
  </w:abstractNum>
  <w:abstractNum w:abstractNumId="136">
    <w:nsid w:val="697D2D2"/>
    <w:multiLevelType w:val="hybridMultilevel"/>
    <w:lvl w:ilvl="0">
      <w:lvlJc w:val="left"/>
      <w:lvlText w:val="%1"/>
      <w:numFmt w:val="decimal"/>
      <w:start w:val="1"/>
    </w:lvl>
    <w:lvl w:ilvl="1">
      <w:lvlJc w:val="left"/>
      <w:lvlText w:val="(%2)"/>
      <w:numFmt w:val="lowerLetter"/>
      <w:start w:val="6"/>
    </w:lvl>
  </w:abstractNum>
  <w:abstractNum w:abstractNumId="137">
    <w:nsid w:val="6D68AB2"/>
    <w:multiLevelType w:val="hybridMultilevel"/>
    <w:lvl w:ilvl="0">
      <w:lvlJc w:val="left"/>
      <w:lvlText w:val="%1."/>
      <w:numFmt w:val="decimal"/>
      <w:start w:val="2"/>
    </w:lvl>
    <w:lvl w:ilvl="1">
      <w:lvlJc w:val="left"/>
      <w:lvlText w:val="(%2)"/>
      <w:numFmt w:val="lowerLetter"/>
      <w:start w:val="1"/>
    </w:lvl>
  </w:abstractNum>
  <w:abstractNum w:abstractNumId="138">
    <w:nsid w:val="3A966C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9">
    <w:nsid w:val="63F37E8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40">
    <w:nsid w:val="5895F5F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41">
    <w:nsid w:val="38A5D054"/>
    <w:multiLevelType w:val="hybridMultilevel"/>
    <w:lvl w:ilvl="0">
      <w:lvlJc w:val="left"/>
      <w:lvlText w:val="%1."/>
      <w:numFmt w:val="decimal"/>
      <w:start w:val="4"/>
    </w:lvl>
  </w:abstractNum>
  <w:abstractNum w:abstractNumId="142">
    <w:nsid w:val="F3F09D8"/>
    <w:multiLevelType w:val="hybridMultilevel"/>
    <w:lvl w:ilvl="0">
      <w:lvlJc w:val="left"/>
      <w:lvlText w:val="%1"/>
      <w:numFmt w:val="lowerLetter"/>
      <w:start w:val="1"/>
    </w:lvl>
    <w:lvl w:ilvl="1">
      <w:lvlJc w:val="left"/>
      <w:lvlText w:val="(%2)"/>
      <w:numFmt w:val="lowerLetter"/>
      <w:start w:val="1"/>
    </w:lvl>
  </w:abstractNum>
  <w:abstractNum w:abstractNumId="143">
    <w:nsid w:val="4B793735"/>
    <w:multiLevelType w:val="hybridMultilevel"/>
    <w:lvl w:ilvl="0">
      <w:lvlJc w:val="left"/>
      <w:lvlText w:val="(%1)"/>
      <w:numFmt w:val="lowerLetter"/>
      <w:start w:val="35"/>
    </w:lvl>
    <w:lvl w:ilvl="1">
      <w:lvlJc w:val="left"/>
      <w:lvlText w:val="(%2)"/>
      <w:numFmt w:val="lowerLetter"/>
      <w:start w:val="2"/>
    </w:lvl>
  </w:abstractNum>
  <w:abstractNum w:abstractNumId="144">
    <w:nsid w:val="4A10B4E8"/>
    <w:multiLevelType w:val="hybridMultilevel"/>
    <w:lvl w:ilvl="0">
      <w:lvlJc w:val="left"/>
      <w:lvlText w:val="%1."/>
      <w:numFmt w:val="decimal"/>
      <w:start w:val="5"/>
    </w:lvl>
  </w:abstractNum>
  <w:abstractNum w:abstractNumId="145">
    <w:nsid w:val="43D3BCD4"/>
    <w:multiLevelType w:val="hybridMultilevel"/>
    <w:lvl w:ilvl="0">
      <w:lvlJc w:val="left"/>
      <w:lvlText w:val="%1."/>
      <w:numFmt w:val="decimal"/>
      <w:start w:val="7"/>
    </w:lvl>
    <w:lvl w:ilvl="1">
      <w:lvlJc w:val="left"/>
      <w:lvlText w:val="(%2)"/>
      <w:numFmt w:val="lowerLetter"/>
      <w:start w:val="1"/>
    </w:lvl>
  </w:abstractNum>
  <w:abstractNum w:abstractNumId="146">
    <w:nsid w:val="4C2A7166"/>
    <w:multiLevelType w:val="hybridMultilevel"/>
    <w:lvl w:ilvl="0">
      <w:lvlJc w:val="left"/>
      <w:lvlText w:val="(%1)"/>
      <w:numFmt w:val="lowerLetter"/>
      <w:start w:val="2"/>
    </w:lvl>
  </w:abstractNum>
  <w:abstractNum w:abstractNumId="147">
    <w:nsid w:val="2E534A82"/>
    <w:multiLevelType w:val="hybridMultilevel"/>
    <w:lvl w:ilvl="0">
      <w:lvlJc w:val="left"/>
      <w:lvlText w:val="%1."/>
      <w:numFmt w:val="decimal"/>
      <w:start w:val="8"/>
    </w:lvl>
  </w:abstractNum>
  <w:abstractNum w:abstractNumId="148">
    <w:nsid w:val="26F2D364"/>
    <w:multiLevelType w:val="hybridMultilevel"/>
    <w:lvl w:ilvl="0">
      <w:lvlJc w:val="left"/>
      <w:lvlText w:val="%1."/>
      <w:numFmt w:val="decimal"/>
      <w:start w:val="12"/>
    </w:lvl>
    <w:lvl w:ilvl="1">
      <w:lvlJc w:val="left"/>
      <w:lvlText w:val="(%2)"/>
      <w:numFmt w:val="lowerLetter"/>
      <w:start w:val="1"/>
    </w:lvl>
  </w:abstractNum>
  <w:abstractNum w:abstractNumId="149">
    <w:nsid w:val="71C1AF98"/>
    <w:multiLevelType w:val="hybridMultilevel"/>
    <w:lvl w:ilvl="0">
      <w:lvlJc w:val="left"/>
      <w:lvlText w:val="%1."/>
      <w:numFmt w:val="decimal"/>
      <w:start w:val="1"/>
    </w:lvl>
    <w:lvl w:ilvl="1">
      <w:lvlJc w:val="left"/>
      <w:lvlText w:val="(%2)"/>
      <w:numFmt w:val="lowerLetter"/>
      <w:start w:val="1"/>
    </w:lvl>
  </w:abstractNum>
  <w:abstractNum w:abstractNumId="150">
    <w:nsid w:val="3D00B9D9"/>
    <w:multiLevelType w:val="hybridMultilevel"/>
    <w:lvl w:ilvl="0">
      <w:lvlJc w:val="left"/>
      <w:lvlText w:val="(%1)"/>
      <w:numFmt w:val="decimal"/>
      <w:start w:val="1"/>
    </w:lvl>
  </w:abstractNum>
  <w:abstractNum w:abstractNumId="151">
    <w:nsid w:val="15BCABA8"/>
    <w:multiLevelType w:val="hybridMultilevel"/>
    <w:lvl w:ilvl="0">
      <w:lvlJc w:val="left"/>
      <w:lvlText w:val="(%1)"/>
      <w:numFmt w:val="lowerLetter"/>
      <w:start w:val="4"/>
    </w:lvl>
    <w:lvl w:ilvl="1">
      <w:lvlJc w:val="left"/>
      <w:lvlText w:val="(%2)"/>
      <w:numFmt w:val="lowerRoman"/>
      <w:start w:val="1"/>
    </w:lvl>
  </w:abstractNum>
  <w:abstractNum w:abstractNumId="152">
    <w:nsid w:val="4E0B9A87"/>
    <w:multiLevelType w:val="hybridMultilevel"/>
    <w:lvl w:ilvl="0">
      <w:lvlJc w:val="left"/>
      <w:lvlText w:val="%1"/>
      <w:numFmt w:val="decimal"/>
      <w:start w:val="1"/>
    </w:lvl>
    <w:lvl w:ilvl="1">
      <w:lvlJc w:val="left"/>
      <w:lvlText w:val="(%2)"/>
      <w:numFmt w:val="lowerLetter"/>
      <w:start w:val="6"/>
    </w:lvl>
  </w:abstractNum>
  <w:abstractNum w:abstractNumId="153">
    <w:nsid w:val="434BAE75"/>
    <w:multiLevelType w:val="hybridMultilevel"/>
    <w:lvl w:ilvl="0">
      <w:lvlJc w:val="left"/>
      <w:lvlText w:val="%1."/>
      <w:numFmt w:val="decimal"/>
      <w:start w:val="2"/>
    </w:lvl>
    <w:lvl w:ilvl="1">
      <w:lvlJc w:val="left"/>
      <w:lvlText w:val="(%2)"/>
      <w:numFmt w:val="lowerLetter"/>
      <w:start w:val="1"/>
    </w:lvl>
  </w:abstractNum>
  <w:abstractNum w:abstractNumId="154">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5">
    <w:nsid w:val="4C50287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56">
    <w:nsid w:val="1DE8725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57">
    <w:nsid w:val="6A37288A"/>
    <w:multiLevelType w:val="hybridMultilevel"/>
    <w:lvl w:ilvl="0">
      <w:lvlJc w:val="left"/>
      <w:lvlText w:val="%1."/>
      <w:numFmt w:val="decimal"/>
      <w:start w:val="4"/>
    </w:lvl>
  </w:abstractNum>
  <w:abstractNum w:abstractNumId="158">
    <w:nsid w:val="8F8B73F"/>
    <w:multiLevelType w:val="hybridMultilevel"/>
    <w:lvl w:ilvl="0">
      <w:lvlJc w:val="left"/>
      <w:lvlText w:val="%1"/>
      <w:numFmt w:val="lowerLetter"/>
      <w:start w:val="1"/>
    </w:lvl>
    <w:lvl w:ilvl="1">
      <w:lvlJc w:val="left"/>
      <w:lvlText w:val="(%2)"/>
      <w:numFmt w:val="lowerLetter"/>
      <w:start w:val="1"/>
    </w:lvl>
  </w:abstractNum>
  <w:abstractNum w:abstractNumId="159">
    <w:nsid w:val="CA6B462"/>
    <w:multiLevelType w:val="hybridMultilevel"/>
    <w:lvl w:ilvl="0">
      <w:lvlJc w:val="left"/>
      <w:lvlText w:val="(%1)"/>
      <w:numFmt w:val="lowerLetter"/>
      <w:start w:val="35"/>
    </w:lvl>
    <w:lvl w:ilvl="1">
      <w:lvlJc w:val="left"/>
      <w:lvlText w:val="(%2)"/>
      <w:numFmt w:val="lowerLetter"/>
      <w:start w:val="2"/>
    </w:lvl>
  </w:abstractNum>
  <w:abstractNum w:abstractNumId="160">
    <w:nsid w:val="763CB68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161">
    <w:nsid w:val="15B71329"/>
    <w:multiLevelType w:val="hybridMultilevel"/>
    <w:lvl w:ilvl="0">
      <w:lvlJc w:val="left"/>
      <w:lvlText w:val="%1."/>
      <w:numFmt w:val="decimal"/>
      <w:start w:val="7"/>
    </w:lvl>
  </w:abstractNum>
  <w:abstractNum w:abstractNumId="162">
    <w:nsid w:val="3DA97044"/>
    <w:multiLevelType w:val="hybridMultilevel"/>
    <w:lvl w:ilvl="0">
      <w:lvlJc w:val="left"/>
      <w:lvlText w:val="%1."/>
      <w:numFmt w:val="decimal"/>
      <w:start w:val="14"/>
    </w:lvl>
    <w:lvl w:ilvl="1">
      <w:lvlJc w:val="left"/>
      <w:lvlText w:val="(%2)"/>
      <w:numFmt w:val="lowerLetter"/>
      <w:start w:val="1"/>
    </w:lvl>
  </w:abstractNum>
  <w:abstractNum w:abstractNumId="163">
    <w:nsid w:val="1CDCE2D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4">
    <w:nsid w:val="69D394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5">
    <w:nsid w:val="2539DFA5"/>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66">
    <w:nsid w:val="2DB8808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7">
    <w:nsid w:val="706B674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68">
    <w:nsid w:val="2C106A57"/>
    <w:multiLevelType w:val="hybridMultilevel"/>
    <w:lvl w:ilvl="0">
      <w:lvlJc w:val="left"/>
      <w:lvlText w:val="(%1)"/>
      <w:numFmt w:val="decimal"/>
      <w:start w:val="6"/>
    </w:lvl>
    <w:lvl w:ilvl="1">
      <w:lvlJc w:val="left"/>
      <w:lvlText w:val="-"/>
      <w:numFmt w:val="bullet"/>
      <w:start w:val="1"/>
    </w:lvl>
  </w:abstractNum>
  <w:abstractNum w:abstractNumId="169">
    <w:nsid w:val="684EED5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70">
    <w:nsid w:val="545EE5D3"/>
    <w:multiLevelType w:val="hybridMultilevel"/>
    <w:lvl w:ilvl="0">
      <w:lvlJc w:val="left"/>
      <w:lvlText w:val="(%1)"/>
      <w:numFmt w:val="lowerLetter"/>
      <w:start w:val="3"/>
    </w:lvl>
    <w:lvl w:ilvl="1">
      <w:lvlJc w:val="left"/>
      <w:lvlText w:val="-"/>
      <w:numFmt w:val="bullet"/>
      <w:start w:val="1"/>
    </w:lvl>
  </w:abstractNum>
  <w:abstractNum w:abstractNumId="171">
    <w:nsid w:val="4A66051"/>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172">
    <w:nsid w:val="20F4BDA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73">
    <w:nsid w:val="639DEF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74">
    <w:nsid w:val="501F978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5">
    <w:nsid w:val="6B057295"/>
    <w:multiLevelType w:val="hybridMultilevel"/>
    <w:lvl w:ilvl="0">
      <w:lvlJc w:val="left"/>
      <w:lvlText w:val="(%1)"/>
      <w:numFmt w:val="decimal"/>
      <w:start w:val="15"/>
    </w:lvl>
    <w:lvl w:ilvl="1">
      <w:lvlJc w:val="left"/>
      <w:lvlText w:val="-"/>
      <w:numFmt w:val="bullet"/>
      <w:start w:val="1"/>
    </w:lvl>
  </w:abstractNum>
  <w:abstractNum w:abstractNumId="176">
    <w:nsid w:val="2771AC80"/>
    <w:multiLevelType w:val="hybridMultilevel"/>
    <w:lvl w:ilvl="0">
      <w:lvlJc w:val="left"/>
      <w:lvlText w:val="(%1)"/>
      <w:numFmt w:val="decimal"/>
      <w:start w:val="20"/>
    </w:lvl>
  </w:abstractNum>
  <w:abstractNum w:abstractNumId="177">
    <w:nsid w:val="1C4A08EC"/>
    <w:multiLevelType w:val="hybridMultilevel"/>
    <w:lvl w:ilvl="0">
      <w:lvlJc w:val="left"/>
      <w:lvlText w:val="(%1)"/>
      <w:numFmt w:val="lowerLetter"/>
      <w:start w:val="1"/>
    </w:lvl>
  </w:abstractNum>
  <w:abstractNum w:abstractNumId="178">
    <w:nsid w:val="1958BD1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79">
    <w:nsid w:val="4E647FE4"/>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180">
    <w:nsid w:val="E0BB885"/>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81">
    <w:nsid w:val="565976F1"/>
    <w:multiLevelType w:val="hybridMultilevel"/>
    <w:lvl w:ilvl="0">
      <w:lvlJc w:val="left"/>
      <w:lvlText w:val="(%1)"/>
      <w:numFmt w:val="lowerLetter"/>
      <w:start w:val="2"/>
    </w:lvl>
  </w:abstractNum>
  <w:abstractNum w:abstractNumId="182">
    <w:nsid w:val="64212B8C"/>
    <w:multiLevelType w:val="hybridMultilevel"/>
    <w:lvl w:ilvl="0">
      <w:lvlJc w:val="left"/>
      <w:lvlText w:val="(%1)"/>
      <w:numFmt w:val="lowerLetter"/>
      <w:start w:val="3"/>
    </w:lvl>
    <w:lvl w:ilvl="1">
      <w:lvlJc w:val="left"/>
      <w:lvlText w:val="-"/>
      <w:numFmt w:val="bullet"/>
      <w:start w:val="1"/>
    </w:lvl>
  </w:abstractNum>
  <w:abstractNum w:abstractNumId="183">
    <w:nsid w:val="5C17530C"/>
    <w:multiLevelType w:val="hybridMultilevel"/>
    <w:lvl w:ilvl="0">
      <w:lvlJc w:val="left"/>
      <w:lvlText w:val="(%1)"/>
      <w:numFmt w:val="lowerLetter"/>
      <w:start w:val="8"/>
    </w:lvl>
  </w:abstractNum>
  <w:abstractNum w:abstractNumId="184">
    <w:nsid w:val="19A52566"/>
    <w:multiLevelType w:val="hybridMultilevel"/>
    <w:lvl w:ilvl="0">
      <w:lvlJc w:val="left"/>
      <w:lvlText w:val="%1"/>
      <w:numFmt w:val="lowerRoman"/>
      <w:start w:val="1"/>
    </w:lvl>
    <w:lvl w:ilvl="1">
      <w:lvlJc w:val="left"/>
      <w:lvlText w:val="(%2)"/>
      <w:numFmt w:val="lowerLetter"/>
      <w:start w:val="9"/>
    </w:lvl>
    <w:lvl w:ilvl="2">
      <w:lvlJc w:val="left"/>
      <w:lvlText w:val="-"/>
      <w:numFmt w:val="bullet"/>
      <w:start w:val="1"/>
    </w:lvl>
  </w:abstractNum>
  <w:abstractNum w:abstractNumId="185">
    <w:nsid w:val="335A1DF1"/>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186">
    <w:nsid w:val="28677B7C"/>
    <w:multiLevelType w:val="hybridMultilevel"/>
    <w:lvl w:ilvl="0">
      <w:lvlJc w:val="left"/>
      <w:lvlText w:val="(%1)"/>
      <w:numFmt w:val="lowerLetter"/>
      <w:start w:val="13"/>
    </w:lvl>
    <w:lvl w:ilvl="1">
      <w:lvlJc w:val="left"/>
      <w:lvlText w:val="-"/>
      <w:numFmt w:val="bullet"/>
      <w:start w:val="1"/>
    </w:lvl>
  </w:abstractNum>
  <w:abstractNum w:abstractNumId="187">
    <w:nsid w:val="378D97C0"/>
    <w:multiLevelType w:val="hybridMultilevel"/>
    <w:lvl w:ilvl="0">
      <w:lvlJc w:val="left"/>
      <w:lvlText w:val="(%1)"/>
      <w:numFmt w:val="lowerLetter"/>
      <w:start w:val="19"/>
    </w:lvl>
    <w:lvl w:ilvl="1">
      <w:lvlJc w:val="left"/>
      <w:lvlText w:val="-"/>
      <w:numFmt w:val="bullet"/>
      <w:start w:val="1"/>
    </w:lvl>
  </w:abstractNum>
  <w:abstractNum w:abstractNumId="188">
    <w:nsid w:val="1D91467C"/>
    <w:multiLevelType w:val="hybridMultilevel"/>
    <w:lvl w:ilvl="0">
      <w:lvlJc w:val="left"/>
      <w:lvlText w:val="(%1)"/>
      <w:numFmt w:val="lowerLetter"/>
      <w:start w:val="26"/>
    </w:lvl>
  </w:abstractNum>
  <w:abstractNum w:abstractNumId="189">
    <w:nsid w:val="316032BB"/>
    <w:multiLevelType w:val="hybridMultilevel"/>
    <w:lvl w:ilvl="0">
      <w:lvlJc w:val="left"/>
      <w:lvlText w:val="(%1)"/>
      <w:numFmt w:val="lowerLetter"/>
      <w:start w:val="27"/>
    </w:lvl>
    <w:lvl w:ilvl="1">
      <w:lvlJc w:val="left"/>
      <w:lvlText w:val="-"/>
      <w:numFmt w:val="bullet"/>
      <w:start w:val="1"/>
    </w:lvl>
  </w:abstractNum>
  <w:abstractNum w:abstractNumId="190">
    <w:nsid w:val="44344C22"/>
    <w:multiLevelType w:val="hybridMultilevel"/>
    <w:lvl w:ilvl="0">
      <w:lvlJc w:val="left"/>
      <w:lvlText w:val="%1"/>
      <w:numFmt w:val="lowerRoman"/>
      <w:start w:val="1"/>
    </w:lvl>
    <w:lvl w:ilvl="1">
      <w:lvlJc w:val="left"/>
      <w:lvlText w:val="(%2)"/>
      <w:numFmt w:val="decimal"/>
      <w:start w:val="26"/>
    </w:lvl>
  </w:abstractNum>
  <w:abstractNum w:abstractNumId="191">
    <w:nsid w:val="13CDFCFC"/>
    <w:multiLevelType w:val="hybridMultilevel"/>
    <w:lvl w:ilvl="0">
      <w:lvlJc w:val="left"/>
      <w:lvlText w:val="(%1)"/>
      <w:numFmt w:val="lowerRoman"/>
      <w:start w:val="1"/>
    </w:lvl>
    <w:lvl w:ilvl="1">
      <w:lvlJc w:val="left"/>
      <w:lvlText w:val="%2"/>
      <w:numFmt w:val="decimal"/>
      <w:start w:val="1"/>
    </w:lvl>
  </w:abstractNum>
  <w:abstractNum w:abstractNumId="192">
    <w:nsid w:val="471745E4"/>
    <w:multiLevelType w:val="hybridMultilevel"/>
    <w:lvl w:ilvl="0">
      <w:lvlJc w:val="left"/>
      <w:lvlText w:val="(%1)"/>
      <w:numFmt w:val="lowerLetter"/>
      <w:start w:val="1"/>
    </w:lvl>
  </w:abstractNum>
  <w:abstractNum w:abstractNumId="193">
    <w:nsid w:val="1DDBC66"/>
    <w:multiLevelType w:val="hybridMultilevel"/>
    <w:lvl w:ilvl="0">
      <w:lvlJc w:val="left"/>
      <w:lvlText w:val="(%1)"/>
      <w:numFmt w:val="lowerLetter"/>
      <w:start w:val="1"/>
    </w:lvl>
  </w:abstractNum>
  <w:abstractNum w:abstractNumId="194">
    <w:nsid w:val="30AADFDA"/>
    <w:multiLevelType w:val="hybridMultilevel"/>
    <w:lvl w:ilvl="0">
      <w:lvlJc w:val="left"/>
      <w:lvlText w:val="(%1)"/>
      <w:numFmt w:val="lowerLetter"/>
      <w:start w:val="7"/>
    </w:lvl>
  </w:abstractNum>
  <w:abstractNum w:abstractNumId="195">
    <w:nsid w:val="30EADA61"/>
    <w:multiLevelType w:val="hybridMultilevel"/>
    <w:lvl w:ilvl="0">
      <w:lvlJc w:val="left"/>
      <w:lvlText w:val="(%1)"/>
      <w:numFmt w:val="lowerLetter"/>
      <w:start w:val="1"/>
    </w:lvl>
  </w:abstractNum>
  <w:abstractNum w:abstractNumId="196">
    <w:nsid w:val="27179C0B"/>
    <w:multiLevelType w:val="hybridMultilevel"/>
    <w:lvl w:ilvl="0">
      <w:lvlJc w:val="left"/>
      <w:lvlText w:val="(%1)"/>
      <w:numFmt w:val="lowerLetter"/>
      <w:start w:val="1"/>
    </w:lvl>
  </w:abstractNum>
  <w:abstractNum w:abstractNumId="197">
    <w:nsid w:val="5E636063"/>
    <w:multiLevelType w:val="hybridMultilevel"/>
    <w:lvl w:ilvl="0">
      <w:lvlJc w:val="left"/>
      <w:lvlText w:val="(%1)"/>
      <w:numFmt w:val="lowerLetter"/>
      <w:start w:val="4"/>
    </w:lvl>
  </w:abstractNum>
  <w:abstractNum w:abstractNumId="198">
    <w:nsid w:val="215641AF"/>
    <w:multiLevelType w:val="hybridMultilevel"/>
    <w:lvl w:ilvl="0">
      <w:lvlJc w:val="left"/>
      <w:lvlText w:val="(%1)"/>
      <w:numFmt w:val="lowerLetter"/>
      <w:start w:val="7"/>
    </w:lvl>
  </w:abstractNum>
  <w:abstractNum w:abstractNumId="199">
    <w:nsid w:val="53280662"/>
    <w:multiLevelType w:val="hybridMultilevel"/>
    <w:lvl w:ilvl="0">
      <w:lvlJc w:val="left"/>
      <w:lvlText w:val="%1"/>
      <w:numFmt w:val="upperLetter"/>
      <w:start w:val="1"/>
    </w:lvl>
    <w:lvl w:ilvl="1">
      <w:lvlJc w:val="left"/>
      <w:lvlText w:val="(%2)"/>
      <w:numFmt w:val="lowerLetter"/>
      <w:start w:val="1"/>
    </w:lvl>
  </w:abstractNum>
  <w:abstractNum w:abstractNumId="200">
    <w:nsid w:val="46B24DBC"/>
    <w:multiLevelType w:val="hybridMultilevel"/>
    <w:lvl w:ilvl="0">
      <w:lvlJc w:val="left"/>
      <w:lvlText w:val="(%1)"/>
      <w:numFmt w:val="upperLetter"/>
      <w:start w:val="3"/>
    </w:lvl>
    <w:lvl w:ilvl="1">
      <w:lvlJc w:val="left"/>
      <w:lvlText w:val="%2"/>
      <w:numFmt w:val="lowerLetter"/>
      <w:start w:val="1"/>
    </w:lvl>
  </w:abstractNum>
  <w:abstractNum w:abstractNumId="201">
    <w:nsid w:val="75B52783"/>
    <w:multiLevelType w:val="hybridMultilevel"/>
    <w:lvl w:ilvl="0">
      <w:lvlJc w:val="left"/>
      <w:lvlText w:val="(%1)"/>
      <w:numFmt w:val="upperLetter"/>
      <w:start w:val="6"/>
    </w:lvl>
    <w:lvl w:ilvl="1">
      <w:lvlJc w:val="left"/>
      <w:lvlText w:val="(%2)"/>
      <w:numFmt w:val="lowerLetter"/>
      <w:start w:val="2"/>
    </w:lvl>
  </w:abstractNum>
  <w:abstractNum w:abstractNumId="202">
    <w:nsid w:val="57CE66B4"/>
    <w:multiLevelType w:val="hybridMultilevel"/>
    <w:lvl w:ilvl="0">
      <w:lvlJc w:val="left"/>
      <w:lvlText w:val="(%1)"/>
      <w:numFmt w:val="lowerLetter"/>
      <w:start w:val="5"/>
    </w:lvl>
    <w:lvl w:ilvl="1">
      <w:lvlJc w:val="left"/>
      <w:lvlText w:val="(%2)"/>
      <w:numFmt w:val="lowerRoman"/>
      <w:start w:val="1"/>
    </w:lvl>
  </w:abstractNum>
  <w:abstractNum w:abstractNumId="203">
    <w:nsid w:val="67A70B69"/>
    <w:multiLevelType w:val="hybridMultilevel"/>
    <w:lvl w:ilvl="0">
      <w:lvlJc w:val="left"/>
      <w:lvlText w:val="(%1)"/>
      <w:numFmt w:val="lowerRoman"/>
      <w:start w:val="2"/>
    </w:lvl>
  </w:abstractNum>
  <w:abstractNum w:abstractNumId="204">
    <w:nsid w:val="5953172F"/>
    <w:multiLevelType w:val="hybridMultilevel"/>
    <w:lvl w:ilvl="0">
      <w:lvlJc w:val="left"/>
      <w:lvlText w:val="%1"/>
      <w:numFmt w:val="lowerLetter"/>
      <w:start w:val="1"/>
    </w:lvl>
    <w:lvl w:ilvl="1">
      <w:lvlJc w:val="left"/>
      <w:lvlText w:val="(%2)"/>
      <w:numFmt w:val="lowerLetter"/>
      <w:start w:val="22"/>
    </w:lvl>
  </w:abstractNum>
  <w:abstractNum w:abstractNumId="205">
    <w:nsid w:val="27EDFE3A"/>
    <w:multiLevelType w:val="hybridMultilevel"/>
    <w:lvl w:ilvl="0">
      <w:lvlJc w:val="left"/>
      <w:lvlText w:val="(%1)"/>
      <w:numFmt w:val="lowerLetter"/>
      <w:start w:val="7"/>
    </w:lvl>
    <w:lvl w:ilvl="1">
      <w:lvlJc w:val="left"/>
      <w:lvlText w:val="(%2)"/>
      <w:numFmt w:val="lowerLetter"/>
      <w:start w:val="9"/>
    </w:lvl>
  </w:abstractNum>
  <w:abstractNum w:abstractNumId="206">
    <w:nsid w:val="52AC7DFF"/>
    <w:multiLevelType w:val="hybridMultilevel"/>
    <w:lvl w:ilvl="0">
      <w:lvlJc w:val="left"/>
      <w:lvlText w:val="%1"/>
      <w:numFmt w:val="lowerLetter"/>
      <w:start w:val="1"/>
    </w:lvl>
    <w:lvl w:ilvl="1">
      <w:lvlJc w:val="left"/>
      <w:lvlText w:val="(%2)"/>
      <w:numFmt w:val="lowerLetter"/>
      <w:start w:val="35"/>
    </w:lvl>
  </w:abstractNum>
  <w:abstractNum w:abstractNumId="207">
    <w:nsid w:val="C4C3AF"/>
    <w:multiLevelType w:val="hybridMultilevel"/>
    <w:lvl w:ilvl="0">
      <w:lvlJc w:val="left"/>
      <w:lvlText w:val="(%1)"/>
      <w:numFmt w:val="lowerLetter"/>
      <w:start w:val="8"/>
    </w:lvl>
    <w:lvl w:ilvl="1">
      <w:lvlJc w:val="left"/>
      <w:lvlText w:val="(%2)"/>
      <w:numFmt w:val="lowerLetter"/>
      <w:start w:val="9"/>
    </w:lvl>
  </w:abstractNum>
  <w:abstractNum w:abstractNumId="208">
    <w:nsid w:val="44380727"/>
    <w:multiLevelType w:val="hybridMultilevel"/>
    <w:lvl w:ilvl="0">
      <w:lvlJc w:val="left"/>
      <w:lvlText w:val="(%1)"/>
      <w:numFmt w:val="lowerRoman"/>
      <w:start w:val="2"/>
    </w:lvl>
  </w:abstractNum>
  <w:abstractNum w:abstractNumId="209">
    <w:nsid w:val="6C053B16"/>
    <w:multiLevelType w:val="hybridMultilevel"/>
    <w:lvl w:ilvl="0">
      <w:lvlJc w:val="left"/>
      <w:lvlText w:val="%1"/>
      <w:numFmt w:val="lowerRoman"/>
      <w:start w:val="1"/>
    </w:lvl>
    <w:lvl w:ilvl="1">
      <w:lvlJc w:val="left"/>
      <w:lvlText w:val="(%2)"/>
      <w:numFmt w:val="lowerRoman"/>
      <w:start w:val="1"/>
    </w:lvl>
  </w:abstractNum>
  <w:abstractNum w:abstractNumId="210">
    <w:nsid w:val="4F294393"/>
    <w:multiLevelType w:val="hybridMultilevel"/>
    <w:lvl w:ilvl="0">
      <w:lvlJc w:val="left"/>
      <w:lvlText w:val="(%1)"/>
      <w:numFmt w:val="lowerRoman"/>
      <w:start w:val="4"/>
    </w:lvl>
    <w:lvl w:ilvl="1">
      <w:lvlJc w:val="left"/>
      <w:lvlText w:val="%2"/>
      <w:numFmt w:val="lowerRoman"/>
      <w:start w:val="1"/>
    </w:lvl>
  </w:abstractNum>
  <w:abstractNum w:abstractNumId="211">
    <w:nsid w:val="5243BFAC"/>
    <w:multiLevelType w:val="hybridMultilevel"/>
    <w:lvl w:ilvl="0">
      <w:lvlJc w:val="left"/>
      <w:lvlText w:val="(%1)"/>
      <w:numFmt w:val="lowerLetter"/>
      <w:start w:val="10"/>
    </w:lvl>
    <w:lvl w:ilvl="1">
      <w:lvlJc w:val="left"/>
      <w:lvlText w:val="(%2)"/>
      <w:numFmt w:val="lowerRoman"/>
      <w:start w:val="1"/>
    </w:lvl>
  </w:abstractNum>
  <w:abstractNum w:abstractNumId="212">
    <w:nsid w:val="425EB207"/>
    <w:multiLevelType w:val="hybridMultilevel"/>
    <w:lvl w:ilvl="0">
      <w:lvlJc w:val="left"/>
      <w:lvlText w:val="(%1)"/>
      <w:numFmt w:val="lowerRoman"/>
      <w:start w:val="3"/>
    </w:lvl>
  </w:abstractNum>
  <w:abstractNum w:abstractNumId="213">
    <w:nsid w:val="334A6F1F"/>
    <w:multiLevelType w:val="hybridMultilevel"/>
    <w:lvl w:ilvl="0">
      <w:lvlJc w:val="left"/>
      <w:lvlText w:val="%1"/>
      <w:numFmt w:val="lowerLetter"/>
      <w:start w:val="1"/>
    </w:lvl>
    <w:lvl w:ilvl="1">
      <w:lvlJc w:val="left"/>
      <w:lvlText w:val="(%2)"/>
      <w:numFmt w:val="lowerRoman"/>
      <w:start w:val="4"/>
    </w:lvl>
  </w:abstractNum>
  <w:abstractNum w:abstractNumId="214">
    <w:nsid w:val="2E5B12B8"/>
    <w:multiLevelType w:val="hybridMultilevel"/>
    <w:lvl w:ilvl="0">
      <w:lvlJc w:val="left"/>
      <w:lvlText w:val="(%1)"/>
      <w:numFmt w:val="lowerLetter"/>
      <w:start w:val="11"/>
    </w:lvl>
    <w:lvl w:ilvl="1">
      <w:lvlJc w:val="left"/>
      <w:lvlText w:val="%2"/>
      <w:numFmt w:val="lowerRoman"/>
      <w:start w:val="1"/>
    </w:lvl>
  </w:abstractNum>
  <w:abstractNum w:abstractNumId="215">
    <w:nsid w:val="5C03D76D"/>
    <w:multiLevelType w:val="hybridMultilevel"/>
    <w:lvl w:ilvl="0">
      <w:lvlJc w:val="left"/>
      <w:lvlText w:val="(%1)"/>
      <w:numFmt w:val="lowerLetter"/>
      <w:start w:val="14"/>
    </w:lvl>
  </w:abstractNum>
  <w:abstractNum w:abstractNumId="216">
    <w:nsid w:val="66A48D11"/>
    <w:multiLevelType w:val="hybridMultilevel"/>
    <w:lvl w:ilvl="0">
      <w:lvlJc w:val="left"/>
      <w:lvlText w:val="(%1)"/>
      <w:numFmt w:val="lowerLetter"/>
      <w:start w:val="1"/>
    </w:lvl>
  </w:abstractNum>
  <w:abstractNum w:abstractNumId="217">
    <w:nsid w:val="56C28E34"/>
    <w:multiLevelType w:val="hybridMultilevel"/>
    <w:lvl w:ilvl="0">
      <w:lvlJc w:val="left"/>
      <w:lvlText w:val="(%1)"/>
      <w:numFmt w:val="lowerLetter"/>
      <w:start w:val="3"/>
    </w:lvl>
  </w:abstractNum>
  <w:abstractNum w:abstractNumId="218">
    <w:nsid w:val="13916F2D"/>
    <w:multiLevelType w:val="hybridMultilevel"/>
    <w:lvl w:ilvl="0">
      <w:lvlJc w:val="left"/>
      <w:lvlText w:val="(%1)"/>
      <w:numFmt w:val="lowerLetter"/>
      <w:start w:val="1"/>
    </w:lvl>
  </w:abstractNum>
  <w:abstractNum w:abstractNumId="219">
    <w:nsid w:val="435D38D"/>
    <w:multiLevelType w:val="hybridMultilevel"/>
    <w:lvl w:ilvl="0">
      <w:lvlJc w:val="left"/>
      <w:lvlText w:val="(%1)"/>
      <w:numFmt w:val="lowerLetter"/>
      <w:start w:val="2"/>
    </w:lvl>
  </w:abstractNum>
  <w:abstractNum w:abstractNumId="220">
    <w:nsid w:val="822C0EF"/>
    <w:multiLevelType w:val="hybridMultilevel"/>
    <w:lvl w:ilvl="0">
      <w:lvlJc w:val="left"/>
      <w:lvlText w:val="(%1)"/>
      <w:numFmt w:val="lowerLetter"/>
      <w:start w:val="1"/>
    </w:lvl>
  </w:abstractNum>
  <w:abstractNum w:abstractNumId="221">
    <w:nsid w:val="57C5BB4F"/>
    <w:multiLevelType w:val="hybridMultilevel"/>
    <w:lvl w:ilvl="0">
      <w:lvlJc w:val="left"/>
      <w:lvlText w:val="%1"/>
      <w:numFmt w:val="lowerLetter"/>
      <w:start w:val="1"/>
    </w:lvl>
    <w:lvl w:ilvl="1">
      <w:lvlJc w:val="left"/>
      <w:lvlText w:val="(%2)"/>
      <w:numFmt w:val="lowerLetter"/>
      <w:start w:val="2"/>
    </w:lvl>
  </w:abstractNum>
  <w:abstractNum w:abstractNumId="222">
    <w:nsid w:val="1803D089"/>
    <w:multiLevelType w:val="hybridMultilevel"/>
    <w:lvl w:ilvl="0">
      <w:lvlJc w:val="left"/>
      <w:lvlText w:val="(%1)"/>
      <w:numFmt w:val="lowerLetter"/>
      <w:start w:val="35"/>
    </w:lvl>
    <w:lvl w:ilvl="1">
      <w:lvlJc w:val="left"/>
      <w:lvlText w:val="%2"/>
      <w:numFmt w:val="lowerLetter"/>
      <w:start w:val="1"/>
    </w:lvl>
  </w:abstractNum>
  <w:abstractNum w:abstractNumId="223">
    <w:nsid w:val="4F3A06D4"/>
    <w:multiLevelType w:val="hybridMultilevel"/>
    <w:lvl w:ilvl="0">
      <w:lvlJc w:val="left"/>
      <w:lvlText w:val="(%1)"/>
      <w:numFmt w:val="lowerLetter"/>
      <w:start w:val="1"/>
    </w:lvl>
  </w:abstractNum>
  <w:abstractNum w:abstractNumId="224">
    <w:nsid w:val="59A377B6"/>
    <w:multiLevelType w:val="hybridMultilevel"/>
    <w:lvl w:ilvl="0">
      <w:lvlJc w:val="left"/>
      <w:lvlText w:val="(%1)"/>
      <w:numFmt w:val="lowerLetter"/>
      <w:start w:val="3"/>
    </w:lvl>
  </w:abstractNum>
  <w:abstractNum w:abstractNumId="225">
    <w:nsid w:val="48AEB063"/>
    <w:multiLevelType w:val="hybridMultilevel"/>
    <w:lvl w:ilvl="0">
      <w:lvlJc w:val="left"/>
      <w:lvlText w:val="(%1)"/>
      <w:numFmt w:val="lowerLetter"/>
      <w:start w:val="7"/>
    </w:lvl>
  </w:abstractNum>
  <w:abstractNum w:abstractNumId="226">
    <w:nsid w:val="24E135"/>
    <w:multiLevelType w:val="hybridMultilevel"/>
    <w:lvl w:ilvl="0">
      <w:lvlJc w:val="left"/>
      <w:lvlText w:val="(%1)"/>
      <w:numFmt w:val="lowerLetter"/>
      <w:start w:val="11"/>
    </w:lvl>
  </w:abstractNum>
  <w:abstractNum w:abstractNumId="227">
    <w:nsid w:val="BB13C1"/>
    <w:multiLevelType w:val="hybridMultilevel"/>
    <w:lvl w:ilvl="0">
      <w:lvlJc w:val="left"/>
      <w:lvlText w:val="(%1)"/>
      <w:numFmt w:val="lowerLetter"/>
      <w:start w:val="1"/>
    </w:lvl>
    <w:lvl w:ilvl="1">
      <w:lvlJc w:val="left"/>
      <w:lvlText w:val="-"/>
      <w:numFmt w:val="bullet"/>
      <w:start w:val="1"/>
    </w:lvl>
  </w:abstractNum>
  <w:abstractNum w:abstractNumId="228">
    <w:nsid w:val="271210C7"/>
    <w:multiLevelType w:val="hybridMultilevel"/>
    <w:lvl w:ilvl="0">
      <w:lvlJc w:val="left"/>
      <w:lvlText w:val="(%1)"/>
      <w:numFmt w:val="lowerRoman"/>
      <w:start w:val="1"/>
    </w:lvl>
  </w:abstractNum>
  <w:abstractNum w:abstractNumId="229">
    <w:nsid w:val="217B22E4"/>
    <w:multiLevelType w:val="hybridMultilevel"/>
    <w:lvl w:ilvl="0">
      <w:lvlJc w:val="left"/>
      <w:lvlText w:val="(%1)"/>
      <w:numFmt w:val="lowerLetter"/>
      <w:start w:val="2"/>
    </w:lvl>
  </w:abstractNum>
  <w:abstractNum w:abstractNumId="230">
    <w:nsid w:val="53E31A2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1">
    <w:nsid w:val="6DC45E83"/>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232">
    <w:nsid w:val="17304A67"/>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233">
    <w:nsid w:val="2BB180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4">
    <w:nsid w:val="556B69ED"/>
    <w:multiLevelType w:val="hybridMultilevel"/>
    <w:lvl w:ilvl="0">
      <w:lvlJc w:val="left"/>
      <w:lvlText w:val="%1"/>
      <w:numFmt w:val="lowerLetter"/>
      <w:start w:val="1"/>
    </w:lvl>
    <w:lvl w:ilvl="1">
      <w:lvlJc w:val="left"/>
      <w:lvlText w:val="(%2)"/>
      <w:numFmt w:val="lowerRoman"/>
      <w:start w:val="3"/>
    </w:lvl>
  </w:abstractNum>
  <w:abstractNum w:abstractNumId="235">
    <w:nsid w:val="70836196"/>
    <w:multiLevelType w:val="hybridMultilevel"/>
    <w:lvl w:ilvl="0">
      <w:lvlJc w:val="left"/>
      <w:lvlText w:val="(%1)"/>
      <w:numFmt w:val="lowerLetter"/>
      <w:start w:val="2"/>
    </w:lvl>
    <w:lvl w:ilvl="1">
      <w:lvlJc w:val="left"/>
      <w:lvlText w:val="%2"/>
      <w:numFmt w:val="lowerRoman"/>
      <w:start w:val="1"/>
    </w:lvl>
  </w:abstractNum>
  <w:abstractNum w:abstractNumId="236">
    <w:nsid w:val="539F7F12"/>
    <w:multiLevelType w:val="hybridMultilevel"/>
    <w:lvl w:ilvl="0">
      <w:lvlJc w:val="left"/>
      <w:lvlText w:val="(%1)"/>
      <w:numFmt w:val="lowerLetter"/>
      <w:start w:val="1"/>
    </w:lvl>
    <w:lvl w:ilvl="1">
      <w:lvlJc w:val="left"/>
      <w:lvlText w:val="-"/>
      <w:numFmt w:val="bullet"/>
      <w:start w:val="1"/>
    </w:lvl>
  </w:abstractNum>
  <w:abstractNum w:abstractNumId="237">
    <w:nsid w:val="2817E7EC"/>
    <w:multiLevelType w:val="hybridMultilevel"/>
    <w:lvl w:ilvl="0">
      <w:lvlJc w:val="left"/>
      <w:lvlText w:val="(%1)"/>
      <w:numFmt w:val="lowerLetter"/>
      <w:start w:val="4"/>
    </w:lvl>
  </w:abstractNum>
  <w:abstractNum w:abstractNumId="238">
    <w:nsid w:val="71482545"/>
    <w:multiLevelType w:val="hybridMultilevel"/>
    <w:lvl w:ilvl="0">
      <w:lvlJc w:val="left"/>
      <w:lvlText w:val="%1."/>
      <w:numFmt w:val="upperLetter"/>
      <w:start w:val="1"/>
    </w:lvl>
  </w:abstractNum>
  <w:abstractNum w:abstractNumId="239">
    <w:nsid w:val="17D78639"/>
    <w:multiLevelType w:val="hybridMultilevel"/>
    <w:lvl w:ilvl="0">
      <w:lvlJc w:val="left"/>
      <w:lvlText w:val="%1."/>
      <w:numFmt w:val="upperLetter"/>
      <w:start w:val="3"/>
    </w:lvl>
  </w:abstractNum>
  <w:abstractNum w:abstractNumId="240">
    <w:nsid w:val="141D2302"/>
    <w:multiLevelType w:val="hybridMultilevel"/>
    <w:lvl w:ilvl="0">
      <w:lvlJc w:val="left"/>
      <w:lvlText w:val="(%1)"/>
      <w:numFmt w:val="decimal"/>
      <w:start w:val="1"/>
    </w:lvl>
  </w:abstractNum>
  <w:abstractNum w:abstractNumId="241">
    <w:nsid w:val="407168D8"/>
    <w:multiLevelType w:val="hybridMultilevel"/>
    <w:lvl w:ilvl="0">
      <w:lvlJc w:val="left"/>
      <w:lvlText w:val="(%1)"/>
      <w:numFmt w:val="lowerLetter"/>
      <w:start w:val="1"/>
    </w:lvl>
  </w:abstractNum>
  <w:abstractNum w:abstractNumId="242">
    <w:nsid w:val="6A1B45E5"/>
    <w:multiLevelType w:val="hybridMultilevel"/>
    <w:lvl w:ilvl="0">
      <w:lvlJc w:val="left"/>
      <w:lvlText w:val="%1."/>
      <w:numFmt w:val="upperLetter"/>
      <w:start w:val="9"/>
    </w:lvl>
  </w:abstractNum>
  <w:abstractNum w:abstractNumId="243">
    <w:nsid w:val="567BD50A"/>
    <w:multiLevelType w:val="hybridMultilevel"/>
    <w:lvl w:ilvl="0">
      <w:lvlJc w:val="left"/>
      <w:lvlText w:val="(%1)"/>
      <w:numFmt w:val="decimal"/>
      <w:start w:val="1"/>
    </w:lvl>
  </w:abstractNum>
  <w:abstractNum w:abstractNumId="244">
    <w:nsid w:val="73BBD7F8"/>
    <w:multiLevelType w:val="hybridMultilevel"/>
    <w:lvl w:ilvl="0">
      <w:lvlJc w:val="left"/>
      <w:lvlText w:val="(%1)"/>
      <w:numFmt w:val="decimal"/>
      <w:start w:val="3"/>
    </w:lvl>
  </w:abstractNum>
  <w:abstractNum w:abstractNumId="245">
    <w:nsid w:val="1876589D"/>
    <w:multiLevelType w:val="hybridMultilevel"/>
    <w:lvl w:ilvl="0">
      <w:lvlJc w:val="left"/>
      <w:lvlText w:val="(%1)"/>
      <w:numFmt w:val="decimal"/>
      <w:start w:val="7"/>
    </w:lvl>
  </w:abstractNum>
  <w:abstractNum w:abstractNumId="246">
    <w:nsid w:val="327FAC77"/>
    <w:multiLevelType w:val="hybridMultilevel"/>
    <w:lvl w:ilvl="0">
      <w:lvlJc w:val="left"/>
      <w:lvlText w:val="(%1)"/>
      <w:numFmt w:val="decimal"/>
      <w:start w:val="9"/>
    </w:lvl>
  </w:abstractNum>
  <w:abstractNum w:abstractNumId="247">
    <w:nsid w:val="5A606509"/>
    <w:multiLevelType w:val="hybridMultilevel"/>
    <w:lvl w:ilvl="0">
      <w:lvlJc w:val="left"/>
      <w:lvlText w:val="·"/>
      <w:numFmt w:val="bullet"/>
      <w:start w:val="1"/>
    </w:lvl>
  </w:abstractNum>
  <w:abstractNum w:abstractNumId="248">
    <w:nsid w:val="6F38E6D1"/>
    <w:multiLevelType w:val="hybridMultilevel"/>
    <w:lvl w:ilvl="0">
      <w:lvlJc w:val="left"/>
      <w:lvlText w:val="%1."/>
      <w:numFmt w:val="decimal"/>
      <w:start w:val="1"/>
    </w:lvl>
  </w:abstractNum>
  <w:abstractNum w:abstractNumId="249">
    <w:nsid w:val="46111BA5"/>
    <w:multiLevelType w:val="hybridMultilevel"/>
    <w:lvl w:ilvl="0">
      <w:lvlJc w:val="left"/>
      <w:lvlText w:val="%1."/>
      <w:numFmt w:val="decimal"/>
      <w:start w:val="2"/>
    </w:lvl>
  </w:abstractNum>
  <w:abstractNum w:abstractNumId="250">
    <w:nsid w:val="5E963896"/>
    <w:multiLevelType w:val="hybridMultilevel"/>
    <w:lvl w:ilvl="0">
      <w:lvlJc w:val="left"/>
      <w:lvlText w:val="%1."/>
      <w:numFmt w:val="decimal"/>
      <w:start w:val="4"/>
    </w:lvl>
  </w:abstractNum>
  <w:abstractNum w:abstractNumId="251">
    <w:nsid w:val="775BA7C1"/>
    <w:multiLevelType w:val="hybridMultilevel"/>
    <w:lvl w:ilvl="0">
      <w:lvlJc w:val="left"/>
      <w:lvlText w:val="%1."/>
      <w:numFmt w:val="decimal"/>
      <w:start w:val="7"/>
    </w:lvl>
  </w:abstractNum>
  <w:abstractNum w:abstractNumId="252">
    <w:nsid w:val="1DD6D6F4"/>
    <w:multiLevelType w:val="hybridMultilevel"/>
    <w:lvl w:ilvl="0">
      <w:lvlJc w:val="left"/>
      <w:lvlText w:val="%1."/>
      <w:numFmt w:val="decimal"/>
      <w:start w:val="10"/>
    </w:lvl>
  </w:abstractNum>
  <w:abstractNum w:abstractNumId="253">
    <w:nsid w:val="769A091F"/>
    <w:multiLevelType w:val="hybridMultilevel"/>
    <w:lvl w:ilvl="0">
      <w:lvlJc w:val="left"/>
      <w:lvlText w:val="%1."/>
      <w:numFmt w:val="decimal"/>
      <w:start w:val="13"/>
    </w:lvl>
  </w:abstractNum>
  <w:abstractNum w:abstractNumId="254">
    <w:nsid w:val="4695AE95"/>
    <w:multiLevelType w:val="hybridMultilevel"/>
    <w:lvl w:ilvl="0">
      <w:lvlJc w:val="left"/>
      <w:lvlText w:val="%1."/>
      <w:numFmt w:val="decimal"/>
      <w:start w:val="16"/>
    </w:lvl>
  </w:abstractNum>
  <w:abstractNum w:abstractNumId="255">
    <w:nsid w:val="777A4EAA"/>
    <w:multiLevelType w:val="hybridMultilevel"/>
    <w:lvl w:ilvl="0">
      <w:lvlJc w:val="left"/>
      <w:lvlText w:val="$"/>
      <w:numFmt w:val="bullet"/>
      <w:start w:val="1"/>
    </w:lvl>
  </w:abstractNum>
  <w:abstractNum w:abstractNumId="256">
    <w:nsid w:val="3F48B982"/>
    <w:multiLevelType w:val="hybridMultilevel"/>
    <w:lvl w:ilvl="0">
      <w:lvlJc w:val="left"/>
      <w:lvlText w:val="$"/>
      <w:numFmt w:val="bullet"/>
      <w:start w:val="1"/>
    </w:lvl>
  </w:abstractNum>
  <w:abstractNum w:abstractNumId="257">
    <w:nsid w:val="46BA8F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2019-12-09T18:34:00Z</dcterms:created>
  <dcterms:modified xsi:type="dcterms:W3CDTF">2019-12-09T18:34:00Z</dcterms:modified>
</cp:coreProperties>
</file>