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Siegel Seth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68,608</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338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19,165</w:t>
            </w:r>
          </w:p>
        </w:tc>
        <w:tc>
          <w:tcPr>
            <w:tcW w:w="920" w:type="dxa"/>
            <w:vAlign w:val="bottom"/>
          </w:tcPr>
          <w:p>
            <w:pPr>
              <w:ind w:left="700"/>
              <w:spacing w:after="0"/>
              <w:rPr>
                <w:sz w:val="20"/>
                <w:szCs w:val="20"/>
                <w:color w:val="auto"/>
              </w:rPr>
            </w:pPr>
            <w:r>
              <w:rPr>
                <w:rFonts w:ascii="Arial" w:cs="Arial" w:eastAsia="Arial" w:hAnsi="Arial"/>
                <w:sz w:val="18"/>
                <w:szCs w:val="18"/>
                <w:color w:val="0000FF"/>
              </w:rPr>
              <w:t>I</w:t>
            </w:r>
          </w:p>
        </w:tc>
        <w:tc>
          <w:tcPr>
            <w:tcW w:w="3400" w:type="dxa"/>
            <w:vAlign w:val="bottom"/>
            <w:gridSpan w:val="4"/>
          </w:tcPr>
          <w:p>
            <w:pPr>
              <w:ind w:left="500"/>
              <w:spacing w:after="0"/>
              <w:rPr>
                <w:sz w:val="20"/>
                <w:szCs w:val="20"/>
                <w:color w:val="auto"/>
              </w:rPr>
            </w:pPr>
            <w:r>
              <w:rPr>
                <w:rFonts w:ascii="Arial" w:cs="Arial" w:eastAsia="Arial" w:hAnsi="Arial"/>
                <w:sz w:val="18"/>
                <w:szCs w:val="18"/>
                <w:color w:val="0000FF"/>
                <w:w w:val="99"/>
              </w:rPr>
              <w:t>By Seth Mitchell Siegel Family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40" w:type="dxa"/>
            <w:vAlign w:val="bottom"/>
            <w:tcBorders>
              <w:bottom w:val="single" w:sz="8" w:color="2C2C2C"/>
            </w:tcBorders>
            <w:gridSpan w:val="2"/>
          </w:tcPr>
          <w:p>
            <w:pPr>
              <w:jc w:val="center"/>
              <w:ind w:left="575"/>
              <w:spacing w:after="0"/>
              <w:rPr>
                <w:sz w:val="20"/>
                <w:szCs w:val="20"/>
                <w:color w:val="auto"/>
              </w:rPr>
            </w:pPr>
            <w:r>
              <w:rPr>
                <w:rFonts w:ascii="Arial" w:cs="Arial" w:eastAsia="Arial" w:hAnsi="Arial"/>
                <w:sz w:val="14"/>
                <w:szCs w:val="14"/>
                <w:color w:val="0000FF"/>
                <w:w w:val="88"/>
              </w:rPr>
              <w:t>10/30/2006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10/30/2012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7"/>
              </w:rPr>
              <w:t>13,333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40" w:type="dxa"/>
            <w:vAlign w:val="bottom"/>
            <w:tcBorders>
              <w:bottom w:val="single" w:sz="8" w:color="2C2C2C"/>
            </w:tcBorders>
            <w:gridSpan w:val="2"/>
          </w:tcPr>
          <w:p>
            <w:pPr>
              <w:jc w:val="center"/>
              <w:ind w:left="575"/>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6"/>
              </w:rPr>
              <w:t>100,000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40" w:type="dxa"/>
            <w:vAlign w:val="bottom"/>
            <w:tcBorders>
              <w:bottom w:val="single" w:sz="8" w:color="2C2C2C"/>
            </w:tcBorders>
            <w:gridSpan w:val="2"/>
          </w:tcPr>
          <w:p>
            <w:pPr>
              <w:jc w:val="center"/>
              <w:ind w:left="575"/>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6"/>
              </w:rPr>
              <w:t>100,000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Warrants</w:t>
            </w:r>
          </w:p>
        </w:tc>
        <w:tc>
          <w:tcPr>
            <w:tcW w:w="1540" w:type="dxa"/>
            <w:vAlign w:val="bottom"/>
            <w:gridSpan w:val="2"/>
          </w:tcPr>
          <w:p>
            <w:pPr>
              <w:jc w:val="center"/>
              <w:ind w:left="575"/>
              <w:spacing w:after="0"/>
              <w:rPr>
                <w:sz w:val="20"/>
                <w:szCs w:val="20"/>
                <w:color w:val="auto"/>
              </w:rPr>
            </w:pPr>
            <w:r>
              <w:rPr>
                <w:rFonts w:ascii="Arial" w:cs="Arial" w:eastAsia="Arial" w:hAnsi="Arial"/>
                <w:sz w:val="14"/>
                <w:szCs w:val="14"/>
                <w:color w:val="0000FF"/>
                <w:w w:val="88"/>
              </w:rPr>
              <w:t>12/29/2009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12/29/2014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28,985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2.75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Warrants</w:t>
            </w:r>
          </w:p>
        </w:tc>
        <w:tc>
          <w:tcPr>
            <w:tcW w:w="1540" w:type="dxa"/>
            <w:vAlign w:val="bottom"/>
            <w:gridSpan w:val="2"/>
          </w:tcPr>
          <w:p>
            <w:pPr>
              <w:jc w:val="center"/>
              <w:ind w:left="575"/>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1"/>
              <w:spacing w:after="0"/>
              <w:rPr>
                <w:sz w:val="20"/>
                <w:szCs w:val="20"/>
                <w:color w:val="auto"/>
              </w:rPr>
            </w:pPr>
            <w:r>
              <w:rPr>
                <w:rFonts w:ascii="Arial" w:cs="Arial" w:eastAsia="Arial" w:hAnsi="Arial"/>
                <w:sz w:val="18"/>
                <w:szCs w:val="18"/>
                <w:color w:val="0000FF"/>
                <w:w w:val="87"/>
              </w:rPr>
              <w:t>57,970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5.06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Options were granted on October 30, 2006. One-fourth of the grant became exercisable six months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Warrants will be exercisable upon the consummation of the company's initial public offering and will expire five years thereafter.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0000FF"/>
                <w:w w:val="87"/>
              </w:rPr>
              <w:t>/s/ Seth M. Siegel</w:t>
            </w:r>
          </w:p>
        </w:tc>
        <w:tc>
          <w:tcPr>
            <w:tcW w:w="8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06/21/2010</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3407"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2019-12-17T14:49:59Z</dcterms:created>
  <dcterms:modified xsi:type="dcterms:W3CDTF">2019-12-17T14:49:59Z</dcterms:modified>
</cp:coreProperties>
</file>