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98420U802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98420U802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McCabe James Joseph III</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319,000.00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XWELL,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254 West 31st Street, 11th Floor, New York,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James Joseph McCabe III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Fiesta Way, Fort Lauderdale, FL 33301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98420U802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319,000 The amounts in Row (5), (7) and (9) represent 319,000 shares of the Issuer's Common Stock. The percentage</w:t>
      </w:r>
    </w:p>
    <w:p>
      <w:pPr>
        <w:spacing w:after="0" w:line="26" w:lineRule="exact"/>
        <w:rPr>
          <w:sz w:val="20"/>
          <w:szCs w:val="20"/>
          <w:color w:val="auto"/>
        </w:rPr>
      </w:pPr>
    </w:p>
    <w:p>
      <w:pPr>
        <w:ind w:left="920" w:right="160" w:hanging="912"/>
        <w:spacing w:after="0" w:line="247"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on Row (11) of the cover page for the Reporting Person is based on 5,766,703 shares of Common Stock outstanding as of November 11, 2025, based on the Issuer's Quarterly Report on Form 10-Q filed with the Securities and Exchange Commission on November 14, 2025. The Reporting Person has the sole power to vote or to direct the vote, and sole power to dispose or to direct the disposition of all shares beneficially owned by the Reporting Person.</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319,000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319,000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McCabe James Joseph III</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Joseph McCabe III</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James Joseph McCabe III, Individual</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03/11/2026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2026-03-11T15:16:37Z</dcterms:created>
  <dcterms:modified xsi:type="dcterms:W3CDTF">2026-03-11T15:16:37Z</dcterms:modified>
</cp:coreProperties>
</file>