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11, 2020</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Delaware</w:t>
            </w:r>
          </w:p>
        </w:tc>
        <w:tc>
          <w:tcPr>
            <w:tcW w:w="50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001-34785</w:t>
            </w:r>
          </w:p>
        </w:tc>
        <w:tc>
          <w:tcPr>
            <w:tcW w:w="1900" w:type="dxa"/>
            <w:vAlign w:val="bottom"/>
          </w:tcPr>
          <w:p>
            <w:pPr>
              <w:jc w:val="center"/>
              <w:ind w:left="390"/>
              <w:spacing w:after="0"/>
              <w:rPr>
                <w:sz w:val="20"/>
                <w:szCs w:val="20"/>
                <w:color w:val="auto"/>
              </w:rPr>
            </w:pPr>
            <w:r>
              <w:rPr>
                <w:rFonts w:ascii="Arial" w:cs="Arial" w:eastAsia="Arial" w:hAnsi="Arial"/>
                <w:sz w:val="18"/>
                <w:szCs w:val="18"/>
                <w:b w:val="1"/>
                <w:bCs w:val="1"/>
                <w:color w:val="auto"/>
                <w:w w:val="89"/>
              </w:rPr>
              <w:t>20-4988129</w:t>
            </w:r>
          </w:p>
        </w:tc>
      </w:tr>
      <w:tr>
        <w:trPr>
          <w:trHeight w:val="216"/>
        </w:trPr>
        <w:tc>
          <w:tcPr>
            <w:tcW w:w="2380" w:type="dxa"/>
            <w:vAlign w:val="bottom"/>
          </w:tcPr>
          <w:p>
            <w:pPr>
              <w:jc w:val="center"/>
              <w:ind w:right="250"/>
              <w:spacing w:after="0"/>
              <w:rPr>
                <w:sz w:val="20"/>
                <w:szCs w:val="20"/>
                <w:color w:val="auto"/>
              </w:rPr>
            </w:pPr>
            <w:r>
              <w:rPr>
                <w:rFonts w:ascii="Arial" w:cs="Arial" w:eastAsia="Arial" w:hAnsi="Arial"/>
                <w:sz w:val="18"/>
                <w:szCs w:val="18"/>
                <w:b w:val="1"/>
                <w:bCs w:val="1"/>
                <w:color w:val="auto"/>
                <w:w w:val="90"/>
              </w:rPr>
              <w:t>(State or other jurisdiction</w:t>
            </w:r>
          </w:p>
        </w:tc>
        <w:tc>
          <w:tcPr>
            <w:tcW w:w="50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900" w:type="dxa"/>
            <w:vAlign w:val="bottom"/>
          </w:tcPr>
          <w:p>
            <w:pPr>
              <w:jc w:val="center"/>
              <w:ind w:left="3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of incorporation)</w:t>
            </w:r>
          </w:p>
        </w:tc>
        <w:tc>
          <w:tcPr>
            <w:tcW w:w="50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900" w:type="dxa"/>
            <w:vAlign w:val="bottom"/>
          </w:tcPr>
          <w:p>
            <w:pPr>
              <w:jc w:val="center"/>
              <w:ind w:left="390"/>
              <w:spacing w:after="0"/>
              <w:rPr>
                <w:sz w:val="20"/>
                <w:szCs w:val="20"/>
                <w:color w:val="auto"/>
              </w:rPr>
            </w:pPr>
            <w:r>
              <w:rPr>
                <w:rFonts w:ascii="Arial" w:cs="Arial" w:eastAsia="Arial" w:hAnsi="Arial"/>
                <w:sz w:val="18"/>
                <w:szCs w:val="18"/>
                <w:b w:val="1"/>
                <w:bCs w:val="1"/>
                <w:color w:val="auto"/>
                <w:w w:val="93"/>
              </w:rPr>
              <w:t>Identification No.)</w:t>
            </w:r>
          </w:p>
        </w:tc>
      </w:tr>
      <w:tr>
        <w:trPr>
          <w:trHeight w:val="454"/>
        </w:trPr>
        <w:tc>
          <w:tcPr>
            <w:tcW w:w="2380" w:type="dxa"/>
            <w:vAlign w:val="bottom"/>
          </w:tcPr>
          <w:p>
            <w:pPr>
              <w:spacing w:after="0"/>
              <w:rPr>
                <w:sz w:val="24"/>
                <w:szCs w:val="24"/>
                <w:color w:val="auto"/>
              </w:rPr>
            </w:pPr>
          </w:p>
        </w:tc>
        <w:tc>
          <w:tcPr>
            <w:tcW w:w="500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254 West 31</w:t>
            </w:r>
            <w:r>
              <w:rPr>
                <w:rFonts w:ascii="Arial" w:cs="Arial" w:eastAsia="Arial" w:hAnsi="Arial"/>
                <w:sz w:val="29"/>
                <w:szCs w:val="29"/>
                <w:b w:val="1"/>
                <w:bCs w:val="1"/>
                <w:color w:val="auto"/>
                <w:w w:val="86"/>
                <w:vertAlign w:val="superscript"/>
              </w:rPr>
              <w:t>st</w:t>
            </w:r>
            <w:r>
              <w:rPr>
                <w:rFonts w:ascii="Arial" w:cs="Arial" w:eastAsia="Arial" w:hAnsi="Arial"/>
                <w:sz w:val="18"/>
                <w:szCs w:val="18"/>
                <w:b w:val="1"/>
                <w:bCs w:val="1"/>
                <w:color w:val="auto"/>
                <w:w w:val="86"/>
              </w:rPr>
              <w:t xml:space="preserve"> Street, 11</w:t>
            </w:r>
            <w:r>
              <w:rPr>
                <w:rFonts w:ascii="Arial" w:cs="Arial" w:eastAsia="Arial" w:hAnsi="Arial"/>
                <w:sz w:val="29"/>
                <w:szCs w:val="29"/>
                <w:b w:val="1"/>
                <w:bCs w:val="1"/>
                <w:color w:val="auto"/>
                <w:w w:val="86"/>
                <w:vertAlign w:val="superscript"/>
              </w:rPr>
              <w:t>th</w:t>
            </w:r>
            <w:r>
              <w:rPr>
                <w:rFonts w:ascii="Arial" w:cs="Arial" w:eastAsia="Arial" w:hAnsi="Arial"/>
                <w:sz w:val="18"/>
                <w:szCs w:val="18"/>
                <w:b w:val="1"/>
                <w:bCs w:val="1"/>
                <w:color w:val="auto"/>
                <w:w w:val="86"/>
              </w:rPr>
              <w:t xml:space="preserve"> Floor</w:t>
            </w:r>
          </w:p>
        </w:tc>
        <w:tc>
          <w:tcPr>
            <w:tcW w:w="1900" w:type="dxa"/>
            <w:vAlign w:val="bottom"/>
          </w:tcPr>
          <w:p>
            <w:pPr>
              <w:spacing w:after="0"/>
              <w:rPr>
                <w:sz w:val="24"/>
                <w:szCs w:val="24"/>
                <w:color w:val="auto"/>
              </w:rPr>
            </w:pPr>
          </w:p>
        </w:tc>
      </w:tr>
      <w:tr>
        <w:trPr>
          <w:trHeight w:val="216"/>
        </w:trPr>
        <w:tc>
          <w:tcPr>
            <w:tcW w:w="2380" w:type="dxa"/>
            <w:vAlign w:val="bottom"/>
          </w:tcPr>
          <w:p>
            <w:pPr>
              <w:spacing w:after="0"/>
              <w:rPr>
                <w:sz w:val="18"/>
                <w:szCs w:val="18"/>
                <w:color w:val="auto"/>
              </w:rPr>
            </w:pPr>
          </w:p>
        </w:tc>
        <w:tc>
          <w:tcPr>
            <w:tcW w:w="500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New York, New York 10001</w:t>
            </w:r>
          </w:p>
        </w:tc>
        <w:tc>
          <w:tcPr>
            <w:tcW w:w="1900" w:type="dxa"/>
            <w:vAlign w:val="bottom"/>
          </w:tcPr>
          <w:p>
            <w:pPr>
              <w:spacing w:after="0"/>
              <w:rPr>
                <w:sz w:val="18"/>
                <w:szCs w:val="18"/>
                <w:color w:val="auto"/>
              </w:rPr>
            </w:pPr>
          </w:p>
        </w:tc>
      </w:tr>
      <w:tr>
        <w:trPr>
          <w:trHeight w:val="234"/>
        </w:trPr>
        <w:tc>
          <w:tcPr>
            <w:tcW w:w="2380" w:type="dxa"/>
            <w:vAlign w:val="bottom"/>
          </w:tcPr>
          <w:p>
            <w:pPr>
              <w:spacing w:after="0"/>
              <w:rPr>
                <w:sz w:val="20"/>
                <w:szCs w:val="20"/>
                <w:color w:val="auto"/>
              </w:rPr>
            </w:pPr>
          </w:p>
        </w:tc>
        <w:tc>
          <w:tcPr>
            <w:tcW w:w="50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900" w:type="dxa"/>
            <w:vAlign w:val="bottom"/>
          </w:tcPr>
          <w:p>
            <w:pPr>
              <w:spacing w:after="0"/>
              <w:rPr>
                <w:sz w:val="20"/>
                <w:szCs w:val="20"/>
                <w:color w:val="auto"/>
              </w:rPr>
            </w:pPr>
          </w:p>
        </w:tc>
      </w:tr>
    </w:tbl>
    <w:p>
      <w:pPr>
        <w:spacing w:after="0" w:line="19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(646) 525-4319</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56"/>
        </w:trPr>
        <w:tc>
          <w:tcPr>
            <w:tcW w:w="374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Title of each class</w:t>
            </w:r>
          </w:p>
        </w:tc>
        <w:tc>
          <w:tcPr>
            <w:tcW w:w="38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Trading Symbol(s)</w:t>
            </w:r>
          </w:p>
        </w:tc>
        <w:tc>
          <w:tcPr>
            <w:tcW w:w="37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Name of each exchange on which</w:t>
            </w:r>
          </w:p>
        </w:tc>
      </w:tr>
      <w:tr>
        <w:trPr>
          <w:trHeight w:val="230"/>
        </w:trPr>
        <w:tc>
          <w:tcPr>
            <w:tcW w:w="3740" w:type="dxa"/>
            <w:vAlign w:val="bottom"/>
            <w:tcBorders>
              <w:left w:val="single" w:sz="8" w:color="auto"/>
              <w:right w:val="single" w:sz="8" w:color="auto"/>
            </w:tcBorders>
          </w:tcPr>
          <w:p>
            <w:pPr>
              <w:spacing w:after="0"/>
              <w:rPr>
                <w:sz w:val="20"/>
                <w:szCs w:val="20"/>
                <w:color w:val="auto"/>
              </w:rPr>
            </w:pPr>
          </w:p>
        </w:tc>
        <w:tc>
          <w:tcPr>
            <w:tcW w:w="38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registered</w:t>
            </w: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50"/>
        </w:trPr>
        <w:tc>
          <w:tcPr>
            <w:tcW w:w="37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Common stock, par value $0.01 per share</w:t>
            </w:r>
          </w:p>
        </w:tc>
        <w:tc>
          <w:tcPr>
            <w:tcW w:w="3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XSPA</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 Nasdaq Stock Market</w:t>
            </w: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333333"/>
        </w:rPr>
        <w:t>Item 8.01</w:t>
      </w:r>
      <w:r>
        <w:rPr>
          <w:sz w:val="20"/>
          <w:szCs w:val="20"/>
          <w:color w:val="auto"/>
        </w:rPr>
        <w:tab/>
      </w:r>
      <w:r>
        <w:rPr>
          <w:rFonts w:ascii="Arial" w:cs="Arial" w:eastAsia="Arial" w:hAnsi="Arial"/>
          <w:sz w:val="16"/>
          <w:szCs w:val="16"/>
          <w:b w:val="1"/>
          <w:bCs w:val="1"/>
          <w:color w:val="333333"/>
        </w:rPr>
        <w:t>Other Events.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333333"/>
        </w:rPr>
        <w:t>Due to the outbreak of coronavirus disease 2019 (“COVID-19”), XpresSpa Group, Inc., a Delaware corporation (the “Company”), is filing this Current Report on Form 8-K to avail itself of an extension to file its Quarterly Report on Form 10-Q for the period ended March 31, 2020 (the “Quarterly Report”), originally due on May 15, 2020, relying on an order issued by the Securities and Exchange Commission (the “SEC”) on March 25, 2020 pursuant to Section 36 of the Securities Exchange Act of 1934, as amended (Release No. 34-88465) (the “Order”) regarding exemptions granted to certain public companies.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continues to experience delays in operations and business for the reasons previously disclosed in its Current Report on Form 8-K filed on March 30, 2020 (the “Original Filing”), which is hereby incorporated herein by reference. For the reasons described in the Original Filing, </w:t>
      </w:r>
      <w:r>
        <w:rPr>
          <w:rFonts w:ascii="Arial" w:cs="Arial" w:eastAsia="Arial" w:hAnsi="Arial"/>
          <w:sz w:val="18"/>
          <w:szCs w:val="18"/>
          <w:color w:val="333333"/>
        </w:rPr>
        <w:t>the Company</w:t>
      </w:r>
      <w:r>
        <w:rPr>
          <w:rFonts w:ascii="Arial" w:cs="Arial" w:eastAsia="Arial" w:hAnsi="Arial"/>
          <w:sz w:val="18"/>
          <w:szCs w:val="18"/>
          <w:color w:val="auto"/>
        </w:rPr>
        <w:t xml:space="preserve"> </w:t>
      </w:r>
      <w:r>
        <w:rPr>
          <w:rFonts w:ascii="Arial" w:cs="Arial" w:eastAsia="Arial" w:hAnsi="Arial"/>
          <w:sz w:val="18"/>
          <w:szCs w:val="18"/>
          <w:color w:val="333333"/>
        </w:rPr>
        <w:t>will be relying upon the 45-day grace period provided by the Order to delay the filing of its Quarterly Report. The Company will file its Quarterly Report by no later than June 29, 2020, 45 days after the original due date of its Quarterly Report.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risk factor included in the Current Report on Form 8-K filed with the SEC on April 28, 2020 is hereby incorporated by reference into this Item 8.01</w:t>
      </w:r>
      <w:r>
        <w:rPr>
          <w:rFonts w:ascii="Arial" w:cs="Arial" w:eastAsia="Arial" w:hAnsi="Arial"/>
          <w:sz w:val="16"/>
          <w:szCs w:val="16"/>
          <w:color w:val="333333"/>
        </w:rPr>
        <w: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Current Report on Form 8-K (the “Form 8-K”) and the press release attached hereto include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The forward looking statements in this Form 8-K constitute forward-looking statements within the meaning of the Private Securities Litigation Reform Act of 1995. There are a number of important factors that could cause actual results or events to differ materially from those indicated by such forward-looking statements, including, but not limited to, the risks and uncertainties and other factors discussed from time to time in the Company’s filings with the SEC, including the Company’s Annual Report on Form 10-K for the year ended December 31, 2019 filed with the SEC on April 20, 2020, as amended. The Company expressly disclaims any obligation to publicly update any forward-looking statements contained herein, whether as a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660" w:type="dxa"/>
            <w:vAlign w:val="bottom"/>
            <w:gridSpan w:val="2"/>
          </w:tcPr>
          <w:p>
            <w:pPr>
              <w:ind w:left="2060"/>
              <w:spacing w:after="0"/>
              <w:rPr>
                <w:sz w:val="20"/>
                <w:szCs w:val="20"/>
                <w:color w:val="auto"/>
              </w:rPr>
            </w:pPr>
            <w:r>
              <w:rPr>
                <w:rFonts w:ascii="Arial" w:cs="Arial" w:eastAsia="Arial" w:hAnsi="Arial"/>
                <w:sz w:val="18"/>
                <w:szCs w:val="18"/>
                <w:b w:val="1"/>
                <w:bCs w:val="1"/>
                <w:color w:val="auto"/>
              </w:rPr>
              <w:t>XPRESSPA GROUP, INC.</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Dated: May 11, 2020</w:t>
            </w:r>
          </w:p>
        </w:tc>
        <w:tc>
          <w:tcPr>
            <w:tcW w:w="7660" w:type="dxa"/>
            <w:vAlign w:val="bottom"/>
            <w:gridSpan w:val="2"/>
          </w:tcPr>
          <w:p>
            <w:pPr>
              <w:ind w:left="2060"/>
              <w:spacing w:after="0"/>
              <w:rPr>
                <w:sz w:val="20"/>
                <w:szCs w:val="20"/>
                <w:color w:val="auto"/>
              </w:rPr>
            </w:pPr>
            <w:r>
              <w:rPr>
                <w:rFonts w:ascii="Arial" w:cs="Arial" w:eastAsia="Arial" w:hAnsi="Arial"/>
                <w:sz w:val="18"/>
                <w:szCs w:val="18"/>
                <w:color w:val="auto"/>
              </w:rPr>
              <w:t>By:   /s/ Douglas Satzman</w:t>
            </w:r>
          </w:p>
        </w:tc>
      </w:tr>
      <w:tr>
        <w:trPr>
          <w:trHeight w:val="195"/>
        </w:trPr>
        <w:tc>
          <w:tcPr>
            <w:tcW w:w="35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Douglas Satzman</w:t>
            </w:r>
          </w:p>
        </w:tc>
      </w:tr>
      <w:tr>
        <w:trPr>
          <w:trHeight w:val="230"/>
        </w:trPr>
        <w:tc>
          <w:tcPr>
            <w:tcW w:w="35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891"/>
        </w:trPr>
        <w:tc>
          <w:tcPr>
            <w:tcW w:w="35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2020-05-11T15:28:14Z</dcterms:created>
  <dcterms:modified xsi:type="dcterms:W3CDTF">2020-05-11T15:28:14Z</dcterms:modified>
</cp:coreProperties>
</file>