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333-233419</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17,302,951 Shares of Common Stock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This prospectus relates to the resale of up to an aggregate of 17,302,951 shares of our common stock. This total includes the following:</w:t>
      </w:r>
    </w:p>
    <w:p>
      <w:pPr>
        <w:spacing w:after="0" w:line="225" w:lineRule="exact"/>
        <w:rPr>
          <w:sz w:val="24"/>
          <w:szCs w:val="24"/>
          <w:color w:val="auto"/>
        </w:rPr>
      </w:pPr>
    </w:p>
    <w:p>
      <w:pPr>
        <w:ind w:left="1300" w:hanging="455"/>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449,800 shares (or 562,250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3"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1,445,816 shares (or 1,807,270 shares) of our common stock underlying shares of Series E Preferred Stock issuable upon conversion of an aggregate principal amount of $2,500,000 of the Calm Notes, plus interest payable thereon, at a conversion price equal to $2.00 per share;</w:t>
      </w:r>
    </w:p>
    <w:p>
      <w:pPr>
        <w:spacing w:after="0" w:line="183"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1,500,000 shares (or 1,875,000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937,500 shares (or 1,171,875 shares) of our common stock issuable upon the exercise of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5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4,156,275 shares (or 5,195,344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94"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 of the 6,485,430 shares of our common stock issued to Mistral Spa Holdings, LLC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125% of the 79,406 shares (or 99,258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 of the 106,524 shares of our common stock issued in connection with the Merger Agreement and the Subscription Agreement (items (i) through (viii) collectively, the “Securities”).</w:t>
      </w:r>
    </w:p>
    <w:p>
      <w:pPr>
        <w:spacing w:after="0" w:line="170" w:lineRule="exact"/>
        <w:rPr>
          <w:sz w:val="24"/>
          <w:szCs w:val="24"/>
          <w:color w:val="auto"/>
        </w:rPr>
      </w:pPr>
    </w:p>
    <w:p>
      <w:pPr>
        <w:jc w:val="both"/>
        <w:spacing w:after="0" w:line="283" w:lineRule="auto"/>
        <w:rPr>
          <w:sz w:val="20"/>
          <w:szCs w:val="20"/>
          <w:color w:val="auto"/>
        </w:rPr>
      </w:pPr>
      <w:r>
        <w:rPr>
          <w:rFonts w:ascii="Arial" w:cs="Arial" w:eastAsia="Arial" w:hAnsi="Arial"/>
          <w:sz w:val="16"/>
          <w:szCs w:val="16"/>
          <w:color w:val="auto"/>
        </w:rPr>
        <w:t>The Securities were issued by XpresSpa Group, Inc. (the “Company”) and were issued (a) with respect to item (i) above, to accredited investors pursuant to or in connection with that certain Amendment to Securities Purchase Agreement and Class A Warrants and Class B Warrants, dated as of July 8, 2019 (the “May 2018 SPA Amendment”); (b) with respect to items (ii) and (iv) above, to an accredited investor pursuant to or in connection with that certain Securities Purchase Agreement, dated as of July 8, 2019, by and between the Company and Calm.com, Inc. (the “2019 Calm Purchase Agreement”); (c) with respect to item (iii) above, to an accredited investor pursuant to or in connection with that certain Securities Purchase Agreement, dated as of November 12, 2018, by and between the Company and Calm.com, Inc. (the “2018 Calm Purchase Agreement”) and in connection with that certain amendment to the Certificate of Designation, Preference, Rights and Limitations of the Series E Convertible Preferred Stock, dated as of July 8, 2019 (the “Series E COD Amendment”); (d) with respect to item (v) above, to an accredited investor pursuant to or in connection with a Fourth Amendment to Credit Agreement by and between the Company and B3D, LLC ("B3D"), dated as of July 8, 2019 (the “Credit Agreement Amendment”); (e) with respect to item</w:t>
      </w:r>
    </w:p>
    <w:p>
      <w:pPr>
        <w:spacing w:after="0" w:line="6" w:lineRule="exact"/>
        <w:rPr>
          <w:sz w:val="24"/>
          <w:szCs w:val="24"/>
          <w:color w:val="auto"/>
        </w:rPr>
      </w:pPr>
    </w:p>
    <w:p>
      <w:pPr>
        <w:jc w:val="both"/>
        <w:ind w:firstLine="8"/>
        <w:spacing w:after="0" w:line="273" w:lineRule="auto"/>
        <w:tabs>
          <w:tab w:leader="none" w:pos="338" w:val="left"/>
        </w:tabs>
        <w:numPr>
          <w:ilvl w:val="0"/>
          <w:numId w:val="2"/>
        </w:numPr>
        <w:rPr>
          <w:rFonts w:ascii="Arial" w:cs="Arial" w:eastAsia="Arial" w:hAnsi="Arial"/>
          <w:sz w:val="17"/>
          <w:szCs w:val="17"/>
          <w:color w:val="auto"/>
        </w:rPr>
      </w:pPr>
      <w:r>
        <w:rPr>
          <w:rFonts w:ascii="Arial" w:cs="Arial" w:eastAsia="Arial" w:hAnsi="Arial"/>
          <w:sz w:val="17"/>
          <w:szCs w:val="17"/>
          <w:color w:val="auto"/>
        </w:rPr>
        <w:t>above, to an accredited investor pursuant to or in connection with an Amendment to our Certificate of Designation of Preferences, Rights and Limitations of Series D Convertible Preferred Stock, dated as of July 8, 2019 (the “Series D COD Amendment”); (f) with respect to item (vii) above, to an accredited investor pursuant to or in connection with an amendment to the December 2016 Warrants (the “December 2016 Warrant Amendment”); and (g) with respect to item (viii) above, to an accredited investor in connection with the Merger Agreement and the Subscription Agreement.</w:t>
      </w:r>
    </w:p>
    <w:p>
      <w:pPr>
        <w:spacing w:after="0" w:line="176"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are currently held by such selling securityholders or will be issued upon conversion of each of the Calm Notes and B3D Notes, respectively (collectively, the “Notes”), upon conversion of each of the Series E Convertible Preferred Stock and Series F Convertible Preferred Stock, respectively (the “Preferred Stock”) and upon exercise of each of the Calm Warrants and December 2016 Warrants, respectively (collectively, the “Warrants”).</w:t>
      </w:r>
    </w:p>
    <w:p>
      <w:pPr>
        <w:spacing w:after="0" w:line="176"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17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26.</w:t>
      </w:r>
    </w:p>
    <w:p>
      <w:pPr>
        <w:spacing w:after="0" w:line="12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“XSPA.” On December 2, 2019, the last reported sale price of our common stock was $0.69 per share.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ectPr>
          <w:pgSz w:w="11900" w:h="16891" w:orient="portrait"/>
          <w:cols w:equalWidth="0" w:num="1">
            <w:col w:w="11240"/>
          </w:cols>
          <w:pgMar w:left="320" w:top="220" w:right="339" w:bottom="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2000" w:type="dxa"/>
            <w:vAlign w:val="bottom"/>
            <w:shd w:val="clear" w:color="auto" w:fill="CCEEFF"/>
          </w:tcPr>
          <w:p>
            <w:pPr>
              <w:jc w:val="center"/>
              <w:ind w:left="91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RISK FACTORS</w:t>
              </w:r>
            </w:hyperlink>
          </w:p>
        </w:tc>
        <w:tc>
          <w:tcPr>
            <w:tcW w:w="2000" w:type="dxa"/>
            <w:vAlign w:val="bottom"/>
            <w:shd w:val="clear" w:color="auto" w:fill="CCEEFF"/>
          </w:tcPr>
          <w:p>
            <w:pPr>
              <w:jc w:val="center"/>
              <w:ind w:left="91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3</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SPECIAL NOTE REGARDING FORWARD-LOOKING STATEMENTS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USE OF PROCEEDS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21</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SELLING SECURITYHOLDERS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22</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PLAN OF DISTRIBUTION</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MATTERS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EXPERTS</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WHERE YOU CAN FIND MORE INFORMATION</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28</w:t>
              </w:r>
            </w:hyperlink>
          </w:p>
        </w:tc>
      </w:tr>
      <w:tr>
        <w:trPr>
          <w:trHeight w:val="216"/>
        </w:trPr>
        <w:tc>
          <w:tcPr>
            <w:tcW w:w="9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INCORPORATION OF CERTAIN DOCUMENTS BY REFERENCE</w:t>
              </w:r>
            </w:hyperlink>
          </w:p>
        </w:tc>
        <w:tc>
          <w:tcPr>
            <w:tcW w:w="2000" w:type="dxa"/>
            <w:vAlign w:val="bottom"/>
            <w:shd w:val="clear" w:color="auto" w:fill="CCEEFF"/>
          </w:tcPr>
          <w:p>
            <w:pPr>
              <w:jc w:val="center"/>
              <w:ind w:left="93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28</w:t>
              </w:r>
            </w:hyperlink>
          </w:p>
        </w:tc>
      </w:tr>
      <w:tr>
        <w:trPr>
          <w:trHeight w:val="432"/>
        </w:trPr>
        <w:tc>
          <w:tcPr>
            <w:tcW w:w="9240" w:type="dxa"/>
            <w:vAlign w:val="bottom"/>
          </w:tcPr>
          <w:p>
            <w:pPr>
              <w:ind w:left="3420"/>
              <w:spacing w:after="0"/>
              <w:rPr>
                <w:sz w:val="20"/>
                <w:szCs w:val="20"/>
                <w:color w:val="auto"/>
              </w:rPr>
            </w:pPr>
            <w:r>
              <w:rPr>
                <w:rFonts w:ascii="Arial" w:cs="Arial" w:eastAsia="Arial" w:hAnsi="Arial"/>
                <w:sz w:val="18"/>
                <w:szCs w:val="18"/>
                <w:b w:val="1"/>
                <w:bCs w:val="1"/>
                <w:color w:val="auto"/>
              </w:rPr>
              <w:t>INFORMATION CONTAINED IN THIS PROSPECTUS</w:t>
            </w:r>
          </w:p>
        </w:tc>
        <w:tc>
          <w:tcPr>
            <w:tcW w:w="20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038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6038850"/>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July 8, 2019, we entered into the May 2018 SPA Amendment, to provide for, among other things, (i) with respect to our previously issued Class A Warrants, a reduction in the exercise price to $2.00 per share, the removal of the conversion price floor and the inclusion of a provision allowing for voluntary reduction of the exercise price by our Board of Directors at any time in its discretion and (ii) the establishment of a new class of preferred stock, the Series F Preferred Stock, which Series F Preferred Stock, upon receipt of the approval of our stockholders received on October 2, 2019 (the “Shareholder Approval”), contains anti-dilution price protection, and the issuance of 9,000 shares of such Series F Preferred Stock to the parties to the May 2018 SPA Amendment, which are convertible into common stock at a conversion price of $2.00 per share upon receipt of Shareholder Approval.</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8, 2019, we also entered into the 2019 Calm Purchase Agreement, pursuant to which we agreed to sell (i) the Calm Notes, which are convertible into shares of Series E Preferred Stock and (ii) the Calm Warrants. Each of the Calm Notes and the Calm Warrants contains, upon receipt of Shareholder Approval, anti-dilution price protection and provides for the inclusion of a provision allowing for the voluntary reduction of the conversion or exercise price, as applicable, by our Board of Directors at any time in its discretion. In connection with the 2019 Calm Purchase Agreement, we filed the Series E COD Amendment with the State of Delaware to reduce the conversion price to $2.00 per share, upon receipt of Shareholder Approval.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1228" w:right="439" w:bottom="1440" w:gutter="0" w:footer="0" w:header="0"/>
        </w:sectPr>
      </w:pPr>
    </w:p>
    <w:bookmarkStart w:id="4" w:name="page5"/>
    <w:bookmarkEnd w:id="4"/>
    <w:p>
      <w:pPr>
        <w:jc w:val="both"/>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733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3733165"/>
                    </a:xfrm>
                    <a:prstGeom prst="rect">
                      <a:avLst/>
                    </a:prstGeom>
                    <a:noFill/>
                  </pic:spPr>
                </pic:pic>
              </a:graphicData>
            </a:graphic>
          </wp:anchor>
        </w:drawing>
        <w:t>On July 8, 2019, we also entered into the Credit Agreement Amendment with B3D in order to, among other provisions, (i) extend the maturity date to May 31, 2021, (ii) reduce the applicable interest rate to 9.0% and (iii) amend and restate the B3D Note in order to increase the principal amount owed to B3D to $7.0 million, which principal and any interest accrued thereon are, upon receipt of Shareholder Approval, convertible at B3D’s option into common stock at an initial conversion price of $2.00 per share. Upon receipt of Shareholder Approval, the B3D Note contains anti-dilution price protection and includes a provision allowing for voluntary reduction of the conversion price by our Board of Directors at any time in its discretion.</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July 8, 2019, we also (i) filed the Series D COD Amendment to reduce the conversion price of the Series D Preferred Stock to $2.00 per share, upon receipt of Shareholder Approval and (ii) entered into the December 2016 Warrant Amendment to provide for (a) a reduction in the exercise price to $2.00, (b) certain anti-dilution price protection and (c) the inclusion of a provision allowing for voluntary reduction of the exercise price by our Board of Directors at any time in its discretion, in each case upon receipt of Shareholder Approval.</w:t>
      </w:r>
    </w:p>
    <w:p>
      <w:pPr>
        <w:spacing w:after="0" w:line="18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October 2, 2019, upon receipt of Shareholder Approval, all issued and outstanding shares of our Series D Preferred Stock were converted into shares of common stock pursuant to Section 6.3.4 of the Series D COD Amendment, except to the extent that any holder of Series D Preferred Stock would otherwise beneficially own in excess any beneficial ownership limitation applicable to such holder after giving effect to the conversion, in which case such holder’s Series D Preferred Stock converted automatically into warrants to purchase the number of shares of common stock equal to the number of shares of common stock into which the holder’s Series D Preferred Stock would otherwise have converted. After giving effect to such conversion, we had 13,881,448 shares of common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1232"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our securities involves a high degree of risk. You should carefully review and consider the following risk factors and in the sections entitled “Risk Factors” contained in our most recent </w:t>
      </w:r>
      <w:hyperlink r:id="rId14">
        <w:r>
          <w:rPr>
            <w:rFonts w:ascii="Arial" w:cs="Arial" w:eastAsia="Arial" w:hAnsi="Arial"/>
            <w:sz w:val="17"/>
            <w:szCs w:val="17"/>
            <w:i w:val="1"/>
            <w:iCs w:val="1"/>
            <w:u w:val="single" w:color="auto"/>
            <w:color w:val="0000EE"/>
          </w:rPr>
          <w:t>annual report on Form 10-K</w:t>
        </w:r>
      </w:hyperlink>
      <w:r>
        <w:rPr>
          <w:rFonts w:ascii="Arial" w:cs="Arial" w:eastAsia="Arial" w:hAnsi="Arial"/>
          <w:sz w:val="17"/>
          <w:szCs w:val="17"/>
          <w:i w:val="1"/>
          <w:iCs w:val="1"/>
          <w:color w:val="auto"/>
        </w:rPr>
        <w:t>,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registered public accounting firm has expressed substantial doubt as to our ability to continue as a going concern.</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audited financial statements included in our Annual Report on Form 10-K for the fiscal year ended December 31, 2018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2018 and 2017,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our outstanding debt.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obligated under the Credit Agreement Amendment and B3D Note, which has an outstanding balance of approximately $7,000,000, with a maturity date of May 31, 2021. The B3D Note accrues interest of 9.0% per annum, which interest is payable in arrears on the last business date of each month. Notwithstanding the foregoing, we have agreed with B3D that interest for the months of September 2019 and October 2019 shall be paid in shares of common stock following the effectiveness of a registration statement registering such shares for resale and also anticipate paying interest for the month of November 2019 in shares of common stock. We have granted B3D a security interest in all of its tangible and intangible personal property to secure our obligations under the B3D Note. The B3D Note is an outstanding obligation of XpresSpa Holdings, LLC but is guaranteed by us.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on July 8, 2019, we entered into the 2019 Calm Purchase Agreement pursuant to which we issued the Calm Notes.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B3D Note and the Calm Notes provides that upon an event of default (defined to include any default in payment, failure to observe or perform certain covenants, and the occurrence of certain bankruptcy events, among other events), the respective lender could declare such note, including outstanding principal and all other amounts owing thereon, immediately due and payable. While we do not anticipate failing to make any such debt payments or taking any action that could result in an event of default, any default of our loan obligations could lead to financial and operational hardship. Our failure to make payments pursuant to either of the B3D Note or the Calm Notes could cause material harm to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we had federal net operating loss carryforwards (“NOLs”) of $150,926,000 which expire 20 years from the respective tax years to which they relate, and $23,139,000 for U.S. federal purposes with an indefinite life due to new regulations in the “Tax Cuts and Jobs Act” (the “TCJA”).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President Trump signed into law the TCJA, which significantly reformed the Internal Revenue Code of 1986, as amended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depend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184" w:lineRule="exact"/>
        <w:rPr>
          <w:sz w:val="20"/>
          <w:szCs w:val="20"/>
          <w:color w:val="auto"/>
        </w:rPr>
      </w:pPr>
    </w:p>
    <w:p>
      <w:pPr>
        <w:jc w:val="both"/>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we operate,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due to certain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airports or off-airport locations may present increased risks due to our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growth strategy depends upon expanding into markets where we have little or no meaningful operating experience. Those locations may have demographic characteristics, consumer tastes and discretionary spending patterns that are different from those in the markets where our existing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us from achieving our target revenues on a timely basis. Operations in new markets may also have lower average revenues or enplanements than in the markets where we currently operate. Operations in new markets may also take longer to ramp up and reach expected sales and profit levels, and may never do so, thereby negatively affecting our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locations.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growth strategy primarily contemplates expansion through procuring new locations and opening new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they do, we may not be able to successfully negotiate and open new stores on a timely basis. If we are unable to identify and open new locations in accordance with our operating plan, our revenue growth rate and financial performance may fall short of our expectations.</w:t>
      </w:r>
    </w:p>
    <w:p>
      <w:pPr>
        <w:spacing w:after="0" w:line="16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estimates and assumptions we use to determine the size of our market are inaccurate, our future growth rate may be impacted.</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a skilled, licensed labor force to provide spa services, and the supply of this labor force is finite. If we cannot hire adequate staff for our locations, we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November 30, 2019, we had approximately 550 full-time and 200 part-time employees in our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We compete not only with other airport-based spa companies but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force could unionize, putting upward pressure on labor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stores in two airports have a labor force which is unionized. Major players in labor organization, and in particular “Unite Here!” which represents approximately 45,000 employees in the airport concessions and airline catering industries, could target our locations for its unionization efforts. In the event of the successful unionization of all of our labor force, we would likely incur additional costs in the form of higher wages, more benefits such as vacation and sick leave, and potentially also higher health care insurance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compete for new locations in airports and may not be able to secure new locations.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a spa concept within its retail product set and, in those instances, we compete primarily with BeRelax, Terminal Getaway, Massage Bar and 10 Minute Manicure.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leases may be terminated, either for convenience by the landlord or as a result of a default by 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store locations and kiosks in a number of airports in which the landlord, with prior written notice to us, can terminate our lease, including for convenience or as necessary for airport purposes or operations. If a landlord elects to terminate a lease at an airport, we may have to shut down one or more store locations at that airport.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operate depends on the traffic patterns of the terminals in which we operates, and the cessation or disruption of air traveler traffic in these terminals would negatively impact our addressable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a high volume of air travelers in our terminals. It is possible that a terminal in which we operate could become subject to a lower volume of air travelers, which would significantly impact traffic near and around our locations and therefore our total addressable market. Lower volume in a terminal could be caused by:</w:t>
      </w:r>
    </w:p>
    <w:p>
      <w:pPr>
        <w:spacing w:after="0" w:line="184"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airline utilizing an airport in which we operate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we operate,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a number of our existing leases contain minimum ACDBE participation requirements which require the ACDBE to own a significant portion of the business being operated under those leases. The level of ACDBE participation requirements may affect our profitability and/or our ability to meet financial forecasts.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to our business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our cost of labor.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compensate our licensed technicians via a formula that includes commissions. As a result, an increase in the minimum wage would increase our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The majority of our sales are by credit or debit cards. Additionally, we collect and store personal information from individuals, including our customers and employees.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our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our business or results of operations. Further, adverse publicity resulting from these allegations could significantly harm our reputation and may have a material adverse effect on it. Although we carry cyber liability insurance to protect against these risks, there can be no assurance that such insurance will provide adequate levels of coverage against all potential claims.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us could result in decreased revenues and impact our ability to recruit workers.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affinity among consumers is highly dependent on their positive feelings about the brand, our customer service and the range and quality of services and products that we offer. A negative customer experience that is posted to social media outlets and is distributed virally could tarnish our brand and our customers may opt to no longer engage with the brand.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must comply with a variety of employment and business practices laws across the United States, Netherlands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not currently cash flow positive and will depend on funding to open new locations. In the event that capital is unavailable, we will not be able to open new locations.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Throughout our operating history, we have not generated sufficient cash from operations to fund our new store development. As a result, we will be dependent upon additional funding for our new location growth until such time as we can produce enough cash to profitably fund our own location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source, develop and sell products that may result in product liability defense costs and product liability payments.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general public or that is used in our services. Product liability claims, regardless of their merits, could be costly and divert management’s attention, and adversely affect our reputation and the demand for our products and services. We to date have not been named as a defendant in any product liability action.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monetize our patents and, thus, we may fail to realize all of the anticipated benefits of acquisitions from third parties.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w:t>
      </w:r>
    </w:p>
    <w:p>
      <w:pPr>
        <w:spacing w:after="0" w:line="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an 85% ownership level by an acquirer or the transaction is later approved by our Board of Directors and by our stockholders by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2, 2019, we had 15,152,664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2, 2019, our executive officers and directors beneficially own or control approximately 36.9%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conversion of a substantial number of shares of our preferred stock, the conversion of a substantial amount of notes or the exercise of a substantial number of warrants or options by our security holders may have an adverse effect on the market price of our common stock.</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Should our Series E Preferred Stock and Series F Preferred Stock outstanding as of December 2, 2019 be converted into common stock at a conversion price of $2.00 per share, there would be an additional 1,949,800 shares of common stock eligible for trading in the public market. Should the B3D Note and Calm Notes outstanding as of December 2, 2019 be converted into common stock at a conversion price of $2.00 per share, there would be an additional 4,845,034 shares of common stock eligible for trading in the public market. Should our warrants outstanding as of December 2, 2019 be exercised, there would be an additional 7,139,194 shares of common stock eligible for trading in the public market. Such securities, if converted or exercised, will increase the number of issued and outstanding shares of our common stock. Therefore, the sale of the shares of common stock underlying these instruments could have an adverse effect on the market price for our securities and/or on our ability to obtain future financing.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March 16, 2018, we received a notification letter from The Nasdaq Stock Market informing us that for the last 30 consecutive business days, the bid price of our securities had closed below $1.00 per share, which is the minimum required closing bid price for continued listing on The Nasdaq Capital Market pursuant to Listing Rule 5550(a)(2). In order to regain compliance, on February 22, 2019, we filed a certificate of amendment to our amended and restated certificate of incorporation with the Secretary of State of the State of Delaware to effect a one-for-twenty reverse stock split of our outstanding shares of common stock. On March 11, 2019, we received a notification letter from The Nasdaq Stock Market informing us that we had regained compliance with Listing Rule 5550(a)(2).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exercise the option to repay the Series E Preferred Stock in common stock rather than cash, such repayment may result in the issuance of a large number of shares of common stock which may have a negative effect on the trading price of our common stock as well as a dilutive effect.</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the shares of Series E Preferred Stock, on the seven-year anniversary of the initial issuance date of the shares of Series E Preferred Stock, November 14, 2025 in the case of the 3,225,806 shares of Series E Preferred Stock issued on November 14, 2018 or December 28, 2025 in the case of the 322,581 shares of Series E Preferred Stock issued on December 28, 2018, we may repay each share of Series E Preferred Stock, at our option, in cash, by delivery of shares of common stock or through any combination thereof. If we elect to make a payment, or any portion thereof, in shares of common stock, the Base Shares will be based on the Base Price plus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E Preferred Stock upon maturity which may have a negative effect on the trading price of our common stock.</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2025 or December 28, 2025, as applicable, upon the maturity of the Series E Preferred Stock, when determining whether to repay the Series 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shares of common stock being offered by the selling securityholders relate to the resale of up to an aggregate of 17,302,951 shares of our common stock. This total includes the following:</w:t>
      </w:r>
    </w:p>
    <w:p>
      <w:pPr>
        <w:spacing w:after="0" w:line="170" w:lineRule="exact"/>
        <w:rPr>
          <w:sz w:val="20"/>
          <w:szCs w:val="20"/>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449,800 shares (or 562,250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3"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1,445,816 shares (or 1,807,270 shares) of our common stock underlying shares of Series E Preferred Stock issuable upon conversion of an aggregate principal amount of $2,500,000 of the Calm Notes, plus interest payable thereon, at a conversion price equal to $2.00 per share;</w:t>
      </w:r>
    </w:p>
    <w:p>
      <w:pPr>
        <w:spacing w:after="0" w:line="183"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1,500,000 shares (or 1,875,000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937,500 shares (or 1,171,875 shares) of our common stock issuable upon the exercise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5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4,156,275 shares (or 5,195,344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94"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6,485,430 shares of our common stock issued to Mistral Spa Holdings, LLC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79,406 shares (or 99,258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106,524 shares of our common stock issued in connection with the Merger Agreement and the Subscription Agreement (items (i) through (viii) collectively, the “Securities”).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Securities were issued by the Company and were issued (a) with respect to item (i) above, to accredited investors pursuant to or in connection with the May 2018 SPA Amendment; (b) with respect to items (ii) and (iv) above, to an accredited investor pursuant to or in connection with the 2019 Calm Purchase Agreement; (c) with respect to item (iii) above, to an accredited investor pursuant to or in connection with the 2018 Calm Purchase Agreement and in connection with the Series E COD Amendment; (d) with respect to item (v) above, to an accredited investor pursuant to or in connection with the Credit Agreement Amendment; (e) with respect to item (vi) above, to an accredited investor pursuant to or in connection with the Series D COD Amendment; (f) with respect to item (vii) above, to an accredited investor pursuant to or in connection with the December 2016 Warrant Amendment; and</w:t>
      </w:r>
    </w:p>
    <w:p>
      <w:pPr>
        <w:spacing w:after="0" w:line="4" w:lineRule="exact"/>
        <w:rPr>
          <w:sz w:val="20"/>
          <w:szCs w:val="20"/>
          <w:color w:val="auto"/>
        </w:rPr>
      </w:pPr>
    </w:p>
    <w:p>
      <w:pPr>
        <w:ind w:left="5540" w:right="1340" w:hanging="5532"/>
        <w:spacing w:after="0" w:line="761"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item (viii) above, to an accredited investor in connection with the Merger Agreement and the Subscription Agreement.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held by each of the selling securityholders. Beneficial ownership is determined in accordance with the rules of the SEC and includes voting or investment power with respect to the securities. We deem shares of common stock, Series E Preferred Stock and Series F Preferred Stock that may be acquired by an individual or group within 60 days of December 2, 2019, pursuant to the conversion of preferred stock into common stock and the exercise of warrants to be outstanding for the purpose of computing the percentage ownership of such individual or group, but not for the purpose of computing the percentage ownership of any other person shown in the table.</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second column in the first table below lists the number of shares of common stock beneficially owned by the selling securityholders, based on their respective ownership of shares of common stock, as of December 2, 2019, assuming conversion of the Notes, conversion of the Preferred Stock and exercise of the Warrants held by each such selling securityholder on that date. The third column in the first table below lists the number of shares of Series E Preferred Stock beneficially owned by the selling securityholders, based on their respective ownership of shares of Series E Preferred Stock, as of December 2, 2019. The percentage of shares beneficially owned prior to the offering is based on 967,742 shares of our Series E Preferred Stock outstanding as of December 2, 2019. The fourth column in the first table below lists the number of shares of Series F Preferred Stock beneficially owned by the selling securityholders, based on their respective ownership of shares of Series F Preferred Stock, as of December 2, 2019. The percentage of shares beneficially owned prior to the offering is based on 8,996 shares of our Series F Preferred Stock outstanding as of December 2, 2019.</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percentage of shares beneficially owned prior to the offering is based on 15,152,664 shares of our common stock outstanding as of December 2, 2019. The number of shares in the column “Maximum Number of Shares of Common Stock to be Sold Pursuant to this Prospectus” represents all of the shares that the selling securityholder may offer under this prospectus and does not take into account any limitations on the conversion of the Notes, conversion of the Preferred Stock and exercise of the Warrants set forth therein.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Certificate of Designation of Preferences, Rights and Limitations of Series F Convertible Preferred Stock, a selling securityholder may not convert the Series F Preferred Stock to the extent (but only to the extent) such selling securityholder or any of its affiliates would beneficially own a number of shares of our common stock which would exceed 4.99% of the total number of shares of our common stock then issued or outstanding. Under the terms of the Class A Warrants, a selling securityholder may not exercise the Class A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second table do not reflect these limitations. The selling securityholders may sell all, some or none of their shares in this offering. See “Plan of Distribution.”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5"/>
              </w:rPr>
              <w:t>Shares of</w:t>
            </w:r>
          </w:p>
        </w:tc>
        <w:tc>
          <w:tcPr>
            <w:tcW w:w="100" w:type="dxa"/>
            <w:vAlign w:val="bottom"/>
          </w:tcPr>
          <w:p>
            <w:pPr>
              <w:spacing w:after="0"/>
              <w:rPr>
                <w:sz w:val="18"/>
                <w:szCs w:val="18"/>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7"/>
              </w:rPr>
              <w:t>Shares of</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Shares of</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Shares of</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7"/>
              </w:rPr>
              <w:t>Series 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5"/>
              </w:rPr>
              <w:t>Series F</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2"/>
              </w:rPr>
              <w:t>Preferred</w:t>
            </w: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220" w:type="dxa"/>
            <w:vAlign w:val="bottom"/>
            <w:gridSpan w:val="5"/>
          </w:tcPr>
          <w:p>
            <w:pP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to be Sold</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3"/>
              </w:rPr>
              <w:t>Owned Prior</w:t>
            </w:r>
          </w:p>
        </w:tc>
        <w:tc>
          <w:tcPr>
            <w:tcW w:w="100" w:type="dxa"/>
            <w:vAlign w:val="bottom"/>
          </w:tcPr>
          <w:p>
            <w:pPr>
              <w:spacing w:after="0"/>
              <w:rPr>
                <w:sz w:val="18"/>
                <w:szCs w:val="18"/>
                <w:color w:val="auto"/>
              </w:rPr>
            </w:pPr>
          </w:p>
        </w:tc>
        <w:tc>
          <w:tcPr>
            <w:tcW w:w="11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Owned</w:t>
            </w:r>
          </w:p>
        </w:tc>
        <w:tc>
          <w:tcPr>
            <w:tcW w:w="200" w:type="dxa"/>
            <w:vAlign w:val="bottom"/>
          </w:tcPr>
          <w:p>
            <w:pPr>
              <w:spacing w:after="0"/>
              <w:rPr>
                <w:sz w:val="18"/>
                <w:szCs w:val="18"/>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Owned</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Pursuant to</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1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Prior to</w:t>
            </w: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Prior to</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this</w:t>
            </w:r>
          </w:p>
        </w:tc>
      </w:t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Name of Selling Security Holder</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20"/>
                <w:szCs w:val="20"/>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4"/>
              </w:rPr>
              <w:t>Offering</w:t>
            </w: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Offering</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Prospectus</w:t>
            </w: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1,327,800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Anson Investments Master Fund LP (3)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295,050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56,312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295,050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56,313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Intracoastal Capital, LLC (5)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323,618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56,313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39,375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Brio Capital Master Fund Ltd. (7)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189,501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28,125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101,600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72,312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B3D, LLC (9)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5,227,048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5,195,344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Calm.com, Inc. (10)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3,708,462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1,787,718</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4,854,145</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Mistral Spa Holdings, LLC (11)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8,894,699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6,691,212</w:t>
            </w:r>
          </w:p>
        </w:tc>
      </w:tr>
      <w:tr>
        <w:trPr>
          <w:trHeight w:val="399"/>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of</w:t>
            </w:r>
          </w:p>
        </w:tc>
        <w:tc>
          <w:tcPr>
            <w:tcW w:w="160" w:type="dxa"/>
            <w:vAlign w:val="bottom"/>
          </w:tcPr>
          <w:p>
            <w:pPr>
              <w:spacing w:after="0"/>
              <w:rPr>
                <w:sz w:val="18"/>
                <w:szCs w:val="18"/>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 of Shares</w:t>
            </w:r>
          </w:p>
        </w:tc>
        <w:tc>
          <w:tcPr>
            <w:tcW w:w="26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Shares of</w:t>
            </w: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3"/>
              </w:rPr>
              <w:t>of</w:t>
            </w:r>
          </w:p>
        </w:tc>
        <w:tc>
          <w:tcPr>
            <w:tcW w:w="26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Series 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of Series E</w:t>
            </w:r>
          </w:p>
        </w:tc>
        <w:tc>
          <w:tcPr>
            <w:tcW w:w="20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Series F</w:t>
            </w: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Series F</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26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Preferred</w:t>
            </w:r>
          </w:p>
        </w:tc>
        <w:tc>
          <w:tcPr>
            <w:tcW w:w="20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Preferred</w:t>
            </w: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Preferred</w:t>
            </w:r>
          </w:p>
        </w:tc>
      </w:tr>
      <w:tr>
        <w:trPr>
          <w:trHeight w:val="216"/>
        </w:trPr>
        <w:tc>
          <w:tcPr>
            <w:tcW w:w="44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Beneficially</w:t>
            </w:r>
          </w:p>
        </w:tc>
        <w:tc>
          <w:tcPr>
            <w:tcW w:w="16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87"/>
              </w:rPr>
              <w:t>Beneficially</w:t>
            </w:r>
          </w:p>
        </w:tc>
        <w:tc>
          <w:tcPr>
            <w:tcW w:w="20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Beneficially</w:t>
            </w: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Beneficially</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Owned</w:t>
            </w:r>
          </w:p>
        </w:tc>
        <w:tc>
          <w:tcPr>
            <w:tcW w:w="16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Beneficially</w:t>
            </w:r>
          </w:p>
        </w:tc>
        <w:tc>
          <w:tcPr>
            <w:tcW w:w="26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Owned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Owned</w:t>
            </w:r>
          </w:p>
        </w:tc>
        <w:tc>
          <w:tcPr>
            <w:tcW w:w="20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Owned</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After</w:t>
            </w:r>
          </w:p>
        </w:tc>
        <w:tc>
          <w:tcPr>
            <w:tcW w:w="160" w:type="dxa"/>
            <w:vAlign w:val="bottom"/>
          </w:tcPr>
          <w:p>
            <w:pPr>
              <w:spacing w:after="0"/>
              <w:rPr>
                <w:sz w:val="18"/>
                <w:szCs w:val="18"/>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3"/>
              </w:rPr>
              <w:t>Owned</w:t>
            </w:r>
          </w:p>
        </w:tc>
        <w:tc>
          <w:tcPr>
            <w:tcW w:w="26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After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After</w:t>
            </w:r>
          </w:p>
        </w:tc>
        <w:tc>
          <w:tcPr>
            <w:tcW w:w="20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After</w:t>
            </w: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After</w:t>
            </w: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5"/>
              </w:rPr>
              <w:t>After</w:t>
            </w:r>
          </w:p>
        </w:tc>
        <w:tc>
          <w:tcPr>
            <w:tcW w:w="26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Offering</w:t>
            </w:r>
          </w:p>
        </w:tc>
        <w:tc>
          <w:tcPr>
            <w:tcW w:w="20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Security Holder</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Offering (1)</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Anson Investments Master Fund LP (3)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250,000</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Intracoastal Capital, LLC (5)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278,568</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175,000</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Brio Capital Master Fund Ltd. (7)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167,001</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43,750</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B3D, LLC (9)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1,070,773</w:t>
            </w:r>
          </w:p>
        </w:tc>
        <w:tc>
          <w:tcPr>
            <w:tcW w:w="1420" w:type="dxa"/>
            <w:vAlign w:val="bottom"/>
            <w:gridSpan w:val="6"/>
          </w:tcPr>
          <w:p>
            <w:pPr>
              <w:jc w:val="right"/>
              <w:ind w:right="30"/>
              <w:spacing w:after="0"/>
              <w:rPr>
                <w:sz w:val="20"/>
                <w:szCs w:val="20"/>
                <w:color w:val="auto"/>
              </w:rPr>
            </w:pPr>
            <w:r>
              <w:rPr>
                <w:rFonts w:ascii="Arial" w:cs="Arial" w:eastAsia="Arial" w:hAnsi="Arial"/>
                <w:sz w:val="18"/>
                <w:szCs w:val="18"/>
                <w:color w:val="auto"/>
              </w:rPr>
              <w:t>3.2 %</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Calm.com, Inc. (10)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Mistral Spa Holdings, LLC (11)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2,203,487</w:t>
            </w:r>
          </w:p>
        </w:tc>
        <w:tc>
          <w:tcPr>
            <w:tcW w:w="1420" w:type="dxa"/>
            <w:vAlign w:val="bottom"/>
            <w:gridSpan w:val="6"/>
          </w:tcPr>
          <w:p>
            <w:pPr>
              <w:jc w:val="right"/>
              <w:ind w:right="30"/>
              <w:spacing w:after="0"/>
              <w:rPr>
                <w:sz w:val="20"/>
                <w:szCs w:val="20"/>
                <w:color w:val="auto"/>
              </w:rPr>
            </w:pPr>
            <w:r>
              <w:rPr>
                <w:rFonts w:ascii="Arial" w:cs="Arial" w:eastAsia="Arial" w:hAnsi="Arial"/>
                <w:sz w:val="18"/>
                <w:szCs w:val="18"/>
                <w:color w:val="auto"/>
              </w:rPr>
              <w:t>6.4 %</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0</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634"/>
        </w:trPr>
        <w:tc>
          <w:tcPr>
            <w:tcW w:w="4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w w:val="99"/>
              </w:rPr>
              <w:t>24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 w:name="page28"/>
    <w:bookmarkEnd w:id="27"/>
    <w:p>
      <w:pPr>
        <w:ind w:left="132" w:hanging="132"/>
        <w:spacing w:after="0"/>
        <w:tabs>
          <w:tab w:leader="none" w:pos="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52" w:hanging="328"/>
        <w:spacing w:after="0"/>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left="652" w:hanging="328"/>
        <w:spacing w:after="0" w:line="259"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4,056 shares of Series F Preferred Stock, which are convertible into 202,800 shares of common stock. Beneficial ownership is based upon information provided to the Company by the selling securityholder and includes warrants to purchase 1,125,000 shares of common stock. Konrad Ackerman is the natural person with voting and dispositive power over the shares held by Alpha Capital Anstalt. The selling securityholder’s address is Lettstrasse 32,9490 Vaduz, Liechtenstein.</w:t>
      </w:r>
    </w:p>
    <w:p>
      <w:pPr>
        <w:spacing w:after="0" w:line="186" w:lineRule="exact"/>
        <w:rPr>
          <w:rFonts w:ascii="Arial" w:cs="Arial" w:eastAsia="Arial" w:hAnsi="Arial"/>
          <w:sz w:val="18"/>
          <w:szCs w:val="18"/>
          <w:color w:val="auto"/>
        </w:rPr>
      </w:pPr>
    </w:p>
    <w:p>
      <w:pPr>
        <w:jc w:val="both"/>
        <w:ind w:left="652" w:hanging="328"/>
        <w:spacing w:after="0" w:line="301"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125% of 901 shares of Series F Preferred Stock, which are convertible into 45,050 shares of common stock. Beneficial ownership is based upon information provided to the Company by the selling securityholder and includes warrants to purchase 250,000 shares of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57" w:lineRule="exact"/>
        <w:rPr>
          <w:rFonts w:ascii="Arial" w:cs="Arial" w:eastAsia="Arial" w:hAnsi="Arial"/>
          <w:sz w:val="16"/>
          <w:szCs w:val="16"/>
          <w:color w:val="auto"/>
        </w:rPr>
      </w:pPr>
    </w:p>
    <w:p>
      <w:pPr>
        <w:jc w:val="both"/>
        <w:ind w:left="652" w:hanging="328"/>
        <w:spacing w:after="0" w:line="234"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901 shares of Series F Preferred Stock, which are convertible into 45,050 shares of common stock. Beneficial ownership is based upon information provided to the Company by the selling securityholder and includes warrants to purchase 250,000 shares of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Miami Beach, Florida 33139.</w:t>
      </w:r>
    </w:p>
    <w:p>
      <w:pPr>
        <w:spacing w:after="0" w:line="204" w:lineRule="exact"/>
        <w:rPr>
          <w:rFonts w:ascii="Arial" w:cs="Arial" w:eastAsia="Arial" w:hAnsi="Arial"/>
          <w:sz w:val="18"/>
          <w:szCs w:val="18"/>
          <w:color w:val="auto"/>
        </w:rPr>
      </w:pPr>
    </w:p>
    <w:p>
      <w:pPr>
        <w:jc w:val="both"/>
        <w:ind w:left="652" w:hanging="328"/>
        <w:spacing w:after="0" w:line="254"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901 shares of Series F Preferred Stock, which are convertible into 45,050 shares of common stock. Beneficial ownership is based upon information provided to the Company by the selling securityholder and includes 28,568 shares of common stock and warrants to purchase 250,000 shares of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245 Palm Trail, Delray Beach, FL 33483.</w:t>
      </w:r>
    </w:p>
    <w:p>
      <w:pPr>
        <w:spacing w:after="0" w:line="194" w:lineRule="exact"/>
        <w:rPr>
          <w:rFonts w:ascii="Arial" w:cs="Arial" w:eastAsia="Arial" w:hAnsi="Arial"/>
          <w:sz w:val="18"/>
          <w:szCs w:val="18"/>
          <w:color w:val="auto"/>
        </w:rPr>
      </w:pPr>
    </w:p>
    <w:p>
      <w:pPr>
        <w:jc w:val="both"/>
        <w:ind w:left="652" w:hanging="328"/>
        <w:spacing w:after="0" w:line="259"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630 shares of Series F Preferred Stock, which are convertible into 31,500 shares of common stock. Beneficial ownership is based upon information provided to the Company by the selling securityholder and includes warrants to purchase 175,000 shares of common stock. Martin Chopp is the natural person with voting and dispositive power over the shares held by The Hewlett Fund LP. The selling securityholder’s address is 100 Merrick Road, Suite 400W, Rockville Centre, New York 11570.</w:t>
      </w:r>
    </w:p>
    <w:p>
      <w:pPr>
        <w:spacing w:after="0" w:line="186" w:lineRule="exact"/>
        <w:rPr>
          <w:rFonts w:ascii="Arial" w:cs="Arial" w:eastAsia="Arial" w:hAnsi="Arial"/>
          <w:sz w:val="18"/>
          <w:szCs w:val="18"/>
          <w:color w:val="auto"/>
        </w:rPr>
      </w:pPr>
    </w:p>
    <w:p>
      <w:pPr>
        <w:jc w:val="both"/>
        <w:ind w:left="652" w:hanging="328"/>
        <w:spacing w:after="0" w:line="301"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125% of 450 shares of Series F Preferred Stock, which are convertible into 22,500 shares of common stock. Beneficial ownership is based upon information provided to the Company by the selling securityholder and includes 42,001 shares of common stock and warrants to purchase an additional 125,000 shares of common stock. Shaye Hirsch is the natural person with voting and dispositive power over the shares held by Brio Capital Master Fund Ltd. The selling securityholder’s address is 100 Merrick Road, Suite 401W, Rockville Centre, New York 11570.</w:t>
      </w:r>
    </w:p>
    <w:p>
      <w:pPr>
        <w:spacing w:after="0" w:line="157" w:lineRule="exact"/>
        <w:rPr>
          <w:rFonts w:ascii="Arial" w:cs="Arial" w:eastAsia="Arial" w:hAnsi="Arial"/>
          <w:sz w:val="16"/>
          <w:szCs w:val="16"/>
          <w:color w:val="auto"/>
        </w:rPr>
      </w:pPr>
    </w:p>
    <w:p>
      <w:pPr>
        <w:jc w:val="both"/>
        <w:ind w:left="652" w:hanging="328"/>
        <w:spacing w:after="0" w:line="279" w:lineRule="auto"/>
        <w:tabs>
          <w:tab w:leader="none" w:pos="6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125% of 1,157 shares of Series F Preferred Stock, which are convertible into 57,850 shares of common stock. Beneficial ownership is based upon information provided to the Company by the selling securityholder and includes warrants to purchase an additional 43,750 shares of common stock. Joel Padowitz is the natural person with voting and dispositive power over the shares held by Palladium Capital Advisors, LLC. The selling securityholder’s address is attention: Joel Padowitz, 10 Rockefeller Plaza, Suite 909, New York, New York 10020.</w:t>
      </w:r>
    </w:p>
    <w:p>
      <w:pPr>
        <w:spacing w:after="0" w:line="171" w:lineRule="exact"/>
        <w:rPr>
          <w:rFonts w:ascii="Arial" w:cs="Arial" w:eastAsia="Arial" w:hAnsi="Arial"/>
          <w:sz w:val="17"/>
          <w:szCs w:val="17"/>
          <w:color w:val="auto"/>
        </w:rPr>
      </w:pPr>
    </w:p>
    <w:p>
      <w:pPr>
        <w:jc w:val="both"/>
        <w:ind w:left="652" w:hanging="328"/>
        <w:spacing w:after="0" w:line="254"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4,156,275 shares of common stock (or 5,195,344 shares) underlying the B3D Note. Beneficial ownership is based upon information provided to the Company by the selling securityholder as of November 21, 2019 and includes (i) 126,068 shares of common stock underlying warrants to purchase common stock issued upon the conversion of the Series D Preferred Stock, (ii) 375,115 shares of common stock underlying December 2016 warrants, (iii) 77,500 shares of common stock underlying Class A Warrants and (iv) 492,090 shares of common stock. B3D, LLC is an investment entity controlled by Brian Daly. The Senior Secured Note was assigned to B3D, LLC in 2017. Brian Daly is the natural person with voting and dispositive power over the shares held by B3D, LLC. The selling securityholder’s address is 9935D REA Road #317, Charlotte, NC 28277.</w:t>
      </w:r>
    </w:p>
    <w:p>
      <w:pPr>
        <w:spacing w:after="0" w:line="194" w:lineRule="exact"/>
        <w:rPr>
          <w:rFonts w:ascii="Arial" w:cs="Arial" w:eastAsia="Arial" w:hAnsi="Arial"/>
          <w:sz w:val="18"/>
          <w:szCs w:val="18"/>
          <w:color w:val="auto"/>
        </w:rPr>
      </w:pPr>
    </w:p>
    <w:p>
      <w:pPr>
        <w:jc w:val="both"/>
        <w:ind w:left="652" w:hanging="328"/>
        <w:spacing w:after="0" w:line="279" w:lineRule="auto"/>
        <w:tabs>
          <w:tab w:leader="none" w:pos="6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125% of each of (i) 1,445,816 shares of common stock (or 1,807,270 shares) issuable pursuant to the Calm Note, (ii) 1,500,000 shares of common stock (or 1,875,000 shares) issuable upon the conversion of previously issued shares of Series E Preferred Stock and (iii) 937,500 shares of common stock (or 1,171,875 shares) underlying warrants. Beneficial ownership is based upon a Schedule 13D/A filed on November 13, 2019. The principal business address of the beneficial owner is 77 Geary Street, 3rd Floor, San Francisco, CA 94105.</w:t>
      </w:r>
    </w:p>
    <w:p>
      <w:pPr>
        <w:spacing w:after="0" w:line="171" w:lineRule="exact"/>
        <w:rPr>
          <w:rFonts w:ascii="Arial" w:cs="Arial" w:eastAsia="Arial" w:hAnsi="Arial"/>
          <w:sz w:val="17"/>
          <w:szCs w:val="17"/>
          <w:color w:val="auto"/>
        </w:rPr>
      </w:pPr>
    </w:p>
    <w:p>
      <w:pPr>
        <w:jc w:val="both"/>
        <w:ind w:left="652" w:hanging="328"/>
        <w:spacing w:after="0" w:line="286"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(i) 100% of the 6,485,430 shares of common stock issued upon the conversion of Series D Preferred Stock (including shares paid as accrued but unpaid dividends thereon), (ii) 125% of the 79,406 shares of common stock (or 99,258 shares) issuable upon the exercise of the December 2016 warrants and (iii) 100% of the 106,524 shares of common stock issued in connection with that certain Agreement and Plan of Merger by and among FORM Holdings Corp., FHXMS, LLC, XpresSpa Holdings, LLC and Mistral XH Representative, LLC, as representative of the unitholders, dated October 25, 2016, as subsequently amended and in connection with a related subscription agreement between the Company and a unitholder. Beneficial ownership is based upon a Schedule 13D/A filed on October 4, 2019 and information known to the Company and includes 6,591,954 shares of common stock and warrants to purchase 2,302,745 shares of common stock. 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w:t>
      </w:r>
    </w:p>
    <w:p>
      <w:pPr>
        <w:sectPr>
          <w:pgSz w:w="11900" w:h="16838" w:orient="portrait"/>
          <w:cols w:equalWidth="0" w:num="1">
            <w:col w:w="11232"/>
          </w:cols>
          <w:pgMar w:left="328" w:top="908" w:right="339" w:bottom="0" w:gutter="0" w:footer="0" w:header="0"/>
        </w:sectPr>
      </w:pPr>
    </w:p>
    <w:bookmarkStart w:id="28" w:name="page29"/>
    <w:bookmarkEnd w:id="28"/>
    <w:p>
      <w:pPr>
        <w:spacing w:after="0" w:line="214" w:lineRule="auto"/>
        <w:rPr>
          <w:sz w:val="20"/>
          <w:szCs w:val="20"/>
          <w:color w:val="auto"/>
        </w:rPr>
      </w:pPr>
      <w:r>
        <w:rPr>
          <w:rFonts w:ascii="Arial" w:cs="Arial" w:eastAsia="Arial" w:hAnsi="Arial"/>
          <w:sz w:val="18"/>
          <w:szCs w:val="18"/>
          <w:color w:val="auto"/>
        </w:rPr>
        <w:t>address is 650 Fifth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10019. Mr. Heyer’s business address is c/o Mistral Capital Management, LLC, 650 Fifth Avenue, 10th Floor, New York, NY 10019.</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2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registering the offer and sale of (i) the shares of common stock that may be issued upon the conversion or exercise, as applicable, of the Securities and (ii) certain shares of common stock held by certain of the selling securityholders, in each case to permit the resale of these shares of common stock by the holders of such Securities from time to time after the date of this prospectus. We will not receive any of the proceeds from the sale by the selling securityholders of the shares of common stock. We will bear all fees and expenses incident to our obligation to register the shares of common stock.</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selling securityholders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6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broker-dealers may agree with the selling securityholders to sell a specified number of such shares at a stipulated price per share;</w:t>
      </w:r>
    </w:p>
    <w:p>
      <w:pPr>
        <w:spacing w:after="0" w:line="23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distributions to their members, partners or shareholders;  a combination of any such methods of sale; and</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securityholders may pledge or grant a security interest in some or all of the shares of common stock or the Securities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securityholder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pay all expenses of the registration of the shares of common stock, estimated to be $75,000 in total, including, without limitation, SEC filing fees and expenses of compliance with state securities or "blue sky" laws; provided, however, that a selling securityholder will pay all underwriting discounts and selling commissions, if any. We will indemnify certain of the selling securityholders against liabilities, including some liabilities under the Securities Act, in accordance with those certain registration rights agreements that we have entered into with each of Calm, B3D and certain unitholders party to the Merger Agreement, as applicable, or certain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those certain registration rights agreements that we have entered into with each of Calm, B3D and certain unitholders party to the Merger Agreement, as applicable, or we may be entitled to contribution.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validity of the securities we are offering will be passed upon for us by Mintz, Levin, Cohn, Ferris, Glovsky and Popeo, P.C., New York, New York.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rFonts w:ascii="Arial" w:cs="Arial" w:eastAsia="Arial" w:hAnsi="Arial"/>
          <w:sz w:val="17"/>
          <w:szCs w:val="17"/>
          <w:color w:val="0000EE"/>
        </w:rPr>
      </w:pPr>
      <w:hyperlink r:id="rId14">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14">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as set forth in their report (which includes an explanatory paragraph referring to the Company’s ability to continue as a</w:t>
        </w:r>
      </w:hyperlink>
      <w:r>
        <w:rPr>
          <w:rFonts w:ascii="Arial" w:cs="Arial" w:eastAsia="Arial" w:hAnsi="Arial"/>
          <w:sz w:val="17"/>
          <w:szCs w:val="17"/>
          <w:color w:val="0000EE"/>
        </w:rPr>
        <w:t xml:space="preserve">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Our Annual Report on Form 10-K for the year ended December 31, 2018, filed on April 1, 2019 (File No. 001-34785);</w:t>
        </w:r>
      </w:hyperlink>
    </w:p>
    <w:p>
      <w:pPr>
        <w:spacing w:after="0" w:line="225"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7"/>
        </w:numPr>
        <w:rPr>
          <w:rFonts w:ascii="Arial" w:cs="Arial" w:eastAsia="Arial" w:hAnsi="Arial"/>
          <w:sz w:val="16"/>
          <w:szCs w:val="16"/>
          <w:u w:val="single" w:color="auto"/>
          <w:color w:val="0000EE"/>
        </w:rPr>
      </w:pPr>
      <w:hyperlink r:id="rId39">
        <w:r>
          <w:rPr>
            <w:rFonts w:ascii="Arial" w:cs="Arial" w:eastAsia="Arial" w:hAnsi="Arial"/>
            <w:sz w:val="16"/>
            <w:szCs w:val="16"/>
            <w:u w:val="single" w:color="auto"/>
            <w:color w:val="0000EE"/>
          </w:rPr>
          <w:t>Amendment No. 1 to our Annual Report on Form 10-K/A for the year ended December 31, 2018, filed on April 30, 2019 (File No. 001-34785);</w:t>
        </w:r>
      </w:hyperlink>
    </w:p>
    <w:p>
      <w:pPr>
        <w:spacing w:after="0" w:line="248" w:lineRule="exact"/>
        <w:rPr>
          <w:rFonts w:ascii="Arial" w:cs="Arial" w:eastAsia="Arial" w:hAnsi="Arial"/>
          <w:sz w:val="16"/>
          <w:szCs w:val="16"/>
          <w:u w:val="single" w:color="auto"/>
          <w:color w:val="0000EE"/>
        </w:rPr>
      </w:pPr>
    </w:p>
    <w:p>
      <w:pPr>
        <w:ind w:left="660" w:hanging="328"/>
        <w:spacing w:after="0" w:line="277" w:lineRule="auto"/>
        <w:tabs>
          <w:tab w:leader="none" w:pos="660" w:val="left"/>
        </w:tabs>
        <w:numPr>
          <w:ilvl w:val="0"/>
          <w:numId w:val="17"/>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2019, June 30, 2019 and September 30, 2019, filed on </w:t>
      </w:r>
      <w:hyperlink r:id="rId40">
        <w:r>
          <w:rPr>
            <w:rFonts w:ascii="Arial" w:cs="Arial" w:eastAsia="Arial" w:hAnsi="Arial"/>
            <w:sz w:val="18"/>
            <w:szCs w:val="18"/>
            <w:u w:val="single" w:color="auto"/>
            <w:color w:val="0000EE"/>
          </w:rPr>
          <w:t>May 15, 2019</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August 14,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 xml:space="preserve">November 14, 2019 </w:t>
        </w:r>
      </w:hyperlink>
      <w:r>
        <w:rPr>
          <w:rFonts w:ascii="Arial" w:cs="Arial" w:eastAsia="Arial" w:hAnsi="Arial"/>
          <w:sz w:val="18"/>
          <w:szCs w:val="18"/>
          <w:color w:val="000000"/>
        </w:rPr>
        <w:t>respectively</w:t>
      </w:r>
      <w:r>
        <w:rPr>
          <w:rFonts w:ascii="Arial" w:cs="Arial" w:eastAsia="Arial" w:hAnsi="Arial"/>
          <w:sz w:val="18"/>
          <w:szCs w:val="18"/>
          <w:color w:val="0000EE"/>
        </w:rPr>
        <w:t xml:space="preserve"> </w:t>
      </w:r>
      <w:r>
        <w:rPr>
          <w:rFonts w:ascii="Arial" w:cs="Arial" w:eastAsia="Arial" w:hAnsi="Arial"/>
          <w:sz w:val="18"/>
          <w:szCs w:val="18"/>
          <w:color w:val="000000"/>
        </w:rPr>
        <w:t>(File No. 001-34785);</w:t>
      </w:r>
    </w:p>
    <w:p>
      <w:pPr>
        <w:spacing w:after="0" w:line="170" w:lineRule="exact"/>
        <w:rPr>
          <w:rFonts w:ascii="Arial" w:cs="Arial" w:eastAsia="Arial" w:hAnsi="Arial"/>
          <w:sz w:val="18"/>
          <w:szCs w:val="18"/>
          <w:color w:val="0000EE"/>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0000EE"/>
        </w:rPr>
      </w:pPr>
      <w:hyperlink r:id="rId43">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February 13,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22,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22,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30,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17,</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June 17, 2019</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5">
        <w:r>
          <w:rPr>
            <w:rFonts w:ascii="Arial" w:cs="Arial" w:eastAsia="Arial" w:hAnsi="Arial"/>
            <w:sz w:val="18"/>
            <w:szCs w:val="18"/>
            <w:u w:val="single" w:color="auto"/>
            <w:color w:val="0000EE"/>
          </w:rPr>
          <w:t>June 27, 2019</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July 8, 2019</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July 10, 2019</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August 26, 2019</w:t>
        </w:r>
      </w:hyperlink>
      <w:hyperlink r:id="rId4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 xml:space="preserve">September 6, 2019 </w:t>
        </w:r>
      </w:hyperlink>
      <w:hyperlink r:id="rId4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 xml:space="preserve">October 3, 2019 </w:t>
        </w:r>
      </w:hyperlink>
      <w:hyperlink r:id="rId43">
        <w:r>
          <w:rPr>
            <w:rFonts w:ascii="Arial" w:cs="Arial" w:eastAsia="Arial" w:hAnsi="Arial"/>
            <w:sz w:val="18"/>
            <w:szCs w:val="18"/>
            <w:color w:val="000000"/>
          </w:rPr>
          <w:t>(File Nos. 001-34785);</w:t>
        </w:r>
      </w:hyperlink>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83" w:lineRule="exact"/>
        <w:rPr>
          <w:rFonts w:ascii="Arial" w:cs="Arial" w:eastAsia="Arial" w:hAnsi="Arial"/>
          <w:sz w:val="18"/>
          <w:szCs w:val="18"/>
          <w:color w:val="0000EE"/>
        </w:rPr>
      </w:pPr>
    </w:p>
    <w:p>
      <w:pPr>
        <w:ind w:left="660" w:hanging="328"/>
        <w:spacing w:after="0" w:line="308" w:lineRule="auto"/>
        <w:tabs>
          <w:tab w:leader="none" w:pos="660" w:val="left"/>
        </w:tabs>
        <w:numPr>
          <w:ilvl w:val="0"/>
          <w:numId w:val="17"/>
        </w:numPr>
        <w:rPr>
          <w:rFonts w:ascii="Arial" w:cs="Arial" w:eastAsia="Arial" w:hAnsi="Arial"/>
          <w:sz w:val="17"/>
          <w:szCs w:val="17"/>
          <w:u w:val="single" w:color="auto"/>
          <w:color w:val="0000EE"/>
        </w:rPr>
      </w:pPr>
      <w:hyperlink r:id="rId51">
        <w:r>
          <w:rPr>
            <w:rFonts w:ascii="Arial" w:cs="Arial" w:eastAsia="Arial" w:hAnsi="Arial"/>
            <w:sz w:val="17"/>
            <w:szCs w:val="17"/>
            <w:u w:val="single" w:color="auto"/>
            <w:color w:val="0000EE"/>
          </w:rPr>
          <w:t>The description of our securities contained in our Registration Statement on Form 8-A filed on March 21, 2016 (File No. 001-34785) pursuant to</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Section 12(g) of the Exchange Act, and any amendment or report filed with the SEC for purposes of updating such description.</w:t>
        </w:r>
      </w:hyperlink>
    </w:p>
    <w:p>
      <w:pPr>
        <w:spacing w:after="0" w:line="36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3940"/>
        <w:spacing w:after="0"/>
        <w:rPr>
          <w:sz w:val="20"/>
          <w:szCs w:val="20"/>
          <w:color w:val="auto"/>
        </w:rPr>
      </w:pPr>
      <w:r>
        <w:rPr>
          <w:rFonts w:ascii="Arial" w:cs="Arial" w:eastAsia="Arial" w:hAnsi="Arial"/>
          <w:sz w:val="18"/>
          <w:szCs w:val="18"/>
          <w:b w:val="1"/>
          <w:bCs w:val="1"/>
          <w:color w:val="auto"/>
        </w:rPr>
        <w:t>XpresSpa,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17,302,951 Shares of Common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
    </w:lvl>
  </w:abstractNum>
  <w:abstractNum w:abstractNumId="1">
    <w:nsid w:val="12200854"/>
    <w:multiLevelType w:val="hybridMultilevel"/>
    <w:lvl w:ilvl="0">
      <w:lvlJc w:val="left"/>
      <w:lvlText w:val="(%1)"/>
      <w:numFmt w:val="lowerRoman"/>
      <w:start w:val="6"/>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Letter"/>
      <w:start w:val="7"/>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14" Type="http://schemas.openxmlformats.org/officeDocument/2006/relationships/hyperlink" Target="http://www.sec.gov/Archives/edgar/data/1410428/000114420419017496/tv516017_10k.htm" TargetMode="External"/><Relationship Id="rId39" Type="http://schemas.openxmlformats.org/officeDocument/2006/relationships/hyperlink" Target="http://www.sec.gov/Archives/edgar/data/1410428/000114420419022522/tv519608_10ka.htm" TargetMode="External"/><Relationship Id="rId40" Type="http://schemas.openxmlformats.org/officeDocument/2006/relationships/hyperlink" Target="http://www.sec.gov/Archives/edgar/data/1410428/000114420419026665/tv520725_10q.htm" TargetMode="External"/><Relationship Id="rId41" Type="http://schemas.openxmlformats.org/officeDocument/2006/relationships/hyperlink" Target="http://www.sec.gov/Archives/edgar/data/1410428/000114420419040130/tv527296_10q.htm" TargetMode="External"/><Relationship Id="rId42" Type="http://schemas.openxmlformats.org/officeDocument/2006/relationships/hyperlink" Target="http://www.sec.gov/Archives/edgar/data/1410428/000110465919064328/tm1919635d1_10q.htm" TargetMode="External"/><Relationship Id="rId43" Type="http://schemas.openxmlformats.org/officeDocument/2006/relationships/hyperlink" Target="http://www.sec.gov/Archives/edgar/data/1410428/000114420419027101/tv521899_8k.htm" TargetMode="External"/><Relationship Id="rId44" Type="http://schemas.openxmlformats.org/officeDocument/2006/relationships/hyperlink" Target="http://www.sec.gov/Archives/edgar/data/1410428/000114420419031189/tv523626_8k.htm" TargetMode="External"/><Relationship Id="rId45" Type="http://schemas.openxmlformats.org/officeDocument/2006/relationships/hyperlink" Target="http://www.sec.gov/Archives/edgar/data/1410428/000114420419032532/tv524367_8k.htm" TargetMode="External"/><Relationship Id="rId46" Type="http://schemas.openxmlformats.org/officeDocument/2006/relationships/hyperlink" Target="http://www.sec.gov/Archives/edgar/data/1410428/000114420419033939/tv524856_8k.htm" TargetMode="External"/><Relationship Id="rId47" Type="http://schemas.openxmlformats.org/officeDocument/2006/relationships/hyperlink" Target="http://www.sec.gov/Archives/edgar/data/1410428/000114420419034328/tv525020_8k.htm" TargetMode="External"/><Relationship Id="rId48" Type="http://schemas.openxmlformats.org/officeDocument/2006/relationships/hyperlink" Target="http://www.sec.gov/Archives/edgar/data/1410428/000114420419041673/tv528277_8k.htm" TargetMode="External"/><Relationship Id="rId49" Type="http://schemas.openxmlformats.org/officeDocument/2006/relationships/hyperlink" Target="http://www.sec.gov/Archives/edgar/data/1410428/000114420419043808/tv529020_8k.htm" TargetMode="External"/><Relationship Id="rId50" Type="http://schemas.openxmlformats.org/officeDocument/2006/relationships/hyperlink" Target="http://www.sec.gov/Archives/edgar/data/1410428/000114420419047032/tv530541_8k.htm" TargetMode="External"/><Relationship Id="rId51" Type="http://schemas.openxmlformats.org/officeDocument/2006/relationships/hyperlink" Target="http://www.sec.gov/Archives/edgar/data/1410428/000114420416089194/v434658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2020-04-03T16:04:02Z</dcterms:created>
  <dcterms:modified xsi:type="dcterms:W3CDTF">2020-04-03T16:04:02Z</dcterms:modified>
</cp:coreProperties>
</file>