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23000d1_defa14a.htm"/>
      <w:bookmarkStart w:id="1" w:name="kstm2523000d1_defa14a"/>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245"/>
        <w:gridCol w:w="5930"/>
      </w:tblGrid>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 for Use of the SEC Only (As Permitted by Rule 14a-6(e)(2))</w:t>
            </w:r>
          </w:p>
        </w:tc>
      </w:tr>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DEFINITIVE 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16,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(the “Supplement”) is being filed to correct inadvertent inconsistent language as related to the vote required to approve the Board Classification Proposal as set forth beginning on page 7 of the Definitive Proxy Statement filed with the Securities and Exchange Commission on August 8, 2025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should be read in conjunction with the Proxy Statement. Except as specifically amended or supplemented by the information contained herein, this Supplement does not otherwise modify, amend or supplement the Proxy Statement, and the information contained in the Proxy Statement should be considered in voting your shares. From and after the date of this Supplement, any references to the “Proxy Statement” are to the Proxy Statement as supplemented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already returned your proxy card or provided voting instructions, you do not need to take any action unless you wish to change your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text replaces, in its entirety, the text on beginning on page 7 of the Proxy Statement appearing below “</w:t>
      </w:r>
      <w:r>
        <w:rPr>
          <w:rFonts w:ascii="Times New Roman;Times;Serif" w:hAnsi="Times New Roman;Times;Serif"/>
          <w:b w:val="false"/>
          <w:i/>
          <w:caps w:val="false"/>
          <w:smallCaps w:val="false"/>
          <w:sz w:val="20"/>
        </w:rPr>
        <w:t>What Vote is Required to Approve Each Proposal and How are Votes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18" w:type="dxa"/>
          <w:bottom w:w="0" w:type="dxa"/>
          <w:right w:w="118" w:type="dxa"/>
        </w:tblCellMar>
      </w:tblPr>
      <w:tblGrid>
        <w:gridCol w:w="1687"/>
        <w:gridCol w:w="8518"/>
      </w:tblGrid>
      <w:tr>
        <w:trPr/>
        <w:tc>
          <w:tcPr>
            <w:tcW w:w="1687"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1 – Director Election Proposal</w:t>
            </w:r>
          </w:p>
        </w:tc>
        <w:tc>
          <w:tcPr>
            <w:tcW w:w="8518" w:type="dxa"/>
            <w:tcBorders>
              <w:top w:val="single" w:sz="8" w:space="0" w:color="000000"/>
              <w:right w:val="single" w:sz="8" w:space="0" w:color="000000"/>
            </w:tcBorders>
            <w:tcMar>
              <w:left w:w="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w:t>
            </w:r>
          </w:p>
          <w:p>
            <w:pPr>
              <w:pStyle w:val="TableContents"/>
              <w:bidi w:val="0"/>
              <w:spacing w:before="0" w:after="0"/>
              <w:ind w:left="251"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vote “FOR” each nominee or “WITHHOLD” their vote from each nominee.</w:t>
            </w:r>
          </w:p>
          <w:p>
            <w:pPr>
              <w:pStyle w:val="TableContents"/>
              <w:bidi w:val="0"/>
              <w:spacing w:before="0" w:after="0"/>
              <w:ind w:left="251"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Withheld votes and broker non-votes will have no effect on the outcome of the election of directors.</w:t>
            </w:r>
          </w:p>
        </w:tc>
      </w:tr>
      <w:tr>
        <w:trPr/>
        <w:tc>
          <w:tcPr>
            <w:tcW w:w="1687" w:type="dxa"/>
            <w:tcBorders>
              <w:top w:val="single" w:sz="8" w:space="0" w:color="000000"/>
              <w:left w:val="single" w:sz="8" w:space="0" w:color="000000"/>
              <w:bottom w:val="single" w:sz="8" w:space="0" w:color="000000"/>
              <w:right w:val="single" w:sz="8" w:space="0" w:color="000000"/>
            </w:tcBorders>
            <w:tcMar>
              <w:bottom w:w="2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2 – Auditor Ratification Proposal</w:t>
            </w:r>
          </w:p>
        </w:tc>
        <w:tc>
          <w:tcPr>
            <w:tcW w:w="8518" w:type="dxa"/>
            <w:tcBorders>
              <w:top w:val="single" w:sz="8" w:space="0" w:color="000000"/>
              <w:bottom w:val="single" w:sz="8" w:space="0" w:color="000000"/>
              <w:right w:val="single" w:sz="8" w:space="0" w:color="000000"/>
            </w:tcBorders>
            <w:tcMar>
              <w:left w:w="0" w:type="dxa"/>
              <w:bottom w:w="20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at the Annual Meeting and entitled to vote on the Auditor Ratification Proposal is required to approve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Auditor Ratification Proposal is a “routine matter,” broker non-votes are not expected to occur with respect to the Auditor Ratification Proposal because your broker has discretionary authority to vote your shares with respect to such proposal. Failure by your broker to exercise its discretionary authority to vote your shares on the Auditor Ratification Proposal will have no effect thereon.</w:t>
            </w:r>
          </w:p>
        </w:tc>
      </w:tr>
      <w:tr>
        <w:trPr/>
        <w:tc>
          <w:tcPr>
            <w:tcW w:w="1687"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3 – Say-on-Pay Proposal</w:t>
            </w:r>
          </w:p>
        </w:tc>
        <w:tc>
          <w:tcPr>
            <w:tcW w:w="8518" w:type="dxa"/>
            <w:tcBorders>
              <w:bottom w:val="single" w:sz="8" w:space="0" w:color="000000"/>
              <w:right w:val="single" w:sz="8" w:space="0" w:color="000000"/>
            </w:tcBorders>
            <w:tcMar>
              <w:top w:w="0" w:type="dxa"/>
              <w:left w:w="0" w:type="dxa"/>
              <w:bottom w:w="20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Say-on-Pay Proposal on a non-binding, advisory basis.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Say-on-Pay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Say-on-Pay Proposal is not considered a “routine matter,” your bank, broker, trustee or other nominee, as the case may be, will not be able to vote your shares without your instruction with respect to the Say-on-Pay Proposal. As a result, the failure to instruct your bank, broker, trustee or other nominee as to how to vote on the Say-on-Pay Proposal will result in a broker non-vote, which will have no effect on the results of this vote.</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15" w:type="dxa"/>
          <w:bottom w:w="200" w:type="dxa"/>
          <w:right w:w="28" w:type="dxa"/>
        </w:tblCellMar>
      </w:tblPr>
      <w:tblGrid>
        <w:gridCol w:w="2063"/>
        <w:gridCol w:w="8142"/>
      </w:tblGrid>
      <w:tr>
        <w:trPr/>
        <w:tc>
          <w:tcPr>
            <w:tcW w:w="206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4 – Say-on-Frequency Proposal</w:t>
            </w:r>
          </w:p>
        </w:tc>
        <w:tc>
          <w:tcPr>
            <w:tcW w:w="8142" w:type="dxa"/>
            <w:tcBorders>
              <w:top w:val="single" w:sz="8" w:space="0" w:color="000000"/>
              <w:bottom w:val="single" w:sz="8" w:space="0" w:color="000000"/>
              <w:right w:val="single" w:sz="8" w:space="0" w:color="000000"/>
            </w:tcBorders>
            <w:tcMar>
              <w:left w:w="0" w:type="dxa"/>
              <w:right w:w="100" w:type="dxa"/>
            </w:tcMar>
            <w:vAlign w:val="center"/>
          </w:tcPr>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among one year, two years, or three years that receives the highest number of votes cast at the Annual Meeting by stockholders entitled to vote thereon will be deemed to be the frequency preferred by our stockholders.</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no effect on the Say-on-Frequency Proposal.</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Say-on-Frequency Proposal is not considered a “routine matter,” your bank, broker, trustee or other nominee, as the case may be, will not be able to vote your shares without your instruction with respect to the Say-on-Frequency Proposal. As a result, the failure to instruct your bank, broker, trustee or other nominee as to how to vote on the Say-on-Frequency Proposal will result in a broker non-vote, which will have no effect on the results of this vote.</w:t>
            </w:r>
          </w:p>
        </w:tc>
      </w:tr>
      <w:tr>
        <w:trPr/>
        <w:tc>
          <w:tcPr>
            <w:tcW w:w="2063" w:type="dxa"/>
            <w:tcBorders>
              <w:left w:val="single" w:sz="8" w:space="0" w:color="000000"/>
              <w:bottom w:val="single" w:sz="8" w:space="0" w:color="000000"/>
              <w:right w:val="single" w:sz="8" w:space="0" w:color="000000"/>
            </w:tcBorders>
            <w:tcMar>
              <w:top w:w="0" w:type="dxa"/>
              <w:left w:w="118" w:type="dxa"/>
              <w:right w:w="11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5 – Board Classification Proposal</w:t>
            </w:r>
          </w:p>
        </w:tc>
        <w:tc>
          <w:tcPr>
            <w:tcW w:w="8142"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outstanding and entitled to vote on the Board Classification Proposal is required to approve the Board Classification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the same effect as votes cast “AGAINST” the Board Classification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tc>
      </w:tr>
      <w:tr>
        <w:trPr/>
        <w:tc>
          <w:tcPr>
            <w:tcW w:w="2063" w:type="dxa"/>
            <w:tcBorders>
              <w:left w:val="single" w:sz="8" w:space="0" w:color="000000"/>
              <w:bottom w:val="single" w:sz="8" w:space="0" w:color="000000"/>
              <w:right w:val="single" w:sz="8" w:space="0" w:color="000000"/>
            </w:tcBorders>
            <w:tcMar>
              <w:top w:w="0" w:type="dxa"/>
              <w:left w:w="118" w:type="dxa"/>
              <w:right w:w="11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6 – Reverse Stock Split Proposal</w:t>
            </w:r>
          </w:p>
        </w:tc>
        <w:tc>
          <w:tcPr>
            <w:tcW w:w="8142"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Reverse Stock Split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Reverse Stock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tc>
      </w:tr>
      <w:tr>
        <w:trPr/>
        <w:tc>
          <w:tcPr>
            <w:tcW w:w="20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7 – Adjournment Proposal</w:t>
            </w:r>
          </w:p>
        </w:tc>
        <w:tc>
          <w:tcPr>
            <w:tcW w:w="8142"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Adjournment Proposal.</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the Adjournment Proposal.</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Adjournment Proposal is a “routine matter,” broker non-votes are not expected to occur with respect to the Adjournment Proposal because your broker has discretionary authority to vote your shares with respect to such proposal. Failure by your broker to exercise its discretionary authority to vote your shares on the Adjournment will have no effect thereon.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1208</Words>
  <Characters>6361</Characters>
  <CharactersWithSpaces>7555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