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92911N104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9" w:lineRule="exact"/>
        <w:rPr>
          <w:sz w:val="24"/>
          <w:szCs w:val="24"/>
          <w:color w:val="auto"/>
        </w:rPr>
      </w:pPr>
    </w:p>
    <w:p>
      <w:pPr>
        <w:ind w:left="680" w:hanging="672"/>
        <w:spacing w:after="0" w:line="207" w:lineRule="exact"/>
        <w:tabs>
          <w:tab w:leader="none" w:pos="6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211"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11"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44" w:lineRule="exact"/>
        <w:rPr>
          <w:sz w:val="24"/>
          <w:szCs w:val="24"/>
          <w:color w:val="auto"/>
        </w:rPr>
      </w:pPr>
    </w:p>
    <w:p>
      <w:pPr>
        <w:ind w:left="22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Iroquois Capital Management L.L.C.</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0"/>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0" w:type="dxa"/>
            <w:vAlign w:val="bottom"/>
            <w:tcBorders>
              <w:bottom w:val="single" w:sz="8" w:color="auto"/>
            </w:tcBorders>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89"/>
              </w:rPr>
              <w:t>SEC use only</w:t>
            </w: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96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Delaware</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860" w:type="dxa"/>
            <w:vAlign w:val="bottom"/>
            <w:tcBorders>
              <w:left w:val="single" w:sz="8" w:color="auto"/>
            </w:tcBorders>
            <w:gridSpan w:val="3"/>
          </w:tcPr>
          <w:p>
            <w:pPr>
              <w:jc w:val="center"/>
              <w:ind w:left="292"/>
              <w:spacing w:after="0" w:line="201" w:lineRule="exact"/>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98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6"/>
                <w:szCs w:val="16"/>
                <w:color w:val="auto"/>
              </w:rPr>
            </w:pPr>
          </w:p>
        </w:tc>
        <w:tc>
          <w:tcPr>
            <w:tcW w:w="988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8.8%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OO</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Pr>
          <w:p>
            <w:pPr>
              <w:ind w:left="3760"/>
              <w:spacing w:after="0"/>
              <w:rPr>
                <w:sz w:val="20"/>
                <w:szCs w:val="20"/>
                <w:color w:val="auto"/>
              </w:rPr>
            </w:pPr>
            <w:r>
              <w:rPr>
                <w:rFonts w:ascii="Arial" w:cs="Arial" w:eastAsia="Arial" w:hAnsi="Arial"/>
                <w:sz w:val="18"/>
                <w:szCs w:val="18"/>
                <w:color w:val="auto"/>
              </w:rPr>
              <w:t>Page 2 of 6</w:t>
            </w:r>
          </w:p>
        </w:tc>
        <w:tc>
          <w:tcPr>
            <w:tcW w:w="0" w:type="dxa"/>
            <w:vAlign w:val="bottom"/>
          </w:tcPr>
          <w:p>
            <w:pPr>
              <w:spacing w:after="0"/>
              <w:rPr>
                <w:sz w:val="1"/>
                <w:szCs w:val="1"/>
                <w:color w:val="auto"/>
              </w:rPr>
            </w:pPr>
          </w:p>
        </w:tc>
      </w:tr>
    </w:tbl>
    <w:p>
      <w:pPr>
        <w:sectPr>
          <w:pgSz w:w="11900" w:h="16838" w:orient="portrait"/>
          <w:cols w:equalWidth="0" w:num="1">
            <w:col w:w="11440"/>
          </w:cols>
          <w:pgMar w:left="240" w:top="84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Joshua Silverman</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0"/>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0" w:type="dxa"/>
            <w:vAlign w:val="bottom"/>
            <w:tcBorders>
              <w:bottom w:val="single" w:sz="8" w:color="auto"/>
            </w:tcBorders>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89"/>
              </w:rPr>
              <w:t>SEC use only</w:t>
            </w: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96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860" w:type="dxa"/>
            <w:vAlign w:val="bottom"/>
            <w:tcBorders>
              <w:left w:val="single" w:sz="8" w:color="auto"/>
            </w:tcBorders>
            <w:gridSpan w:val="3"/>
          </w:tcPr>
          <w:p>
            <w:pPr>
              <w:jc w:val="center"/>
              <w:ind w:left="292"/>
              <w:spacing w:after="0" w:line="201" w:lineRule="exact"/>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98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6"/>
                <w:szCs w:val="16"/>
                <w:color w:val="auto"/>
              </w:rPr>
            </w:pPr>
          </w:p>
        </w:tc>
        <w:tc>
          <w:tcPr>
            <w:tcW w:w="988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8.8%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HC</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Pr>
          <w:p>
            <w:pPr>
              <w:ind w:left="3760"/>
              <w:spacing w:after="0"/>
              <w:rPr>
                <w:sz w:val="20"/>
                <w:szCs w:val="20"/>
                <w:color w:val="auto"/>
              </w:rPr>
            </w:pPr>
            <w:r>
              <w:rPr>
                <w:rFonts w:ascii="Arial" w:cs="Arial" w:eastAsia="Arial" w:hAnsi="Arial"/>
                <w:sz w:val="18"/>
                <w:szCs w:val="18"/>
                <w:color w:val="auto"/>
              </w:rPr>
              <w:t>Page 3 of 6</w:t>
            </w:r>
          </w:p>
        </w:tc>
        <w:tc>
          <w:tcPr>
            <w:tcW w:w="0" w:type="dxa"/>
            <w:vAlign w:val="bottom"/>
          </w:tcPr>
          <w:p>
            <w:pPr>
              <w:spacing w:after="0"/>
              <w:rPr>
                <w:sz w:val="1"/>
                <w:szCs w:val="1"/>
                <w:color w:val="auto"/>
              </w:rPr>
            </w:pPr>
          </w:p>
        </w:tc>
      </w:tr>
    </w:tbl>
    <w:p>
      <w:pPr>
        <w:sectPr>
          <w:pgSz w:w="11900" w:h="16838" w:orient="portrait"/>
          <w:cols w:equalWidth="0" w:num="1">
            <w:col w:w="11440"/>
          </w:cols>
          <w:pgMar w:left="240" w:top="847"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92911N104</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19"/>
                <w:szCs w:val="19"/>
                <w:color w:val="auto"/>
              </w:rPr>
            </w:pPr>
          </w:p>
        </w:tc>
        <w:tc>
          <w:tcPr>
            <w:tcW w:w="1096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28"/>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9"/>
              </w:rPr>
              <w:t>Richard Abbe</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30"/>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700" w:type="dxa"/>
            <w:vAlign w:val="bottom"/>
            <w:tcBorders>
              <w:bottom w:val="single" w:sz="8" w:color="auto"/>
            </w:tcBorders>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80" w:type="dxa"/>
            <w:vAlign w:val="bottom"/>
            <w:gridSpan w:val="4"/>
          </w:tcPr>
          <w:p>
            <w:pPr>
              <w:ind w:left="80"/>
              <w:spacing w:after="0"/>
              <w:rPr>
                <w:sz w:val="20"/>
                <w:szCs w:val="20"/>
                <w:color w:val="auto"/>
              </w:rPr>
            </w:pPr>
            <w:r>
              <w:rPr>
                <w:rFonts w:ascii="Arial" w:cs="Arial" w:eastAsia="Arial" w:hAnsi="Arial"/>
                <w:sz w:val="18"/>
                <w:szCs w:val="18"/>
                <w:color w:val="auto"/>
                <w:w w:val="89"/>
              </w:rPr>
              <w:t>SEC use only</w:t>
            </w: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096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4,791 (see Item 4)</w:t>
            </w:r>
          </w:p>
        </w:tc>
        <w:tc>
          <w:tcPr>
            <w:tcW w:w="0" w:type="dxa"/>
            <w:vAlign w:val="bottom"/>
          </w:tcPr>
          <w:p>
            <w:pPr>
              <w:spacing w:after="0"/>
              <w:rPr>
                <w:sz w:val="1"/>
                <w:szCs w:val="1"/>
                <w:color w:val="auto"/>
              </w:rPr>
            </w:pPr>
          </w:p>
        </w:tc>
      </w:tr>
      <w:tr>
        <w:trPr>
          <w:trHeight w:val="201"/>
        </w:trPr>
        <w:tc>
          <w:tcPr>
            <w:tcW w:w="860" w:type="dxa"/>
            <w:vAlign w:val="bottom"/>
            <w:tcBorders>
              <w:left w:val="single" w:sz="8" w:color="auto"/>
            </w:tcBorders>
            <w:gridSpan w:val="3"/>
          </w:tcPr>
          <w:p>
            <w:pPr>
              <w:jc w:val="center"/>
              <w:ind w:left="292"/>
              <w:spacing w:after="0" w:line="201" w:lineRule="exact"/>
              <w:rPr>
                <w:sz w:val="20"/>
                <w:szCs w:val="20"/>
                <w:color w:val="auto"/>
              </w:rPr>
            </w:pPr>
            <w:r>
              <w:rPr>
                <w:rFonts w:ascii="Arial" w:cs="Arial" w:eastAsia="Arial" w:hAnsi="Arial"/>
                <w:sz w:val="18"/>
                <w:szCs w:val="18"/>
                <w:color w:val="auto"/>
                <w:w w:val="81"/>
              </w:rPr>
              <w:t>shares</w:t>
            </w:r>
          </w:p>
        </w:tc>
        <w:tc>
          <w:tcPr>
            <w:tcW w:w="280" w:type="dxa"/>
            <w:vAlign w:val="bottom"/>
            <w:tcBorders>
              <w:right w:val="single" w:sz="8" w:color="auto"/>
            </w:tcBorders>
          </w:tcPr>
          <w:p>
            <w:pPr>
              <w:spacing w:after="0"/>
              <w:rPr>
                <w:sz w:val="17"/>
                <w:szCs w:val="17"/>
                <w:color w:val="auto"/>
              </w:rPr>
            </w:pPr>
          </w:p>
        </w:tc>
        <w:tc>
          <w:tcPr>
            <w:tcW w:w="3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988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beneficially</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81"/>
              </w:rPr>
              <w:t>each</w:t>
            </w:r>
          </w:p>
        </w:tc>
        <w:tc>
          <w:tcPr>
            <w:tcW w:w="2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6"/>
                <w:szCs w:val="16"/>
                <w:color w:val="auto"/>
              </w:rPr>
            </w:pPr>
          </w:p>
        </w:tc>
        <w:tc>
          <w:tcPr>
            <w:tcW w:w="9880" w:type="dxa"/>
            <w:vAlign w:val="bottom"/>
            <w:tcBorders>
              <w:right w:val="single" w:sz="8" w:color="auto"/>
            </w:tcBorders>
          </w:tcPr>
          <w:p>
            <w:pPr>
              <w:ind w:left="4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3"/>
              </w:rPr>
              <w:t>person</w:t>
            </w:r>
          </w:p>
        </w:tc>
        <w:tc>
          <w:tcPr>
            <w:tcW w:w="3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4,791 (see Item 4)</w:t>
            </w: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880,012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884,803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9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8.9% (see Item 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 HC</w:t>
            </w:r>
          </w:p>
        </w:tc>
        <w:tc>
          <w:tcPr>
            <w:tcW w:w="9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Pr>
          <w:p>
            <w:pPr>
              <w:ind w:left="3760"/>
              <w:spacing w:after="0"/>
              <w:rPr>
                <w:sz w:val="20"/>
                <w:szCs w:val="20"/>
                <w:color w:val="auto"/>
              </w:rPr>
            </w:pPr>
            <w:r>
              <w:rPr>
                <w:rFonts w:ascii="Arial" w:cs="Arial" w:eastAsia="Arial" w:hAnsi="Arial"/>
                <w:sz w:val="18"/>
                <w:szCs w:val="18"/>
                <w:color w:val="auto"/>
              </w:rPr>
              <w:t>Page 4 of 6</w:t>
            </w:r>
          </w:p>
        </w:tc>
        <w:tc>
          <w:tcPr>
            <w:tcW w:w="0" w:type="dxa"/>
            <w:vAlign w:val="bottom"/>
          </w:tcPr>
          <w:p>
            <w:pPr>
              <w:spacing w:after="0"/>
              <w:rPr>
                <w:sz w:val="1"/>
                <w:szCs w:val="1"/>
                <w:color w:val="auto"/>
              </w:rPr>
            </w:pPr>
          </w:p>
        </w:tc>
      </w:tr>
    </w:tbl>
    <w:p>
      <w:pPr>
        <w:sectPr>
          <w:pgSz w:w="11900" w:h="16838" w:orient="portrait"/>
          <w:cols w:equalWidth="0" w:num="1">
            <w:col w:w="11440"/>
          </w:cols>
          <w:pgMar w:left="240" w:top="847" w:right="219" w:bottom="1440" w:gutter="0" w:footer="0" w:header="0"/>
        </w:sectPr>
      </w:pPr>
    </w:p>
    <w:bookmarkStart w:id="4" w:name="page5"/>
    <w:bookmarkEnd w:id="4"/>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is being filed jointly by the Reporting Persons and amends the Schedule 13G initially filed by the Reporting Persons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5, 2011 (the “</w:t>
      </w:r>
      <w:r>
        <w:rPr>
          <w:rFonts w:ascii="Arial" w:cs="Arial" w:eastAsia="Arial" w:hAnsi="Arial"/>
          <w:sz w:val="18"/>
          <w:szCs w:val="18"/>
          <w:u w:val="single" w:color="auto"/>
          <w:color w:val="auto"/>
        </w:rPr>
        <w:t>Schedule 13G</w:t>
      </w:r>
      <w:r>
        <w:rPr>
          <w:rFonts w:ascii="Arial" w:cs="Arial" w:eastAsia="Arial" w:hAnsi="Arial"/>
          <w:sz w:val="18"/>
          <w:szCs w:val="18"/>
          <w:color w:val="auto"/>
        </w:rPr>
        <w: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Except as set forth below, all Items of the Schedule 13G remain unchanged. All capitalized terms not otherwise defined herein shall have the meanings ascribed to such terms in the Schedule 13G.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and (b):</w:t>
      </w:r>
    </w:p>
    <w:p>
      <w:pPr>
        <w:spacing w:after="0" w:line="90" w:lineRule="exact"/>
        <w:rPr>
          <w:sz w:val="20"/>
          <w:szCs w:val="20"/>
          <w:color w:val="auto"/>
        </w:rPr>
      </w:pPr>
    </w:p>
    <w:p>
      <w:pPr>
        <w:ind w:left="1500" w:right="20" w:hanging="8"/>
        <w:spacing w:after="0" w:line="310" w:lineRule="auto"/>
        <w:tabs>
          <w:tab w:leader="none" w:pos="1710"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of the close of business on December 31, 2011, each of Iroquois and Mr. Silverman may be deemed to have beneficial ownership of 880,012 shares of Common Stock, and all such shares of Common Stock represent beneficial ownership of approximately 8.8% of the Common Stock, based on 9,953,850 shares of Common Stock issued and outstanding on December 20, 2011 as disclosed in the Form S-3 Registration Statement filed by the Issuer on December 22, 2011. The foregoing excludes 478,274 shares of Common Stock in the aggregate issuable upon exercise of the Master Fund Warrants because each Master Fund Warrant contains a blocker provision under which the holder thereof does not have the right to exercise such Master Fund Warrant to the extent (but only to the extent) that such exercise would result in beneficial ownership by the holder thereof or any of its affiliates, of more than 4.99% of the Common Stock. Without such blocker provisions, each of Iroquois and Mr. Silverman may be deemed to have beneficial ownership of 1,358,286 shares of Common Stock.</w:t>
      </w:r>
    </w:p>
    <w:p>
      <w:pPr>
        <w:spacing w:after="0" w:line="27" w:lineRule="exact"/>
        <w:rPr>
          <w:rFonts w:ascii="Arial" w:cs="Arial" w:eastAsia="Arial" w:hAnsi="Arial"/>
          <w:sz w:val="15"/>
          <w:szCs w:val="15"/>
          <w:color w:val="auto"/>
        </w:rPr>
      </w:pPr>
    </w:p>
    <w:p>
      <w:pPr>
        <w:ind w:left="1500" w:hanging="8"/>
        <w:spacing w:after="0" w:line="289" w:lineRule="auto"/>
        <w:tabs>
          <w:tab w:leader="none" w:pos="1758"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the close of business on December 31, 2011, Mr. Abbe may be deemed to have beneficial ownership of 884,803 shares of Common Stock, and all such shares of Common Stock represent beneficial ownership of approximately 8.9% of the Common Stock, based on 9,953,850 shares of Common Stock issued and outstanding on December 20, 2011 as disclosed in the Form S-3 Registration Statement filed by the Issuer on December 22, 2011. The foregoing excludes 478,274 shares of Common Stock in the aggregate issuable upon exercise of the Master Fund Warrants because each Master Fund Warrant contains a blocker provision under which the holder thereof does not have the right to exercise such Master Fund Warrant to the extent (but only to the extent) that such exercise would result in beneficial ownership by the holder thereof or any of its affiliates, of more than 4.99% of the Common Stock. Without such blocker provisions, Mr. Abbe may be deemed to have beneficial ownership of 1,363,077 shares of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 Number of shares as to which each of Iroquois and Mr. Silverman has:</w:t>
      </w:r>
    </w:p>
    <w:p>
      <w:pPr>
        <w:spacing w:after="0" w:line="90" w:lineRule="exact"/>
        <w:rPr>
          <w:sz w:val="20"/>
          <w:szCs w:val="20"/>
          <w:color w:val="auto"/>
        </w:rPr>
      </w:pPr>
    </w:p>
    <w:p>
      <w:pPr>
        <w:ind w:left="1140" w:hanging="219"/>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880,012.</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880,012.</w:t>
      </w:r>
    </w:p>
    <w:p>
      <w:pPr>
        <w:spacing w:after="0" w:line="90" w:lineRule="exact"/>
        <w:rPr>
          <w:rFonts w:ascii="Arial" w:cs="Arial" w:eastAsia="Arial" w:hAnsi="Arial"/>
          <w:sz w:val="18"/>
          <w:szCs w:val="18"/>
          <w:color w:val="auto"/>
        </w:rPr>
      </w:pPr>
    </w:p>
    <w:p>
      <w:pPr>
        <w:ind w:left="820" w:hanging="26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Mr. Abbe has:</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4,791.</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880,012.</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4,791.</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880,012.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00"/>
          </w:cols>
          <w:pgMar w:left="240" w:top="280" w:right="25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Joshua Silverman, Authorized Signatory</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Silverman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Abbe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lvl w:ilvl="1">
      <w:lvlJc w:val="left"/>
      <w:lvlText w:val="(%2)"/>
      <w:numFmt w:val="lowerRoman"/>
      <w:start w:val="1"/>
    </w:lvl>
  </w:abstractNum>
  <w:abstractNum w:abstractNumId="4">
    <w:nsid w:val="46E87CCD"/>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2019-12-09T17:57:55Z</dcterms:created>
  <dcterms:modified xsi:type="dcterms:W3CDTF">2019-12-09T17:57:55Z</dcterms:modified>
</cp:coreProperties>
</file>