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SCHEDULE 14A</w:t>
      </w:r>
    </w:p>
    <w:p>
      <w:pPr>
        <w:spacing w:after="0" w:line="121"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46"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79"/>
          </w:cols>
          <w:pgMar w:left="380" w:top="567"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4"/>
          <w:szCs w:val="24"/>
          <w:color w:val="auto"/>
        </w:rPr>
      </w:pPr>
    </w:p>
    <w:p>
      <w:pPr>
        <w:sectPr>
          <w:pgSz w:w="11900" w:h="16838" w:orient="portrait"/>
          <w:cols w:equalWidth="0" w:num="2">
            <w:col w:w="2520" w:space="720"/>
            <w:col w:w="6839"/>
          </w:cols>
          <w:pgMar w:left="380" w:top="567"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29" w:lineRule="exact"/>
        <w:rPr>
          <w:sz w:val="24"/>
          <w:szCs w:val="24"/>
          <w:color w:val="auto"/>
        </w:rPr>
      </w:pPr>
    </w:p>
    <w:p>
      <w:pPr>
        <w:sectPr>
          <w:pgSz w:w="11900" w:h="16838" w:orient="portrait"/>
          <w:cols w:equalWidth="0" w:num="2">
            <w:col w:w="2980" w:space="260"/>
            <w:col w:w="6839"/>
          </w:cols>
          <w:pgMar w:left="380" w:top="567"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079"/>
          </w:cols>
          <w:pgMar w:left="380" w:top="567" w:right="1440" w:bottom="1440" w:gutter="0" w:footer="0" w:header="0"/>
          <w:type w:val="continuous"/>
        </w:sectPr>
      </w:pPr>
    </w:p>
    <w:p>
      <w:pPr>
        <w:spacing w:after="0" w:line="140" w:lineRule="exact"/>
        <w:rPr>
          <w:sz w:val="24"/>
          <w:szCs w:val="24"/>
          <w:color w:val="auto"/>
        </w:rPr>
      </w:pPr>
    </w:p>
    <w:p>
      <w:pPr>
        <w:ind w:left="540" w:hanging="26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13" w:lineRule="exact"/>
        <w:rPr>
          <w:rFonts w:ascii="Arial" w:cs="Arial" w:eastAsia="Arial" w:hAnsi="Arial"/>
          <w:sz w:val="18"/>
          <w:szCs w:val="18"/>
          <w:color w:val="auto"/>
        </w:rPr>
      </w:pPr>
    </w:p>
    <w:p>
      <w:pPr>
        <w:ind w:left="540" w:hanging="26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40" w:hanging="26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0" w:hanging="26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98"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HOLDINGS CORP.</w:t>
      </w:r>
    </w:p>
    <w:p>
      <w:pPr>
        <w:spacing w:after="0" w:line="127"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1965960</wp:posOffset>
            </wp:positionH>
            <wp:positionV relativeFrom="paragraph">
              <wp:posOffset>81280</wp:posOffset>
            </wp:positionV>
            <wp:extent cx="2160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24" w:lineRule="exact"/>
        <w:rPr>
          <w:sz w:val="24"/>
          <w:szCs w:val="24"/>
          <w:color w:val="auto"/>
        </w:rPr>
      </w:pPr>
    </w:p>
    <w:p>
      <w:pPr>
        <w:ind w:left="272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3"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40" w:hanging="26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820" w:right="519" w:hanging="272"/>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542290</wp:posOffset>
            </wp:positionV>
            <wp:extent cx="6114415"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-3028950</wp:posOffset>
            </wp:positionV>
            <wp:extent cx="55225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-2737485</wp:posOffset>
            </wp:positionV>
            <wp:extent cx="5522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-2317115</wp:posOffset>
            </wp:positionV>
            <wp:extent cx="5522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-2033905</wp:posOffset>
            </wp:positionV>
            <wp:extent cx="55225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-1742440</wp:posOffset>
            </wp:positionV>
            <wp:extent cx="5522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-773430</wp:posOffset>
            </wp:positionV>
            <wp:extent cx="5522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-490220</wp:posOffset>
            </wp:positionV>
            <wp:extent cx="55225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-198755</wp:posOffset>
            </wp:positionV>
            <wp:extent cx="5522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83185</wp:posOffset>
            </wp:positionV>
            <wp:extent cx="55225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ectPr>
          <w:pgSz w:w="11900" w:h="16838" w:orient="portrait"/>
          <w:cols w:equalWidth="0" w:num="1">
            <w:col w:w="10079"/>
          </w:cols>
          <w:pgMar w:left="380" w:top="567" w:right="1440"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2470150" cy="823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01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FORM HOLDINGS CORP.</w:t>
      </w:r>
    </w:p>
    <w:p>
      <w:pPr>
        <w:ind w:left="3660"/>
        <w:spacing w:after="0" w:line="217"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New York, New York 10017</w:t>
      </w:r>
    </w:p>
    <w:p>
      <w:pPr>
        <w:spacing w:after="0" w:line="97"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September 25, 2017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You are cordially invited to attend the 2017 annual meeting of stockholders of FORM Holdings Corp. to be held at 11:00 a.m., Eastern Time, on Wednesday, November 8, 2017, at the offices of Mintz, Levin, Cohn, Ferris, Glovsky and Popeo, P.C., the Chrysler Center, 666 Third Avenue, New York, New York 10017.</w:t>
      </w:r>
    </w:p>
    <w:p>
      <w:pPr>
        <w:spacing w:after="0" w:line="7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Details regarding the meeting, the business to be conducted at the meeting, and information about FORM Holdings Corp. that you should consider when you vote your shares are described in this proxy statement.</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At the annual meeting, we will ask the holders of our common stock and our Series D Convertible Preferred Stock, which we refer to throughout this proxy statement as “Series D Preferred Stock,” to:</w:t>
      </w:r>
    </w:p>
    <w:p>
      <w:pPr>
        <w:spacing w:after="0" w:line="62" w:lineRule="exact"/>
        <w:rPr>
          <w:sz w:val="20"/>
          <w:szCs w:val="20"/>
          <w:color w:val="auto"/>
        </w:rPr>
      </w:pPr>
    </w:p>
    <w:p>
      <w:pPr>
        <w:ind w:left="540" w:right="539" w:hanging="262"/>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Andrew D. Perlman, John Engelman, Donald E. Stout, Salvatore Giardina, Bruce T. Bernstein and Richard K. Abbe to our Board of Directors;</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selection of CohnReznick LLP as our independent registered public accounting firm for the fiscal year ending December 31, 2017;</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(iii)Approve, by an advisory vote, the compensation of our named executive officers, as disclosed in this proxy statement, and</w:t>
      </w:r>
    </w:p>
    <w:p>
      <w:pPr>
        <w:spacing w:after="0" w:line="140" w:lineRule="exact"/>
        <w:rPr>
          <w:sz w:val="20"/>
          <w:szCs w:val="20"/>
          <w:color w:val="auto"/>
        </w:rPr>
      </w:pPr>
    </w:p>
    <w:p>
      <w:pPr>
        <w:ind w:left="540" w:right="519" w:hanging="269"/>
        <w:spacing w:after="0" w:line="277" w:lineRule="auto"/>
        <w:rPr>
          <w:sz w:val="20"/>
          <w:szCs w:val="20"/>
          <w:color w:val="auto"/>
        </w:rPr>
      </w:pPr>
      <w:r>
        <w:rPr>
          <w:rFonts w:ascii="Arial" w:cs="Arial" w:eastAsia="Arial" w:hAnsi="Arial"/>
          <w:sz w:val="18"/>
          <w:szCs w:val="18"/>
          <w:color w:val="auto"/>
        </w:rPr>
        <w:t>(iv)Approve an adjournment of our annual meeting of stockholders, if necessary, to solicit additional proxies if there are not sufficient votes in favor of the proposals referred to in clauses (ii) and (iii).</w:t>
      </w:r>
    </w:p>
    <w:p>
      <w:pPr>
        <w:spacing w:after="0" w:line="58"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the approval of each of these proposals. </w:t>
      </w:r>
      <w:r>
        <w:rPr>
          <w:rFonts w:ascii="Arial" w:cs="Arial" w:eastAsia="Arial" w:hAnsi="Arial"/>
          <w:sz w:val="18"/>
          <w:szCs w:val="18"/>
          <w:color w:val="auto"/>
        </w:rPr>
        <w:t>Such other business will be transacted as may</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come before the annual meeting.</w:t>
      </w:r>
    </w:p>
    <w:p>
      <w:pPr>
        <w:spacing w:after="0" w:line="58"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Also at the annual meeting, the holders of our Series D Preferred Stock may re-elect Andrew R. Heyer to the Board of Directors. The Board of Directors makes no recommendation with respect to this proposal.</w:t>
      </w:r>
    </w:p>
    <w:p>
      <w:pPr>
        <w:spacing w:after="0" w:line="62"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Thank you for your continued support of FORM Holdings Corp. We look forward to seeing you at the annual meeting.</w:t>
      </w:r>
    </w:p>
    <w:p>
      <w:pPr>
        <w:spacing w:after="0" w:line="12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83185</wp:posOffset>
            </wp:positionV>
            <wp:extent cx="1071880"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880" cy="23177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2470150" cy="823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01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FORM Holdings Corp.</w:t>
      </w:r>
    </w:p>
    <w:p>
      <w:pPr>
        <w:ind w:left="3660"/>
        <w:spacing w:after="0" w:line="217"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New York, New York 10017</w:t>
      </w:r>
    </w:p>
    <w:p>
      <w:pPr>
        <w:spacing w:after="0" w:line="97"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September 25, 2017</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NOTICE OF 2017 ANNUAL MEETING OF STOCKHOLDERS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TIME: 11.00 a.m., local time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2017</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PLACE: Mintz, Levin, Cohn, Ferris, Glovsky and Popeo, the Chrysler Center, 666 Third Avenue, New York, NY 10017</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PURPOSES:</w:t>
      </w:r>
    </w:p>
    <w:p>
      <w:pPr>
        <w:spacing w:after="0" w:line="117" w:lineRule="exact"/>
        <w:rPr>
          <w:sz w:val="20"/>
          <w:szCs w:val="20"/>
          <w:color w:val="auto"/>
        </w:rPr>
      </w:pPr>
    </w:p>
    <w:p>
      <w:pPr>
        <w:jc w:val="both"/>
        <w:ind w:left="540" w:right="519" w:hanging="262"/>
        <w:spacing w:after="0" w:line="26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Andrew D. Perlman, John Engelman, Donald E. Stout, Salvatore Giardina, Bruce T. Bernstein and Richard K. Abbe to our Board of Directors, each to serve a one-year term expiring in 2018 or until such director’s successor is elected and qualified or until such director’s earlier death, resignation or removal;</w:t>
      </w:r>
    </w:p>
    <w:p>
      <w:pPr>
        <w:spacing w:after="0" w:line="73"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CohnReznick LLP as our independent registered public accounting firm for the fiscal year ending December 31, 2017;</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by an advisory vote, the compensation of our named executive officers, as disclosed in this proxy statement;</w:t>
      </w:r>
    </w:p>
    <w:p>
      <w:pPr>
        <w:spacing w:after="0" w:line="140" w:lineRule="exact"/>
        <w:rPr>
          <w:rFonts w:ascii="Arial" w:cs="Arial" w:eastAsia="Arial" w:hAnsi="Arial"/>
          <w:sz w:val="16"/>
          <w:szCs w:val="16"/>
          <w:color w:val="auto"/>
        </w:rPr>
      </w:pPr>
    </w:p>
    <w:p>
      <w:pPr>
        <w:ind w:left="540" w:right="539" w:hanging="262"/>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adjournment of our annual meeting of stockholders, if necessary, to solicit additional proxies if there are not sufficient votes in favor of the proposals referred to in clauses (2) and (3); and</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annual meeting and any adjournments or postponements thereof.</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Also at the annual meeting, the holders of our Series D Preferred Stock may re-elect Andrew R. Heyer to the Board of Directors. The Board of Directors makes no recommendation with respect to this proposal.</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WHO MAY VOTE:</w:t>
      </w:r>
    </w:p>
    <w:p>
      <w:pPr>
        <w:spacing w:after="0" w:line="117" w:lineRule="exact"/>
        <w:rPr>
          <w:sz w:val="20"/>
          <w:szCs w:val="20"/>
          <w:color w:val="auto"/>
        </w:rPr>
      </w:pPr>
    </w:p>
    <w:p>
      <w:pPr>
        <w:jc w:val="both"/>
        <w:ind w:left="40" w:right="519" w:firstLine="270"/>
        <w:spacing w:after="0" w:line="301" w:lineRule="auto"/>
        <w:rPr>
          <w:sz w:val="20"/>
          <w:szCs w:val="20"/>
          <w:color w:val="auto"/>
        </w:rPr>
      </w:pPr>
      <w:r>
        <w:rPr>
          <w:rFonts w:ascii="Arial" w:cs="Arial" w:eastAsia="Arial" w:hAnsi="Arial"/>
          <w:sz w:val="16"/>
          <w:szCs w:val="16"/>
          <w:color w:val="auto"/>
        </w:rPr>
        <w:t>You may vote if you were the record owner of our common stock or our Series D Preferred Stock at the close of business on September 12, 2017. A list of stockholders of record will be available at the annual meeting and, during the 10 days prior to the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annual meeting, at our principal executive offices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w:t>
      </w:r>
    </w:p>
    <w:p>
      <w:pPr>
        <w:spacing w:after="0" w:line="32"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 xml:space="preserve">All stockholders are cordially invited to attend the annual meeting. </w:t>
      </w:r>
      <w:r>
        <w:rPr>
          <w:rFonts w:ascii="Arial" w:cs="Arial" w:eastAsia="Arial" w:hAnsi="Arial"/>
          <w:sz w:val="18"/>
          <w:szCs w:val="18"/>
          <w:b w:val="1"/>
          <w:bCs w:val="1"/>
          <w:color w:val="auto"/>
        </w:rPr>
        <w:t>Whether you plan to attend the annual meeting or not,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we urge you to vote and submit your proxy by the Internet, telephone or mail in order to ensure the presence of a quorum. </w:t>
      </w:r>
      <w:r>
        <w:rPr>
          <w:rFonts w:ascii="Arial" w:cs="Arial" w:eastAsia="Arial" w:hAnsi="Arial"/>
          <w:sz w:val="18"/>
          <w:szCs w:val="18"/>
          <w:color w:val="auto"/>
        </w:rPr>
        <w:t>You may change or revoke your proxy at any time before it is voted at the meeting.</w:t>
      </w:r>
    </w:p>
    <w:p>
      <w:pPr>
        <w:spacing w:after="0" w:line="8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83185</wp:posOffset>
            </wp:positionV>
            <wp:extent cx="1071880"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1880" cy="23177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169"/>
        </w:trPr>
        <w:tc>
          <w:tcPr>
            <w:tcW w:w="7680" w:type="dxa"/>
            <w:vAlign w:val="bottom"/>
            <w:gridSpan w:val="19"/>
            <w:shd w:val="clear" w:color="auto" w:fill="CCEEFF"/>
          </w:tcPr>
          <w:p>
            <w:pPr>
              <w:ind w:left="20"/>
              <w:spacing w:after="0" w:line="170" w:lineRule="exact"/>
              <w:rPr>
                <w:rFonts w:ascii="Arial" w:cs="Arial" w:eastAsia="Arial" w:hAnsi="Arial"/>
                <w:sz w:val="18"/>
                <w:szCs w:val="18"/>
                <w:color w:val="0000EE"/>
              </w:rPr>
            </w:pPr>
            <w:hyperlink w:anchor="page7">
              <w:r>
                <w:rPr>
                  <w:rFonts w:ascii="Arial" w:cs="Arial" w:eastAsia="Arial" w:hAnsi="Arial"/>
                  <w:sz w:val="18"/>
                  <w:szCs w:val="18"/>
                  <w:color w:val="0000EE"/>
                </w:rPr>
                <w:t>Important Information About the Annual Meeting and Voting</w:t>
              </w:r>
            </w:hyperlink>
          </w:p>
        </w:tc>
        <w:tc>
          <w:tcPr>
            <w:tcW w:w="540" w:type="dxa"/>
            <w:vAlign w:val="bottom"/>
            <w:gridSpan w:val="5"/>
            <w:shd w:val="clear" w:color="auto" w:fill="CCEEFF"/>
          </w:tcPr>
          <w:p>
            <w:pPr>
              <w:jc w:val="right"/>
              <w:ind w:right="80"/>
              <w:spacing w:after="0" w:line="170"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Security Ownership of Certain Beneficial Owners and Management</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 and Corporate Governance</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Executive Officer and Director Compensation</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Report of Audit Committee</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Section 16(a) Beneficial Ownership Reporting Compliance</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Certain Relationships and Related Person Transactions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Proposal 1: Election of Directors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Proposal 2: Independent Registered Public Accounting Firm</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Proposal 3: Advisory Vote on Executive Compensation</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Proposal 4: Approval of the Adjournment of the Annual Meeting</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Preferred Stockholder Proposal: Election of Directors by Holders of Series D Preferred Stock</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Code of Conduct and Ethics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Other Matters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Stockholders Proposals and Nominations for Director</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19"/>
          </w:tcPr>
          <w:p>
            <w:pPr>
              <w:ind w:left="20"/>
              <w:spacing w:after="0" w:line="176" w:lineRule="exact"/>
              <w:rPr>
                <w:sz w:val="20"/>
                <w:szCs w:val="20"/>
                <w:color w:val="auto"/>
              </w:rPr>
            </w:pPr>
            <w:r>
              <w:rPr>
                <w:rFonts w:ascii="Arial" w:cs="Arial" w:eastAsia="Arial" w:hAnsi="Arial"/>
                <w:sz w:val="18"/>
                <w:szCs w:val="18"/>
                <w:b w:val="1"/>
                <w:bCs w:val="1"/>
                <w:color w:val="auto"/>
              </w:rPr>
              <w:t>Appendix</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Appendix A — Forms of Proxy Card</w:t>
              </w:r>
            </w:hyperlink>
          </w:p>
        </w:tc>
        <w:tc>
          <w:tcPr>
            <w:tcW w:w="180" w:type="dxa"/>
            <w:vAlign w:val="bottom"/>
            <w:shd w:val="clear" w:color="auto" w:fill="CCEEFF"/>
          </w:tcPr>
          <w:p>
            <w:pPr>
              <w:spacing w:after="0"/>
              <w:rPr>
                <w:sz w:val="15"/>
                <w:szCs w:val="15"/>
                <w:color w:val="auto"/>
              </w:rPr>
            </w:pPr>
          </w:p>
        </w:tc>
        <w:tc>
          <w:tcPr>
            <w:tcW w:w="360" w:type="dxa"/>
            <w:vAlign w:val="bottom"/>
            <w:gridSpan w:val="4"/>
            <w:shd w:val="clear" w:color="auto" w:fill="CCEEFF"/>
          </w:tcPr>
          <w:p>
            <w:pPr>
              <w:jc w:val="right"/>
              <w:ind w:right="80"/>
              <w:spacing w:after="0" w:line="17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A-1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FORM Holdings Corp.</w:t>
      </w:r>
    </w:p>
    <w:p>
      <w:pPr>
        <w:spacing w:after="0" w:line="18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ind w:left="3720"/>
        <w:spacing w:after="0"/>
        <w:rPr>
          <w:sz w:val="20"/>
          <w:szCs w:val="20"/>
          <w:color w:val="auto"/>
        </w:rPr>
      </w:pPr>
      <w:r>
        <w:rPr>
          <w:rFonts w:ascii="Arial" w:cs="Arial" w:eastAsia="Arial" w:hAnsi="Arial"/>
          <w:sz w:val="18"/>
          <w:szCs w:val="18"/>
          <w:b w:val="1"/>
          <w:bCs w:val="1"/>
          <w:color w:val="auto"/>
        </w:rPr>
        <w:t>New York, New York 10017</w:t>
      </w:r>
    </w:p>
    <w:p>
      <w:pPr>
        <w:spacing w:after="0" w:line="2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PROXY STATEMENT FOR FORM HOLDINGS CORP.</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2017 ANNUAL MEETING OF STOCKHOLDERS TO BE HELD ON NOVEMBER 8, 2017</w:t>
      </w:r>
    </w:p>
    <w:p>
      <w:pPr>
        <w:spacing w:after="0" w:line="103"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This proxy statement, along with the accompanying notice of the 2017 annual meeting of stockholders, contains information about the 2017 annual meeting of stockholders of FORM Holdings Corp., including any adjournments or postponements of the annual meeting. We are holding the annual meeting at 11:00 a.m., Eastern Time, on Wednesday, November 8, 2017, at the offices of Mintz, Levin, Cohn, Ferris, Glovsky and Popeo, P.C., the Chrysler Center, 666 Third Avenue, New York, New York 10017.</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this proxy statement, we refer to FORM Holdings Corp. as “FORM,” “the Company,” “we” and “us.”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113"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On or about September 25, 2017, we began sending this proxy statement, the attached Notice of Annual Meeting of Stockholders and the enclosed proxy card to all stockholders entitled to vote at the annual meeting. Although not part of this proxy statement, we are also sending, along with this proxy statement, our 2016 annual report, which includes our financial statements for the fiscal year ended December 31, 2016.</w:t>
      </w:r>
    </w:p>
    <w:p>
      <w:pPr>
        <w:spacing w:after="0" w:line="200" w:lineRule="exact"/>
        <w:rPr>
          <w:sz w:val="20"/>
          <w:szCs w:val="20"/>
          <w:color w:val="auto"/>
        </w:rPr>
      </w:pPr>
    </w:p>
    <w:p>
      <w:pPr>
        <w:spacing w:after="0" w:line="32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NOVEMBER 8, 2017</w:t>
      </w:r>
    </w:p>
    <w:p>
      <w:pPr>
        <w:spacing w:after="0" w:line="54"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 xml:space="preserve">This proxy statement and our 2016 annual report to stockholders are available for viewing, printing and downloading at </w:t>
      </w:r>
      <w:r>
        <w:rPr>
          <w:rFonts w:ascii="Arial" w:cs="Arial" w:eastAsia="Arial" w:hAnsi="Arial"/>
          <w:sz w:val="18"/>
          <w:szCs w:val="18"/>
          <w:b w:val="1"/>
          <w:bCs w:val="1"/>
          <w:i w:val="1"/>
          <w:iCs w:val="1"/>
          <w:color w:val="auto"/>
        </w:rPr>
        <w:t xml:space="preserve">www.proxyvote.com. </w:t>
      </w:r>
      <w:r>
        <w:rPr>
          <w:rFonts w:ascii="Arial" w:cs="Arial" w:eastAsia="Arial" w:hAnsi="Arial"/>
          <w:sz w:val="18"/>
          <w:szCs w:val="18"/>
          <w:b w:val="1"/>
          <w:bCs w:val="1"/>
          <w:color w:val="auto"/>
        </w:rPr>
        <w:t>To view these materials, please have your 16-digit control number(s) available that appears on your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proxy card. On this website, you can also elect to receive future distributions of our proxy statements and annual reports to stockholders by electronic delivery.</w:t>
      </w:r>
    </w:p>
    <w:p>
      <w:pPr>
        <w:spacing w:after="0" w:line="72"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b w:val="1"/>
          <w:bCs w:val="1"/>
          <w:color w:val="auto"/>
        </w:rPr>
        <w:t xml:space="preserve">Additionally, you can find a copy of our Annual Report on Form 10-K, as amended, which includes our financial statements for the fiscal year ended December 31, 2016, on the website of the Securities and Exchange Commission, or the SEC,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or in the “SEC Filings” section of the “Investors” section of our website at </w:t>
      </w:r>
      <w:r>
        <w:rPr>
          <w:rFonts w:ascii="Arial" w:cs="Arial" w:eastAsia="Arial" w:hAnsi="Arial"/>
          <w:sz w:val="16"/>
          <w:szCs w:val="16"/>
          <w:b w:val="1"/>
          <w:bCs w:val="1"/>
          <w:i w:val="1"/>
          <w:iCs w:val="1"/>
          <w:color w:val="auto"/>
        </w:rPr>
        <w:t>www.formholdings.com.</w:t>
      </w:r>
      <w:r>
        <w:rPr>
          <w:rFonts w:ascii="Arial" w:cs="Arial" w:eastAsia="Arial" w:hAnsi="Arial"/>
          <w:sz w:val="16"/>
          <w:szCs w:val="16"/>
          <w:b w:val="1"/>
          <w:bCs w:val="1"/>
          <w:color w:val="auto"/>
        </w:rPr>
        <w:t xml:space="preserve"> You may also obtain a printed copy of our Annual Report on Form 10-K, including our financial statements, free of charge,</w:t>
      </w:r>
    </w:p>
    <w:p>
      <w:pPr>
        <w:spacing w:after="0" w:line="3" w:lineRule="exact"/>
        <w:rPr>
          <w:sz w:val="20"/>
          <w:szCs w:val="20"/>
          <w:color w:val="auto"/>
        </w:rPr>
      </w:pPr>
    </w:p>
    <w:p>
      <w:pPr>
        <w:jc w:val="both"/>
        <w:ind w:left="40" w:right="539"/>
        <w:spacing w:after="0" w:line="222" w:lineRule="auto"/>
        <w:rPr>
          <w:sz w:val="20"/>
          <w:szCs w:val="20"/>
          <w:color w:val="auto"/>
        </w:rPr>
      </w:pPr>
      <w:r>
        <w:rPr>
          <w:rFonts w:ascii="Arial" w:cs="Arial" w:eastAsia="Arial" w:hAnsi="Arial"/>
          <w:sz w:val="18"/>
          <w:szCs w:val="18"/>
          <w:b w:val="1"/>
          <w:bCs w:val="1"/>
          <w:color w:val="auto"/>
        </w:rPr>
        <w:t>from us by sending a written request to: FORM Holdings Corp., 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New York, New York 10017, Attention: Corporate Secretary. Exhibits will be provided upon written request and payment of an appropriate processing fee.</w:t>
      </w:r>
    </w:p>
    <w:p>
      <w:pPr>
        <w:spacing w:after="0" w:line="200" w:lineRule="exact"/>
        <w:rPr>
          <w:sz w:val="20"/>
          <w:szCs w:val="20"/>
          <w:color w:val="auto"/>
        </w:rPr>
      </w:pPr>
    </w:p>
    <w:p>
      <w:pPr>
        <w:spacing w:after="0" w:line="34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0" w:right="2039" w:firstLine="1467"/>
        <w:spacing w:after="0" w:line="393" w:lineRule="auto"/>
        <w:rPr>
          <w:sz w:val="20"/>
          <w:szCs w:val="20"/>
          <w:color w:val="auto"/>
        </w:rPr>
      </w:pPr>
      <w:r>
        <w:rPr>
          <w:rFonts w:ascii="Arial" w:cs="Arial" w:eastAsia="Arial" w:hAnsi="Arial"/>
          <w:sz w:val="18"/>
          <w:szCs w:val="18"/>
          <w:b w:val="1"/>
          <w:bCs w:val="1"/>
          <w:color w:val="auto"/>
        </w:rPr>
        <w:t>IMPORTANT INFORMATION ABOUT THE ANNUAL MEETING AND VOTING Why is the Company Soliciting My Proxy?</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Board of Directors (the “Board”) of FORM Holdings Corp. is soliciting your proxy to vote at the 2017 annual meeting of stockholders to be held at the offices of Mintz, Levin, Cohn, Ferris, Glovsky and Popeo, P.C., the Chrysler Center, 666 Third Avenue, New York, New York 10017 on Wednesday, November 8, 2017, at 11:00 a.m., Eastern Time, and any adjournments or postponements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85"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We have made available to you on the Internet or have sent you this proxy statement, the Notice of Annual Meeting of Stockholders, the proxy card and a copy of our Annual Report on Form 10-K for the fiscal year ended December 31, 2016 because you owned shares of our common stock or our Series D Preferred Stock on the record date. We intend to commence distribution of the proxy materials to stockholders on or about September 25, 2017.</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Only stockholders who owned our common stock or Series D Preferred Stock at the close of business on September 12, 2017 are entitled to vote at the annual meeting. On this record date, there were 26,540,689 shares of our common stock outstanding and entitled to vote and 420,541 shares of our Series D Preferred Stock outstanding and entitled to vote, on an as-converted basis, such that holders of our Series D Preferred Stock are entitled to an aggregate of 3,364,328 votes. Our common stock and our Series D Preferred Stock are our only classes of voting stock.</w:t>
      </w:r>
    </w:p>
    <w:p>
      <w:pPr>
        <w:spacing w:after="0" w:line="6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“May I Change or Revoke My Proxy?” below.</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Each share of our common stock that you own entitles you to one vote. Each share of our Series D Preferred Stock that you own entitles you to the number of votes equal to the number of shares of common stock into which your shares of Series D Preferred Stock could have been converted on the record date. This number is obtained by dividing the stated value of your Series D Preferred Stock ($48.00) by the conversion price in effect on the record date ($6.00).</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Internet or telephone.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Board’s recommendations as noted below. Voting by proxy will not affect your right to attend the annual meeting. If your shares are registered directly in your name through our stock transfer agent, American Stock Transfer &amp; Trust Company, LLC, or you have stock certificates registered in your name, you may vote:</w:t>
      </w:r>
    </w:p>
    <w:p>
      <w:pPr>
        <w:spacing w:after="0" w:line="67" w:lineRule="exact"/>
        <w:rPr>
          <w:sz w:val="20"/>
          <w:szCs w:val="20"/>
          <w:color w:val="auto"/>
        </w:rPr>
      </w:pPr>
    </w:p>
    <w:p>
      <w:pPr>
        <w:ind w:left="600" w:right="519" w:hanging="322"/>
        <w:spacing w:after="0" w:line="282"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By Internet or by telephone. </w:t>
      </w:r>
      <w:r>
        <w:rPr>
          <w:rFonts w:ascii="Arial" w:cs="Arial" w:eastAsia="Arial" w:hAnsi="Arial"/>
          <w:sz w:val="18"/>
          <w:szCs w:val="18"/>
          <w:color w:val="auto"/>
        </w:rPr>
        <w:t>Follow the instructions included in the Notice or, if you received printed materials,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to vote by Internet or telephone.</w:t>
      </w:r>
    </w:p>
    <w:p>
      <w:pPr>
        <w:spacing w:after="0" w:line="53" w:lineRule="exact"/>
        <w:rPr>
          <w:rFonts w:ascii="Arial" w:cs="Arial" w:eastAsia="Arial" w:hAnsi="Arial"/>
          <w:sz w:val="18"/>
          <w:szCs w:val="18"/>
          <w:color w:val="auto"/>
        </w:rPr>
      </w:pPr>
    </w:p>
    <w:p>
      <w:pPr>
        <w:jc w:val="both"/>
        <w:ind w:left="600" w:right="539" w:hanging="322"/>
        <w:spacing w:after="0" w:line="266"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 and returning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as instructed on the card. If you sign the proxy card but do not specify how you want your shares voted, they will be voted in accordance with the Board of Directors’ recommendations as noted below.</w:t>
      </w:r>
    </w:p>
    <w:p>
      <w:pPr>
        <w:spacing w:after="0" w:line="68"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meeting, you may deliver a completed proxy card in person or you may vote</w:t>
      </w:r>
      <w:r>
        <w:rPr>
          <w:rFonts w:ascii="Arial" w:cs="Arial" w:eastAsia="Arial" w:hAnsi="Arial"/>
          <w:sz w:val="18"/>
          <w:szCs w:val="18"/>
          <w:b w:val="1"/>
          <w:bCs w:val="1"/>
          <w:color w:val="auto"/>
        </w:rPr>
        <w:t xml:space="preserve"> </w:t>
      </w:r>
      <w:r>
        <w:rPr>
          <w:rFonts w:ascii="Arial" w:cs="Arial" w:eastAsia="Arial" w:hAnsi="Arial"/>
          <w:sz w:val="18"/>
          <w:szCs w:val="18"/>
          <w:color w:val="auto"/>
        </w:rPr>
        <w:t>by completing a ballot, which will be available at the meeting.</w:t>
      </w:r>
    </w:p>
    <w:p>
      <w:pPr>
        <w:spacing w:after="0" w:line="200" w:lineRule="exact"/>
        <w:rPr>
          <w:sz w:val="20"/>
          <w:szCs w:val="20"/>
          <w:color w:val="auto"/>
        </w:rPr>
      </w:pPr>
    </w:p>
    <w:p>
      <w:pPr>
        <w:spacing w:after="0" w:line="3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jc w:val="both"/>
        <w:ind w:left="40" w:right="519"/>
        <w:spacing w:after="0" w:line="282" w:lineRule="auto"/>
        <w:rPr>
          <w:sz w:val="20"/>
          <w:szCs w:val="20"/>
          <w:color w:val="auto"/>
        </w:rPr>
      </w:pPr>
      <w:r>
        <w:rPr>
          <w:rFonts w:ascii="Arial" w:cs="Arial" w:eastAsia="Arial" w:hAnsi="Arial"/>
          <w:sz w:val="18"/>
          <w:szCs w:val="18"/>
          <w:b w:val="1"/>
          <w:bCs w:val="1"/>
          <w:color w:val="auto"/>
        </w:rPr>
        <w:t>Telephone and Internet voting facilities for stockholders of record will be available 24 hours a day and will close at 11:59 p.m., Eastern Time, on November 7, 2017.</w:t>
      </w:r>
    </w:p>
    <w:p>
      <w:pPr>
        <w:spacing w:after="0" w:line="58"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113" w:lineRule="exact"/>
        <w:rPr>
          <w:sz w:val="20"/>
          <w:szCs w:val="20"/>
          <w:color w:val="auto"/>
        </w:rPr>
      </w:pPr>
    </w:p>
    <w:p>
      <w:pPr>
        <w:ind w:left="600" w:right="539" w:hanging="322"/>
        <w:spacing w:after="0" w:line="28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Andrew D. Perlman, John Engelman, Donald E. Stout, Salvatore Giardina, Bruce T. Bernstein and Richard K. Abbe for director;</w:t>
      </w:r>
    </w:p>
    <w:p>
      <w:pPr>
        <w:spacing w:after="0" w:line="53"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CohnReznick LLP as our independent registered public accounting firm for our fiscal year ending December 31, 2017;</w:t>
      </w:r>
    </w:p>
    <w:p>
      <w:pPr>
        <w:spacing w:after="0" w:line="5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compensation of our named executive officers, as disclosed in this proxy statement; and</w:t>
      </w:r>
    </w:p>
    <w:p>
      <w:pPr>
        <w:spacing w:after="0" w:line="117"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adjournment of our annual meeting of stockholders, if necessary, to solicit additional proxies if there are not sufficient votes in favor of the proposals referred to in bullet points (ii) and (iii).</w:t>
      </w:r>
    </w:p>
    <w:p>
      <w:pPr>
        <w:spacing w:after="0" w:line="53"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For holders of Series D Preferred Stock, </w:t>
      </w:r>
      <w:r>
        <w:rPr>
          <w:rFonts w:ascii="Arial" w:cs="Arial" w:eastAsia="Arial" w:hAnsi="Arial"/>
          <w:sz w:val="18"/>
          <w:szCs w:val="18"/>
          <w:b w:val="1"/>
          <w:bCs w:val="1"/>
          <w:color w:val="auto"/>
        </w:rPr>
        <w:t>“NO RECOMMENDATION”</w:t>
      </w:r>
      <w:r>
        <w:rPr>
          <w:rFonts w:ascii="Arial" w:cs="Arial" w:eastAsia="Arial" w:hAnsi="Arial"/>
          <w:sz w:val="18"/>
          <w:szCs w:val="18"/>
          <w:color w:val="auto"/>
        </w:rPr>
        <w:t xml:space="preserve"> on whether to vote in favor of or withhold your vote on the re-election of Andrew R. Heyer.</w:t>
      </w:r>
    </w:p>
    <w:p>
      <w:pPr>
        <w:spacing w:after="0" w:line="58"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If any other matter is presented at the annual meeting, your proxy provides that your shares will be voted by the proxy holder listed in the proxy in accordance with his best judgment. At the time this proxy statement was first made available, we knew of no matters that needed to be acted on at the annual meeting, other than those discussed in this proxy statement.</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May I Change or Revoke My Proxy?</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62" w:lineRule="exact"/>
        <w:rPr>
          <w:sz w:val="20"/>
          <w:szCs w:val="20"/>
          <w:color w:val="auto"/>
        </w:rPr>
      </w:pPr>
    </w:p>
    <w:p>
      <w:pPr>
        <w:ind w:left="600" w:right="53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re-voting by Internet or by telephone as instructed above;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notifying our Secretary in writing before the annual meeting that you have revoked your proxy; or</w:t>
      </w:r>
    </w:p>
    <w:p>
      <w:pPr>
        <w:spacing w:after="0" w:line="117" w:lineRule="exact"/>
        <w:rPr>
          <w:rFonts w:ascii="Arial" w:cs="Arial" w:eastAsia="Arial" w:hAnsi="Arial"/>
          <w:sz w:val="18"/>
          <w:szCs w:val="18"/>
          <w:color w:val="auto"/>
        </w:rPr>
      </w:pPr>
    </w:p>
    <w:p>
      <w:pPr>
        <w:ind w:left="600" w:right="539" w:hanging="322"/>
        <w:spacing w:after="0" w:line="308"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attending the annual meeting in person and voting in person. Attending the annual meeting in person will not in and of itself revoke a previously submitted proxy. You must specifically request at the annual meeting that it be revoked.</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Your most current vote, whether by telephone, Internet or proxy card is the one that will be counted.</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You may receive more than one Notice or proxy card if you hold shares of our common stock or Series D Preferred Stock in more than one account, which may be in registered form or held in street name. Please vote in the manner described above under “How Do I Vote?” for each account to ensure that all of your shares are voted.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above, the bank, broker or other nominee that holds your shares has the authority to vote your unvoted shares only on the ratification of the appointment of our independent registered public accounting firm (Proposal 2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77"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b w:val="1"/>
          <w:bCs w:val="1"/>
          <w:color w:val="auto"/>
        </w:rPr>
        <w:t>Your bank, broker or other nominee does not have the ability to vote your uninstructed shares in the election of directors. Therefore, if you hold your shares in street name it is critical that you cast your vote if you want your vote to be counted for the election of directors (Proposal 1 and the Preferred Stockholder Proposal of this proxy statement). In the past, if you held your shares in street name and you did not indicate how you wanted your shares to be voted in the election of directors, your bank, broker or other nominee was allowed to vote your shares on your behalf in the election of directors as it deemed appropriate. In addition, your bank, broker or other nominee is prohibited from voting your uninstructed shares on any matters related to executive compensation. Thus, if you hold your shares in street name and you do not instruct your bank, broker or other nominee how to vote in the election of directors (Proposal 1 and the Preferred Stockholder Proposal), or on matters related to executive compensation (Proposal 3), no votes will be cast on these proposals on your behalf. We believe that Proposal 2 (ratification of selection of independent registered public accounting firm) is considered a routine matter and, thus, we do not expect to receive any broker non-votes on this proposal.</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51796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51" w:lineRule="exact"/>
        <w:rPr>
          <w:sz w:val="20"/>
          <w:szCs w:val="20"/>
          <w:color w:val="auto"/>
        </w:rPr>
      </w:pPr>
    </w:p>
    <w:p>
      <w:pPr>
        <w:ind w:left="2860" w:right="1919" w:hanging="2862"/>
        <w:spacing w:after="0" w:line="267" w:lineRule="auto"/>
        <w:tabs>
          <w:tab w:leader="none" w:pos="2840" w:val="left"/>
        </w:tabs>
        <w:rPr>
          <w:sz w:val="20"/>
          <w:szCs w:val="20"/>
          <w:color w:val="auto"/>
        </w:rPr>
      </w:pPr>
      <w:r>
        <w:rPr>
          <w:rFonts w:ascii="Arial" w:cs="Arial" w:eastAsia="Arial" w:hAnsi="Arial"/>
          <w:sz w:val="18"/>
          <w:szCs w:val="18"/>
          <w:b w:val="1"/>
          <w:bCs w:val="1"/>
          <w:color w:val="auto"/>
        </w:rPr>
        <w:t>Proposal 1: Election of Directors</w:t>
      </w:r>
      <w:r>
        <w:rPr>
          <w:sz w:val="20"/>
          <w:szCs w:val="20"/>
          <w:color w:val="auto"/>
        </w:rPr>
        <w:tab/>
      </w:r>
      <w:r>
        <w:rPr>
          <w:rFonts w:ascii="Arial" w:cs="Arial" w:eastAsia="Arial" w:hAnsi="Arial"/>
          <w:sz w:val="17"/>
          <w:szCs w:val="17"/>
          <w:color w:val="auto"/>
        </w:rPr>
        <w:t>The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5"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b w:val="1"/>
          <w:bCs w:val="1"/>
          <w:color w:val="auto"/>
        </w:rPr>
        <w:t>Proposal 2: Ratify Selection of</w:t>
      </w:r>
      <w:r>
        <w:rPr>
          <w:sz w:val="20"/>
          <w:szCs w:val="20"/>
          <w:color w:val="auto"/>
        </w:rPr>
        <w:tab/>
      </w:r>
      <w:r>
        <w:rPr>
          <w:rFonts w:ascii="Arial" w:cs="Arial" w:eastAsia="Arial" w:hAnsi="Arial"/>
          <w:sz w:val="16"/>
          <w:szCs w:val="16"/>
          <w:color w:val="auto"/>
        </w:rPr>
        <w:t>The affirmative vote of the holders of a majority of the shares of common</w:t>
      </w:r>
    </w:p>
    <w:p>
      <w:pPr>
        <w:spacing w:after="0" w:line="9"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b w:val="1"/>
          <w:bCs w:val="1"/>
          <w:color w:val="auto"/>
        </w:rPr>
        <w:t>Independent Registered Public</w:t>
      </w:r>
      <w:r>
        <w:rPr>
          <w:sz w:val="20"/>
          <w:szCs w:val="20"/>
          <w:color w:val="auto"/>
        </w:rPr>
        <w:tab/>
      </w:r>
      <w:r>
        <w:rPr>
          <w:rFonts w:ascii="Arial" w:cs="Arial" w:eastAsia="Arial" w:hAnsi="Arial"/>
          <w:sz w:val="16"/>
          <w:szCs w:val="16"/>
          <w:color w:val="auto"/>
        </w:rPr>
        <w:t>stock and Series D Preferred Stock voting on an as-converted basis</w:t>
      </w:r>
    </w:p>
    <w:p>
      <w:pPr>
        <w:spacing w:after="0" w:line="9" w:lineRule="exact"/>
        <w:rPr>
          <w:sz w:val="20"/>
          <w:szCs w:val="20"/>
          <w:color w:val="auto"/>
        </w:rPr>
      </w:pPr>
    </w:p>
    <w:p>
      <w:pPr>
        <w:ind w:left="2860" w:right="1879" w:hanging="2862"/>
        <w:spacing w:after="0" w:line="267" w:lineRule="auto"/>
        <w:tabs>
          <w:tab w:leader="none" w:pos="2840" w:val="left"/>
        </w:tabs>
        <w:rPr>
          <w:sz w:val="20"/>
          <w:szCs w:val="20"/>
          <w:color w:val="auto"/>
        </w:rPr>
      </w:pPr>
      <w:r>
        <w:rPr>
          <w:rFonts w:ascii="Arial" w:cs="Arial" w:eastAsia="Arial" w:hAnsi="Arial"/>
          <w:sz w:val="18"/>
          <w:szCs w:val="18"/>
          <w:b w:val="1"/>
          <w:bCs w:val="1"/>
          <w:color w:val="auto"/>
        </w:rPr>
        <w:t>Accounting Firm</w:t>
      </w:r>
      <w:r>
        <w:rPr>
          <w:sz w:val="20"/>
          <w:szCs w:val="20"/>
          <w:color w:val="auto"/>
        </w:rPr>
        <w:tab/>
      </w:r>
      <w:r>
        <w:rPr>
          <w:rFonts w:ascii="Arial" w:cs="Arial" w:eastAsia="Arial" w:hAnsi="Arial"/>
          <w:sz w:val="17"/>
          <w:szCs w:val="17"/>
          <w:color w:val="auto"/>
        </w:rPr>
        <w:t>present and entitled to vote on the matter either in person or by proxy at the annual meeting is required to approve to ratify the selection of our independent registered public accounting firm.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CohnReznick LLP as our independent registered public accounting firm for 2017, our Audit Committee of our Board of Directors will reconsider its selection.</w:t>
      </w:r>
    </w:p>
    <w:p>
      <w:pPr>
        <w:spacing w:after="0" w:line="200" w:lineRule="exact"/>
        <w:rPr>
          <w:sz w:val="20"/>
          <w:szCs w:val="20"/>
          <w:color w:val="auto"/>
        </w:rPr>
      </w:pPr>
    </w:p>
    <w:p>
      <w:pPr>
        <w:spacing w:after="0" w:line="33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1796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41" w:lineRule="exact"/>
        <w:rPr>
          <w:sz w:val="20"/>
          <w:szCs w:val="20"/>
          <w:color w:val="auto"/>
        </w:rPr>
      </w:pPr>
    </w:p>
    <w:p>
      <w:pPr>
        <w:jc w:val="both"/>
        <w:ind w:right="40"/>
        <w:spacing w:after="0" w:line="314" w:lineRule="auto"/>
        <w:rPr>
          <w:sz w:val="20"/>
          <w:szCs w:val="20"/>
          <w:color w:val="auto"/>
        </w:rPr>
      </w:pPr>
      <w:r>
        <w:rPr>
          <w:rFonts w:ascii="Arial" w:cs="Arial" w:eastAsia="Arial" w:hAnsi="Arial"/>
          <w:sz w:val="16"/>
          <w:szCs w:val="16"/>
          <w:b w:val="1"/>
          <w:bCs w:val="1"/>
          <w:color w:val="auto"/>
        </w:rPr>
        <w:t>Proposal 3: Approve an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Proposal 4: Approve an Adjournment of the Annual Meeting, if Necessary, to Solicit Additional Proxies if there are not Sufficient Votes in Favor of Proposals 2 and 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100"/>
        <w:spacing w:after="0" w:line="314" w:lineRule="auto"/>
        <w:rPr>
          <w:sz w:val="20"/>
          <w:szCs w:val="20"/>
          <w:color w:val="auto"/>
        </w:rPr>
      </w:pPr>
      <w:r>
        <w:rPr>
          <w:rFonts w:ascii="Arial" w:cs="Arial" w:eastAsia="Arial" w:hAnsi="Arial"/>
          <w:sz w:val="16"/>
          <w:szCs w:val="16"/>
          <w:b w:val="1"/>
          <w:bCs w:val="1"/>
          <w:color w:val="auto"/>
        </w:rPr>
        <w:t>Preferred Stockholder Proposal: Election of Director by Series D Preferred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1919"/>
        <w:spacing w:after="0" w:line="266" w:lineRule="auto"/>
        <w:rPr>
          <w:sz w:val="20"/>
          <w:szCs w:val="20"/>
          <w:color w:val="auto"/>
        </w:rPr>
      </w:pPr>
      <w:r>
        <w:rPr>
          <w:rFonts w:ascii="Arial" w:cs="Arial" w:eastAsia="Arial" w:hAnsi="Arial"/>
          <w:sz w:val="17"/>
          <w:szCs w:val="17"/>
          <w:color w:val="auto"/>
        </w:rPr>
        <w:t>The affirmative vote of the holders of a majority of the shares of common stock and Series D Preferred Stock voting on an as-converted basis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6" w:lineRule="exact"/>
        <w:rPr>
          <w:sz w:val="20"/>
          <w:szCs w:val="20"/>
          <w:color w:val="auto"/>
        </w:rPr>
      </w:pPr>
    </w:p>
    <w:p>
      <w:pPr>
        <w:ind w:right="1879"/>
        <w:spacing w:after="0" w:line="266" w:lineRule="auto"/>
        <w:rPr>
          <w:sz w:val="20"/>
          <w:szCs w:val="20"/>
          <w:color w:val="auto"/>
        </w:rPr>
      </w:pPr>
      <w:r>
        <w:rPr>
          <w:rFonts w:ascii="Arial" w:cs="Arial" w:eastAsia="Arial" w:hAnsi="Arial"/>
          <w:sz w:val="17"/>
          <w:szCs w:val="17"/>
          <w:color w:val="auto"/>
        </w:rPr>
        <w:t>Approval of the adjournment of the annual meeting, if necessary, to solicit additional proxies if there are not sufficient votes in favor of the Proposals 2 and 3 requires the affirmative vote of the holders of a majority of the shares of common stock and Series D Preferred Stock present and entitled to vote either in person or by proxy at the annual meeting. A “broker non-vote” or a failure to submit a proxy or vote at the annual meeting will have no effect on the outcome of the vote for this Proposal No. 4. For purposes of the vote on this Proposal No. 4, an abstention will have the same effect as a vote “AGAINST” such proposal. The nominee for director who receives the most votes (also known as a “plurality” of the votes cast) will be elected. You may vote either FOR the nominee or WITHHOLD your vote from the nominee.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434" w:lineRule="exact"/>
        <w:rPr>
          <w:sz w:val="20"/>
          <w:szCs w:val="20"/>
          <w:color w:val="auto"/>
        </w:rPr>
      </w:pPr>
    </w:p>
    <w:p>
      <w:pPr>
        <w:sectPr>
          <w:pgSz w:w="11900" w:h="16838" w:orient="portrait"/>
          <w:cols w:equalWidth="0" w:num="2">
            <w:col w:w="2600" w:space="260"/>
            <w:col w:w="7219"/>
          </w:cols>
          <w:pgMar w:left="380" w:top="792" w:right="1440" w:bottom="1440" w:gutter="0" w:footer="0" w:header="0"/>
          <w:type w:val="continuous"/>
        </w:sectPr>
      </w:pPr>
    </w:p>
    <w:p>
      <w:pPr>
        <w:jc w:val="both"/>
        <w:ind w:left="40" w:right="519" w:firstLine="270"/>
        <w:spacing w:after="0" w:line="259" w:lineRule="auto"/>
        <w:rPr>
          <w:sz w:val="20"/>
          <w:szCs w:val="20"/>
          <w:color w:val="auto"/>
        </w:rPr>
      </w:pPr>
      <w:r>
        <w:rPr>
          <w:rFonts w:ascii="Arial" w:cs="Arial" w:eastAsia="Arial" w:hAnsi="Arial"/>
          <w:sz w:val="18"/>
          <w:szCs w:val="18"/>
          <w:color w:val="auto"/>
        </w:rPr>
        <w:t>We will keep all the proxies, ballots and voting tabulations private. We only let our Inspectors of Election, American Stock Transfer &amp; Trust Company, LLC,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have engaged The Proxy Advisory Group, LLC®, to assist in the solicitation of proxies and provide related advice and informational support, for a services fee and the reimbursement of customary disbursements that are not expected to exceed $13,000 in the aggregate.</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21"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presence, in person or by proxy, of the holders of a majority of the voting power of all outstanding shares of our common stock and Series D Preferred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Attending the Annual Meeting</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annual meeting will be held at 11:00 a.m., Eastern Time, on Wednesday, November 8, 2017 at the offices of Mintz, Levin, Cohn, Ferris, Glovsky and Popeo, P.C., the Chrysler Center, 666 Third Avenue, New York, New York 10017. When you arrive at the offices of Mintz, Levin, Cohn, Ferris, Glovsky and Popeo, P.C., signs will direct you to the appropriate meeting rooms. You need not attend the annual meeting in order to vote.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2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your household received a single Notice or, if applicable, a single set of proxy materials this year, but you would prefer to</w:t>
      </w:r>
    </w:p>
    <w:p>
      <w:pPr>
        <w:spacing w:after="0" w:line="51" w:lineRule="exact"/>
        <w:rPr>
          <w:sz w:val="20"/>
          <w:szCs w:val="20"/>
          <w:color w:val="auto"/>
        </w:rPr>
      </w:pPr>
    </w:p>
    <w:p>
      <w:pPr>
        <w:jc w:val="both"/>
        <w:ind w:left="40" w:right="539"/>
        <w:spacing w:after="0" w:line="210" w:lineRule="auto"/>
        <w:rPr>
          <w:sz w:val="20"/>
          <w:szCs w:val="20"/>
          <w:color w:val="auto"/>
        </w:rPr>
      </w:pPr>
      <w:r>
        <w:rPr>
          <w:rFonts w:ascii="Arial" w:cs="Arial" w:eastAsia="Arial" w:hAnsi="Arial"/>
          <w:sz w:val="18"/>
          <w:szCs w:val="18"/>
          <w:color w:val="auto"/>
        </w:rPr>
        <w:t>receive your own copy, please contact FORM’s Corporate Secretary at FORM Holdings Corp.,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w:t>
      </w:r>
    </w:p>
    <w:p>
      <w:pPr>
        <w:spacing w:after="0" w:line="9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If you do not wish to participate in “householding” and would like to receive your own Notice or, if applicable, set of our proxy materials in future years, follow the instructions described below. Conversely, if you share an address with another of our stockholder and together both of you would like to receive only a single Notice or, if applicable, set of proxy materials, follow these instructions:</w:t>
      </w:r>
    </w:p>
    <w:p>
      <w:pPr>
        <w:spacing w:after="0" w:line="79" w:lineRule="exact"/>
        <w:rPr>
          <w:sz w:val="20"/>
          <w:szCs w:val="20"/>
          <w:color w:val="auto"/>
        </w:rPr>
      </w:pPr>
    </w:p>
    <w:p>
      <w:pPr>
        <w:ind w:left="600" w:right="519"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broker or other nominee holds your shares, please contact the broker or other nominee directly and inform them of your request. Be sure to include your name, the name of your brokerage firm and your account number.</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121"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Most stockholders can elect to view or receive copies of future proxy materials over the Internet instead of receiving paper copies in the mail.</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 can choose this option and save the Company the cost of producing and mailing these documents by:</w:t>
      </w:r>
    </w:p>
    <w:p>
      <w:pPr>
        <w:spacing w:after="0" w:line="117" w:lineRule="exact"/>
        <w:rPr>
          <w:sz w:val="20"/>
          <w:szCs w:val="20"/>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following the instructions provided.</w:t>
      </w:r>
    </w:p>
    <w:p>
      <w:pPr>
        <w:spacing w:after="0" w:line="200" w:lineRule="exact"/>
        <w:rPr>
          <w:sz w:val="20"/>
          <w:szCs w:val="20"/>
          <w:color w:val="auto"/>
        </w:rPr>
      </w:pPr>
    </w:p>
    <w:p>
      <w:pPr>
        <w:spacing w:after="0" w:line="37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left="60" w:right="539" w:firstLine="270"/>
        <w:spacing w:after="0" w:line="268"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and Series D Preferred Stock as of September 20, 2017 for (a) each of our executive officers, (b) each of our directors and director nominees, (c) all of our current directors and executive officers as a group and (d) each stockholder known by us to own beneficially more than 5% of our common stock. Beneficial ownership is determined in accordance with the rules of the SEC and includes voting or investment power with respect to the securities. We deem shares of common stock and Series D Preferred Stock that may be acquired by an individual or group within 60 days of September 20, 2017 pursuant to the exercise of options or warrants or the vesting of restricted stock units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and/or Series D Preferred Stock shown to be beneficially owned by them based on information provided to us by these stockholders. Percentage of ownership is based on (i) 26,540,689 shares of common stock and (ii) 420,541 shares of Series D Preferred Stock convertible into 3,364,328 shares of common stock outstanding on September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139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Series D</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Series D</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49"/>
        </w:trPr>
        <w:tc>
          <w:tcPr>
            <w:tcW w:w="3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3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Five percent or more beneficial owners: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480" w:type="dxa"/>
            <w:vAlign w:val="bottom"/>
          </w:tcPr>
          <w:p>
            <w:pPr>
              <w:ind w:left="20"/>
              <w:spacing w:after="0" w:line="242" w:lineRule="exact"/>
              <w:rPr>
                <w:sz w:val="20"/>
                <w:szCs w:val="20"/>
                <w:color w:val="auto"/>
              </w:rPr>
            </w:pPr>
            <w:r>
              <w:rPr>
                <w:rFonts w:ascii="Arial" w:cs="Arial" w:eastAsia="Arial" w:hAnsi="Arial"/>
                <w:sz w:val="17"/>
                <w:szCs w:val="17"/>
                <w:color w:val="auto"/>
              </w:rPr>
              <w:t>Mistral Spa Holdings, LLC</w:t>
            </w:r>
            <w:r>
              <w:rPr>
                <w:rFonts w:ascii="Arial" w:cs="Arial" w:eastAsia="Arial" w:hAnsi="Arial"/>
                <w:sz w:val="28"/>
                <w:szCs w:val="28"/>
                <w:color w:val="auto"/>
                <w:vertAlign w:val="superscript"/>
              </w:rPr>
              <w:t>(2)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650 Fifth Avenue, Floor 31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0"/>
              <w:spacing w:after="0"/>
              <w:rPr>
                <w:sz w:val="20"/>
                <w:szCs w:val="20"/>
                <w:color w:val="auto"/>
              </w:rPr>
            </w:pPr>
            <w:r>
              <w:rPr>
                <w:rFonts w:ascii="Arial" w:cs="Arial" w:eastAsia="Arial" w:hAnsi="Arial"/>
                <w:sz w:val="18"/>
                <w:szCs w:val="18"/>
                <w:color w:val="auto"/>
              </w:rPr>
              <w:t>New York, NY 10019</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3,926,806</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14.0%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2,414,992</w:t>
            </w:r>
          </w:p>
        </w:tc>
        <w:tc>
          <w:tcPr>
            <w:tcW w:w="1220" w:type="dxa"/>
            <w:vAlign w:val="bottom"/>
            <w:gridSpan w:val="2"/>
          </w:tcPr>
          <w:p>
            <w:pPr>
              <w:jc w:val="right"/>
              <w:ind w:right="258"/>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2"/>
        </w:trPr>
        <w:tc>
          <w:tcPr>
            <w:tcW w:w="3480" w:type="dxa"/>
            <w:vAlign w:val="bottom"/>
            <w:shd w:val="clear" w:color="auto" w:fill="CCEEFF"/>
          </w:tcPr>
          <w:p>
            <w:pPr>
              <w:ind w:left="20"/>
              <w:spacing w:after="0" w:line="242" w:lineRule="exact"/>
              <w:rPr>
                <w:sz w:val="20"/>
                <w:szCs w:val="20"/>
                <w:color w:val="auto"/>
              </w:rPr>
            </w:pPr>
            <w:r>
              <w:rPr>
                <w:rFonts w:ascii="Arial" w:cs="Arial" w:eastAsia="Arial" w:hAnsi="Arial"/>
                <w:sz w:val="17"/>
                <w:szCs w:val="17"/>
                <w:color w:val="auto"/>
              </w:rPr>
              <w:t>AWM Investment Company, Inc.</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527 Madison Avenue, Suite 2600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York, NY 10022</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2,953,745</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i w:val="1"/>
                <w:iCs w:val="1"/>
                <w:color w:val="auto"/>
              </w:rPr>
              <w:t>Directors and named executive officers: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(4)</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963,093</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tcPr>
          <w:p>
            <w:pPr>
              <w:ind w:left="20"/>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(5)</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299,100</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0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Cliff Weinstein</w:t>
            </w:r>
            <w:r>
              <w:rPr>
                <w:rFonts w:ascii="Arial" w:cs="Arial" w:eastAsia="Arial" w:hAnsi="Arial"/>
                <w:sz w:val="29"/>
                <w:szCs w:val="29"/>
                <w:color w:val="auto"/>
                <w:vertAlign w:val="superscript"/>
              </w:rPr>
              <w:t>(6)</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604,418</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tcPr>
          <w:p>
            <w:pPr>
              <w:ind w:left="20"/>
              <w:spacing w:after="0" w:line="256" w:lineRule="exact"/>
              <w:rPr>
                <w:sz w:val="20"/>
                <w:szCs w:val="20"/>
                <w:color w:val="auto"/>
              </w:rPr>
            </w:pPr>
            <w:r>
              <w:rPr>
                <w:rFonts w:ascii="Arial" w:cs="Arial" w:eastAsia="Arial" w:hAnsi="Arial"/>
                <w:sz w:val="18"/>
                <w:szCs w:val="18"/>
                <w:color w:val="auto"/>
              </w:rPr>
              <w:t>Edward Jankowski</w:t>
            </w:r>
            <w:r>
              <w:rPr>
                <w:rFonts w:ascii="Arial" w:cs="Arial" w:eastAsia="Arial" w:hAnsi="Arial"/>
                <w:sz w:val="29"/>
                <w:szCs w:val="29"/>
                <w:color w:val="auto"/>
                <w:vertAlign w:val="superscript"/>
              </w:rPr>
              <w:t>(7)</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62,500</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0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Jason Charkow</w:t>
            </w:r>
            <w:r>
              <w:rPr>
                <w:rFonts w:ascii="Arial" w:cs="Arial" w:eastAsia="Arial" w:hAnsi="Arial"/>
                <w:sz w:val="29"/>
                <w:szCs w:val="29"/>
                <w:color w:val="auto"/>
                <w:vertAlign w:val="superscript"/>
              </w:rPr>
              <w:t>(8)</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146,250</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tcPr>
          <w:p>
            <w:pPr>
              <w:ind w:left="20"/>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(9)</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190,658</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0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(10)</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244,632</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tcPr>
          <w:p>
            <w:pPr>
              <w:ind w:left="20"/>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(11)</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123,750</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0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(12)</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793,207</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393,416</w:t>
            </w:r>
          </w:p>
        </w:tc>
        <w:tc>
          <w:tcPr>
            <w:tcW w:w="12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3480" w:type="dxa"/>
            <w:vAlign w:val="bottom"/>
          </w:tcPr>
          <w:p>
            <w:pPr>
              <w:ind w:left="20"/>
              <w:spacing w:after="0" w:line="256" w:lineRule="exact"/>
              <w:rPr>
                <w:sz w:val="20"/>
                <w:szCs w:val="20"/>
                <w:color w:val="auto"/>
              </w:rPr>
            </w:pPr>
            <w:r>
              <w:rPr>
                <w:rFonts w:ascii="Arial" w:cs="Arial" w:eastAsia="Arial" w:hAnsi="Arial"/>
                <w:sz w:val="18"/>
                <w:szCs w:val="18"/>
                <w:color w:val="auto"/>
              </w:rPr>
              <w:t>Richard K. Abbe</w:t>
            </w:r>
            <w:r>
              <w:rPr>
                <w:rFonts w:ascii="Arial" w:cs="Arial" w:eastAsia="Arial" w:hAnsi="Arial"/>
                <w:sz w:val="29"/>
                <w:szCs w:val="29"/>
                <w:color w:val="auto"/>
                <w:vertAlign w:val="superscript"/>
              </w:rPr>
              <w:t>(13)</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704,542</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0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Andrew R. Heyer</w:t>
            </w:r>
            <w:r>
              <w:rPr>
                <w:rFonts w:ascii="Arial" w:cs="Arial" w:eastAsia="Arial" w:hAnsi="Arial"/>
                <w:sz w:val="29"/>
                <w:szCs w:val="29"/>
                <w:color w:val="auto"/>
                <w:vertAlign w:val="superscript"/>
              </w:rPr>
              <w:t>(2)(14)</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4,098,056</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2,414,992</w:t>
            </w:r>
          </w:p>
        </w:tc>
        <w:tc>
          <w:tcPr>
            <w:tcW w:w="12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5"/>
        </w:trPr>
        <w:tc>
          <w:tcPr>
            <w:tcW w:w="3480" w:type="dxa"/>
            <w:vAlign w:val="bottom"/>
          </w:tcPr>
          <w:p>
            <w:pPr>
              <w:ind w:left="20"/>
              <w:spacing w:after="0" w:line="206" w:lineRule="exact"/>
              <w:rPr>
                <w:sz w:val="20"/>
                <w:szCs w:val="20"/>
                <w:color w:val="auto"/>
              </w:rPr>
            </w:pPr>
            <w:r>
              <w:rPr>
                <w:rFonts w:ascii="Arial" w:cs="Arial" w:eastAsia="Arial" w:hAnsi="Arial"/>
                <w:sz w:val="18"/>
                <w:szCs w:val="18"/>
                <w:color w:val="auto"/>
              </w:rPr>
              <w:t>All current directors and officers as a group</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3480" w:type="dxa"/>
            <w:vAlign w:val="bottom"/>
          </w:tcPr>
          <w:p>
            <w:pPr>
              <w:ind w:left="200"/>
              <w:spacing w:after="0"/>
              <w:rPr>
                <w:sz w:val="20"/>
                <w:szCs w:val="20"/>
                <w:color w:val="auto"/>
              </w:rPr>
            </w:pPr>
            <w:r>
              <w:rPr>
                <w:rFonts w:ascii="Arial" w:cs="Arial" w:eastAsia="Arial" w:hAnsi="Arial"/>
                <w:sz w:val="18"/>
                <w:szCs w:val="18"/>
                <w:color w:val="auto"/>
              </w:rPr>
              <w:t>(11 individuals)</w:t>
            </w:r>
            <w:r>
              <w:rPr>
                <w:rFonts w:ascii="Arial" w:cs="Arial" w:eastAsia="Arial" w:hAnsi="Arial"/>
                <w:sz w:val="30"/>
                <w:szCs w:val="30"/>
                <w:color w:val="auto"/>
                <w:vertAlign w:val="superscript"/>
              </w:rPr>
              <w:t>(15)</w:t>
            </w:r>
            <w:r>
              <w:rPr>
                <w:rFonts w:ascii="Arial" w:cs="Arial" w:eastAsia="Arial" w:hAnsi="Arial"/>
                <w:sz w:val="18"/>
                <w:szCs w:val="18"/>
                <w:color w:val="auto"/>
              </w:rPr>
              <w:t>:</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8,230,206</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26.4%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2,808,408</w:t>
            </w:r>
          </w:p>
        </w:tc>
        <w:tc>
          <w:tcPr>
            <w:tcW w:w="1220" w:type="dxa"/>
            <w:vAlign w:val="bottom"/>
            <w:gridSpan w:val="2"/>
          </w:tcPr>
          <w:p>
            <w:pPr>
              <w:jc w:val="right"/>
              <w:ind w:right="258"/>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96" w:lineRule="exact"/>
        <w:rPr>
          <w:sz w:val="20"/>
          <w:szCs w:val="20"/>
          <w:color w:val="auto"/>
        </w:rPr>
      </w:pPr>
    </w:p>
    <w:p>
      <w:pPr>
        <w:ind w:left="360" w:hanging="33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48" w:lineRule="exact"/>
        <w:rPr>
          <w:sz w:val="20"/>
          <w:szCs w:val="20"/>
          <w:color w:val="auto"/>
        </w:rPr>
      </w:pPr>
    </w:p>
    <w:p>
      <w:pPr>
        <w:ind w:left="360" w:right="539" w:hanging="332"/>
        <w:spacing w:after="0" w:line="197" w:lineRule="auto"/>
        <w:tabs>
          <w:tab w:leader="none" w:pos="360" w:val="left"/>
        </w:tabs>
        <w:numPr>
          <w:ilvl w:val="0"/>
          <w:numId w:val="14"/>
        </w:numPr>
        <w:rPr>
          <w:rFonts w:ascii="Arial" w:cs="Arial" w:eastAsia="Arial" w:hAnsi="Arial"/>
          <w:sz w:val="34"/>
          <w:szCs w:val="34"/>
          <w:color w:val="auto"/>
          <w:vertAlign w:val="superscript"/>
        </w:rPr>
      </w:pPr>
      <w:r>
        <w:rPr>
          <w:rFonts w:ascii="Arial" w:cs="Arial" w:eastAsia="Arial" w:hAnsi="Arial"/>
          <w:sz w:val="17"/>
          <w:szCs w:val="17"/>
          <w:color w:val="auto"/>
        </w:rPr>
        <w:t>Unless otherwise indicated, the business address of the individuals is c/o FORM Holdings Corp.,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10017.</w:t>
      </w:r>
    </w:p>
    <w:p>
      <w:pPr>
        <w:spacing w:after="0" w:line="95" w:lineRule="exact"/>
        <w:rPr>
          <w:rFonts w:ascii="Arial" w:cs="Arial" w:eastAsia="Arial" w:hAnsi="Arial"/>
          <w:sz w:val="34"/>
          <w:szCs w:val="34"/>
          <w:color w:val="auto"/>
          <w:vertAlign w:val="superscript"/>
        </w:rPr>
      </w:pPr>
    </w:p>
    <w:p>
      <w:pPr>
        <w:jc w:val="both"/>
        <w:ind w:left="360" w:right="539" w:hanging="332"/>
        <w:spacing w:after="0" w:line="25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2,338,690 shares of common stock and warrants to purchase 1,588,116 shares of common stock at the exercise price of $3.00 per share. The number of shares of common stock underlying Series D Preferred beneficially includes 301,874 shares of Series D Preferred stock convertible into 2,414,992 shares of common stock.</w:t>
      </w:r>
    </w:p>
    <w:p>
      <w:pPr>
        <w:spacing w:after="0" w:line="200" w:lineRule="exact"/>
        <w:rPr>
          <w:sz w:val="20"/>
          <w:szCs w:val="20"/>
          <w:color w:val="auto"/>
        </w:rPr>
      </w:pPr>
    </w:p>
    <w:p>
      <w:pPr>
        <w:spacing w:after="0" w:line="3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340" w:right="519"/>
        <w:spacing w:after="0" w:line="285" w:lineRule="auto"/>
        <w:rPr>
          <w:sz w:val="20"/>
          <w:szCs w:val="20"/>
          <w:color w:val="auto"/>
        </w:rPr>
      </w:pPr>
      <w:r>
        <w:rPr>
          <w:rFonts w:ascii="Arial" w:cs="Arial" w:eastAsia="Arial" w:hAnsi="Arial"/>
          <w:sz w:val="16"/>
          <w:szCs w:val="16"/>
          <w:color w:val="auto"/>
        </w:rPr>
        <w:t>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Mr. Heyer’s business address is c/o Mistral Capital</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LLC, 650 Fifth Avenue,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 New York, NY 10019.</w:t>
      </w:r>
    </w:p>
    <w:p>
      <w:pPr>
        <w:spacing w:after="0" w:line="32" w:lineRule="exact"/>
        <w:rPr>
          <w:sz w:val="20"/>
          <w:szCs w:val="20"/>
          <w:color w:val="auto"/>
        </w:rPr>
      </w:pPr>
    </w:p>
    <w:p>
      <w:pPr>
        <w:jc w:val="both"/>
        <w:ind w:left="340" w:right="519" w:hanging="332"/>
        <w:spacing w:after="0" w:line="25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AWM Investment Company, Inc., a Delaware corporation (“AWM”), is the investment adviser to Special Situations Cayman Fund, L.P. (“CAYMAN”), Special Situations Fund III QP, L.P. (“SSFQP”) and Special Situations Private Equity Fund, L.P. (“SSPE” and together with CAYMAN and SSFQP, the “Funds”). As the investment adviser to the Funds, AWM holds sole voting and investment power over 517,000 shares of common stock held by CAYMAN, 1,551,000 shares of common stock held by SSFQP and 886,545 shares of common stock held by SSPE. Austin W. Marxe, David M. Greenhouse and Adam C. Stettner are the controlling principals of AWM. The reporting person disclaims beneficial ownership of the shares, except to the extent of its pecuniary interest therein.</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options to purchase 697,816 shares of our common stock exercisable within 60 days of September 20, 2017.</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options to purchase 297,500 shares of our common stock exercisable within 60 days of September 20, 2017.</w:t>
      </w:r>
    </w:p>
    <w:p>
      <w:pPr>
        <w:spacing w:after="0" w:line="128" w:lineRule="exact"/>
        <w:rPr>
          <w:rFonts w:ascii="Arial" w:cs="Arial" w:eastAsia="Arial" w:hAnsi="Arial"/>
          <w:sz w:val="17"/>
          <w:szCs w:val="17"/>
          <w:color w:val="auto"/>
        </w:rPr>
      </w:pPr>
    </w:p>
    <w:p>
      <w:pPr>
        <w:ind w:left="340" w:right="519"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options to purchase 532,750 shares of our common stock exercisable within 60 days of September 20, 2017. Mr. Weinstein ceased to be an executive officer of FORM as of May 15, 2017.</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options to purchase 62,500 shares of our common stock exercisable within 60 days of September 20, 2017.</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options to purchase 146,250 shares of our common stock exercisable within 60 days of September 20, 2017.</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options to purchase 168,250 shares of our common stock exercisable within 60 days of September 20, 2017.</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options to purchase 152,500 shares of our common stock exercisable within 60 days of September 20, 2017.</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options to purchase 123,750 shares of our common stock exercisable within 60 days of September 20, 2017.</w:t>
      </w:r>
    </w:p>
    <w:p>
      <w:pPr>
        <w:spacing w:after="0" w:line="128" w:lineRule="exact"/>
        <w:rPr>
          <w:rFonts w:ascii="Arial" w:cs="Arial" w:eastAsia="Arial" w:hAnsi="Arial"/>
          <w:sz w:val="17"/>
          <w:szCs w:val="17"/>
          <w:color w:val="auto"/>
        </w:rPr>
      </w:pPr>
    </w:p>
    <w:p>
      <w:pPr>
        <w:jc w:val="both"/>
        <w:ind w:left="340" w:right="519" w:hanging="332"/>
        <w:spacing w:after="0" w:line="255"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410,745 shares of common stock, options to purchase 123,750 shares of our common stock exercisable within 60 days of September 20, 2017 and warrants to purchase 258,712 shares of common stock at the exercise price of $3.00 per share. The number of shares of common stock underlying Series D Preferred beneficially includes 49,177 shares of Series D Preferred stock convertible into 393,416 shares of common stock. The warrants and shares of Series D Preferred stock are held by Rockmore Investment Master Fund Ltd. (“Rockmore”), an investment entity controlled by Mr. Bernstein.</w:t>
      </w:r>
    </w:p>
    <w:p>
      <w:pPr>
        <w:spacing w:after="0" w:line="85" w:lineRule="exact"/>
        <w:rPr>
          <w:rFonts w:ascii="Arial" w:cs="Arial" w:eastAsia="Arial" w:hAnsi="Arial"/>
          <w:sz w:val="18"/>
          <w:szCs w:val="18"/>
          <w:color w:val="auto"/>
        </w:rPr>
      </w:pPr>
    </w:p>
    <w:p>
      <w:pPr>
        <w:ind w:left="340" w:right="519"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options to purchase 106,250 shares of our common stock exercisable within 60 days of September 20, 2017 and warrants to purchase 311,750 shares of common stock at the exercise price of $3.00 per share.</w:t>
      </w:r>
    </w:p>
    <w:p>
      <w:pPr>
        <w:spacing w:after="0" w:line="62" w:lineRule="exact"/>
        <w:rPr>
          <w:rFonts w:ascii="Arial" w:cs="Arial" w:eastAsia="Arial" w:hAnsi="Arial"/>
          <w:sz w:val="18"/>
          <w:szCs w:val="18"/>
          <w:color w:val="auto"/>
        </w:rPr>
      </w:pPr>
    </w:p>
    <w:p>
      <w:pPr>
        <w:jc w:val="both"/>
        <w:ind w:left="340" w:right="519"/>
        <w:spacing w:after="0" w:line="272" w:lineRule="auto"/>
        <w:rPr>
          <w:rFonts w:ascii="Arial" w:cs="Arial" w:eastAsia="Arial" w:hAnsi="Arial"/>
          <w:sz w:val="18"/>
          <w:szCs w:val="18"/>
          <w:color w:val="auto"/>
        </w:rPr>
      </w:pPr>
      <w:r>
        <w:rPr>
          <w:rFonts w:ascii="Arial" w:cs="Arial" w:eastAsia="Arial" w:hAnsi="Arial"/>
          <w:sz w:val="17"/>
          <w:szCs w:val="17"/>
          <w:color w:val="auto"/>
        </w:rPr>
        <w:t>Warrants to purchase 225,750 shares of common stock are held by Iroquois Master Fund Ltd. (the “Fund”) and warrants to purchase 86,000 shares are held by Iroquois Capital Investment Group (“ICIG”). Mr. Abbe is president of Iroquois Capital Management L.L.C, and managing member of ICIG who has the authority and responsibility for the investments made on behalf of the Fund and ICIG, and, as such, may be deemed to be the beneficial owner of all shares of common stock held by the Fund and ICIG.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340" w:right="519" w:hanging="332"/>
        <w:spacing w:after="0" w:line="276"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115,000 shares of common stock and options to purchase 56,250 shares of our common stock exercisable within 60 days of September 20, 2017 held by Mr. Heyer and 2,338,690 shares of common stock and warrants to purchase 1,588,116 shares of common stock at the exercise price of $3.00 per share held by MSH. The number of shares of common stock underlying Series D Preferred beneficially includes 301,874 shares of Series D Preferred stock convertible into 2,414,992 shares of common stock.</w:t>
      </w:r>
    </w:p>
    <w:p>
      <w:pPr>
        <w:spacing w:after="0" w:line="64"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footnotes (2) through (14).</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Board of Directors</w:t>
      </w:r>
    </w:p>
    <w:p>
      <w:pPr>
        <w:spacing w:after="0" w:line="121"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Our Board of Directors currently consists of seven (7)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79"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proxy statement), their position(s) with us,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46824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42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 with the Company</w:t>
            </w:r>
          </w:p>
        </w:tc>
      </w:tr>
      <w:tr>
        <w:trPr>
          <w:trHeight w:val="195"/>
        </w:trPr>
        <w:tc>
          <w:tcPr>
            <w:tcW w:w="2500" w:type="dxa"/>
            <w:vAlign w:val="bottom"/>
          </w:tcPr>
          <w:p>
            <w:pPr>
              <w:ind w:left="20"/>
              <w:spacing w:after="0" w:line="195" w:lineRule="exact"/>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16"/>
                <w:szCs w:val="16"/>
                <w:color w:val="auto"/>
              </w:rPr>
            </w:pPr>
          </w:p>
        </w:tc>
        <w:tc>
          <w:tcPr>
            <w:tcW w:w="460" w:type="dxa"/>
            <w:vAlign w:val="bottom"/>
          </w:tcPr>
          <w:p>
            <w:pPr>
              <w:jc w:val="center"/>
              <w:spacing w:after="0" w:line="195" w:lineRule="exact"/>
              <w:rPr>
                <w:sz w:val="20"/>
                <w:szCs w:val="20"/>
                <w:color w:val="auto"/>
              </w:rPr>
            </w:pPr>
            <w:r>
              <w:rPr>
                <w:rFonts w:ascii="Arial" w:cs="Arial" w:eastAsia="Arial" w:hAnsi="Arial"/>
                <w:sz w:val="18"/>
                <w:szCs w:val="18"/>
                <w:color w:val="auto"/>
                <w:w w:val="89"/>
              </w:rPr>
              <w:t>39</w:t>
            </w:r>
          </w:p>
        </w:tc>
        <w:tc>
          <w:tcPr>
            <w:tcW w:w="16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Anastasia Nyrkovskaya</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40</w:t>
            </w:r>
          </w:p>
        </w:tc>
        <w:tc>
          <w:tcPr>
            <w:tcW w:w="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Jason Charkow</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41</w:t>
            </w:r>
          </w:p>
        </w:tc>
        <w:tc>
          <w:tcPr>
            <w:tcW w:w="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of Legal and Business Affairs</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Edward Jankowski</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65</w:t>
            </w:r>
          </w:p>
        </w:tc>
        <w:tc>
          <w:tcPr>
            <w:tcW w:w="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and Chief Executive Officer of</w:t>
            </w: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XpresSpa</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John Engelman*</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61</w:t>
            </w:r>
          </w:p>
        </w:tc>
        <w:tc>
          <w:tcPr>
            <w:tcW w:w="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500" w:type="dxa"/>
            <w:vAlign w:val="bottom"/>
          </w:tcPr>
          <w:p>
            <w:pPr>
              <w:ind w:left="20"/>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(1)(2)(3)</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71</w:t>
            </w:r>
          </w:p>
        </w:tc>
        <w:tc>
          <w:tcPr>
            <w:tcW w:w="16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500" w:type="dxa"/>
            <w:vAlign w:val="bottom"/>
          </w:tcPr>
          <w:p>
            <w:pPr>
              <w:ind w:left="20"/>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(2)</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55</w:t>
            </w:r>
          </w:p>
        </w:tc>
        <w:tc>
          <w:tcPr>
            <w:tcW w:w="16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500" w:type="dxa"/>
            <w:vAlign w:val="bottom"/>
          </w:tcPr>
          <w:p>
            <w:pPr>
              <w:ind w:left="20"/>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(1)(2)(3)</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53</w:t>
            </w:r>
          </w:p>
        </w:tc>
        <w:tc>
          <w:tcPr>
            <w:tcW w:w="16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Richard K. Abbe*</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47</w:t>
            </w:r>
          </w:p>
        </w:tc>
        <w:tc>
          <w:tcPr>
            <w:tcW w:w="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Andrew R. Heyer*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60</w:t>
            </w:r>
          </w:p>
        </w:tc>
        <w:tc>
          <w:tcPr>
            <w:tcW w:w="1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hanging="27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117"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(1) Current member of Compensation Committee.</w:t>
      </w:r>
    </w:p>
    <w:p>
      <w:pPr>
        <w:spacing w:after="0" w:line="117"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(2) Current member of Audit Committee.</w:t>
      </w:r>
    </w:p>
    <w:p>
      <w:pPr>
        <w:spacing w:after="0" w:line="117"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(3) Current member of Nominating and Corporate Governance Committee.</w:t>
      </w:r>
    </w:p>
    <w:p>
      <w:pPr>
        <w:spacing w:after="0" w:line="117"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w:t>
      </w:r>
      <w:r>
        <w:rPr>
          <w:rFonts w:ascii="Arial" w:cs="Arial" w:eastAsia="Arial" w:hAnsi="Arial"/>
          <w:sz w:val="18"/>
          <w:szCs w:val="18"/>
          <w:b w:val="1"/>
          <w:bCs w:val="1"/>
          <w:color w:val="auto"/>
        </w:rPr>
        <w:t>:</w:t>
      </w:r>
      <w:r>
        <w:rPr>
          <w:rFonts w:ascii="Arial" w:cs="Arial" w:eastAsia="Arial" w:hAnsi="Arial"/>
          <w:sz w:val="18"/>
          <w:szCs w:val="18"/>
          <w:color w:val="auto"/>
        </w:rPr>
        <w:t xml:space="preserve"> John Engelman, Donald E. Stout, Salvatore Giardina, Bruce T. Bernstein, Richard K. Abbe and Andrew R. Heyer.</w:t>
      </w:r>
    </w:p>
    <w:p>
      <w:pPr>
        <w:spacing w:after="0" w:line="79" w:lineRule="exact"/>
        <w:rPr>
          <w:sz w:val="20"/>
          <w:szCs w:val="20"/>
          <w:color w:val="auto"/>
        </w:rPr>
      </w:pPr>
    </w:p>
    <w:p>
      <w:pPr>
        <w:jc w:val="both"/>
        <w:ind w:left="60" w:right="519" w:firstLine="270"/>
        <w:spacing w:after="0" w:line="287" w:lineRule="auto"/>
        <w:rPr>
          <w:sz w:val="20"/>
          <w:szCs w:val="20"/>
          <w:color w:val="auto"/>
        </w:rPr>
      </w:pPr>
      <w:r>
        <w:rPr>
          <w:rFonts w:ascii="Arial" w:cs="Arial" w:eastAsia="Arial" w:hAnsi="Arial"/>
          <w:sz w:val="16"/>
          <w:szCs w:val="16"/>
          <w:b w:val="1"/>
          <w:bCs w:val="1"/>
          <w:i w:val="1"/>
          <w:iCs w:val="1"/>
          <w:color w:val="auto"/>
        </w:rPr>
        <w:t xml:space="preserve">Andrew D. Perlman </w:t>
      </w:r>
      <w:r>
        <w:rPr>
          <w:rFonts w:ascii="Arial" w:cs="Arial" w:eastAsia="Arial" w:hAnsi="Arial"/>
          <w:sz w:val="16"/>
          <w:szCs w:val="16"/>
          <w:color w:val="auto"/>
        </w:rPr>
        <w:t>has served as our Chief Executive Officer since March 2012, as our President from April 2010 to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and as a member of our Board of Directors since September 2009. From February 2009 to March 2010, Mr. Perlman served as Vice President of Global Digital Business Development at EMI Music Group (“EMI”), where he was responsible for leading distribution deals with digital partners for EMI’s music and video content. From May 2007 to February 2009, Mr. Perlman was the General Manager of our operations in the United States and also served as our Senior Vice President Content &amp; Community, in which he led its content and social community partnerships. From June 2005 to May 2007, Mr. Perlman was Senior Vice President of Digital Media at Classic Media, Inc. (“Classic Media”),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marketing and mobile fan club company, where he oversaw mobile marketing campaigns for major international brands and certain major performing artists. Mr. Perlman currently serves</w:t>
      </w:r>
    </w:p>
    <w:p>
      <w:pPr>
        <w:spacing w:after="0" w:line="200" w:lineRule="exact"/>
        <w:rPr>
          <w:sz w:val="20"/>
          <w:szCs w:val="20"/>
          <w:color w:val="auto"/>
        </w:rPr>
      </w:pPr>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on the Board of Directors of Neurotrope, Inc. Mr. Perlman holds a Bachelor of Arts (“B.A.”) in Business Administration from the School of Business and Public Management at The George Washington University.</w:t>
      </w:r>
    </w:p>
    <w:p>
      <w:pPr>
        <w:spacing w:after="0" w:line="62"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believe Mr. Perlman’s prior experience in licensing and deal structuring qualifies him to serve on our Board of Directors. His additional experience and insights gained over the past years with us are a significant contribution to the company and the Board of Directors.</w:t>
      </w:r>
    </w:p>
    <w:p>
      <w:pPr>
        <w:spacing w:after="0" w:line="73"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b w:val="1"/>
          <w:bCs w:val="1"/>
          <w:i w:val="1"/>
          <w:iCs w:val="1"/>
          <w:color w:val="auto"/>
        </w:rPr>
        <w:t xml:space="preserve">John Engelman </w:t>
      </w:r>
      <w:r>
        <w:rPr>
          <w:rFonts w:ascii="Arial" w:cs="Arial" w:eastAsia="Arial" w:hAnsi="Arial"/>
          <w:sz w:val="16"/>
          <w:szCs w:val="16"/>
          <w:color w:val="auto"/>
        </w:rPr>
        <w:t>has been our director since December 2010. Mr. Engelman also serves as an independent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Hemisphere Media Group, Inc., a publically traded Hispanic media company that owns and operates television stations and cable networks in the United States, Puerto Rico and Latin America. Mr. Engelman was a co-founder of Classic Media, Inc. (“Classic Media”), a global media company specializing in family and children’s entertainment where he served as co-chief executive officer until 2012. During that time, he launched television and consumer products driven brands based on iconic entertainment properties such as Lassie, Casper the Friendly Ghost, Frosty the Snowman and Bullwinkle and Rocky. Mr. Engelman developed monetization strategies and oversaw the roll up of intellectual property assets from diverse rights holders. In August 2012, Classic Media was acquired by DreamWorks Animation SKG where Mr. Engelman currently co-heads the DreamWorks Classics division. In August 2016, DreamWorks was subsequently acquired by NBCUniversal, a division of Comcast Corporation. From 2007 to 2009, Mr. Engelman was co-chief executive officer of Boomerang Media, Inc. (“Boomerang Media”), an acquisition company controlled by GTCR Golder Rauner. From 1997 to 2001, he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in Government from Harvard College.</w:t>
      </w:r>
    </w:p>
    <w:p>
      <w:pPr>
        <w:spacing w:after="0" w:line="6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believe Mr. Engelman’s experience in the media and entertainment industries qualifies him to serve on our Board of Directors. His experience gained both as an executive at Classic Media and Boomerang Media are contributions to us and the Board of Directors.</w:t>
      </w:r>
    </w:p>
    <w:p>
      <w:pPr>
        <w:spacing w:after="0" w:line="73"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our director since July 19, 2012 and was a director of Innovate/Protect from November 7,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consummation of the 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Mr. Stout’s experience in intellectual property law qualifies him to serve on our Board of Directors.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b w:val="1"/>
          <w:bCs w:val="1"/>
          <w:i w:val="1"/>
          <w:iCs w:val="1"/>
          <w:color w:val="auto"/>
        </w:rPr>
        <w:t xml:space="preserve">Salvatore Giardina </w:t>
      </w:r>
      <w:r>
        <w:rPr>
          <w:rFonts w:ascii="Arial" w:cs="Arial" w:eastAsia="Arial" w:hAnsi="Arial"/>
          <w:sz w:val="18"/>
          <w:szCs w:val="18"/>
          <w:color w:val="auto"/>
        </w:rPr>
        <w:t>joined our Board of Directors on May 23, 2016. Mr. Giardina has served as Chief Financial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Pragma Securities LLC and its holding company, Pragma Weeden Holdings LLC, since 2009. From 2006 through 2008, Mr. Giardina served as S.V.P. and Chief Financial Officer of G-Trade Services LLC and ConvergEx Global Markets LLC. From 2002 through 2006, Mr. Giardina served as Vice President and Chief Financial Officer of Ladenburg Thalmann Financial Services Inc., the publicly-traded holding company of Ladenburg Thalmann &amp; Co., Inc., where Mr. Giardina served as its Executive Vice President and</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9" w:lineRule="auto"/>
        <w:rPr>
          <w:sz w:val="20"/>
          <w:szCs w:val="20"/>
          <w:color w:val="auto"/>
        </w:rPr>
      </w:pPr>
      <w:r>
        <w:rPr>
          <w:rFonts w:ascii="Arial" w:cs="Arial" w:eastAsia="Arial" w:hAnsi="Arial"/>
          <w:sz w:val="18"/>
          <w:szCs w:val="18"/>
          <w:color w:val="auto"/>
        </w:rPr>
        <w:t>Chief Financial Officer from 1998 through 2006 and as its Controller from 1990 through 1998. From 1983 through 1990, Mr. Giardina was an auditor with the national public accounting firm of Laventhol &amp; Horwath. Mr. Giardina served as a director of National Holdings Corporation from 2012 through 2016 and as Chairman of its Audit Committee from 2013 through 2016. Mr. Giardina is a certified public accountant and is Series 24 and Series 27 registered.</w:t>
      </w:r>
    </w:p>
    <w:p>
      <w:pPr>
        <w:spacing w:after="0" w:line="79"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We believe Mr. Giardina’s extensive financial expertise and his practical and management experience qualifies him to serve on our Board of Directors and as a member and the chairperson of the audit committee of our Board of Directors.</w:t>
      </w:r>
    </w:p>
    <w:p>
      <w:pPr>
        <w:spacing w:after="0" w:line="38"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b w:val="1"/>
          <w:bCs w:val="1"/>
          <w:i w:val="1"/>
          <w:iCs w:val="1"/>
          <w:color w:val="auto"/>
        </w:rPr>
        <w:t xml:space="preserve">Bruce T. Bernstein </w:t>
      </w:r>
      <w:r>
        <w:rPr>
          <w:rFonts w:ascii="Arial" w:cs="Arial" w:eastAsia="Arial" w:hAnsi="Arial"/>
          <w:sz w:val="17"/>
          <w:szCs w:val="17"/>
          <w:color w:val="auto"/>
        </w:rPr>
        <w:t>joined our Board of Directors on February 8, 2016. Mr. Bernstein has over thirty years of experience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Neurotrope, Inc. Mr. Bernstein is also a member of the board of Summit Digital Health, a laser based blood glucose monitor distributor, based in New Jersey. Mr. Bernstein holds a B.B.A. from City University of New York (Baruch).</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Mr. Bernstein’s extensive experience in the securities industry qualifies him to serve on our Board of Directors.</w:t>
      </w:r>
    </w:p>
    <w:p>
      <w:pPr>
        <w:spacing w:after="0" w:line="129"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b w:val="1"/>
          <w:bCs w:val="1"/>
          <w:i w:val="1"/>
          <w:iCs w:val="1"/>
          <w:color w:val="auto"/>
        </w:rPr>
        <w:t xml:space="preserve">Richard K. Abbe </w:t>
      </w:r>
      <w:r>
        <w:rPr>
          <w:rFonts w:ascii="Arial" w:cs="Arial" w:eastAsia="Arial" w:hAnsi="Arial"/>
          <w:sz w:val="17"/>
          <w:szCs w:val="17"/>
          <w:color w:val="auto"/>
        </w:rPr>
        <w:t>joined our Board of Directors on March 9, 2016. Mr. Abbe is the Co-founder and is a Principal and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of Iroquois Capital Management, LLC, the Investment Advisor to Iroquois Capital LP and Iroquois Capital (offshore) Ltd. Mr. Abbe has served as Co-Chief Investment Officer of Iroquois Capital since its inception in 2003. Previously, Mr. Abbe co-founded and served as Co-Chief Investment Officer of Vertical Ventures, LLC, a merchant bank. Prior to that, he was employed by Lehman Brothers and served as Senior Managing Director at Gruntal &amp; Company, LLC, where he also served on the firm’s Board of Directors. Mr. Abbe also previously served as Founding Partner at Hampshire Securities. He currently serves on the investment committee of Hobart and William Smith Colleges endowment Fund.</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Mr. Abbe’s extensive experience in the securities industry qualifies him to serve on our Board of Directors.</w:t>
      </w:r>
    </w:p>
    <w:p>
      <w:pPr>
        <w:spacing w:after="0" w:line="12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b w:val="1"/>
          <w:bCs w:val="1"/>
          <w:i w:val="1"/>
          <w:iCs w:val="1"/>
          <w:color w:val="auto"/>
        </w:rPr>
        <w:t xml:space="preserve">Andrew R. Heyer </w:t>
      </w:r>
      <w:r>
        <w:rPr>
          <w:rFonts w:ascii="Arial" w:cs="Arial" w:eastAsia="Arial" w:hAnsi="Arial"/>
          <w:sz w:val="17"/>
          <w:szCs w:val="17"/>
          <w:color w:val="auto"/>
        </w:rPr>
        <w:t>joined our Board of Directors on December 23, 2016. Mr. Heyer is the Chief Executive Officer and founder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Mistral Capital Management, LLC, a private equity fund manager. Prior to founding Mistral, he served as a Founding Managing Partner of Trimaran Capital Partners, L.L.C. Mr. Heyer was formerly a Vice Chairman of CIBC World Markets Corp. and co-head of CIBC Argosy Merchant Banking Funds. Prior to joining CIBC World Markets Corp. in 1995, Mr. Heyer was a founder and Managing Director of The Argosy Group L.P. Before Argosy, Mr. Heyer was a Managing Director at Drexel Burnham Lambert Incorporated and previous to that, he worked at Shearman/American Express. Mr. Heyer serves as a director of Jamba, Inc. and The Hain Celestial Group, both of which are publicly traded companies. He also serves on the boards of Mistral’s portfolio companies. Mr. Heyer also serves as a member of the Executive Committee and Board of Trustees of the University of Pennsylvania and the University of Pennsylvania Health System.</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Mr. Heyer’s extensive experience in the securities industry qualifies him to serve on our Board of Directors.</w:t>
      </w:r>
    </w:p>
    <w:p>
      <w:pPr>
        <w:spacing w:after="0" w:line="200" w:lineRule="exact"/>
        <w:rPr>
          <w:sz w:val="20"/>
          <w:szCs w:val="20"/>
          <w:color w:val="auto"/>
        </w:rPr>
      </w:pPr>
    </w:p>
    <w:p>
      <w:pPr>
        <w:spacing w:after="0" w:line="37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b w:val="1"/>
          <w:bCs w:val="1"/>
          <w:i w:val="1"/>
          <w:iCs w:val="1"/>
          <w:color w:val="auto"/>
        </w:rPr>
        <w:t>Meeting Attendance</w:t>
      </w:r>
      <w:r>
        <w:rPr>
          <w:rFonts w:ascii="Arial" w:cs="Arial" w:eastAsia="Arial" w:hAnsi="Arial"/>
          <w:sz w:val="18"/>
          <w:szCs w:val="18"/>
          <w:color w:val="auto"/>
        </w:rPr>
        <w:t>. During the fiscal year ended December 31, 2016 there were 23 meetings of our Board of Directors,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various committees of the Board of Directors met a total of 11 times. No director attended fewer than 75% of the total number of meetings of the Board of Directors and of committees of the Board of Directors on which he served during fiscal 2016. The Board of Directors has adopted a policy under which each member of the Board of Directors is strongly encouraged but not required to attend each annual meeting of our stockholders.</w:t>
      </w:r>
    </w:p>
    <w:p>
      <w:pPr>
        <w:spacing w:after="0" w:line="80"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Our Audit Committee met five times during fiscal 2016. This committee currently has three (3) members,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Salvatore Giardina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SEC and The NASDAQ Stock Market (“NASDAQ”), as such standards apply specifically to members of audit committees. The Board of Directors has determined that both Messrs. Giardina and Bernstein are “audit committee financial experts,” as defined by the SEC in Item 407 of Regulation S-K.</w:t>
      </w:r>
    </w:p>
    <w:p>
      <w:pPr>
        <w:spacing w:after="0" w:line="58"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color w:val="auto"/>
        </w:rPr>
        <w:t>www.formholdings.com/corp_governance</w:t>
      </w:r>
      <w:r>
        <w:rPr>
          <w:rFonts w:ascii="Arial" w:cs="Arial" w:eastAsia="Arial" w:hAnsi="Arial"/>
          <w:sz w:val="18"/>
          <w:szCs w:val="18"/>
          <w:color w:val="auto"/>
        </w:rPr>
        <w:t>.</w:t>
      </w:r>
    </w:p>
    <w:p>
      <w:pPr>
        <w:spacing w:after="0" w:line="62"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met two times during fiscal 2016. This committee currently has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 members, Bruce T. Bernstein (Chairman) and Donald E. Stout.</w:t>
      </w:r>
    </w:p>
    <w:p>
      <w:pPr>
        <w:spacing w:after="0" w:line="62"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Chief Executive Officer, and shall conduct its decision making process with respect to that issue without the Chief Executive Officer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2016, based on the recommendation of management, the Compensation Committee did not engage third party compensation consultants.</w:t>
      </w:r>
    </w:p>
    <w:p>
      <w:pPr>
        <w:spacing w:after="0" w:line="75"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 xml:space="preserve">Both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www.formholdings.com/corp_governance</w:t>
      </w:r>
      <w:r>
        <w:rPr>
          <w:rFonts w:ascii="Arial" w:cs="Arial" w:eastAsia="Arial" w:hAnsi="Arial"/>
          <w:sz w:val="18"/>
          <w:szCs w:val="18"/>
          <w:color w:val="auto"/>
        </w:rPr>
        <w:t>.</w:t>
      </w:r>
    </w:p>
    <w:p>
      <w:pPr>
        <w:spacing w:after="0" w:line="73"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b w:val="1"/>
          <w:bCs w:val="1"/>
          <w:i w:val="1"/>
          <w:iCs w:val="1"/>
          <w:color w:val="auto"/>
        </w:rPr>
        <w:t>Nominating and Corporate Governance Committee</w:t>
      </w:r>
      <w:r>
        <w:rPr>
          <w:rFonts w:ascii="Arial" w:cs="Arial" w:eastAsia="Arial" w:hAnsi="Arial"/>
          <w:sz w:val="17"/>
          <w:szCs w:val="17"/>
          <w:color w:val="auto"/>
        </w:rPr>
        <w:t>. Our Nominating and Corporate Governance Committee met four times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fiscal year 2016 and currently has two (2) members, Bruce T. Bernstein and Donald E. Stout. The Nominating Committee’s role and responsibilities are set forth in the Nominating Committee’s written charter and is authorized to:</w:t>
      </w:r>
    </w:p>
    <w:p>
      <w:pPr>
        <w:spacing w:after="0" w:line="57"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81"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Both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8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www.formholdings.com/corp_governance</w:t>
      </w:r>
      <w:r>
        <w:rPr>
          <w:rFonts w:ascii="Arial" w:cs="Arial" w:eastAsia="Arial" w:hAnsi="Arial"/>
          <w:sz w:val="18"/>
          <w:szCs w:val="18"/>
          <w:color w:val="auto"/>
        </w:rPr>
        <w: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During the fiscal year ended December 31, 2016, Salvatore Giardina, Bruce T. Bernstein and Donald E. Stout served as members of our Compensation Committee. In 2016, none of our executive officers served on the Board of Directors or compensation committee of any entity that had one or more executive officers serving as a member of our Board of Directors or Compensation Committee. There are no family relationships between or among the members of our Board of Directors or executive officers.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Mr. Perlman currently serves as our Chief Executive Officer and leads all meetings of the Board of Directors. If the Board of Directors convenes for a special meeting, the non-management directors will meet in executive session if circumstances warrant. We do not currently have a chairman or lead independent director and believe that this current board structure is the appropriate structure.</w:t>
      </w:r>
    </w:p>
    <w:p>
      <w:pPr>
        <w:spacing w:after="0" w:line="7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of Directors currently implements its risk oversight function as a whole. The committees also provide risk oversight and report any material risks to the Board of Directors.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 Communications to the Board</w:t>
      </w:r>
    </w:p>
    <w:p>
      <w:pPr>
        <w:spacing w:after="0" w:line="12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Generally, stockholders who have questions or concerns should contact our Investor Relations at 1-646-277-1263. However, any stockholders who wish to address questions regarding our business directly with the Board of Directors, or any individual director, should direct his or her questions via e-mail at Jeff.Sonnek@icrinc.com. Communications will be distributed to the Board of Directors, or to any individual director or directors as appropriate, depending on the facts and circumstances outlined in the communications. Items that are unrelated to the duties and responsibilities of the Board may be excluded, such as:</w:t>
      </w:r>
    </w:p>
    <w:p>
      <w:pPr>
        <w:spacing w:after="0" w:line="50"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junk mail and mass mailings,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surveys,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solicitations or advertisements.</w:t>
      </w:r>
    </w:p>
    <w:p>
      <w:pPr>
        <w:spacing w:after="0" w:line="117"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In addition, any material that is unduly hostile, threatening, or illegal in nature may be excluded, provided that any communication that is filtered out will be made available to any outside director upon request.</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The following table sets forth certain information regarding our executive officers who are not also directors. We have employment agreements with each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542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514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Position(s) with the Company</w:t>
            </w:r>
          </w:p>
        </w:tc>
      </w:tr>
      <w:tr>
        <w:trPr>
          <w:trHeight w:val="195"/>
        </w:trPr>
        <w:tc>
          <w:tcPr>
            <w:tcW w:w="2300" w:type="dxa"/>
            <w:vAlign w:val="bottom"/>
          </w:tcPr>
          <w:p>
            <w:pPr>
              <w:ind w:left="20"/>
              <w:spacing w:after="0" w:line="195" w:lineRule="exact"/>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16"/>
                <w:szCs w:val="16"/>
                <w:color w:val="auto"/>
              </w:rPr>
            </w:pPr>
          </w:p>
        </w:tc>
        <w:tc>
          <w:tcPr>
            <w:tcW w:w="460" w:type="dxa"/>
            <w:vAlign w:val="bottom"/>
          </w:tcPr>
          <w:p>
            <w:pPr>
              <w:jc w:val="center"/>
              <w:spacing w:after="0" w:line="195" w:lineRule="exact"/>
              <w:rPr>
                <w:sz w:val="20"/>
                <w:szCs w:val="20"/>
                <w:color w:val="auto"/>
              </w:rPr>
            </w:pPr>
            <w:r>
              <w:rPr>
                <w:rFonts w:ascii="Arial" w:cs="Arial" w:eastAsia="Arial" w:hAnsi="Arial"/>
                <w:sz w:val="18"/>
                <w:szCs w:val="18"/>
                <w:color w:val="auto"/>
                <w:w w:val="89"/>
              </w:rPr>
              <w:t>39</w:t>
            </w:r>
          </w:p>
        </w:tc>
        <w:tc>
          <w:tcPr>
            <w:tcW w:w="160" w:type="dxa"/>
            <w:vAlign w:val="bottom"/>
          </w:tcPr>
          <w:p>
            <w:pPr>
              <w:spacing w:after="0"/>
              <w:rPr>
                <w:sz w:val="16"/>
                <w:szCs w:val="16"/>
                <w:color w:val="auto"/>
              </w:rPr>
            </w:pPr>
          </w:p>
        </w:tc>
        <w:tc>
          <w:tcPr>
            <w:tcW w:w="5140" w:type="dxa"/>
            <w:vAlign w:val="bottom"/>
          </w:tcPr>
          <w:p>
            <w:pPr>
              <w:ind w:left="20"/>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Anastasia Nyrkovskaya</w:t>
            </w:r>
          </w:p>
        </w:tc>
        <w:tc>
          <w:tcPr>
            <w:tcW w:w="6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40</w:t>
            </w:r>
          </w:p>
        </w:tc>
        <w:tc>
          <w:tcPr>
            <w:tcW w:w="1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Jason Charkow</w:t>
            </w:r>
          </w:p>
        </w:tc>
        <w:tc>
          <w:tcPr>
            <w:tcW w:w="6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41</w:t>
            </w:r>
          </w:p>
        </w:tc>
        <w:tc>
          <w:tcPr>
            <w:tcW w:w="1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Senior Vice President of Legal and Business Affairs</w:t>
            </w: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Edward Jankowski</w:t>
            </w:r>
          </w:p>
        </w:tc>
        <w:tc>
          <w:tcPr>
            <w:tcW w:w="6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65</w:t>
            </w:r>
          </w:p>
        </w:tc>
        <w:tc>
          <w:tcPr>
            <w:tcW w:w="1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Senior Vice President and Chief Executive Officer of XpresSpa</w:t>
            </w:r>
          </w:p>
        </w:tc>
      </w:tr>
    </w:tbl>
    <w:p>
      <w:pPr>
        <w:spacing w:after="0" w:line="94"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Andrew D. Perlman </w:t>
      </w:r>
      <w:r>
        <w:rPr>
          <w:rFonts w:ascii="Arial" w:cs="Arial" w:eastAsia="Arial" w:hAnsi="Arial"/>
          <w:sz w:val="18"/>
          <w:szCs w:val="18"/>
          <w:color w:val="auto"/>
        </w:rPr>
        <w:t>our Chief Executive Officer and Director (see biography in the section above titled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w:t>
      </w:r>
    </w:p>
    <w:p>
      <w:pPr>
        <w:spacing w:after="0" w:line="62"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b w:val="1"/>
          <w:bCs w:val="1"/>
          <w:i w:val="1"/>
          <w:iCs w:val="1"/>
          <w:color w:val="auto"/>
        </w:rPr>
        <w:t xml:space="preserve">Anastasia Nyrkovskaya </w:t>
      </w:r>
      <w:r>
        <w:rPr>
          <w:rFonts w:ascii="Arial" w:cs="Arial" w:eastAsia="Arial" w:hAnsi="Arial"/>
          <w:sz w:val="17"/>
          <w:szCs w:val="17"/>
          <w:color w:val="auto"/>
        </w:rPr>
        <w:t>joined us in May 2013 as our Chief Financial Officer. Ms. Nyrkovskaya oversees all aspects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finance and accounting functions, including: SEC and internal financial reporting, budgeting and forecasting, mergers and acquisitions and business integrations, tax planning and reporting, human resources, and operational matters. Prior to joining us, from 2006, Ms. Nyrkovskaya served as Vice President and Assistant Global Controller and Vice President, Corporate Finance and Business Development at NBCUniversal Media, LLC (“NBCUniversal Media”). She was responsible for technical accounting areas, policies and internal controls. She also structured merger and acquisition transactions, partnerships, joint ventures and dispositions, as well as debt activities and restructurings. From 1998 to 2006, Ms. Nyrkovskaya served in the Audit and Assurance practice at KPMG LLP. Ms. Nyrkovskaya is a Certified Public Accountant and received an advanced degree in economics and business administration from Moscow State University of Publishing and Printing Arts.</w:t>
      </w:r>
    </w:p>
    <w:p>
      <w:pPr>
        <w:spacing w:after="0" w:line="74" w:lineRule="exact"/>
        <w:rPr>
          <w:sz w:val="20"/>
          <w:szCs w:val="20"/>
          <w:color w:val="auto"/>
        </w:rPr>
      </w:pPr>
    </w:p>
    <w:p>
      <w:pPr>
        <w:jc w:val="both"/>
        <w:ind w:left="60" w:right="519" w:firstLine="270"/>
        <w:spacing w:after="0" w:line="271" w:lineRule="auto"/>
        <w:rPr>
          <w:sz w:val="20"/>
          <w:szCs w:val="20"/>
          <w:color w:val="auto"/>
        </w:rPr>
      </w:pPr>
      <w:r>
        <w:rPr>
          <w:rFonts w:ascii="Arial" w:cs="Arial" w:eastAsia="Arial" w:hAnsi="Arial"/>
          <w:sz w:val="17"/>
          <w:szCs w:val="17"/>
          <w:b w:val="1"/>
          <w:bCs w:val="1"/>
          <w:i w:val="1"/>
          <w:iCs w:val="1"/>
          <w:color w:val="auto"/>
        </w:rPr>
        <w:t xml:space="preserve">Jason Charkow </w:t>
      </w:r>
      <w:r>
        <w:rPr>
          <w:rFonts w:ascii="Arial" w:cs="Arial" w:eastAsia="Arial" w:hAnsi="Arial"/>
          <w:sz w:val="17"/>
          <w:szCs w:val="17"/>
          <w:color w:val="auto"/>
        </w:rPr>
        <w:t>has served as our Senior Vice President, Legal and Business Affairs, since June 2016 and is responsible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overseeing all of our and our subsidiaries’ legal affairs and supporting our business activities. Mr. Charkow joined us in February 2012 as our Senior Intellectual Property Counsel and, in June 2014, became the Director of Legal and Intellectual Property, assuming responsibility for oversight of our world-wide intellectual property litigation and management of our intellectual property assets. Prior to joining us, Mr. Charkow was an attorney at Winston &amp; Strawn and Jones Day where he focused on intellectual property litigation, prosecution and counseling. Mr. Charkow has litigated complex patent infringement matters involving a range of telecommunications, computer and electronic technologies. Mr. Charkow earned a Juris Doctor from Hofstra University and holds a bachelor’s degree in mechanical engineering from Binghamton University.</w:t>
      </w:r>
    </w:p>
    <w:p>
      <w:pPr>
        <w:spacing w:after="0" w:line="71" w:lineRule="exact"/>
        <w:rPr>
          <w:sz w:val="20"/>
          <w:szCs w:val="20"/>
          <w:color w:val="auto"/>
        </w:rPr>
      </w:pPr>
    </w:p>
    <w:p>
      <w:pPr>
        <w:jc w:val="both"/>
        <w:ind w:left="60" w:right="519" w:firstLine="270"/>
        <w:spacing w:after="0" w:line="268" w:lineRule="auto"/>
        <w:rPr>
          <w:sz w:val="20"/>
          <w:szCs w:val="20"/>
          <w:color w:val="auto"/>
        </w:rPr>
      </w:pPr>
      <w:r>
        <w:rPr>
          <w:rFonts w:ascii="Arial" w:cs="Arial" w:eastAsia="Arial" w:hAnsi="Arial"/>
          <w:sz w:val="17"/>
          <w:szCs w:val="17"/>
          <w:b w:val="1"/>
          <w:bCs w:val="1"/>
          <w:i w:val="1"/>
          <w:iCs w:val="1"/>
          <w:color w:val="auto"/>
        </w:rPr>
        <w:t xml:space="preserve">Edward Jankowski </w:t>
      </w:r>
      <w:r>
        <w:rPr>
          <w:rFonts w:ascii="Arial" w:cs="Arial" w:eastAsia="Arial" w:hAnsi="Arial"/>
          <w:sz w:val="17"/>
          <w:szCs w:val="17"/>
          <w:color w:val="auto"/>
        </w:rPr>
        <w:t>has served as our Senior Vice President since December 2016 and as XpresSpa’s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June 2016. From 2012 to 2016, Mr. Jankowski was the Vice President and General Manager of Luxury Retail at Luxottica, where he oversaw the Ilori and Optical Shop of Aspen and Persol retail stores. From 2007 to 2012, Mr. Jankowski was Senior Vice President and General Manager for Godiva Chocolatier, responsible for the $400 million North America multi-channel business, consisting of 240 retail stores, plus wholesale, direct, and interactive business. From 2001 to 2007, Mr. Jankowski was the Chief Operating Officer of Safilo Group’s Solstice sunglasses stores, where he opened 120 stores, oversaw store operations, merchandising, finance, planning/distribution, marketing and communications, loss prevention, real estate, visual and store design/development/construction. From 1999 to 2001, Mr. Jankowski was the President of Airport Shops Division of World Duty Free Americas, a division of B.A.A., where he was a member of the Senior Executive Committee, with responsibility for the $120 million Airport Division. From 1993 to 1999, Mr. Jankowski served as the Vice President/Director of Stores for Liz Claiborne, where he was a member of the Retail Executive Committee and led execution of business strategies, sales results and store profit. Mr. Jankowski began his career in 1975 as an Executive Trainee for R.H. Macy’s. Mr. Jankowski currently serves on the Board of Directors of the Accessories Council on the Foundation Board of Directors for LIM College. Mr. Jankowski received his B.Sc. in management and commerce marketing from Rider University.</w:t>
      </w:r>
    </w:p>
    <w:p>
      <w:pPr>
        <w:spacing w:after="0" w:line="200" w:lineRule="exact"/>
        <w:rPr>
          <w:sz w:val="20"/>
          <w:szCs w:val="20"/>
          <w:color w:val="auto"/>
        </w:rPr>
      </w:pPr>
    </w:p>
    <w:p>
      <w:pPr>
        <w:spacing w:after="0" w:line="3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0" w:name="page21"/>
    <w:bookmarkEnd w:id="20"/>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60" w:right="2859" w:firstLine="2280"/>
        <w:spacing w:after="0" w:line="393" w:lineRule="auto"/>
        <w:rPr>
          <w:sz w:val="20"/>
          <w:szCs w:val="20"/>
          <w:color w:val="auto"/>
        </w:rPr>
      </w:pPr>
      <w:r>
        <w:rPr>
          <w:rFonts w:ascii="Arial" w:cs="Arial" w:eastAsia="Arial" w:hAnsi="Arial"/>
          <w:sz w:val="18"/>
          <w:szCs w:val="18"/>
          <w:b w:val="1"/>
          <w:bCs w:val="1"/>
          <w:color w:val="auto"/>
        </w:rPr>
        <w:t>EXECUTIVE OFFICER AND DIRECTOR COMPENSATION Summary Compensation Table</w:t>
      </w:r>
    </w:p>
    <w:p>
      <w:pPr>
        <w:spacing w:after="0" w:line="1"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following table summarizes the compensation awarded to, earned or paid by FORM to its Chief Executive Officer and other named executive officers for the fiscal years ended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80" w:type="dxa"/>
            <w:vAlign w:val="bottom"/>
          </w:tcPr>
          <w:p>
            <w:pPr>
              <w:spacing w:after="0"/>
              <w:rPr>
                <w:sz w:val="16"/>
                <w:szCs w:val="16"/>
                <w:color w:val="auto"/>
              </w:rPr>
            </w:pPr>
          </w:p>
        </w:tc>
        <w:tc>
          <w:tcPr>
            <w:tcW w:w="11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w:t>
            </w: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(1)</w:t>
            </w:r>
          </w:p>
        </w:tc>
        <w:tc>
          <w:tcPr>
            <w:tcW w:w="10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34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Andrew D. Perlman</w:t>
            </w:r>
          </w:p>
        </w:tc>
        <w:tc>
          <w:tcPr>
            <w:tcW w:w="60" w:type="dxa"/>
            <w:vAlign w:val="bottom"/>
          </w:tcPr>
          <w:p>
            <w:pPr>
              <w:spacing w:after="0"/>
              <w:rPr>
                <w:sz w:val="16"/>
                <w:szCs w:val="16"/>
                <w:color w:val="auto"/>
              </w:rPr>
            </w:pPr>
          </w:p>
        </w:tc>
        <w:tc>
          <w:tcPr>
            <w:tcW w:w="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6"/>
                <w:szCs w:val="16"/>
                <w:color w:val="auto"/>
              </w:rPr>
            </w:pPr>
          </w:p>
        </w:tc>
        <w:tc>
          <w:tcPr>
            <w:tcW w:w="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431,667</w:t>
            </w:r>
          </w:p>
        </w:tc>
        <w:tc>
          <w:tcPr>
            <w:tcW w:w="6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1,235,440</w:t>
            </w:r>
          </w:p>
        </w:tc>
        <w:tc>
          <w:tcPr>
            <w:tcW w:w="60" w:type="dxa"/>
            <w:vAlign w:val="bottom"/>
          </w:tcPr>
          <w:p>
            <w:pPr>
              <w:spacing w:after="0"/>
              <w:rPr>
                <w:sz w:val="16"/>
                <w:szCs w:val="16"/>
                <w:color w:val="auto"/>
              </w:rPr>
            </w:pPr>
          </w:p>
        </w:tc>
        <w:tc>
          <w:tcPr>
            <w:tcW w:w="1000" w:type="dxa"/>
            <w:vAlign w:val="bottom"/>
            <w:tcBorders>
              <w:top w:val="single" w:sz="8" w:color="auto"/>
            </w:tcBorders>
          </w:tcPr>
          <w:p>
            <w:pPr>
              <w:ind w:left="62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1,667,107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2015</w:t>
            </w:r>
          </w:p>
        </w:tc>
        <w:tc>
          <w:tcPr>
            <w:tcW w:w="800" w:type="dxa"/>
            <w:vAlign w:val="bottom"/>
            <w:gridSpan w:val="2"/>
          </w:tcPr>
          <w:p>
            <w:pPr>
              <w:jc w:val="center"/>
              <w:ind w:left="13"/>
              <w:spacing w:after="0"/>
              <w:rPr>
                <w:sz w:val="20"/>
                <w:szCs w:val="20"/>
                <w:color w:val="auto"/>
              </w:rPr>
            </w:pPr>
            <w:r>
              <w:rPr>
                <w:rFonts w:ascii="Arial" w:cs="Arial" w:eastAsia="Arial" w:hAnsi="Arial"/>
                <w:sz w:val="18"/>
                <w:szCs w:val="18"/>
                <w:color w:val="auto"/>
                <w:w w:val="89"/>
              </w:rPr>
              <w:t>415,000</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415,000</w:t>
            </w:r>
          </w:p>
        </w:tc>
        <w:tc>
          <w:tcPr>
            <w:tcW w:w="0" w:type="dxa"/>
            <w:vAlign w:val="bottom"/>
          </w:tcPr>
          <w:p>
            <w:pPr>
              <w:spacing w:after="0"/>
              <w:rPr>
                <w:sz w:val="1"/>
                <w:szCs w:val="1"/>
                <w:color w:val="auto"/>
              </w:rPr>
            </w:pPr>
          </w:p>
        </w:tc>
      </w:tr>
      <w:tr>
        <w:trPr>
          <w:trHeight w:val="217"/>
        </w:trPr>
        <w:tc>
          <w:tcPr>
            <w:tcW w:w="3460" w:type="dxa"/>
            <w:vAlign w:val="bottom"/>
          </w:tcPr>
          <w:p>
            <w:pPr>
              <w:ind w:left="20"/>
              <w:spacing w:after="0" w:line="217" w:lineRule="exact"/>
              <w:rPr>
                <w:sz w:val="20"/>
                <w:szCs w:val="20"/>
                <w:color w:val="auto"/>
              </w:rPr>
            </w:pPr>
            <w:r>
              <w:rPr>
                <w:rFonts w:ascii="Arial" w:cs="Arial" w:eastAsia="Arial" w:hAnsi="Arial"/>
                <w:sz w:val="16"/>
                <w:szCs w:val="16"/>
                <w:color w:val="auto"/>
              </w:rPr>
              <w:t>Cliff Weinstein</w:t>
            </w:r>
            <w:r>
              <w:rPr>
                <w:rFonts w:ascii="Arial" w:cs="Arial" w:eastAsia="Arial" w:hAnsi="Arial"/>
                <w:sz w:val="25"/>
                <w:szCs w:val="25"/>
                <w:color w:val="auto"/>
                <w:vertAlign w:val="superscript"/>
              </w:rPr>
              <w:t>(2)</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2016</w:t>
            </w:r>
          </w:p>
        </w:tc>
        <w:tc>
          <w:tcPr>
            <w:tcW w:w="800" w:type="dxa"/>
            <w:vAlign w:val="bottom"/>
            <w:gridSpan w:val="2"/>
          </w:tcPr>
          <w:p>
            <w:pPr>
              <w:jc w:val="center"/>
              <w:ind w:left="13"/>
              <w:spacing w:after="0"/>
              <w:rPr>
                <w:sz w:val="20"/>
                <w:szCs w:val="20"/>
                <w:color w:val="auto"/>
              </w:rPr>
            </w:pPr>
            <w:r>
              <w:rPr>
                <w:rFonts w:ascii="Arial" w:cs="Arial" w:eastAsia="Arial" w:hAnsi="Arial"/>
                <w:sz w:val="18"/>
                <w:szCs w:val="18"/>
                <w:color w:val="auto"/>
                <w:w w:val="89"/>
              </w:rPr>
              <w:t>366,667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1,235,440</w:t>
            </w:r>
          </w:p>
        </w:tc>
        <w:tc>
          <w:tcPr>
            <w:tcW w:w="6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1,602,107</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2015</w:t>
            </w:r>
          </w:p>
        </w:tc>
        <w:tc>
          <w:tcPr>
            <w:tcW w:w="800" w:type="dxa"/>
            <w:vAlign w:val="bottom"/>
            <w:gridSpan w:val="2"/>
          </w:tcPr>
          <w:p>
            <w:pPr>
              <w:jc w:val="center"/>
              <w:ind w:left="13"/>
              <w:spacing w:after="0"/>
              <w:rPr>
                <w:sz w:val="20"/>
                <w:szCs w:val="20"/>
                <w:color w:val="auto"/>
              </w:rPr>
            </w:pPr>
            <w:r>
              <w:rPr>
                <w:rFonts w:ascii="Arial" w:cs="Arial" w:eastAsia="Arial" w:hAnsi="Arial"/>
                <w:sz w:val="18"/>
                <w:szCs w:val="18"/>
                <w:color w:val="auto"/>
                <w:w w:val="89"/>
              </w:rPr>
              <w:t>325,000</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Anastasia Nyrkovskaya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2016</w:t>
            </w:r>
          </w:p>
        </w:tc>
        <w:tc>
          <w:tcPr>
            <w:tcW w:w="800" w:type="dxa"/>
            <w:vAlign w:val="bottom"/>
            <w:gridSpan w:val="2"/>
          </w:tcPr>
          <w:p>
            <w:pPr>
              <w:jc w:val="center"/>
              <w:ind w:left="13"/>
              <w:spacing w:after="0"/>
              <w:rPr>
                <w:sz w:val="20"/>
                <w:szCs w:val="20"/>
                <w:color w:val="auto"/>
              </w:rPr>
            </w:pPr>
            <w:r>
              <w:rPr>
                <w:rFonts w:ascii="Arial" w:cs="Arial" w:eastAsia="Arial" w:hAnsi="Arial"/>
                <w:sz w:val="18"/>
                <w:szCs w:val="18"/>
                <w:color w:val="auto"/>
                <w:w w:val="89"/>
              </w:rPr>
              <w:t>333,333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540,505</w:t>
            </w:r>
          </w:p>
        </w:tc>
        <w:tc>
          <w:tcPr>
            <w:tcW w:w="6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873,838</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2015</w:t>
            </w:r>
          </w:p>
        </w:tc>
        <w:tc>
          <w:tcPr>
            <w:tcW w:w="800" w:type="dxa"/>
            <w:vAlign w:val="bottom"/>
            <w:gridSpan w:val="2"/>
          </w:tcPr>
          <w:p>
            <w:pPr>
              <w:jc w:val="center"/>
              <w:ind w:left="13"/>
              <w:spacing w:after="0"/>
              <w:rPr>
                <w:sz w:val="20"/>
                <w:szCs w:val="20"/>
                <w:color w:val="auto"/>
              </w:rPr>
            </w:pPr>
            <w:r>
              <w:rPr>
                <w:rFonts w:ascii="Arial" w:cs="Arial" w:eastAsia="Arial" w:hAnsi="Arial"/>
                <w:sz w:val="18"/>
                <w:szCs w:val="18"/>
                <w:color w:val="auto"/>
                <w:w w:val="89"/>
              </w:rPr>
              <w:t>317,197</w:t>
            </w: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317,197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left="300" w:right="519" w:hanging="272"/>
        <w:spacing w:after="0" w:line="264"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FORM’s equity awards see Notes 2 and 11 to its consolidated financial statements included in its Annual Report on Form 10-K for the year ended December 31, 2016.</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Weinstein ceased to be an executive officer of FORM as of May 15, 2017.</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Andrew D. Perlman</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On February 13, 2013, we entered into an employment agreement with Mr. Perlman, which had a term of three (3) years. Under the terms of that employment agreement, from January 1, 2015, Mr. Perlman received a base salary of $415,000 and was eligible to participate in any annual bonus or other incentive compensation program that we may have adopted from time to time for our executive officers.</w:t>
      </w:r>
    </w:p>
    <w:p>
      <w:pPr>
        <w:spacing w:after="0" w:line="79"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On October 13, 2015, we entered into an amendment to the existing employment agreement with Mr. Perlman, pursuant to which, the employment period under the employment agreement was extended to December 31, 2017, and Mr. Perlman remained eligible to receive an annual performance bonus according to corporate and personal goals as established by the Compensation Committee in its sole discretion.</w:t>
      </w:r>
    </w:p>
    <w:p>
      <w:pPr>
        <w:spacing w:after="0" w:line="79"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On January 20, 2017, we entered into a new employment agreement with Mr. Perlman that superseded his prior employment agreement. Under the terms of this new employment agreement, Mr. Perlman’s annual base salary is $450,000, retroactive to January 1, 2017.</w:t>
      </w:r>
    </w:p>
    <w:p>
      <w:pPr>
        <w:spacing w:after="0" w:line="73"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The employment agreement is for a term of three (3) years, provided that the employment agreement shall extend in two (2) month increments for up to one (1) year thereafter for each month that the negotiations are not concluded prior to sixth months before the end of the term.</w:t>
      </w:r>
    </w:p>
    <w:p>
      <w:pPr>
        <w:spacing w:after="0" w:line="73"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employment agreement provides that Mr. Perlman will be eligible to participate in any annual bonus and other incentive compensation program that we may adopt from time to time for our executive officers and if Mr. Perlman has earned any bonus or non-equity based incentive compensation which remains unpaid upon termination of employment for any reason, whether by Mr. Perlman or us other than for cause, then Mr. Perlman shall be entitled to receive a pro-rata portion of such incentive compensation at the time it is paid.</w:t>
      </w:r>
    </w:p>
    <w:p>
      <w:pPr>
        <w:spacing w:after="0" w:line="80"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In the event the employment agreement is terminated for (i) Good Reason by Mr. Perlman, or (ii) by us without Cause, Mr. Perlman shall be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in Mr. Perlman’s employment agreement means: (a) the willful and continued failure of Mr. Perlman to perform substantially his duties and responsibilities for us (other than any such failure resulting from his death or disability) after a written demand by the Board of Directors for substantial</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86" w:lineRule="auto"/>
        <w:rPr>
          <w:sz w:val="20"/>
          <w:szCs w:val="20"/>
          <w:color w:val="auto"/>
        </w:rPr>
      </w:pPr>
      <w:r>
        <w:rPr>
          <w:rFonts w:ascii="Arial" w:cs="Arial" w:eastAsia="Arial" w:hAnsi="Arial"/>
          <w:sz w:val="16"/>
          <w:szCs w:val="16"/>
          <w:color w:val="auto"/>
        </w:rPr>
        <w:t>performance is delivered to Mr. Perlman by us,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our requirement that Mr. Perlman regularly report to work in a location that is more than fifty miles from our current New York office, without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our 2012 Employee, Director and Consultant Equity Incentive Plan); or (f) a material breach by us of Mr. Perlman’s employment agreement.</w:t>
      </w:r>
    </w:p>
    <w:p>
      <w:pPr>
        <w:spacing w:after="0" w:line="6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 addition, unless Mr. Perlman is terminated for cause, all applicable equity awards held by him as of the date of termination of employment that would have vested in the one-year period immediately following such termination will vest during the following year, provided that Mr. Perlman makes himself reasonably available and cooperates with reasonable requests from us involving facts or events relating to us that Mr. Perlman may have knowledge of. In the event the employment agreement is terminated for good reason by Mr. Perlman, or by us without cause, and Mr. Perlman provides us with a release of claims, he shall be entitled to receive a cash severance payment in the amount of one times his then current base salary and one year of COBRA continuation coverage.</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Cliff Weinstein</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February 13, 2013, we entered into an employment agreement with Mr. Weinstein. Under the terms of the employment agreement, from January 1, 2015 through the remainder of the term of the employment agreement, Mr. Weinstein received a base salary of $325,000 and was eligible to participate in any annual bonus or other incentive compensation program that we may adopt from time to time for our executive officers.</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October 13, 2015, we entered into an amendment to the existing employment agreement with Mr. Weinstein, pursuant to which, the employment period under the employment agreement was extended to December 31, 2017. In addition, as per the amendment, Mr. Weinstein remained eligible to receive an annual performance bonus according to corporate and personal goals as established by the Compensation Committee in its sole discretion.</w:t>
      </w:r>
    </w:p>
    <w:p>
      <w:pPr>
        <w:spacing w:after="0" w:line="7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January 20, 2017, we entered into an amendment to the employment agreement with Mr. Weinstein. The amendment provides that so long as Mr. Weinstein is employed on the date of a change of control of FLI Charge, he will be entitled to 5% of the amount equal to the total amount of cash and the fair market value of all non-cash consideration paid or payable to us or our stockholders in connection with the change of control of FLI Charge or in an initial public offering, net of expenses, the acquisition cost to us and any additional capital contributions made prior to the change of control.</w:t>
      </w:r>
    </w:p>
    <w:p>
      <w:pPr>
        <w:spacing w:after="0" w:line="64"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May 15, 2017, we entered into an amendment to the employment agreement with Mr. Weinstein. The amendment provides that effective as of May 15, 2017, Mr. Weinstein’s employment with us will terminate on December 31, 2017, his annual base salary shall be reduced to $42,900 per annum and his incentive payment in the event of a change of control or public offering of FLI Charge shall be increased from 5% to 6%. The parties acknowledged that this amendment does not constitute a Good Reason termination under the employment agreement.</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In the event the employment agreement is terminated for (i) Good Reason by Mr. Weinstein, or (ii) by us without Cause, Mr. Weinstein shall be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in Mr. Weinstein’s employment agreement means: (a) the willful and continued failure of Mr. Weinstein to perform substantially his duties and responsibilities for us (other than any such failure resulting from his death or disability) after a written demand by the Board of Directors for substantial performance is delivered to Mr. Weinstein by us, which specifically identifies the manner in which the Board of Directors believes that Mr. Weinstein has not substantially performed his duties and responsibilities, which willful and continued failure is not cured by Mr. Weinstein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Weinstein has engaged in fraud, dishonesty, gross negligence or misconduct which, if curable, has not been cured within thirty days after his receipt of a written notice from the Board of Directors stating with reasonable specificity the basis of such finding. “Good Reason” as used Mr. Weinstein’s employment agreement means (a) the assignment, without Mr. Weinstein’s consent, to Mr. Weinstein of duties that result in a substantial diminution of the duties that he assumed; provided, however, the failure of Mr. Weinstein to be reelected to the Board of Directors shall not be deemed to be a diminution of duties; (b) the assignment, without Mr. Weinstein’s consent, of a title that is subordinate to the title of Executive Vice President; (c) a reduction in Mr. Weinstein’s base salary; (d) our requirement that Mr. Weinstein regularly report to work in a location that is more than fifty miles from our current New York office, without Mr. Weinstein’s consent; (e) a change in reporting relationship, provided however, that Good Reason does not include a change in the reporting relationship whereby Mr. Weinstein will report to the Chief Executive Officer of an acquiring company after a change of control (as that term is defined in our 2012 Employee, Director and Consultant Equity Incentive Plan); or (f) a material breach by us of Mr. Weinstein’s employment agreement.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On December 19, 2014, we entered into an employment agreement with Ms. Nyrkovskaya. Under the terms of her employment agreement, Ms. Nyrkovskaya’s annual base salary was $315,000.</w:t>
      </w:r>
    </w:p>
    <w:p>
      <w:pPr>
        <w:spacing w:after="0" w:line="62"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October 13, 2015, we entered into an amendment to the existing employment agreement with Ms. Nyrkovskaya, pursuant to which, the employment period under the employment agreement was extended to December 31, 2017. In addition, the annual base salary of Ms. Nyrkovskaya was increased from $315,000 to $325,000 and Ms. Nyrkovskaya remained eligible to receive an annual performance bonus according to corporate and personal goals, as shall be established by the Compensation Committee in its sole discretion.</w:t>
      </w:r>
    </w:p>
    <w:p>
      <w:pPr>
        <w:spacing w:after="0" w:line="8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On January 20, 2017, we entered into an employment agreement with Ms. Nyrkovskaya that superseded her prior employment agreement. Under the terms of this new employment agreement, Ms. Nyrkovskaya will be entitled to receive a base salary of $375,000 from January 1, 2017.</w:t>
      </w:r>
    </w:p>
    <w:p>
      <w:pPr>
        <w:spacing w:after="0" w:line="73"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employment agreement is for a term of three (3) years, provided that the employment agreement shall extend in two (2) month increments for up to one (1) year thereafter for each month that the negotiations are not concluded prior to sixth months before the end of the term.</w:t>
      </w:r>
    </w:p>
    <w:p>
      <w:pPr>
        <w:spacing w:after="0" w:line="73"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The employment agreement provides that Ms. Nyrkovskaya will be eligible to participate in any annual bonus and other incentive compensation program that we may adopt from time to time for our executive officers and if Ms. Nyrkovskaya has earned any bonus or non-equity based incentive compensation which remains unpaid upon termination of employment for any reason, whether by Ms. Nyrkovskaya or us other than for cause, then Ms. Nyrkovskaya shall be entitled to receive a pro-rata portion of such incentive compensation at the time it is paid.</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ind w:left="1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180" w:right="519" w:firstLine="270"/>
        <w:spacing w:after="0" w:line="283" w:lineRule="auto"/>
        <w:rPr>
          <w:sz w:val="20"/>
          <w:szCs w:val="20"/>
          <w:color w:val="auto"/>
        </w:rPr>
      </w:pPr>
      <w:r>
        <w:rPr>
          <w:rFonts w:ascii="Arial" w:cs="Arial" w:eastAsia="Arial" w:hAnsi="Arial"/>
          <w:sz w:val="16"/>
          <w:szCs w:val="16"/>
          <w:color w:val="auto"/>
        </w:rPr>
        <w:t>In the event the employment agreement is terminated for (i) Good Reason by Ms. Nyrkovskaya, or (ii) by us without Cause, Ms. Nyrkovskaya shall be entitled to receive an amount of base salary at the rate of base salary in effect immediately prior to such termination equal to twelve months of base salary, and COBRA continuation coverage paid in full by us for up to a maximum of twelve months following the date of termination. In case the agreement is terminated by Ms. Nyrkovskaya without Good Reason, she shall provide us with a written notice, at least ninety calendar days prior to such termination. “Cause” as used in Ms. Nyrkovskaya’s employment agreement means: (a) the willful and continued failure of Ms. Nyrkovskaya to perform substantially her duties and responsibilities for us (other than any such failure resulting from her death or disability) after a written demand by the chief executive officer for substantial performance is delivered to Ms. Nyrkovskaya by us, which specifically identifies the manner in which the chief executive officer believes that Ms. Nyrkovskaya has not substantially performed her duties and responsibilities, which willful and continued failure is not cured by Ms. Nyrkovskaya within thirty days of her receipt of such written demand; (b) the conviction of, or plea of guilty or nolo contendere to a felony, (c) breach of her non-compete obligations,</w:t>
      </w:r>
    </w:p>
    <w:p>
      <w:pPr>
        <w:spacing w:after="0" w:line="5" w:lineRule="exact"/>
        <w:rPr>
          <w:sz w:val="20"/>
          <w:szCs w:val="20"/>
          <w:color w:val="auto"/>
        </w:rPr>
      </w:pPr>
    </w:p>
    <w:p>
      <w:pPr>
        <w:jc w:val="both"/>
        <w:ind w:left="180" w:right="519" w:firstLine="8"/>
        <w:spacing w:after="0" w:line="268" w:lineRule="auto"/>
        <w:tabs>
          <w:tab w:leader="none" w:pos="444" w:val="left"/>
        </w:tabs>
        <w:numPr>
          <w:ilvl w:val="0"/>
          <w:numId w:val="21"/>
        </w:numPr>
        <w:rPr>
          <w:rFonts w:ascii="Arial" w:cs="Arial" w:eastAsia="Arial" w:hAnsi="Arial"/>
          <w:sz w:val="17"/>
          <w:szCs w:val="17"/>
          <w:color w:val="auto"/>
        </w:rPr>
      </w:pPr>
      <w:r>
        <w:rPr>
          <w:rFonts w:ascii="Arial" w:cs="Arial" w:eastAsia="Arial" w:hAnsi="Arial"/>
          <w:sz w:val="17"/>
          <w:szCs w:val="17"/>
          <w:color w:val="auto"/>
        </w:rPr>
        <w:t>breach of the non-disclosure and non-solicitation agreement; or (e) a good faith finding by the chief executive officer that Ms. Nyrkovskaya has engaged in fraud, intentional dishonesty, or gross negligence. “Good Reason” as used Ms. Nyrkovskaya’s employment agreement means (a) the assignment, without Ms. Nyrkovskaya’s consent, to Ms. Nyrkovskaya of duties that result in a substantial diminution of the duties that she assumed; (b) the assignment, without Ms. Nyrkovskaya’s consent, of a title that is subordinate to the title Chief Financial Officer; (c) a reduction in Ms. Nyrkovskaya’s base salary; (d) our requirement that Ms. Nyrkovskaya regularly report to work in a location that is more than fifty miles from our current New York office, without Ms. Nyrkovskaya’s consent; (e) a material breach by us of the agreement during its term. Ms. Nyrkovskaya’s employment agreement also includes a covenant not to compete with us or solicit any material commercial relationships of ours for a period of one year after Ms. Nyrkovskaya is actually no longer employed by us</w:t>
      </w:r>
      <w:r>
        <w:rPr>
          <w:rFonts w:ascii="Arial" w:cs="Arial" w:eastAsia="Arial" w:hAnsi="Arial"/>
          <w:sz w:val="17"/>
          <w:szCs w:val="17"/>
          <w:b w:val="1"/>
          <w:bCs w:val="1"/>
          <w:color w:val="auto"/>
        </w:rPr>
        <w:t>.</w:t>
      </w:r>
    </w:p>
    <w:p>
      <w:pPr>
        <w:spacing w:after="0" w:line="74" w:lineRule="exact"/>
        <w:rPr>
          <w:sz w:val="20"/>
          <w:szCs w:val="20"/>
          <w:color w:val="auto"/>
        </w:rPr>
      </w:pPr>
    </w:p>
    <w:p>
      <w:pPr>
        <w:jc w:val="both"/>
        <w:ind w:left="180" w:right="519" w:firstLine="270"/>
        <w:spacing w:after="0" w:line="255" w:lineRule="auto"/>
        <w:rPr>
          <w:sz w:val="20"/>
          <w:szCs w:val="20"/>
          <w:color w:val="auto"/>
        </w:rPr>
      </w:pPr>
      <w:r>
        <w:rPr>
          <w:rFonts w:ascii="Arial" w:cs="Arial" w:eastAsia="Arial" w:hAnsi="Arial"/>
          <w:sz w:val="18"/>
          <w:szCs w:val="18"/>
          <w:color w:val="auto"/>
        </w:rPr>
        <w:t>In addition, unless Ms. Nyrkovskaya is terminated for cause, all applicable equity awards held by her as of the date of termination of employment that would have vested in the one-year period immediately following such termination will vest during the following year, provided that Ms. Nyrkovskaya makes herself reasonably available and cooperates with reasonable requests from us involving facts or events relating to us that Ms. Nyrkovskaya may have knowledge of. In the event the employment agreement is terminated for good reason by Ms. Nyrkovskaya, or by us without cause, and Ms. Nyrkovskaya provides us with a release of claims, she shall be entitled to receive a cash severance payment in the amount of one times her then current base salary and one year of COBRA continuation coverage.</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Outstanding Equity Awards at 2016 Fiscal Year End</w:t>
      </w:r>
    </w:p>
    <w:p>
      <w:pPr>
        <w:spacing w:after="0" w:line="121" w:lineRule="exact"/>
        <w:rPr>
          <w:sz w:val="20"/>
          <w:szCs w:val="20"/>
          <w:color w:val="auto"/>
        </w:rPr>
      </w:pPr>
    </w:p>
    <w:p>
      <w:pPr>
        <w:jc w:val="both"/>
        <w:ind w:left="180" w:right="539" w:firstLine="270"/>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2016, to each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8"/>
              </w:rPr>
              <w:t>Options Awards</w:t>
            </w:r>
          </w:p>
        </w:tc>
        <w:tc>
          <w:tcPr>
            <w:tcW w:w="158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Number of</w:t>
            </w: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securities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underlying</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00" w:type="dxa"/>
            <w:vAlign w:val="bottom"/>
          </w:tcPr>
          <w:p>
            <w:pPr>
              <w:spacing w:after="0"/>
              <w:rPr>
                <w:sz w:val="12"/>
                <w:szCs w:val="12"/>
                <w:color w:val="auto"/>
              </w:rPr>
            </w:pPr>
          </w:p>
        </w:tc>
        <w:tc>
          <w:tcPr>
            <w:tcW w:w="8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5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7"/>
              </w:rPr>
              <w:t>Option</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exercise</w:t>
            </w:r>
          </w:p>
        </w:tc>
        <w:tc>
          <w:tcPr>
            <w:tcW w:w="15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price</w:t>
            </w:r>
          </w:p>
        </w:tc>
        <w:tc>
          <w:tcPr>
            <w:tcW w:w="15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5"/>
              </w:rPr>
              <w:t>expiration</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exercisable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un-exercisable</w:t>
            </w:r>
          </w:p>
        </w:tc>
        <w:tc>
          <w:tcPr>
            <w:tcW w:w="6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54"/>
              <w:spacing w:after="0"/>
              <w:rPr>
                <w:sz w:val="20"/>
                <w:szCs w:val="20"/>
                <w:color w:val="auto"/>
              </w:rPr>
            </w:pPr>
            <w:r>
              <w:rPr>
                <w:rFonts w:ascii="Arial" w:cs="Arial" w:eastAsia="Arial" w:hAnsi="Arial"/>
                <w:sz w:val="14"/>
                <w:szCs w:val="14"/>
                <w:b w:val="1"/>
                <w:bCs w:val="1"/>
                <w:color w:val="auto"/>
                <w:w w:val="97"/>
              </w:rPr>
              <w:t>date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Andrew D. Perlman</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34"/>
              <w:spacing w:after="0"/>
              <w:rPr>
                <w:sz w:val="20"/>
                <w:szCs w:val="20"/>
                <w:color w:val="auto"/>
              </w:rPr>
            </w:pPr>
            <w:r>
              <w:rPr>
                <w:rFonts w:ascii="Arial" w:cs="Arial" w:eastAsia="Arial" w:hAnsi="Arial"/>
                <w:sz w:val="18"/>
                <w:szCs w:val="18"/>
                <w:color w:val="auto"/>
                <w:w w:val="87"/>
              </w:rPr>
              <w:t>January 31, 2017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D. Perlman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32,816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1"/>
              </w:rPr>
              <w:t>March 13, 2018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Andrew D. Perlman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127,500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right="34"/>
              <w:spacing w:after="0"/>
              <w:rPr>
                <w:sz w:val="20"/>
                <w:szCs w:val="20"/>
                <w:color w:val="auto"/>
              </w:rPr>
            </w:pPr>
            <w:r>
              <w:rPr>
                <w:rFonts w:ascii="Arial" w:cs="Arial" w:eastAsia="Arial" w:hAnsi="Arial"/>
                <w:sz w:val="18"/>
                <w:szCs w:val="18"/>
                <w:color w:val="auto"/>
                <w:w w:val="91"/>
              </w:rPr>
              <w:t>July 26, 2022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D. Perlman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89"/>
              </w:rPr>
              <w:t>February 11, 2023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800" w:type="dxa"/>
            <w:vAlign w:val="bottom"/>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center"/>
              <w:ind w:right="34"/>
              <w:spacing w:after="0"/>
              <w:rPr>
                <w:sz w:val="20"/>
                <w:szCs w:val="20"/>
                <w:color w:val="auto"/>
              </w:rPr>
            </w:pPr>
            <w:r>
              <w:rPr>
                <w:rFonts w:ascii="Arial" w:cs="Arial" w:eastAsia="Arial" w:hAnsi="Arial"/>
                <w:sz w:val="18"/>
                <w:szCs w:val="18"/>
                <w:color w:val="auto"/>
                <w:w w:val="96"/>
              </w:rPr>
              <w:t>April 4, 2026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8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Cliff Weinstein</w:t>
            </w:r>
            <w:r>
              <w:rPr>
                <w:rFonts w:ascii="Arial" w:cs="Arial" w:eastAsia="Arial" w:hAnsi="Arial"/>
                <w:sz w:val="29"/>
                <w:szCs w:val="29"/>
                <w:color w:val="auto"/>
                <w:vertAlign w:val="superscript"/>
              </w:rPr>
              <w:t>(2)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1"/>
              </w:rPr>
              <w:t>March 13, 2018</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800" w:type="dxa"/>
            <w:vAlign w:val="bottom"/>
          </w:tcPr>
          <w:p>
            <w:pPr>
              <w:ind w:left="20"/>
              <w:spacing w:after="0" w:line="256" w:lineRule="exact"/>
              <w:rPr>
                <w:sz w:val="20"/>
                <w:szCs w:val="20"/>
                <w:color w:val="auto"/>
              </w:rPr>
            </w:pPr>
            <w:r>
              <w:rPr>
                <w:rFonts w:ascii="Arial" w:cs="Arial" w:eastAsia="Arial" w:hAnsi="Arial"/>
                <w:sz w:val="18"/>
                <w:szCs w:val="18"/>
                <w:color w:val="auto"/>
              </w:rPr>
              <w:t>Cliff Weinstein</w:t>
            </w:r>
            <w:r>
              <w:rPr>
                <w:rFonts w:ascii="Arial" w:cs="Arial" w:eastAsia="Arial" w:hAnsi="Arial"/>
                <w:sz w:val="29"/>
                <w:szCs w:val="29"/>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center"/>
              <w:ind w:right="34"/>
              <w:spacing w:after="0"/>
              <w:rPr>
                <w:sz w:val="20"/>
                <w:szCs w:val="20"/>
                <w:color w:val="auto"/>
              </w:rPr>
            </w:pPr>
            <w:r>
              <w:rPr>
                <w:rFonts w:ascii="Arial" w:cs="Arial" w:eastAsia="Arial" w:hAnsi="Arial"/>
                <w:sz w:val="18"/>
                <w:szCs w:val="18"/>
                <w:color w:val="auto"/>
                <w:w w:val="91"/>
              </w:rPr>
              <w:t>July 26, 2022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8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Cliff Weinstein</w:t>
            </w:r>
            <w:r>
              <w:rPr>
                <w:rFonts w:ascii="Arial" w:cs="Arial" w:eastAsia="Arial" w:hAnsi="Arial"/>
                <w:sz w:val="29"/>
                <w:szCs w:val="29"/>
                <w:color w:val="auto"/>
                <w:vertAlign w:val="superscript"/>
              </w:rPr>
              <w:t>(2)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89"/>
              </w:rPr>
              <w:t>February 11, 2023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2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Cliff Weinstein</w:t>
            </w:r>
            <w:r>
              <w:rPr>
                <w:rFonts w:ascii="Arial" w:cs="Arial" w:eastAsia="Arial" w:hAnsi="Arial"/>
                <w:sz w:val="30"/>
                <w:szCs w:val="30"/>
                <w:color w:val="auto"/>
                <w:vertAlign w:val="superscript"/>
              </w:rPr>
              <w:t>(1)(2)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center"/>
              <w:ind w:right="34"/>
              <w:spacing w:after="0"/>
              <w:rPr>
                <w:sz w:val="20"/>
                <w:szCs w:val="20"/>
                <w:color w:val="auto"/>
              </w:rPr>
            </w:pPr>
            <w:r>
              <w:rPr>
                <w:rFonts w:ascii="Arial" w:cs="Arial" w:eastAsia="Arial" w:hAnsi="Arial"/>
                <w:sz w:val="18"/>
                <w:szCs w:val="18"/>
                <w:color w:val="auto"/>
                <w:w w:val="96"/>
              </w:rPr>
              <w:t>April 4, 2026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0"/>
        </w:trPr>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8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8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3800" w:type="dxa"/>
            <w:vAlign w:val="bottom"/>
            <w:gridSpan w:val="3"/>
          </w:tcPr>
          <w:p>
            <w:pPr>
              <w:ind w:left="20"/>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6"/>
              </w:rPr>
              <w:t>Options Awards</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00" w:type="dxa"/>
            <w:vAlign w:val="bottom"/>
          </w:tcPr>
          <w:p>
            <w:pPr>
              <w:spacing w:after="0"/>
              <w:rPr>
                <w:sz w:val="12"/>
                <w:szCs w:val="12"/>
                <w:color w:val="auto"/>
              </w:rPr>
            </w:pPr>
          </w:p>
        </w:tc>
        <w:tc>
          <w:tcPr>
            <w:tcW w:w="7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6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exercise</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price</w:t>
            </w:r>
          </w:p>
        </w:tc>
        <w:tc>
          <w:tcPr>
            <w:tcW w:w="16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expiration</w:t>
            </w:r>
          </w:p>
        </w:tc>
        <w:tc>
          <w:tcPr>
            <w:tcW w:w="0" w:type="dxa"/>
            <w:vAlign w:val="bottom"/>
          </w:tcPr>
          <w:p>
            <w:pPr>
              <w:spacing w:after="0"/>
              <w:rPr>
                <w:sz w:val="1"/>
                <w:szCs w:val="1"/>
                <w:color w:val="auto"/>
              </w:rPr>
            </w:pPr>
          </w:p>
        </w:tc>
      </w:tr>
      <w:tr>
        <w:trPr>
          <w:trHeight w:val="171"/>
        </w:trPr>
        <w:tc>
          <w:tcPr>
            <w:tcW w:w="3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un-exercisable</w:t>
            </w:r>
          </w:p>
        </w:tc>
        <w:tc>
          <w:tcPr>
            <w:tcW w:w="64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39"/>
              <w:spacing w:after="0"/>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Anastasia Nyrkovskaya</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right="19"/>
              <w:spacing w:after="0"/>
              <w:rPr>
                <w:sz w:val="20"/>
                <w:szCs w:val="20"/>
                <w:color w:val="auto"/>
              </w:rPr>
            </w:pPr>
            <w:r>
              <w:rPr>
                <w:rFonts w:ascii="Arial" w:cs="Arial" w:eastAsia="Arial" w:hAnsi="Arial"/>
                <w:sz w:val="18"/>
                <w:szCs w:val="18"/>
                <w:color w:val="auto"/>
                <w:w w:val="90"/>
              </w:rPr>
              <w:t>May 6, 2023</w:t>
            </w: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Anastasia Nyrkovskaya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ind w:right="19"/>
              <w:spacing w:after="0"/>
              <w:rPr>
                <w:sz w:val="20"/>
                <w:szCs w:val="20"/>
                <w:color w:val="auto"/>
              </w:rPr>
            </w:pPr>
            <w:r>
              <w:rPr>
                <w:rFonts w:ascii="Arial" w:cs="Arial" w:eastAsia="Arial" w:hAnsi="Arial"/>
                <w:sz w:val="18"/>
                <w:szCs w:val="18"/>
                <w:color w:val="auto"/>
                <w:w w:val="91"/>
              </w:rPr>
              <w:t>February 20, 2024</w:t>
            </w:r>
          </w:p>
        </w:tc>
        <w:tc>
          <w:tcPr>
            <w:tcW w:w="0" w:type="dxa"/>
            <w:vAlign w:val="bottom"/>
          </w:tcPr>
          <w:p>
            <w:pPr>
              <w:spacing w:after="0"/>
              <w:rPr>
                <w:sz w:val="1"/>
                <w:szCs w:val="1"/>
                <w:color w:val="auto"/>
              </w:rPr>
            </w:pPr>
          </w:p>
        </w:tc>
      </w:tr>
      <w:tr>
        <w:trPr>
          <w:trHeight w:val="390"/>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Anastasia Nyrkovskaya</w:t>
            </w:r>
            <w:r>
              <w:rPr>
                <w:rFonts w:ascii="Arial" w:cs="Arial" w:eastAsia="Arial" w:hAnsi="Arial"/>
                <w:sz w:val="30"/>
                <w:szCs w:val="30"/>
                <w:color w:val="auto"/>
                <w:vertAlign w:val="superscript"/>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87,500</w:t>
            </w:r>
          </w:p>
        </w:tc>
        <w:tc>
          <w:tcPr>
            <w:tcW w:w="1040" w:type="dxa"/>
            <w:vAlign w:val="bottom"/>
            <w:gridSpan w:val="2"/>
          </w:tcPr>
          <w:p>
            <w:pPr>
              <w:jc w:val="right"/>
              <w:ind w:right="5"/>
              <w:spacing w:after="0"/>
              <w:rPr>
                <w:sz w:val="20"/>
                <w:szCs w:val="20"/>
                <w:color w:val="auto"/>
              </w:rPr>
            </w:pPr>
            <w:r>
              <w:rPr>
                <w:rFonts w:ascii="Arial" w:cs="Arial" w:eastAsia="Arial" w:hAnsi="Arial"/>
                <w:sz w:val="18"/>
                <w:szCs w:val="18"/>
                <w:color w:val="auto"/>
              </w:rPr>
              <w:t>262,500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center"/>
              <w:ind w:right="19"/>
              <w:spacing w:after="0"/>
              <w:rPr>
                <w:sz w:val="20"/>
                <w:szCs w:val="20"/>
                <w:color w:val="auto"/>
              </w:rPr>
            </w:pPr>
            <w:r>
              <w:rPr>
                <w:rFonts w:ascii="Arial" w:cs="Arial" w:eastAsia="Arial" w:hAnsi="Arial"/>
                <w:sz w:val="18"/>
                <w:szCs w:val="18"/>
                <w:color w:val="auto"/>
                <w:w w:val="96"/>
              </w:rPr>
              <w:t>April 4,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-1404620</wp:posOffset>
            </wp:positionV>
            <wp:extent cx="52139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86" w:lineRule="exact"/>
        <w:rPr>
          <w:sz w:val="20"/>
          <w:szCs w:val="20"/>
          <w:color w:val="auto"/>
        </w:rPr>
      </w:pPr>
    </w:p>
    <w:p>
      <w:pPr>
        <w:ind w:left="300" w:right="539" w:hanging="272"/>
        <w:spacing w:after="0" w:line="277"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value is determined by multiplying the number of shares by $2.13, the closing price of our common stock on NASDAQ on December 31, 2016, the last day of our fiscal year.</w:t>
      </w:r>
    </w:p>
    <w:p>
      <w:pPr>
        <w:spacing w:after="0" w:line="62" w:lineRule="exact"/>
        <w:rPr>
          <w:sz w:val="20"/>
          <w:szCs w:val="20"/>
          <w:color w:val="auto"/>
        </w:rPr>
      </w:pPr>
    </w:p>
    <w:p>
      <w:pPr>
        <w:ind w:left="300" w:right="519" w:hanging="272"/>
        <w:spacing w:after="0" w:line="277"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Vests in twelve equal quarterly increments (8.33% per quarter) over the three years, subject to the participant’s continuous service on the relevant vesting date.</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Weinstein ceased to be an executive officer of FORM as of May 15, 2017.</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following summarizes the potential payments to each of our named executive officers as of December 31, 2016 upon termination or change-in-control. The discussion assumes that such event occurred on December 30, 2016, the last business day of our fiscal year, at which time the closing price of our common stock as listed on NASDAQ was $2.13 per share. For a further discussion of these provisions see the “Narrative Disclosure to Summary Compensation Table and Grants of Plan-Based Awards Table” above.</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Andrew D. Perlman</w:t>
      </w:r>
    </w:p>
    <w:p>
      <w:pPr>
        <w:spacing w:after="0" w:line="117"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In the event Mr. Perlman’s employment was terminated for (i) Good Reason by Mr. Perlman, or (ii) by us without Cause on December 31, 2016, Mr. Perlman would have received severance in the amount of one year of base salary, and COBRA payments totaling approximately $40,775. In addition, in the event a change-in-control had occurred on December 31, 2016, Mr. Perlman would have received severance in the amount of one year of base salary, or $435,000, and Mr. Perlman would have been entitled to receive 75% acceleration of certain unvested options, which had an intrinsic value of $348,000 as of December 31, 2016.</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Cliff Weinstein</w:t>
      </w:r>
    </w:p>
    <w:p>
      <w:pPr>
        <w:spacing w:after="0" w:line="117" w:lineRule="exact"/>
        <w:rPr>
          <w:sz w:val="20"/>
          <w:szCs w:val="20"/>
          <w:color w:val="auto"/>
        </w:rPr>
      </w:pPr>
    </w:p>
    <w:p>
      <w:pPr>
        <w:jc w:val="both"/>
        <w:ind w:left="60" w:right="519" w:firstLine="270"/>
        <w:spacing w:after="0" w:line="302" w:lineRule="auto"/>
        <w:rPr>
          <w:sz w:val="20"/>
          <w:szCs w:val="20"/>
          <w:color w:val="auto"/>
        </w:rPr>
      </w:pPr>
      <w:r>
        <w:rPr>
          <w:rFonts w:ascii="Arial" w:cs="Arial" w:eastAsia="Arial" w:hAnsi="Arial"/>
          <w:sz w:val="16"/>
          <w:szCs w:val="16"/>
          <w:color w:val="auto"/>
        </w:rPr>
        <w:t>In the event Mr. Weinstein’s employment was terminated for (i) Good Reason by Mr. Weinstein, or (ii) by us without Cause on December 31, 2016, Mr. Weinstein would have received severance in the amount of one year of base salary, or $375,000, and COBRA payments totaling approximately $40,775. In addition, upon a change-in-control, Mr. Weinstein would have been entitled to receive 75% acceleration of certain unvested options, which had an intrinsic value of $348,000 as of December 31, 2016.</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117"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In the event Ms. Nyrkovskaya’s employment was terminated for (i) Good Reason by Ms. Nyrkovskaya, or (ii) by us without Cause on December 31, 2016, Ms. Nyrkovskaya would have received severance in the amount of one year of base salary, or $325,000, and COBRA payments totaling approximately $40,775. In addition, upon a change-in-control, Ms. Nyrkovskaya would have been entitled to receive 75% acceleration of certain unvested options, which had an intrinsic value of $152,250 as of December 31, 2016.</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25" w:name="page26"/>
    <w:bookmarkEnd w:id="25"/>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2016. Directors who are employed by us are not compensated for their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5213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1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or Paid</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Cash</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90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John Engelman</w:t>
            </w:r>
            <w:r>
              <w:rPr>
                <w:rFonts w:ascii="Arial" w:cs="Arial" w:eastAsia="Arial" w:hAnsi="Arial"/>
                <w:sz w:val="28"/>
                <w:szCs w:val="28"/>
                <w:color w:val="auto"/>
                <w:vertAlign w:val="superscript"/>
              </w:rPr>
              <w:t>(2)</w:t>
            </w:r>
          </w:p>
        </w:tc>
        <w:tc>
          <w:tcPr>
            <w:tcW w:w="11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40,814</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90,814</w:t>
            </w:r>
          </w:p>
        </w:tc>
        <w:tc>
          <w:tcPr>
            <w:tcW w:w="0" w:type="dxa"/>
            <w:vAlign w:val="bottom"/>
          </w:tcPr>
          <w:p>
            <w:pPr>
              <w:spacing w:after="0"/>
              <w:rPr>
                <w:sz w:val="1"/>
                <w:szCs w:val="1"/>
                <w:color w:val="auto"/>
              </w:rPr>
            </w:pPr>
          </w:p>
        </w:tc>
      </w:tr>
      <w:tr>
        <w:trPr>
          <w:trHeight w:val="257"/>
        </w:trPr>
        <w:tc>
          <w:tcPr>
            <w:tcW w:w="39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(3)</w:t>
            </w:r>
          </w:p>
        </w:tc>
        <w:tc>
          <w:tcPr>
            <w:tcW w:w="1100" w:type="dxa"/>
            <w:vAlign w:val="bottom"/>
            <w:gridSpan w:val="2"/>
          </w:tcPr>
          <w:p>
            <w:pPr>
              <w:jc w:val="right"/>
              <w:ind w:right="4"/>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40,814</w:t>
            </w:r>
          </w:p>
        </w:tc>
        <w:tc>
          <w:tcPr>
            <w:tcW w:w="160" w:type="dxa"/>
            <w:vAlign w:val="bottom"/>
          </w:tcPr>
          <w:p>
            <w:pPr>
              <w:spacing w:after="0"/>
              <w:rPr>
                <w:sz w:val="22"/>
                <w:szCs w:val="22"/>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90,814</w:t>
            </w:r>
          </w:p>
        </w:tc>
        <w:tc>
          <w:tcPr>
            <w:tcW w:w="0" w:type="dxa"/>
            <w:vAlign w:val="bottom"/>
          </w:tcPr>
          <w:p>
            <w:pPr>
              <w:spacing w:after="0"/>
              <w:rPr>
                <w:sz w:val="1"/>
                <w:szCs w:val="1"/>
                <w:color w:val="auto"/>
              </w:rPr>
            </w:pPr>
          </w:p>
        </w:tc>
      </w:tr>
      <w:tr>
        <w:trPr>
          <w:trHeight w:val="257"/>
        </w:trPr>
        <w:tc>
          <w:tcPr>
            <w:tcW w:w="39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(4)</w:t>
            </w:r>
          </w:p>
        </w:tc>
        <w:tc>
          <w:tcPr>
            <w:tcW w:w="11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18,407</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54,177</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72,584</w:t>
            </w:r>
          </w:p>
        </w:tc>
        <w:tc>
          <w:tcPr>
            <w:tcW w:w="0" w:type="dxa"/>
            <w:vAlign w:val="bottom"/>
          </w:tcPr>
          <w:p>
            <w:pPr>
              <w:spacing w:after="0"/>
              <w:rPr>
                <w:sz w:val="1"/>
                <w:szCs w:val="1"/>
                <w:color w:val="auto"/>
              </w:rPr>
            </w:pPr>
          </w:p>
        </w:tc>
      </w:tr>
      <w:tr>
        <w:trPr>
          <w:trHeight w:val="257"/>
        </w:trPr>
        <w:tc>
          <w:tcPr>
            <w:tcW w:w="39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(5)</w:t>
            </w:r>
          </w:p>
        </w:tc>
        <w:tc>
          <w:tcPr>
            <w:tcW w:w="1100" w:type="dxa"/>
            <w:vAlign w:val="bottom"/>
            <w:gridSpan w:val="2"/>
          </w:tcPr>
          <w:p>
            <w:pPr>
              <w:jc w:val="right"/>
              <w:ind w:right="4"/>
              <w:spacing w:after="0"/>
              <w:rPr>
                <w:sz w:val="20"/>
                <w:szCs w:val="20"/>
                <w:color w:val="auto"/>
              </w:rPr>
            </w:pPr>
            <w:r>
              <w:rPr>
                <w:rFonts w:ascii="Arial" w:cs="Arial" w:eastAsia="Arial" w:hAnsi="Arial"/>
                <w:sz w:val="18"/>
                <w:szCs w:val="18"/>
                <w:color w:val="auto"/>
              </w:rPr>
              <w:t>44,780</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48,976</w:t>
            </w:r>
          </w:p>
        </w:tc>
        <w:tc>
          <w:tcPr>
            <w:tcW w:w="160" w:type="dxa"/>
            <w:vAlign w:val="bottom"/>
          </w:tcPr>
          <w:p>
            <w:pPr>
              <w:spacing w:after="0"/>
              <w:rPr>
                <w:sz w:val="22"/>
                <w:szCs w:val="22"/>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93,756</w:t>
            </w:r>
          </w:p>
        </w:tc>
        <w:tc>
          <w:tcPr>
            <w:tcW w:w="0" w:type="dxa"/>
            <w:vAlign w:val="bottom"/>
          </w:tcPr>
          <w:p>
            <w:pPr>
              <w:spacing w:after="0"/>
              <w:rPr>
                <w:sz w:val="1"/>
                <w:szCs w:val="1"/>
                <w:color w:val="auto"/>
              </w:rPr>
            </w:pPr>
          </w:p>
        </w:tc>
      </w:tr>
      <w:tr>
        <w:trPr>
          <w:trHeight w:val="257"/>
        </w:trPr>
        <w:tc>
          <w:tcPr>
            <w:tcW w:w="39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Richard K. Abbe</w:t>
            </w:r>
            <w:r>
              <w:rPr>
                <w:rFonts w:ascii="Arial" w:cs="Arial" w:eastAsia="Arial" w:hAnsi="Arial"/>
                <w:sz w:val="29"/>
                <w:szCs w:val="29"/>
                <w:color w:val="auto"/>
                <w:vertAlign w:val="superscript"/>
              </w:rPr>
              <w:t>(6)</w:t>
            </w:r>
          </w:p>
        </w:tc>
        <w:tc>
          <w:tcPr>
            <w:tcW w:w="11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40,659</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40,814</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81,473</w:t>
            </w:r>
          </w:p>
        </w:tc>
        <w:tc>
          <w:tcPr>
            <w:tcW w:w="0" w:type="dxa"/>
            <w:vAlign w:val="bottom"/>
          </w:tcPr>
          <w:p>
            <w:pPr>
              <w:spacing w:after="0"/>
              <w:rPr>
                <w:sz w:val="1"/>
                <w:szCs w:val="1"/>
                <w:color w:val="auto"/>
              </w:rPr>
            </w:pPr>
          </w:p>
        </w:tc>
      </w:tr>
      <w:tr>
        <w:trPr>
          <w:trHeight w:val="257"/>
        </w:trPr>
        <w:tc>
          <w:tcPr>
            <w:tcW w:w="39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Andrew R. Heyer</w:t>
            </w:r>
            <w:r>
              <w:rPr>
                <w:rFonts w:ascii="Arial" w:cs="Arial" w:eastAsia="Arial" w:hAnsi="Arial"/>
                <w:sz w:val="29"/>
                <w:szCs w:val="29"/>
                <w:color w:val="auto"/>
                <w:vertAlign w:val="superscript"/>
              </w:rPr>
              <w:t>(7)</w:t>
            </w:r>
          </w:p>
        </w:tc>
        <w:tc>
          <w:tcPr>
            <w:tcW w:w="16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Ashley C. Keller</w:t>
            </w:r>
            <w:r>
              <w:rPr>
                <w:rFonts w:ascii="Arial" w:cs="Arial" w:eastAsia="Arial" w:hAnsi="Arial"/>
                <w:sz w:val="29"/>
                <w:szCs w:val="29"/>
                <w:color w:val="auto"/>
                <w:vertAlign w:val="superscript"/>
              </w:rPr>
              <w:t>(8)</w:t>
            </w:r>
          </w:p>
        </w:tc>
        <w:tc>
          <w:tcPr>
            <w:tcW w:w="11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3,654</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57"/>
        </w:trPr>
        <w:tc>
          <w:tcPr>
            <w:tcW w:w="39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(9)</w:t>
            </w:r>
          </w:p>
        </w:tc>
        <w:tc>
          <w:tcPr>
            <w:tcW w:w="1100" w:type="dxa"/>
            <w:vAlign w:val="bottom"/>
            <w:gridSpan w:val="2"/>
          </w:tcPr>
          <w:p>
            <w:pPr>
              <w:jc w:val="right"/>
              <w:ind w:right="4"/>
              <w:spacing w:after="0"/>
              <w:rPr>
                <w:sz w:val="20"/>
                <w:szCs w:val="20"/>
                <w:color w:val="auto"/>
              </w:rPr>
            </w:pPr>
            <w:r>
              <w:rPr>
                <w:rFonts w:ascii="Arial" w:cs="Arial" w:eastAsia="Arial" w:hAnsi="Arial"/>
                <w:sz w:val="18"/>
                <w:szCs w:val="18"/>
                <w:color w:val="auto"/>
              </w:rPr>
              <w:t>6,774</w:t>
            </w: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57"/>
        </w:trPr>
        <w:tc>
          <w:tcPr>
            <w:tcW w:w="39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(10)</w:t>
            </w:r>
          </w:p>
        </w:tc>
        <w:tc>
          <w:tcPr>
            <w:tcW w:w="11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6,868</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300" w:right="519" w:hanging="272"/>
        <w:spacing w:after="0" w:line="264"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See Notes 2 and 11 of the consolidated financial statements disclosed in the Form 10-K for the year ended December 31, 2016, for the assumptions made in the valuation of the equity awards.</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2016, Mr. Engelman held 115,250 fully vested options.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2016, Mr. Stout held 96,618 fully vested options.</w:t>
      </w:r>
    </w:p>
    <w:p>
      <w:pPr>
        <w:spacing w:after="0" w:line="117"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Giardina joined our Board of Directors in May 2016. As of December 31, 2016, Mr. Giardina held 45,000 fully vested options.</w:t>
      </w:r>
    </w:p>
    <w:p>
      <w:pPr>
        <w:spacing w:after="0" w:line="62"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Bernstein joined our Board of Directors in February 2016. As of December 31, 2016, Mr. Bernstein held 60,000 fully vested options.</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Abbe joined our Board of Directors in March 2016. As of December 31, 2016, Mr. Abbe held 50,000 fully vested options.</w:t>
      </w:r>
    </w:p>
    <w:p>
      <w:pPr>
        <w:spacing w:after="0" w:line="140" w:lineRule="exact"/>
        <w:rPr>
          <w:rFonts w:ascii="Arial" w:cs="Arial" w:eastAsia="Arial" w:hAnsi="Arial"/>
          <w:sz w:val="16"/>
          <w:szCs w:val="16"/>
          <w:color w:val="auto"/>
        </w:rPr>
      </w:pPr>
    </w:p>
    <w:p>
      <w:pPr>
        <w:ind w:left="300" w:right="539" w:hanging="27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Heyer joined our Board of Directors in December 2016. As of December 31, 2016, Mr. Heyer did not hold any fully vested options.</w:t>
      </w:r>
    </w:p>
    <w:p>
      <w:pPr>
        <w:spacing w:after="0" w:line="62"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Keller resigned from our Board of Directors in February 2016. As of December 31, 2016, Mr. Keller did not hold any fully vested options.</w:t>
      </w:r>
    </w:p>
    <w:p>
      <w:pPr>
        <w:spacing w:after="0" w:line="62"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Spiegel resigned from our Board of Directors in March 2016. As of December 31, 2016, Mr. Spiegel did not hold any fully vested options.</w:t>
      </w:r>
    </w:p>
    <w:p>
      <w:pPr>
        <w:spacing w:after="0" w:line="62" w:lineRule="exact"/>
        <w:rPr>
          <w:rFonts w:ascii="Arial" w:cs="Arial" w:eastAsia="Arial" w:hAnsi="Arial"/>
          <w:sz w:val="18"/>
          <w:szCs w:val="18"/>
          <w:color w:val="auto"/>
        </w:rPr>
      </w:pPr>
    </w:p>
    <w:p>
      <w:pPr>
        <w:ind w:left="340" w:right="519" w:hanging="31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Mr. Sinclair resigned from our Board of Directors in March 2016. As of December 31, 2016, Mr. Sinclair did not hold any fully vested options.</w:t>
      </w:r>
    </w:p>
    <w:p>
      <w:pPr>
        <w:spacing w:after="0" w:line="38"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62"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On February 8, 2016, Mr. Ashley C. Keller resigned from his position as a member of the Board of Directors and as a member of all committees of the Board of Directors on which he served. Upon the recommendation of the Nominating and Corporate Governance Committee, the Board of Directors appointed Mr. Bruce T. Bernstein as a member of the Board of Directors, effective immediately, to fill the vacancy created by the resignation of Mr. Keller from the Board of Directors and to hold office until his successor is duly elected and qualified.</w:t>
      </w:r>
    </w:p>
    <w:p>
      <w:pPr>
        <w:spacing w:after="0" w:line="80" w:lineRule="exact"/>
        <w:rPr>
          <w:sz w:val="20"/>
          <w:szCs w:val="20"/>
          <w:color w:val="auto"/>
        </w:rPr>
      </w:pPr>
    </w:p>
    <w:p>
      <w:pPr>
        <w:jc w:val="both"/>
        <w:ind w:left="60" w:right="539" w:firstLine="270"/>
        <w:spacing w:after="0" w:line="312" w:lineRule="auto"/>
        <w:rPr>
          <w:sz w:val="20"/>
          <w:szCs w:val="20"/>
          <w:color w:val="auto"/>
        </w:rPr>
      </w:pPr>
      <w:r>
        <w:rPr>
          <w:rFonts w:ascii="Arial" w:cs="Arial" w:eastAsia="Arial" w:hAnsi="Arial"/>
          <w:sz w:val="16"/>
          <w:szCs w:val="16"/>
          <w:color w:val="auto"/>
        </w:rPr>
        <w:t>On March 11, 2016, Mr. Noel J. Spiegel resigned from his position as a member of the Board of Directors and as a member of all committees of the Board of Directors on which he served. On March 12, 2016, Mr. H. Van Sinclair resigned from his position as a member of the Board of Directors and as a member of all committees of the Board of Directors on which he served.</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On March 9, 2016, upon the recommendation of the Nominating and Corporate Governance Committee, the Board of Directors appointed Mr. Richard K. Abbe as a member of the Board of Directors, effective immediately. On May 19, 2016, upon the recommendation of the Nominating and Corporate Governance Committee, the Board of Directors appointed Salvatore Giardina as a member of the Board of Directors, effective immediately.</w:t>
      </w:r>
    </w:p>
    <w:p>
      <w:pPr>
        <w:spacing w:after="0" w:line="79"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On December 23, 2016, upon the recommendation of the Nominating and Corporate Governance Committee, the Board of Directors appointed Mr. Andrew R. Heyer as a member of the Board of Directors, effective immediately.</w:t>
      </w:r>
    </w:p>
    <w:p>
      <w:pPr>
        <w:spacing w:after="0" w:line="62"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On April 4, 2016, we granted options to purchase shares of our common stock to each of our non-employee directors and we agreed to pay each of our non-employee directors an annual cash retainer of $50,000 payable quarterly in arrears for services in 2016. Messrs. Engelman, Stout, and Abbe were each granted options to purchase 50,000 shares of our common stock and Mr. Bernstein was granted options to purchase 60,000 shares of our common stock at an exercise price of $1.55 per share, which vested evenly over four quarters, with the first vesting date on April 4, 2016 and then vesting at the end of each fiscal quarter.</w:t>
      </w:r>
    </w:p>
    <w:p>
      <w:pPr>
        <w:spacing w:after="0" w:line="50"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Following his appointment to the Board of Directors on May 19, 2016, Mr. Giardina was granted options to purchase 60,000 shares of our common stock at an exercise price of $1.72 on that same date, which vested evenly over four quarters, with the first vesting date on June 30, 2016 and then vesting at the end of each fiscal quarter.</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The following table provides certain aggregate information, as of December 31, 2016, with respect to all of our equity compensation plans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 of securities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 of securities to</w:t>
            </w:r>
          </w:p>
        </w:tc>
        <w:tc>
          <w:tcPr>
            <w:tcW w:w="1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 issued upon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4"/>
              </w:rPr>
              <w:t>and rights</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99"/>
        </w:trPr>
        <w:tc>
          <w:tcPr>
            <w:tcW w:w="308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w w:val="89"/>
              </w:rPr>
              <w:t>Total equity compensation plans approved</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080" w:type="dxa"/>
            <w:vAlign w:val="bottom"/>
            <w:shd w:val="clear" w:color="auto" w:fill="CCEEFF"/>
          </w:tcPr>
          <w:p>
            <w:pPr>
              <w:ind w:left="200"/>
              <w:spacing w:after="0" w:line="266" w:lineRule="exact"/>
              <w:rPr>
                <w:sz w:val="20"/>
                <w:szCs w:val="20"/>
                <w:color w:val="auto"/>
              </w:rPr>
            </w:pPr>
            <w:r>
              <w:rPr>
                <w:rFonts w:ascii="Arial" w:cs="Arial" w:eastAsia="Arial" w:hAnsi="Arial"/>
                <w:sz w:val="18"/>
                <w:szCs w:val="18"/>
                <w:color w:val="auto"/>
              </w:rPr>
              <w:t>by security holders</w:t>
            </w:r>
            <w:r>
              <w:rPr>
                <w:rFonts w:ascii="Arial" w:cs="Arial" w:eastAsia="Arial" w:hAnsi="Arial"/>
                <w:sz w:val="30"/>
                <w:szCs w:val="30"/>
                <w:color w:val="auto"/>
                <w:vertAlign w:val="superscript"/>
              </w:rPr>
              <w:t>(1),(2)</w:t>
            </w:r>
          </w:p>
        </w:tc>
        <w:tc>
          <w:tcPr>
            <w:tcW w:w="1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3,674,983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7.60</w:t>
            </w:r>
          </w:p>
        </w:tc>
        <w:tc>
          <w:tcPr>
            <w:tcW w:w="16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3,115,843</w:t>
            </w:r>
          </w:p>
        </w:tc>
        <w:tc>
          <w:tcPr>
            <w:tcW w:w="0" w:type="dxa"/>
            <w:vAlign w:val="bottom"/>
          </w:tcPr>
          <w:p>
            <w:pPr>
              <w:spacing w:after="0"/>
              <w:rPr>
                <w:sz w:val="1"/>
                <w:szCs w:val="1"/>
                <w:color w:val="auto"/>
              </w:rPr>
            </w:pPr>
          </w:p>
        </w:tc>
      </w:tr>
      <w:tr>
        <w:trPr>
          <w:trHeight w:val="205"/>
        </w:trPr>
        <w:tc>
          <w:tcPr>
            <w:tcW w:w="3080" w:type="dxa"/>
            <w:vAlign w:val="bottom"/>
          </w:tcPr>
          <w:p>
            <w:pPr>
              <w:ind w:left="20"/>
              <w:spacing w:after="0" w:line="206" w:lineRule="exact"/>
              <w:rPr>
                <w:sz w:val="20"/>
                <w:szCs w:val="20"/>
                <w:color w:val="auto"/>
              </w:rPr>
            </w:pPr>
            <w:r>
              <w:rPr>
                <w:rFonts w:ascii="Arial" w:cs="Arial" w:eastAsia="Arial" w:hAnsi="Arial"/>
                <w:sz w:val="18"/>
                <w:szCs w:val="18"/>
                <w:color w:val="auto"/>
                <w:w w:val="93"/>
              </w:rPr>
              <w:t>Equity compensation plans not approved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3080" w:type="dxa"/>
            <w:vAlign w:val="bottom"/>
          </w:tcPr>
          <w:p>
            <w:pPr>
              <w:ind w:left="200"/>
              <w:spacing w:after="0"/>
              <w:rPr>
                <w:sz w:val="20"/>
                <w:szCs w:val="20"/>
                <w:color w:val="auto"/>
              </w:rPr>
            </w:pPr>
            <w:r>
              <w:rPr>
                <w:rFonts w:ascii="Arial" w:cs="Arial" w:eastAsia="Arial" w:hAnsi="Arial"/>
                <w:sz w:val="18"/>
                <w:szCs w:val="18"/>
                <w:color w:val="auto"/>
              </w:rPr>
              <w:t>by security holders</w:t>
            </w:r>
            <w:r>
              <w:rPr>
                <w:rFonts w:ascii="Arial" w:cs="Arial" w:eastAsia="Arial" w:hAnsi="Arial"/>
                <w:sz w:val="30"/>
                <w:szCs w:val="30"/>
                <w:color w:val="auto"/>
                <w:vertAlign w:val="superscript"/>
              </w:rPr>
              <w:t>(3)</w:t>
            </w:r>
          </w:p>
        </w:tc>
        <w:tc>
          <w:tcPr>
            <w:tcW w:w="1380" w:type="dxa"/>
            <w:vAlign w:val="bottom"/>
            <w:gridSpan w:val="2"/>
          </w:tcPr>
          <w:p>
            <w:pPr>
              <w:jc w:val="right"/>
              <w:ind w:right="8"/>
              <w:spacing w:after="0"/>
              <w:rPr>
                <w:sz w:val="20"/>
                <w:szCs w:val="20"/>
                <w:color w:val="auto"/>
              </w:rPr>
            </w:pPr>
            <w:r>
              <w:rPr>
                <w:rFonts w:ascii="Arial" w:cs="Arial" w:eastAsia="Arial" w:hAnsi="Arial"/>
                <w:sz w:val="18"/>
                <w:szCs w:val="18"/>
                <w:color w:val="auto"/>
              </w:rPr>
              <w:t>4,118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3"/>
              <w:spacing w:after="0"/>
              <w:rPr>
                <w:sz w:val="20"/>
                <w:szCs w:val="20"/>
                <w:color w:val="auto"/>
              </w:rPr>
            </w:pPr>
            <w:r>
              <w:rPr>
                <w:rFonts w:ascii="Arial" w:cs="Arial" w:eastAsia="Arial" w:hAnsi="Arial"/>
                <w:sz w:val="18"/>
                <w:szCs w:val="18"/>
                <w:color w:val="auto"/>
              </w:rPr>
              <w:t>9.94</w:t>
            </w:r>
          </w:p>
        </w:tc>
        <w:tc>
          <w:tcPr>
            <w:tcW w:w="160" w:type="dxa"/>
            <w:vAlign w:val="bottom"/>
          </w:tcPr>
          <w:p>
            <w:pPr>
              <w:spacing w:after="0"/>
              <w:rPr>
                <w:sz w:val="24"/>
                <w:szCs w:val="24"/>
                <w:color w:val="auto"/>
              </w:rPr>
            </w:pPr>
          </w:p>
        </w:tc>
        <w:tc>
          <w:tcPr>
            <w:tcW w:w="1500" w:type="dxa"/>
            <w:vAlign w:val="bottom"/>
          </w:tcPr>
          <w:p>
            <w:pPr>
              <w:jc w:val="right"/>
              <w:ind w:right="4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300" w:right="539" w:hanging="272"/>
        <w:spacing w:after="0" w:line="286" w:lineRule="auto"/>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These plans consist of the 2012 Plan, as amended on November 23, 2016, and the 2006 Plan. Under the amended 2012 Plan, a maximum of 7,100,000 shares of common stock may be awarded. The 2012 Plan was originally approved by our stockholders on July 19, 2012, following the merger with Innovate/Protect, replacing our then existing 2006 Plan.</w:t>
      </w:r>
    </w:p>
    <w:p>
      <w:pPr>
        <w:spacing w:after="0" w:line="57" w:lineRule="exact"/>
        <w:rPr>
          <w:rFonts w:ascii="Arial" w:cs="Arial" w:eastAsia="Arial" w:hAnsi="Arial"/>
          <w:sz w:val="17"/>
          <w:szCs w:val="17"/>
          <w:color w:val="auto"/>
        </w:rPr>
      </w:pPr>
    </w:p>
    <w:p>
      <w:pPr>
        <w:jc w:val="both"/>
        <w:ind w:left="300" w:right="519" w:hanging="272"/>
        <w:spacing w:after="0" w:line="264"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numbers of securities to be issued upon exercise of outstanding equities are 3,586,167 and 88,816 for the 2012 Plan and the 2006 Plan, respectively. The weighted-average exercise prices of outstanding options are $7.25 and $21.65 for the 2012 Plan and the 2006 Plan, respectively.</w:t>
      </w:r>
    </w:p>
    <w:p>
      <w:pPr>
        <w:spacing w:after="0" w:line="73" w:lineRule="exact"/>
        <w:rPr>
          <w:rFonts w:ascii="Arial" w:cs="Arial" w:eastAsia="Arial" w:hAnsi="Arial"/>
          <w:sz w:val="18"/>
          <w:szCs w:val="18"/>
          <w:color w:val="auto"/>
        </w:rPr>
      </w:pPr>
    </w:p>
    <w:p>
      <w:pPr>
        <w:jc w:val="both"/>
        <w:ind w:left="300" w:right="519" w:hanging="272"/>
        <w:spacing w:after="0" w:line="297" w:lineRule="auto"/>
        <w:tabs>
          <w:tab w:leader="none" w:pos="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plan consists of Innovate/Protect’s 2011 Equity Incentive Plan assumed by us in connection with the merger, which provided for incentive stock options, nonqualified stock options, stock appreciation rights, restricted stocks, restricted stock units, stock bonus awards and performance compensation awards to be issued to directors, officers, managers, employees, consultants and advisors of Innovate/Protect and its affiliates, as defined in the plan (after giving effect to the one-for-ten reverse stock split). As of the merger, no further issuances can be made under this plan and any forfeitures cannot be reused.</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REPORT OF AUDIT COMMITTEE</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Audit Committee of the Board of Directors, which consists entirely of directors who meet the independence and experience requirements of the NASDAQ Capital Market, has furnished the following report:</w:t>
      </w:r>
    </w:p>
    <w:p>
      <w:pPr>
        <w:spacing w:after="0" w:line="62"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t>
      </w:r>
      <w:r>
        <w:rPr>
          <w:rFonts w:ascii="Arial" w:cs="Arial" w:eastAsia="Arial" w:hAnsi="Arial"/>
          <w:sz w:val="17"/>
          <w:szCs w:val="17"/>
          <w:i w:val="1"/>
          <w:iCs w:val="1"/>
          <w:color w:val="auto"/>
        </w:rPr>
        <w:t>www.formholdings.com</w:t>
      </w:r>
      <w:r>
        <w:rPr>
          <w:rFonts w:ascii="Arial" w:cs="Arial" w:eastAsia="Arial" w:hAnsi="Arial"/>
          <w:sz w:val="17"/>
          <w:szCs w:val="17"/>
          <w:color w:val="auto"/>
        </w:rPr>
        <w:t>. This committee reviews and reassesses our charter annually and recommends any changes to the Board for approval. The Audit Committee is responsible for overseeing our overall financial reporting process, and for the appointment, compensation, retention, and oversight of the work of CohnReznick LLP. In fulfilling its responsibilities for the financial statements for fiscal year ended December 31, 2016, the Audit Committee took the following actions:</w:t>
      </w:r>
    </w:p>
    <w:p>
      <w:pPr>
        <w:spacing w:after="0" w:line="70" w:lineRule="exact"/>
        <w:rPr>
          <w:sz w:val="20"/>
          <w:szCs w:val="20"/>
          <w:color w:val="auto"/>
        </w:rPr>
      </w:pPr>
    </w:p>
    <w:p>
      <w:pPr>
        <w:ind w:left="600" w:right="51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2016 with management and CohnReznick LLP, our independent registered public accounting firm;</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Discussed with CohnReznick LLP the matters required to be discussed in accordance with Auditing Standard No. 16 —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600" w:right="519" w:hanging="322"/>
        <w:spacing w:after="0" w:line="276"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Received written disclosures and the letter from CohnReznick LLP regarding its independence as required by applicable requirements of the Public Company Accounting Oversight Board regarding CohnReznick LLP communications with the Audit Committee and the Audit Committee further discussed with CohnReznick LLP their independence. The Audit Committee also considered the status of pending litigation, taxation matters and other areas of oversight relating to the financial reporting and audit process that the committee determined appropriate.</w:t>
      </w:r>
    </w:p>
    <w:p>
      <w:pPr>
        <w:spacing w:after="0" w:line="64"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CohnReznick LLP, the Audit Committee recommended to the Board that the audited financial statements be included in our Annual Report on Form 10-K for the fiscal year ended December 31, 2016 for filing with the SEC.</w:t>
      </w:r>
    </w:p>
    <w:p>
      <w:pPr>
        <w:spacing w:after="0" w:line="7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Members of the FORM Holdings Corp. Audit Committee</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Bruce T. Bernstein</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Salvatore Giardina</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Our records reflect that all reports which were required to be filed pursuant to Section 16(a) of the Securities Exchange Act of 1934, as amended, were filed on a timely basis, except that one report, covering an aggregate of six transactions, was filed late by Bruce T. Bernstein, one report, covering an aggregate of one transaction, was filed late by Salvatore Giardina, and an initial report of ownership was filed late by Edward Jankowski.</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0" w:right="2359" w:firstLine="1772"/>
        <w:spacing w:after="0" w:line="393" w:lineRule="auto"/>
        <w:rPr>
          <w:sz w:val="20"/>
          <w:szCs w:val="20"/>
          <w:color w:val="auto"/>
        </w:rPr>
      </w:pPr>
      <w:r>
        <w:rPr>
          <w:rFonts w:ascii="Arial" w:cs="Arial" w:eastAsia="Arial" w:hAnsi="Arial"/>
          <w:sz w:val="18"/>
          <w:szCs w:val="18"/>
          <w:b w:val="1"/>
          <w:bCs w:val="1"/>
          <w:color w:val="auto"/>
        </w:rPr>
        <w:t>CERTAIN RELATIONSHIPS AND RELATED PERSON TRANSACTIONS Related Person Transactions Approval Policy</w:t>
      </w:r>
    </w:p>
    <w:p>
      <w:pPr>
        <w:spacing w:after="0" w:line="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Any transaction with a related party involving the payment of total consideration over $25,000 must be approved by our Audit Committee or a majority of our independent directors who do not have an interest in the transaction and who will have access, at our expense, to our independent legal counsel.</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December 31, 2016, we entered into the following related party transactions:</w:t>
      </w:r>
    </w:p>
    <w:p>
      <w:pPr>
        <w:spacing w:after="0" w:line="117"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We engaged various parties to perform valuations, legal, financial and tax due diligence associated with the XpresSpa acquisition and other merger and acquisition projects. Among the service providers, we engaged RedRidge Lender Services LLC (“RedRidge”) to perform financial due diligence regarding the acquisition of XpresSpa. Andrew Perlman, our Chief Executive Officer, and certain members of his family own a minority equity position in RedRidge, which may be considered a related party. The audit committee of our Board of Directors reviewed and approved the engagement of RedRidge. The fee for the XpresSpa engagement was $101,000 and the fees for other engagements were $60,000 all of which were incurred during the year ended December 31, 2016 and are reflected in the general and administrative expense in the consolidated statements of operations and comprehensive loss.</w:t>
      </w:r>
    </w:p>
    <w:p>
      <w:pPr>
        <w:spacing w:after="0" w:line="8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XpresSpa entered in a credit agreement and secured promissory note (“Debt”) with Rockmore Investment Master Fund Ltd. (“Rockmore”) on April 22, 2015 that was amended on August 8, 2016. The principal amount of the debt is $6,500,000. Rockmore is an investment entity controlled by our board member, Bruce T. Bernstein. We believe the terms of the Debt were reflective of market rates as of the time of issuance. In addition, we paid $212,000 to Bruce T. Bernstein in March 2017 for the legal costs incurred in conjunction with the acquisition of XpresSpa and Amiral legal proceedings prior to the completion of the acquisition, as he was indemnified by XpresSpa. These costs are included in the accounts payable, accrued expenses and other current liabilities in the consolidated balance sheet as of December 31, 2016.</w:t>
      </w:r>
    </w:p>
    <w:p>
      <w:pPr>
        <w:spacing w:after="0" w:line="70"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Additionally, on July 1, 2016, we repaid in full the amended Senior Secured Convertible Notes (“Notes”), which we entered into in 2015, including a fee for early repayment, in the amount of $2,011,000. The Notes were held by the investors, which included entities controlled by our board member, Richard Abbe, who joined our Board of Directors in March 2016.</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121"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us, either directly or indirectly. Based upon this review, we believe that Messrs. Engelman, Stout, Giardina, Bernstein, Heyer and Abbe qualify as independent directors in accordance with the standards set by NASDAQ, as well as Rule 10A-3 promulgated under the Securities Exchange Act of 1934, as amended (“the Exchange Act”). Accordingly, our Board of Directors is comprised of a majority of independent directors as required by NASDAQ rules. The Board has also determined that each member of the Audit Committee, the Compensation Committee and the Nominating and Corporate Governance Committee meets the independence requirements applicable to each such committee member prescribed by NASDAQ and the SEC. The Board has further determined that Messrs. Giardina and Bernstein are “audit committee financial experts” as defined in the rules of the SEC.</w:t>
      </w: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(Notice Item 1)</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August 31, 2017 the Board of Directors nominated Andrew D. Perlman, John Engelman, Donald E. Stout, Salvatore Giardina, Bruce T. Bernstein and Richard K. Abbe for election by the holders of common stock at the annual meeting. If they are elected, they will serve on our Board of Directors until the 2018 annual meeting of stockholders and until their respective successors have been elected and qualified.</w:t>
      </w:r>
    </w:p>
    <w:p>
      <w:pPr>
        <w:spacing w:after="0" w:line="75"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7"/>
          <w:szCs w:val="17"/>
          <w:color w:val="auto"/>
        </w:rPr>
        <w:t xml:space="preserve">Unless authority to vote for any of these nominees is withheld, the shares represented by the enclosed proxy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as directors of Andrew D. Perlman, John Engelman, Donald E. Stout, Salvatore Giardina, Bruce T. Bernstein and Richard K. Abbe. In the event that either nominee becomes unable or unwilling to serve, the shares represented by the enclosed proxy will be voted for the election of such other person as the Board of Directors may recommend in that nominee’s place. We have no reason to believe that any nominee will be unable or unwilling to serve as a director.</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plurality of the shares voted for each nominee at the annual meeting is required to elect each nominee as a director.</w:t>
      </w:r>
    </w:p>
    <w:p>
      <w:pPr>
        <w:spacing w:after="0" w:line="125"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THE BOARD OF DIRECTORS RECOMMENDS THE ELECTION OF ANDREW D. PERLMAN, JOHN ENGELMAN, DONALD E. STOUT, SALVATORE GIARDINA, BRUCE T. BERNSTEIN AND RICHARD K. ABBE AS DIRECTORS, AND PROXIES SOLICITED BY THE BOARD WILL BE VOTED IN FAVOR THEREOF UNLESS A STOCKHOLDER HAS INDICATED OTHERWISE ON THE PROXY.</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PROPOSAL 2: INDEPENDENT REGISTERED PUBLIC ACCOUNTING FIRM</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(Notice Item 2)</w:t>
      </w:r>
    </w:p>
    <w:p>
      <w:pPr>
        <w:spacing w:after="0" w:line="12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Audit Committee has appointed CohnReznick LLP as our independent registered public accounting firm, to audit our financial statements for the fiscal year ending December 31, 2017. The Board proposes that the stockholders ratify this appointment. CohnReznick LLP audited our financial statements for the fiscal year ended December 31, 2016. We expect that representatives of CohnReznick LLP will be present at the annual meeting, will be able to make a statement if they so desire, and will be available to respond to appropriate questions.</w:t>
      </w:r>
    </w:p>
    <w:p>
      <w:pPr>
        <w:spacing w:after="0" w:line="80"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In deciding to appoint CohnReznick LLP, the Audit Committee reviewed auditor independence issues and existing commercial relationships with CohnReznick LLP and concluded that CohnReznick LLP has no commercial relationship with the Company that would impair its independence for the fiscal year ending December 31, 2017.</w:t>
      </w:r>
    </w:p>
    <w:p>
      <w:pPr>
        <w:spacing w:after="0" w:line="73"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following table presents fees for professional audit services rendered by CohnReznick LLP for the audit of the Company’s annual financial statements for the years ended December 31, 2016 and 2015, and fees billed for other services rendered by CohnReznick LLP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52139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r>
      <w:tr>
        <w:trPr>
          <w:trHeight w:val="250"/>
        </w:trPr>
        <w:tc>
          <w:tcPr>
            <w:tcW w:w="622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383,250</w:t>
            </w:r>
          </w:p>
        </w:tc>
        <w:tc>
          <w:tcPr>
            <w:tcW w:w="11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392,500</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256" w:lineRule="exact"/>
        <w:rPr>
          <w:sz w:val="20"/>
          <w:szCs w:val="20"/>
          <w:color w:val="auto"/>
        </w:rPr>
      </w:pPr>
    </w:p>
    <w:p>
      <w:pPr>
        <w:jc w:val="both"/>
        <w:ind w:left="300" w:right="539" w:hanging="272"/>
        <w:spacing w:after="0" w:line="264"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category includes fees associated with the annual audits and quarterly reviews of our financial statements and services that are normally provided by the independent registered public accounting firm in connection with statutory and regulatory filings or engagements. The audit fees incurred in 2016 were incurred by CohnReznick LLP.</w:t>
      </w:r>
    </w:p>
    <w:p>
      <w:pPr>
        <w:spacing w:after="0" w:line="73" w:lineRule="exact"/>
        <w:rPr>
          <w:sz w:val="20"/>
          <w:szCs w:val="20"/>
          <w:color w:val="auto"/>
        </w:rPr>
      </w:pPr>
    </w:p>
    <w:p>
      <w:pPr>
        <w:ind w:left="340" w:right="519"/>
        <w:spacing w:after="0" w:line="277" w:lineRule="auto"/>
        <w:rPr>
          <w:sz w:val="20"/>
          <w:szCs w:val="20"/>
          <w:color w:val="auto"/>
        </w:rPr>
      </w:pPr>
      <w:r>
        <w:rPr>
          <w:rFonts w:ascii="Arial" w:cs="Arial" w:eastAsia="Arial" w:hAnsi="Arial"/>
          <w:sz w:val="18"/>
          <w:szCs w:val="18"/>
          <w:color w:val="auto"/>
        </w:rPr>
        <w:t>The audit fees incurred in 2015 were comprised of $248,250 incurred by CohnReznick LLP from the time of appointment on July 13, 2015 and $144,250 incurred by KPMG LLP.</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252"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Pursuant to FORM’s charter, and consistent with SEC policies and guidelines regarding audit independence, the audit committee is responsible for the pre-approval of all audit and permissible non-audit services provided by FORM’s principal independent accountants on a case-by-case basis. FORM’s audit committee has established a policy regarding approval of all audit and permissible non-audit services provided by FORM’s principal independent accountants. FORM’s audit committee pre-approves these services by category and service. FORM’s audit committee preapproved all of the services provided by FORM’s principal independent registered public accounting firms in 2016.</w:t>
      </w:r>
    </w:p>
    <w:p>
      <w:pPr>
        <w:spacing w:after="0" w:line="85" w:lineRule="exact"/>
        <w:rPr>
          <w:sz w:val="20"/>
          <w:szCs w:val="20"/>
          <w:color w:val="auto"/>
        </w:rPr>
      </w:pPr>
    </w:p>
    <w:p>
      <w:pPr>
        <w:jc w:val="both"/>
        <w:ind w:left="60" w:right="519" w:firstLine="270"/>
        <w:spacing w:after="0" w:line="269" w:lineRule="auto"/>
        <w:rPr>
          <w:sz w:val="20"/>
          <w:szCs w:val="20"/>
          <w:color w:val="auto"/>
        </w:rPr>
      </w:pPr>
      <w:r>
        <w:rPr>
          <w:rFonts w:ascii="Arial" w:cs="Arial" w:eastAsia="Arial" w:hAnsi="Arial"/>
          <w:sz w:val="17"/>
          <w:szCs w:val="17"/>
          <w:color w:val="auto"/>
        </w:rPr>
        <w:t>The affirmative vote of the holders of a majority of the shares of FORM common stock and Series D Preferred Stock present and entitled to vote on the matter either in person or by proxy at the FORM annual meeting is required to ratify the appointment of CohnReznick LLP, as FORM’s independent registered public accounting firm for the fiscal year ending December 31, 2017. A failure to submit a proxy or vote at the FORM annual meeting will result in your shares not being counted as present for the purpose of determining the presence of a quorum, which is required to transact business at the FORM annual meeting, and will have no effect on the outcome of this Ratification of the Appointment of FORM’s Independent Registered Public Accounting Firm Proposal. However, for purposes of the vote on this Ratification of the Appointment of FORM’s Independent Registered Public Accounting Firm Proposal, an abstention will be counted as present for the purpose of determining a quorum, but will have the same effect as voting “AGAINST” this Ratification of the Appointment of FORM’s Independent Registered Public Accounting Firm Proposal, and a “broker non-vote” will have no effect on the outcome of this Ratification of the Appointment of FORM’s Independent Registered Public Accounting Firm Proposal.</w:t>
      </w:r>
    </w:p>
    <w:p>
      <w:pPr>
        <w:spacing w:after="0" w:line="71" w:lineRule="exact"/>
        <w:rPr>
          <w:sz w:val="20"/>
          <w:szCs w:val="20"/>
          <w:color w:val="auto"/>
        </w:rPr>
      </w:pPr>
    </w:p>
    <w:p>
      <w:pPr>
        <w:jc w:val="both"/>
        <w:ind w:left="60" w:right="519" w:firstLine="270"/>
        <w:spacing w:after="0" w:line="261" w:lineRule="auto"/>
        <w:rPr>
          <w:sz w:val="20"/>
          <w:szCs w:val="20"/>
          <w:color w:val="auto"/>
        </w:rPr>
      </w:pPr>
      <w:r>
        <w:rPr>
          <w:rFonts w:ascii="Arial" w:cs="Arial" w:eastAsia="Arial" w:hAnsi="Arial"/>
          <w:sz w:val="18"/>
          <w:szCs w:val="18"/>
          <w:b w:val="1"/>
          <w:bCs w:val="1"/>
          <w:color w:val="auto"/>
        </w:rPr>
        <w:t>THE BOARD OF DIRECTORS RECOMMENDS A VOTE TO RATIFY THE APPOINTMENT OF COHNREZNICK LLP AS OUR INDEPENDENT REGISTERED PUBLIC ACCOUNTING FIRM, AND PROXIES SOLICITED BY THE BOARD WILL BE VOTED IN FAVOR OF SUCH RATIFICATION UNLESS A STOCKHOLDER INDICATES OTHERWISE ON THE PROXY.</w:t>
      </w:r>
    </w:p>
    <w:p>
      <w:pPr>
        <w:spacing w:after="0" w:line="200" w:lineRule="exact"/>
        <w:rPr>
          <w:sz w:val="20"/>
          <w:szCs w:val="20"/>
          <w:color w:val="auto"/>
        </w:rPr>
      </w:pPr>
    </w:p>
    <w:p>
      <w:pPr>
        <w:spacing w:after="0" w:line="3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PROPOSAL 3: ADVISORY VOTE ON APPROVAL OF EXECUTIVE COMPENSATION</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DISCLOSED IN THIS PROXY STATEMENT</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(Notice Item 3)</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We are seeking your advisory vote as required by Section 14A of the Securities Exchange Act of 1934, as amended, on the approval of the compensation of our named executive officers as described in the Compensation Discussion and Analysis, the compensation tables and related material contained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2018 annual meeting of stockholders.</w:t>
      </w:r>
    </w:p>
    <w:p>
      <w:pPr>
        <w:spacing w:after="0" w:line="70"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8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We rely on qualified, highly skilled and talented employees who have experience in the legal, intellectual property licensing and enforcement, and other technology-related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compensation program consists of these general elements:</w:t>
      </w:r>
    </w:p>
    <w:p>
      <w:pPr>
        <w:spacing w:after="0" w:line="117" w:lineRule="exact"/>
        <w:rPr>
          <w:sz w:val="20"/>
          <w:szCs w:val="20"/>
          <w:color w:val="auto"/>
        </w:rPr>
      </w:pPr>
    </w:p>
    <w:p>
      <w:pPr>
        <w:ind w:left="600" w:right="539" w:hanging="32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fixed portion of compensation, in the form of a base salary, to retain and provide a base level of compensation to our named executive officers; and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long-term performance element in the form of equity, to incentivize our named executive officers to achieve superior corporate performance.</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73" w:lineRule="exact"/>
        <w:rPr>
          <w:sz w:val="20"/>
          <w:szCs w:val="20"/>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performance and the contribution of each individual to our financial performance;</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individual performance, including past and expected contribution to our corporate goals and execution of our business plan and strategy;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long-term needs and operational goals, including attracting and retaining key management personnel.</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2017 annual meeting:</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“RESOLVED, that the compensation paid to the named executive officers of FORM Holdings Corp., as disclosed pursuant to the compensation disclosure rules of the Securities and Exchange Commission, the compensation tables and the related material disclosed in this proxy statement, is hereby APPROVED.”</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affirmative vote of a majority of the votes present or represented by proxy and entitled to vote at the annual meeting is required to approve, on an advisory basis, this resolution.</w:t>
      </w:r>
    </w:p>
    <w:p>
      <w:pPr>
        <w:spacing w:after="0" w:line="5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THE BOARD OF DIRECTORS RECOMMENDS A VOTE TO APPROVE THE COMPENSATION OF OUR NAMED EXECUTIVE OFFICERS, AND PROXIES SOLICITED BY THE BOARD WILL BE VOTED IN FAVOR OF SUCH APPROVAL UNLESS A STOCKHOLDER INDICATES OTHERWISE ON THE PROXY.</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PROPOSAL 4: APPROVAL OF THE ADJOURNMENT OF THE ANNUAL MEETING, IF NECESSARY, TO SOLICIT ADDITIONAL PROXIES IF THERE ARE NOT SUFFICIENT VOTES IN FAVOR OF PROPOSALS 2 AND 3</w:t>
      </w:r>
    </w:p>
    <w:p>
      <w:pPr>
        <w:spacing w:after="0" w:line="17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(Notice Item 4)</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We are asking our stockholders to vote on a proposal to approve the adjournment of the annual meeting, if necessary, to solicit additional proxies if there are not sufficient votes in favor of Proposals 2 and 3.</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Approval of the adjournment of the annual meeting, if necessary, to solicit additional proxies if there are not sufficient votes in favor of the Proposals 2 and 3 requires the affirmative vote of the holders of a majority of the shares of common stock and Series D Preferred Stock present and entitled to vote either in person or by proxy at the annual meeting. A “broker non-vote” or a failure to submit a proxy or vote at the annual meeting will have no effect on the outcome of the vote for this Proposal No. 4. For purposes of the vote on this Proposal No. 4, an abstention will have the same effect as a vote “AGAINST” such proposal.</w:t>
      </w:r>
    </w:p>
    <w:p>
      <w:pPr>
        <w:spacing w:after="0" w:line="46"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THE BOARD OF DIRECTORS RECOMMENDS A VOTE “FOR” THE ADJOURNMENT OF THE ANNUAL MEETING, IF NECESSARY, TO SOLICIT ADDITIONAL PROXIES IF THERE ARE NOT SUFFICIENT VOTES IN FAVOR OF PROPOSALS 2 AND 3.</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PREFERRED STOCKHOLDER PROPOSAL: ELECTION OF DIRECTORS</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On August 31, 2017 the Board of Directors nominated Andrew R. Heyer for election by the holders of Series D Preferred Stock at the annual meeting. If he is elected, Mr. Heyer will serve on our Board of Directors until the 2018 annual meeting of stockholders and until his successor has been elected and qualified.</w:t>
      </w:r>
    </w:p>
    <w:p>
      <w:pPr>
        <w:spacing w:after="0" w:line="69" w:lineRule="exact"/>
        <w:rPr>
          <w:sz w:val="20"/>
          <w:szCs w:val="20"/>
          <w:color w:val="auto"/>
        </w:rPr>
      </w:pPr>
    </w:p>
    <w:p>
      <w:pPr>
        <w:jc w:val="both"/>
        <w:ind w:left="40" w:right="519" w:firstLine="270"/>
        <w:spacing w:after="0" w:line="303" w:lineRule="auto"/>
        <w:rPr>
          <w:sz w:val="20"/>
          <w:szCs w:val="20"/>
          <w:color w:val="auto"/>
        </w:rPr>
      </w:pPr>
      <w:r>
        <w:rPr>
          <w:rFonts w:ascii="Arial" w:cs="Arial" w:eastAsia="Arial" w:hAnsi="Arial"/>
          <w:sz w:val="16"/>
          <w:szCs w:val="16"/>
          <w:color w:val="auto"/>
        </w:rPr>
        <w:t xml:space="preserve">Unless authority to vote for Mr. Heyer is withheld, the shares represented by the enclosed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as directors of Andrew R. Heyer. In the event that Mr. Heyer becomes unable or unwilling to serve, the shares represented by the enclosed proxy will be voted for the election of such other person as the Board of Directors may recommend in Mr. Heyer’s place. We have no reason to believe that Mr. Heyer will be unable or unwilling to serve as a director.</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plurality of the shares voted for each nominee at the annual meeting is required to elect each nominee as a director.</w:t>
      </w:r>
    </w:p>
    <w:p>
      <w:pPr>
        <w:spacing w:after="0" w:line="125"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THE BOARD OF DIRECTORS DOES NOT MAKE A RECOMMENDATION IN FAVOR OF OR AGAINST THE ELECTION OF ANDREW R. HEYER AS DIRECTOR.</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CODE OF CONDUCT AND ETHICS</w:t>
      </w:r>
    </w:p>
    <w:p>
      <w:pPr>
        <w:spacing w:after="0" w:line="121" w:lineRule="exact"/>
        <w:rPr>
          <w:sz w:val="20"/>
          <w:szCs w:val="20"/>
          <w:color w:val="auto"/>
        </w:rPr>
      </w:pPr>
    </w:p>
    <w:p>
      <w:pPr>
        <w:jc w:val="both"/>
        <w:ind w:left="40" w:right="519" w:firstLine="270"/>
        <w:spacing w:after="0" w:line="295" w:lineRule="auto"/>
        <w:rPr>
          <w:sz w:val="20"/>
          <w:szCs w:val="20"/>
          <w:color w:val="auto"/>
        </w:rPr>
      </w:pPr>
      <w:r>
        <w:rPr>
          <w:rFonts w:ascii="Arial" w:cs="Arial" w:eastAsia="Arial" w:hAnsi="Arial"/>
          <w:sz w:val="16"/>
          <w:szCs w:val="16"/>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Arial" w:cs="Arial" w:eastAsia="Arial" w:hAnsi="Arial"/>
          <w:sz w:val="16"/>
          <w:szCs w:val="16"/>
          <w:i w:val="1"/>
          <w:iCs w:val="1"/>
          <w:color w:val="auto"/>
        </w:rPr>
        <w:t>www.formholdings.com</w:t>
      </w:r>
      <w:r>
        <w:rPr>
          <w:rFonts w:ascii="Arial" w:cs="Arial" w:eastAsia="Arial" w:hAnsi="Arial"/>
          <w:sz w:val="16"/>
          <w:szCs w:val="16"/>
          <w:color w:val="auto"/>
        </w:rPr>
        <w:t>, and will be made available to stockholders without charge, upon request, in writing to the</w:t>
      </w:r>
    </w:p>
    <w:p>
      <w:pPr>
        <w:spacing w:after="0" w:line="1" w:lineRule="exact"/>
        <w:rPr>
          <w:sz w:val="20"/>
          <w:szCs w:val="20"/>
          <w:color w:val="auto"/>
        </w:rPr>
      </w:pPr>
    </w:p>
    <w:p>
      <w:pPr>
        <w:jc w:val="both"/>
        <w:ind w:left="40" w:right="519"/>
        <w:spacing w:after="0" w:line="231" w:lineRule="auto"/>
        <w:rPr>
          <w:sz w:val="20"/>
          <w:szCs w:val="20"/>
          <w:color w:val="auto"/>
        </w:rPr>
      </w:pPr>
      <w:r>
        <w:rPr>
          <w:rFonts w:ascii="Arial" w:cs="Arial" w:eastAsia="Arial" w:hAnsi="Arial"/>
          <w:sz w:val="18"/>
          <w:szCs w:val="18"/>
          <w:color w:val="auto"/>
        </w:rPr>
        <w:t>Corporate Secretary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 Stock Market.</w:t>
      </w:r>
    </w:p>
    <w:p>
      <w:pPr>
        <w:spacing w:after="0" w:line="20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2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121"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To be considered for inclusion in the proxy statement relating to our 2018 annual meeting of stockholders, we must receive stockholder proposals (other than for director nominations) no later than 120 days prior to the date that is one year from this year’s mailing date. To be considered for presentation at the 2018 annual meeting, although not included in the proxy statement, proposals (including director nominations that are not requested to be included in our proxy statement) must be received no earlier than 75 days prior to the date that is one year from this year’s mailing date and no later than 45 days prior to the date that is one year from this year’s mailing date. Proposals that are not received in a timely manner will not be voted on at the 2018 annual meeting.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Tracy Oats at Broadridge Financial Solutions, Inc., 51 Mercedes Way, Edgewood, New Jersey 11717.</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York, New York</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25, 2017</w:t>
      </w:r>
    </w:p>
    <w:p>
      <w:pPr>
        <w:spacing w:after="0" w:line="200" w:lineRule="exact"/>
        <w:rPr>
          <w:sz w:val="20"/>
          <w:szCs w:val="20"/>
          <w:color w:val="auto"/>
        </w:rPr>
      </w:pPr>
    </w:p>
    <w:p>
      <w:pPr>
        <w:spacing w:after="0" w:line="3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right"/>
        <w:ind w:right="1159"/>
        <w:spacing w:after="0"/>
        <w:rPr>
          <w:sz w:val="20"/>
          <w:szCs w:val="20"/>
          <w:color w:val="auto"/>
        </w:rPr>
      </w:pPr>
      <w:r>
        <w:rPr>
          <w:rFonts w:ascii="Arial" w:cs="Arial" w:eastAsia="Arial" w:hAnsi="Arial"/>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85725</wp:posOffset>
            </wp:positionV>
            <wp:extent cx="6071870" cy="78555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785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6071870" cy="78555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785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529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6071870" cy="78555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785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529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6071870" cy="78555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785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529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79"/>
      </w:cols>
      <w:pgMar w:left="38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x"/>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x"/>
      <w:numFmt w:val="bullet"/>
      <w:start w:val="1"/>
    </w:lvl>
  </w:abstractNum>
  <w:abstractNum w:abstractNumId="4">
    <w:nsid w:val="25E45D32"/>
    <w:multiLevelType w:val="hybridMultilevel"/>
    <w:lvl w:ilvl="0">
      <w:lvlJc w:val="left"/>
      <w:lvlText w:val="o"/>
      <w:numFmt w:val="bullet"/>
      <w:start w:val="1"/>
    </w:lvl>
    <w:lvl w:ilvl="1">
      <w:lvlJc w:val="left"/>
      <w:lvlText w:val="%2)"/>
      <w:numFmt w:val="decimal"/>
      <w:start w:val="1"/>
    </w:lvl>
  </w:abstractNum>
  <w:abstractNum w:abstractNumId="5">
    <w:nsid w:val="519B500D"/>
    <w:multiLevelType w:val="hybridMultilevel"/>
    <w:lvl w:ilvl="0">
      <w:lvlJc w:val="left"/>
      <w:lvlText w:val="(%1)"/>
      <w:numFmt w:val="lowerRoman"/>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3"/>
    </w:lvl>
  </w:abstractNum>
  <w:abstractNum w:abstractNumId="15">
    <w:nsid w:val="2443A858"/>
    <w:multiLevelType w:val="hybridMultilevel"/>
    <w:lvl w:ilvl="0">
      <w:lvlJc w:val="left"/>
      <w:lvlText w:val="(%1)"/>
      <w:numFmt w:val="decimal"/>
      <w:start w:val="14"/>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4"/>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2019-12-07T06:53:55Z</dcterms:created>
  <dcterms:modified xsi:type="dcterms:W3CDTF">2019-12-07T06:53:55Z</dcterms:modified>
</cp:coreProperties>
</file>