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ind w:left="1040" w:hanging="1032"/>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jc w:val="center"/>
        <w:ind w:left="4080" w:right="1220" w:hanging="4072"/>
        <w:spacing w:after="0" w:line="282" w:lineRule="auto"/>
        <w:tabs>
          <w:tab w:leader="none" w:pos="105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___to _____</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20-4988129</w:t>
            </w:r>
          </w:p>
        </w:tc>
        <w:tc>
          <w:tcPr>
            <w:tcW w:w="21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460" w:type="dxa"/>
            <w:vAlign w:val="bottom"/>
            <w:gridSpan w:val="3"/>
          </w:tcPr>
          <w:p>
            <w:pPr>
              <w:jc w:val="center"/>
              <w:ind w:right="150"/>
              <w:spacing w:after="0"/>
              <w:rPr>
                <w:sz w:val="20"/>
                <w:szCs w:val="20"/>
                <w:color w:val="auto"/>
              </w:rPr>
            </w:pPr>
            <w:r>
              <w:rPr>
                <w:rFonts w:ascii="Arial" w:cs="Arial" w:eastAsia="Arial" w:hAnsi="Arial"/>
                <w:sz w:val="18"/>
                <w:szCs w:val="18"/>
                <w:color w:val="auto"/>
                <w:w w:val="94"/>
              </w:rPr>
              <w:t>(I.R.S. Employer Identification No.)</w:t>
            </w:r>
          </w:p>
        </w:tc>
      </w:tr>
      <w:tr>
        <w:trPr>
          <w:trHeight w:val="454"/>
        </w:trPr>
        <w:tc>
          <w:tcPr>
            <w:tcW w:w="20" w:type="dxa"/>
            <w:vAlign w:val="bottom"/>
          </w:tcPr>
          <w:p>
            <w:pPr>
              <w:spacing w:after="0"/>
              <w:rPr>
                <w:sz w:val="24"/>
                <w:szCs w:val="24"/>
                <w:color w:val="auto"/>
              </w:rPr>
            </w:pPr>
          </w:p>
        </w:tc>
        <w:tc>
          <w:tcPr>
            <w:tcW w:w="5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5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New York, NY</w:t>
            </w:r>
          </w:p>
        </w:tc>
        <w:tc>
          <w:tcPr>
            <w:tcW w:w="33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10017</w:t>
            </w:r>
          </w:p>
        </w:tc>
        <w:tc>
          <w:tcPr>
            <w:tcW w:w="21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(Address of principal executive offices)</w:t>
            </w:r>
          </w:p>
        </w:tc>
        <w:tc>
          <w:tcPr>
            <w:tcW w:w="3340" w:type="dxa"/>
            <w:vAlign w:val="bottom"/>
            <w:gridSpan w:val="2"/>
          </w:tcPr>
          <w:p>
            <w:pPr>
              <w:jc w:val="center"/>
              <w:ind w:left="1790"/>
              <w:spacing w:after="0"/>
              <w:rPr>
                <w:sz w:val="20"/>
                <w:szCs w:val="20"/>
                <w:color w:val="auto"/>
              </w:rPr>
            </w:pPr>
            <w:r>
              <w:rPr>
                <w:rFonts w:ascii="Arial" w:cs="Arial" w:eastAsia="Arial" w:hAnsi="Arial"/>
                <w:sz w:val="18"/>
                <w:szCs w:val="18"/>
                <w:color w:val="auto"/>
                <w:w w:val="91"/>
              </w:rPr>
              <w:t>(Zip Code)</w:t>
            </w:r>
          </w:p>
        </w:tc>
        <w:tc>
          <w:tcPr>
            <w:tcW w:w="21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65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309-7549</w:t>
            </w: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9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Title of each class</w:t>
            </w:r>
          </w:p>
        </w:tc>
        <w:tc>
          <w:tcPr>
            <w:tcW w:w="5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5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460" w:type="dxa"/>
            <w:vAlign w:val="bottom"/>
          </w:tcPr>
          <w:p>
            <w:pPr>
              <w:spacing w:after="0"/>
              <w:rPr>
                <w:sz w:val="19"/>
                <w:szCs w:val="19"/>
                <w:color w:val="auto"/>
              </w:rPr>
            </w:pPr>
          </w:p>
        </w:tc>
        <w:tc>
          <w:tcPr>
            <w:tcW w:w="54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418"/>
        </w:trPr>
        <w:tc>
          <w:tcPr>
            <w:tcW w:w="20" w:type="dxa"/>
            <w:vAlign w:val="bottom"/>
          </w:tcPr>
          <w:p>
            <w:pPr>
              <w:spacing w:after="0"/>
              <w:rPr>
                <w:sz w:val="24"/>
                <w:szCs w:val="24"/>
                <w:color w:val="auto"/>
              </w:rPr>
            </w:pPr>
          </w:p>
        </w:tc>
        <w:tc>
          <w:tcPr>
            <w:tcW w:w="8600" w:type="dxa"/>
            <w:vAlign w:val="bottom"/>
            <w:gridSpan w:val="3"/>
          </w:tcPr>
          <w:p>
            <w:pPr>
              <w:ind w:left="3280"/>
              <w:spacing w:after="0"/>
              <w:rPr>
                <w:sz w:val="20"/>
                <w:szCs w:val="20"/>
                <w:color w:val="auto"/>
              </w:rPr>
            </w:pPr>
            <w:r>
              <w:rPr>
                <w:rFonts w:ascii="Arial" w:cs="Arial" w:eastAsia="Arial" w:hAnsi="Arial"/>
                <w:sz w:val="18"/>
                <w:szCs w:val="18"/>
                <w:b w:val="1"/>
                <w:bCs w:val="1"/>
                <w:color w:val="auto"/>
                <w:w w:val="97"/>
              </w:rPr>
              <w:t>Securities registered pursuant to Section 12(g) of the Act: None</w:t>
            </w: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52"/>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12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212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0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0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540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4460" w:type="dxa"/>
            <w:vAlign w:val="bottom"/>
          </w:tcPr>
          <w:p>
            <w:pPr>
              <w:ind w:left="20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 shares are not included in such calculation is an affiliate), computed by reference to the closing sale price of such shares on The Nasdaq Stock Market LLC on June 30, 2017 was $26,336,000.</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2018, 26,634,475 shares of the registrant's common stock are outstanding.</w:t>
      </w:r>
    </w:p>
    <w:p>
      <w:pPr>
        <w:sectPr>
          <w:pgSz w:w="11900" w:h="16874" w:orient="portrait"/>
          <w:cols w:equalWidth="0" w:num="1">
            <w:col w:w="11420"/>
          </w:cols>
          <w:pgMar w:left="240" w:top="1215" w:right="239" w:bottom="0" w:gutter="0" w:footer="0" w:header="0"/>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196215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213360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530860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gridSpan w:val="4"/>
          </w:tcPr>
          <w:p>
            <w:pPr>
              <w:ind w:left="12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gridSpan w:val="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Explanatory Note</w:t>
              </w:r>
            </w:hyperlink>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center"/>
              <w:ind w:left="770"/>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gridSpan w:val="2"/>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80" w:type="dxa"/>
            <w:vAlign w:val="bottom"/>
            <w:gridSpan w:val="1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1040" w:type="dxa"/>
            <w:vAlign w:val="bottom"/>
            <w:gridSpan w:val="4"/>
            <w:shd w:val="clear" w:color="auto" w:fill="CCEEFF"/>
          </w:tcPr>
          <w:p>
            <w:pPr>
              <w:jc w:val="center"/>
              <w:ind w:left="77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20" w:type="dxa"/>
            <w:vAlign w:val="bottom"/>
            <w:gridSpan w:val="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PART III</w:t>
              </w:r>
            </w:hyperlink>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gridSpan w:val="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10:</w:t>
              </w:r>
            </w:hyperlink>
          </w:p>
        </w:tc>
        <w:tc>
          <w:tcPr>
            <w:tcW w:w="8160" w:type="dxa"/>
            <w:vAlign w:val="bottom"/>
            <w:gridSpan w:val="8"/>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Directors, Executive Officers and Corporate Governance</w:t>
              </w:r>
            </w:hyperlink>
          </w:p>
        </w:tc>
        <w:tc>
          <w:tcPr>
            <w:tcW w:w="1040" w:type="dxa"/>
            <w:vAlign w:val="bottom"/>
            <w:gridSpan w:val="4"/>
          </w:tcPr>
          <w:p>
            <w:pPr>
              <w:jc w:val="center"/>
              <w:ind w:left="77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5</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60" w:type="dxa"/>
            <w:vAlign w:val="bottom"/>
            <w:gridSpan w:val="7"/>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11:</w:t>
              </w:r>
            </w:hyperlink>
          </w:p>
        </w:tc>
        <w:tc>
          <w:tcPr>
            <w:tcW w:w="8160" w:type="dxa"/>
            <w:vAlign w:val="bottom"/>
            <w:gridSpan w:val="8"/>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Executive Compensation</w:t>
              </w:r>
            </w:hyperlink>
          </w:p>
        </w:tc>
        <w:tc>
          <w:tcPr>
            <w:tcW w:w="1040" w:type="dxa"/>
            <w:vAlign w:val="bottom"/>
            <w:gridSpan w:val="4"/>
            <w:shd w:val="clear" w:color="auto" w:fill="CCEEFF"/>
          </w:tcPr>
          <w:p>
            <w:pPr>
              <w:jc w:val="center"/>
              <w:ind w:left="770"/>
              <w:spacing w:after="0" w:line="17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11</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gridSpan w:val="7"/>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12:</w:t>
              </w:r>
            </w:hyperlink>
          </w:p>
        </w:tc>
        <w:tc>
          <w:tcPr>
            <w:tcW w:w="8160" w:type="dxa"/>
            <w:vAlign w:val="bottom"/>
            <w:gridSpan w:val="8"/>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Security Ownership of Certain Beneficial Owners and Management and Related Stockholder Matters</w:t>
              </w:r>
            </w:hyperlink>
          </w:p>
        </w:tc>
        <w:tc>
          <w:tcPr>
            <w:tcW w:w="1040" w:type="dxa"/>
            <w:vAlign w:val="bottom"/>
            <w:gridSpan w:val="4"/>
          </w:tcPr>
          <w:p>
            <w:pPr>
              <w:jc w:val="center"/>
              <w:ind w:left="770"/>
              <w:spacing w:after="0" w:line="17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17</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gridSpan w:val="5"/>
            <w:shd w:val="clear" w:color="auto" w:fill="CCEEFF"/>
          </w:tcPr>
          <w:p>
            <w:pPr>
              <w:spacing w:after="0" w:line="17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Item 13:</w:t>
              </w:r>
            </w:hyperlink>
          </w:p>
        </w:tc>
        <w:tc>
          <w:tcPr>
            <w:tcW w:w="540" w:type="dxa"/>
            <w:vAlign w:val="bottom"/>
            <w:gridSpan w:val="2"/>
            <w:shd w:val="clear" w:color="auto" w:fill="CCEEFF"/>
          </w:tcPr>
          <w:p>
            <w:pPr>
              <w:spacing w:after="0"/>
              <w:rPr>
                <w:sz w:val="17"/>
                <w:szCs w:val="17"/>
                <w:color w:val="auto"/>
              </w:rPr>
            </w:pPr>
          </w:p>
        </w:tc>
        <w:tc>
          <w:tcPr>
            <w:tcW w:w="8160" w:type="dxa"/>
            <w:vAlign w:val="bottom"/>
            <w:gridSpan w:val="8"/>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Certain Relationships and Related Transactions, and Director Independence</w:t>
              </w:r>
            </w:hyperlink>
          </w:p>
        </w:tc>
        <w:tc>
          <w:tcPr>
            <w:tcW w:w="1040" w:type="dxa"/>
            <w:vAlign w:val="bottom"/>
            <w:gridSpan w:val="4"/>
            <w:shd w:val="clear" w:color="auto" w:fill="CCEEFF"/>
          </w:tcPr>
          <w:p>
            <w:pPr>
              <w:jc w:val="center"/>
              <w:ind w:left="77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20</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20" w:type="dxa"/>
            <w:vAlign w:val="bottom"/>
            <w:tcBorders>
              <w:top w:val="single" w:sz="8" w:color="0000EE"/>
            </w:tcBorders>
            <w:gridSpan w:val="5"/>
          </w:tcPr>
          <w:p>
            <w:pPr>
              <w:spacing w:after="0" w:line="17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Item 14:</w:t>
              </w:r>
            </w:hyperlink>
          </w:p>
        </w:tc>
        <w:tc>
          <w:tcPr>
            <w:tcW w:w="540" w:type="dxa"/>
            <w:vAlign w:val="bottom"/>
            <w:tcBorders>
              <w:top w:val="single" w:sz="8" w:color="CCEEFF"/>
            </w:tcBorders>
            <w:gridSpan w:val="2"/>
          </w:tcPr>
          <w:p>
            <w:pPr>
              <w:spacing w:after="0"/>
              <w:rPr>
                <w:sz w:val="15"/>
                <w:szCs w:val="15"/>
                <w:color w:val="auto"/>
              </w:rPr>
            </w:pPr>
          </w:p>
        </w:tc>
        <w:tc>
          <w:tcPr>
            <w:tcW w:w="544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Principal Accounting Fees and Services</w:t>
              </w:r>
            </w:hyperlink>
          </w:p>
        </w:tc>
        <w:tc>
          <w:tcPr>
            <w:tcW w:w="2720" w:type="dxa"/>
            <w:vAlign w:val="bottom"/>
            <w:tcBorders>
              <w:top w:val="single" w:sz="8" w:color="CCEEFF"/>
            </w:tcBorders>
            <w:gridSpan w:val="2"/>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20</w:t>
              </w:r>
            </w:hyperlink>
          </w:p>
        </w:tc>
        <w:tc>
          <w:tcPr>
            <w:tcW w:w="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20" w:type="dxa"/>
            <w:vAlign w:val="bottom"/>
            <w:gridSpan w:val="8"/>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PART IV</w:t>
              </w:r>
            </w:hyperlink>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60" w:type="dxa"/>
            <w:vAlign w:val="bottom"/>
            <w:gridSpan w:val="7"/>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15:</w:t>
              </w:r>
            </w:hyperlink>
          </w:p>
        </w:tc>
        <w:tc>
          <w:tcPr>
            <w:tcW w:w="8160" w:type="dxa"/>
            <w:vAlign w:val="bottom"/>
            <w:gridSpan w:val="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Exhibits, Financial Statement Schedules</w:t>
              </w:r>
            </w:hyperlink>
          </w:p>
        </w:tc>
        <w:tc>
          <w:tcPr>
            <w:tcW w:w="1040" w:type="dxa"/>
            <w:vAlign w:val="bottom"/>
            <w:gridSpan w:val="4"/>
            <w:shd w:val="clear" w:color="auto" w:fill="CCEEFF"/>
          </w:tcPr>
          <w:p>
            <w:pPr>
              <w:jc w:val="center"/>
              <w:ind w:left="77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20" w:type="dxa"/>
            <w:vAlign w:val="bottom"/>
            <w:gridSpan w:val="8"/>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Signature Page</w:t>
              </w:r>
            </w:hyperlink>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jc w:val="center"/>
              <w:ind w:left="77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22</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Amendment No. 1 on Form 10-K/A (this “Form 10-K/A”) amends the Annual Report on Form 10-K of XpresSpa Group, Inc. (“XpresSpa Group” or the “Company”) for the fiscal year ended December 31, 2017, as originally filed with the Securities and Exchange Commission (the “SEC”) on March 29, 2018 (the “Original Filing”). This Form 10-K/A amends the Original Filing to include the information required by Part III of the Original Filing because the Company has not and will not file a definitive proxy statement within 120 days after the end of its 2017 fiscal year. In addition, this Form 10-K/A amends Item 15 of Part IV of the Original Filing to include new certifications by our principal executive officer and principal financial officer under Section 302 of the Sarbanes-Oxley Act of 2002, as required by Rule 12b-15 under the Securities Exchange Act of 1934, as amended (the “Exchange Act”).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for the foregoing, we have not modified or updated disclosures presented in the Original Filing in this Form 10-K/A. Accordingly, this Form 10-K/A does not modify or update the disclosures in the Original Filing to reflect subsequent events, results or developments or facts that have become known to us after the date of the Original Filing. Information not affected by this amendment remains unchanged and reflects the disclosures made at the time the Original Filing was filed. Therefore, this Form 10-K/A should be read in conjunction with any documents incorporated by reference therein and our filings made with the SEC subsequent to the Original Filing.</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Form 10-K/A contains “forward-looking statements” within the meaning of the Private Securities Litigation Reform Act of 1995. Such statements are based on management’s expectations and are subject to certain factors, risks and uncertainties that may cause actual results, outcome of events, timing and performance to differ materially from those expressed or implied by such forward-looking statements. Forward-looking statements should be evaluated together with the many uncertainties that affect our business, particularly those mentioned in the Risk Factors in Item 1A of our Original Filing and in our periodic reports on Form 10-Q and Form 8-K.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references in this Form 10-K/A to “we,” “us” and “our” refer to XpresSpa Group, Inc., a Delaware corporation, and its consolidated subsidiaries unless the context requires otherwise.</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currently consists of seven (7)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Set forth below are the names of our directors and executive officers, their ages (as of the filing date of this Form 10-K/A),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7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Age</w:t>
            </w:r>
          </w:p>
        </w:tc>
        <w:tc>
          <w:tcPr>
            <w:tcW w:w="5700" w:type="dxa"/>
            <w:vAlign w:val="bottom"/>
          </w:tcPr>
          <w:p>
            <w:pPr>
              <w:spacing w:after="0"/>
              <w:rPr>
                <w:sz w:val="20"/>
                <w:szCs w:val="20"/>
                <w:color w:val="auto"/>
              </w:rPr>
            </w:pPr>
            <w:r>
              <w:rPr>
                <w:rFonts w:ascii="Arial" w:cs="Arial" w:eastAsia="Arial" w:hAnsi="Arial"/>
                <w:sz w:val="18"/>
                <w:szCs w:val="18"/>
                <w:b w:val="1"/>
                <w:bCs w:val="1"/>
                <w:color w:val="auto"/>
              </w:rPr>
              <w:t>Position(s) with the Company</w:t>
            </w: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Jankowski</w:t>
            </w:r>
          </w:p>
        </w:tc>
        <w:tc>
          <w:tcPr>
            <w:tcW w:w="5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56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Anastasia Nyrkovskaya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5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Charkow</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5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of Legal and Business Affairs</w:t>
            </w:r>
          </w:p>
        </w:tc>
      </w:tr>
      <w:tr>
        <w:trPr>
          <w:trHeight w:val="257"/>
        </w:trPr>
        <w:tc>
          <w:tcPr>
            <w:tcW w:w="4020" w:type="dxa"/>
            <w:vAlign w:val="bottom"/>
            <w:gridSpan w:val="2"/>
          </w:tcPr>
          <w:p>
            <w:pPr>
              <w:spacing w:after="0" w:line="256" w:lineRule="exact"/>
              <w:rPr>
                <w:sz w:val="20"/>
                <w:szCs w:val="20"/>
                <w:color w:val="auto"/>
              </w:rPr>
            </w:pPr>
            <w:r>
              <w:rPr>
                <w:rFonts w:ascii="Arial" w:cs="Arial" w:eastAsia="Arial" w:hAnsi="Arial"/>
                <w:sz w:val="18"/>
                <w:szCs w:val="18"/>
                <w:color w:val="auto"/>
              </w:rPr>
              <w:t>Bruce T. Bernstein*</w:t>
            </w:r>
            <w:r>
              <w:rPr>
                <w:rFonts w:ascii="Arial" w:cs="Arial" w:eastAsia="Arial" w:hAnsi="Arial"/>
                <w:sz w:val="29"/>
                <w:szCs w:val="29"/>
                <w:color w:val="auto"/>
                <w:vertAlign w:val="superscript"/>
              </w:rPr>
              <w:t>(1)(2)(3)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560" w:type="dxa"/>
            <w:vAlign w:val="bottom"/>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Engelman*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5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4020" w:type="dxa"/>
            <w:vAlign w:val="bottom"/>
            <w:gridSpan w:val="2"/>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(1)(2)(3)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560" w:type="dxa"/>
            <w:vAlign w:val="bottom"/>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4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560" w:type="dxa"/>
            <w:vAlign w:val="bottom"/>
            <w:shd w:val="clear" w:color="auto" w:fill="CCEEFF"/>
          </w:tcPr>
          <w:p>
            <w:pPr>
              <w:spacing w:after="0"/>
              <w:rPr>
                <w:sz w:val="22"/>
                <w:szCs w:val="22"/>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Richard K. Abbe*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5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R. Heyer*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5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Independent director under the rules of The Nasdaq Stock Market</w:t>
      </w:r>
    </w:p>
    <w:p>
      <w:pPr>
        <w:spacing w:after="0" w:line="2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  Current member of Compensation Committee</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(2)  Current member of Audit Committee</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(3)  Current member of Nominating and Corporate Governance Committee</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w:t>
      </w:r>
      <w:r>
        <w:rPr>
          <w:rFonts w:ascii="Arial" w:cs="Arial" w:eastAsia="Arial" w:hAnsi="Arial"/>
          <w:sz w:val="17"/>
          <w:szCs w:val="17"/>
          <w:b w:val="1"/>
          <w:bCs w:val="1"/>
          <w:color w:val="auto"/>
        </w:rPr>
        <w:t>:</w:t>
      </w:r>
      <w:r>
        <w:rPr>
          <w:rFonts w:ascii="Arial" w:cs="Arial" w:eastAsia="Arial" w:hAnsi="Arial"/>
          <w:sz w:val="17"/>
          <w:szCs w:val="17"/>
          <w:color w:val="auto"/>
        </w:rPr>
        <w:t xml:space="preserve"> Bruce T. Bernstein, John Engelman, Donald E. Stout, Salvatore Giardina, Richard K. Abbe and Andrew R. Heyer.</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Edward Jankowski </w:t>
      </w:r>
      <w:r>
        <w:rPr>
          <w:rFonts w:ascii="Arial" w:cs="Arial" w:eastAsia="Arial" w:hAnsi="Arial"/>
          <w:sz w:val="16"/>
          <w:szCs w:val="16"/>
          <w:color w:val="auto"/>
        </w:rPr>
        <w:t>has served as our Chief Executive Officer and as a member of our Board of Directors since April 19, 2018. From December 2016 to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Mr. Jankowski served as our Senior Vice President and from June 2016 to April 2018, Mr. Jankowski served as the Chief Executive Officer of our XpresSpa Holdings, LLC (“XpresSpa”) subsidiary. From 2012 to 2016, Mr. Jankowski was the Vice President and General Manager of Luxury Retail at Luxottica, where he oversaw the Ilori and Optical Shop of Aspen and Persol retail stores. From 2007 to 2012, Mr. Jankowski was Senior Vice President and General Manager for Godiva Chocolatier, responsible for the $400 million North America multi-channel business, consisting of 240 retail stores, plus wholesale, direct, and interactive business. From 2001 to 2007, Mr. Jankowski was the Chief Operating Officer of Safilo Group’s Solstice sunglasses stores, where he opened 120 stores, oversaw store operations, merchandising, finance, planning/distribution, marketing and communications, loss prevention, real estate, visual and store design/development/construction. From 1999 to 2001, Mr. Jankowski was the President of Airport Shops Division of World Duty Free Americas, a division of B.A.A., where he was a member of the Senior Executive Committee, with responsibility for the $120 million Airport Division. From 1993 to 1999, Mr. Jankowski served as the Vice President/Director of Stores for Liz Claiborne, where he was a member of the Retail Executive Committee and led execution of business strategies, sales results and store profit. Prior to his position at Liz Claiborne, Mr. Jankowski held leadership positions at Casual Corner, Atherton Industries, Woman’s World, and Ganto’s. Mr. Jankowski began his career in 1975 as an Executive Trainee for R.H. Macy’s. Mr. Jankowski currently serves on the Board of Directors of the Accessories Council, FIT Accessories Advisory and the Elizabeth Carter Beach Association. Mr. Jankowski received his B.Sc. in management and commerce marketing from Rider University.</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We believe Mr. Jankowski’s prior experience in the retail industry and with the XpresSpa business qualifies him to serve on our Board Directors.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Anastasia Nyrkovskaya </w:t>
      </w:r>
      <w:r>
        <w:rPr>
          <w:rFonts w:ascii="Arial" w:cs="Arial" w:eastAsia="Arial" w:hAnsi="Arial"/>
          <w:sz w:val="18"/>
          <w:szCs w:val="18"/>
          <w:color w:val="auto"/>
        </w:rPr>
        <w:t>joined us in May 2013 as our Chief Financial Officer and Treasurer. Ms. Nyrkovskaya oversees all aspects of the finance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functions, including: SEC and internal financial reporting, budgeting and forecasting, mergers and acquisitions and business integrations, tax planning and reporting, human resources, and operational matters. Prior to joining us, from 2006, Ms. Nyrkovskaya served as Vice President and Assistant Global Controller and Vice President, Corporate Finance and Business Development at NBCUniversal Media, LLC (“NBCUniversal Media”). She was responsible for technical accounting areas, policies and internal controls. She also structured merger and acquisition transactions, partnerships, joint ventures and dispositions, as well as debt activities and restructurings. From 1998 to 2006, Ms. Nyrkovskaya served in the Audit and Assurance practice at KPMG LLP. Ms. Nyrkovskaya is a Certified Public Accountant and received an advanced degree in economics and business administration from Moscow State University of Publishing and Printing Arts.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Jason Charkow </w:t>
      </w:r>
      <w:r>
        <w:rPr>
          <w:rFonts w:ascii="Arial" w:cs="Arial" w:eastAsia="Arial" w:hAnsi="Arial"/>
          <w:sz w:val="18"/>
          <w:szCs w:val="18"/>
          <w:color w:val="auto"/>
        </w:rPr>
        <w:t>has served as our Senior Vice President, Legal and Business Affairs, since June 2016 and is responsible for overseeing all of our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legal affairs and supporting our business activities. Mr. Charkow joined us in February 2012 as our Senior Intellectual Property Counsel and, in June 2014, became the Director of Legal and Intellectual Property, assuming responsibility for oversight of our world-wide intellectual property litigation and management of our intellectual property assets. Prior to joining us, Mr. Charkow was an attorney at Winston &amp; Strawn and Jones Day where he focused on intellectual property litigation, prosecution and counseling. Mr. Charkow has litigated complex patent infringement matters involving a range of telecommunications, computer and electronic technologies. Mr. Charkow earned a Juris Doctor from Hofstra University and holds a bachelor’s degree in mechanical engineering from Binghamton University.</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Bruce T. Bernstein </w:t>
      </w:r>
      <w:r>
        <w:rPr>
          <w:rFonts w:ascii="Arial" w:cs="Arial" w:eastAsia="Arial" w:hAnsi="Arial"/>
          <w:sz w:val="17"/>
          <w:szCs w:val="17"/>
          <w:color w:val="auto"/>
        </w:rPr>
        <w:t>joined our Board of Directors in February 2016 and has served as the Chairman of our Board of Directors since February 2018.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Bernstein has over 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Neurotrope, Inc. Mr. Bernstein is also a member of the board of Summit Digital Health, a laser based blood glucose monitor distributor, based in New Jersey. Mr. Bernstein holds a B.B.A. from City University of New York (Baruch).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believe Mr. Bernstein’s extensive experience in the securities industry qualifies him to serve on our Board of Directors.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John Engelman </w:t>
      </w:r>
      <w:r>
        <w:rPr>
          <w:rFonts w:ascii="Arial" w:cs="Arial" w:eastAsia="Arial" w:hAnsi="Arial"/>
          <w:sz w:val="17"/>
          <w:szCs w:val="17"/>
          <w:color w:val="auto"/>
        </w:rPr>
        <w:t>has been our director since December 2010. Mr. Engelman also serves as an independent director of Hemisphere Media Group, Inc.,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publicly traded Hispanic media company that owns and operates television stations and cable networks in the United States, Puerto Rico and Latin America. Mr. Engelman is a co-founder of Classic Media, Inc. (“Classic Media”), a global family and children’s entertainment company where he served as co-president from 2001 to 2006 and 2008 to present. Classic Media currently is a wholly owned subsidiary of NBCUniversal, a Comcast Company. From 1997 to 2001, Mr. Engelman was an operating partner with Pegasus Capital Advisors and a managing director of Brener International Group, LLC. From 1991 to 1996, Mr. Engelman was President of Broadway Video, Inc., a producer of live television and motion pictures. He began his career as a partner at the Los Angeles law firm of Irell &amp; Manella. Mr. Engelman has a J.D. from Harvard Law School and a B.A. from Harvard College.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We believe Mr. Engelman’s experience in the media and entertainment industries qualifies him to serve on our Board of Directors. His experience gained both as an executive at Classic Media and Boomerang Media are contributions to us and the Board of Directors.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Donald E. Stout </w:t>
      </w:r>
      <w:r>
        <w:rPr>
          <w:rFonts w:ascii="Arial" w:cs="Arial" w:eastAsia="Arial" w:hAnsi="Arial"/>
          <w:sz w:val="16"/>
          <w:szCs w:val="16"/>
          <w:color w:val="auto"/>
        </w:rPr>
        <w:t>has been our director since July 2012, and was a director of Innovate/Protect, Inc. from November 2011 through the consummation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with us.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believe Mr. Stout’s experience in intellectual property law qualifies him to serve on our Board of Directors.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Salvatore Giardina </w:t>
      </w:r>
      <w:r>
        <w:rPr>
          <w:rFonts w:ascii="Arial" w:cs="Arial" w:eastAsia="Arial" w:hAnsi="Arial"/>
          <w:sz w:val="18"/>
          <w:szCs w:val="18"/>
          <w:color w:val="auto"/>
        </w:rPr>
        <w:t>joined our Board of Directors in May 2016. Mr. Giardina has served as Chief Financial Officer of Pragma Securities LLC and its holding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Pragma Weeden Holdings LLC, since 2009. From 2006 through 2008, Mr. Giardina served as Senior Vice President and Chief Financial Officer of G-Trade Services LLC and ConvergEx Global Markets LLC. From 2002 through 2006, Mr. Giardina served as Vice President and Chief Financial Officer of Ladenburg Thalmann Financial Services Inc., the publicly-traded holding company of Ladenburg Thalmann &amp; Co., Inc., where Mr. Giardina served as its Executive Vice President and Chief Financial Officer from 1998 through 2006 and as its Controller from 1990 through 1998. From 1983 through 1990, Mr. Giardina was an auditor with the national public accounting firm of Laventhol &amp; Horwath. Mr. Giardina served as a director of National Holdings Corporation from 2012 through 2016 and as Chairman of its Audit Committee from 2013 through 2016. Mr. Giardina is a certified public accountant and is Series 24 and Series 27 registered.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Mr. Giardina’s extensive financial expertise and his practical and management experience qualifies him to serve on our Board of Directors and as a member and the chairperson of the audit committee of our Board of Directors.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Richard K. Abbe </w:t>
      </w:r>
      <w:r>
        <w:rPr>
          <w:rFonts w:ascii="Arial" w:cs="Arial" w:eastAsia="Arial" w:hAnsi="Arial"/>
          <w:sz w:val="18"/>
          <w:szCs w:val="18"/>
          <w:color w:val="auto"/>
        </w:rPr>
        <w:t>joined our Board of Directors in March 2016. Mr. Abbe is the Co-founder and is a Principal and Managing Partner of Iroquois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LLC, the Investment Advisor to Iroquois Capital LP and Iroquois Capital (offshore) Ltd. Mr. Abbe has served as Co-Chief Investment Officer of Iroquois Capital since its inception in 2003. Previously, Mr. Abbe co-founded and served as Co-Chief Investment Officer of Vertical Ventures, LLC, a merchant bank. Prior to that, he was employed by Lehman Brothers and served as Senior Managing Director at Gruntal &amp; Company, LLC, where he also served on the firm’s Board of Directors. Mr. Abbe also previously served as Founding Partner at Hampshire Securities. He currently serves on the investment committee of Hobart and William Smith Colleges Endowment Fund.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believe Mr. Abbe’s extensive experience in the securities industry qualifies him to serve on our Board of Directors.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Andrew R. Heyer </w:t>
      </w:r>
      <w:r>
        <w:rPr>
          <w:rFonts w:ascii="Arial" w:cs="Arial" w:eastAsia="Arial" w:hAnsi="Arial"/>
          <w:sz w:val="16"/>
          <w:szCs w:val="16"/>
          <w:color w:val="auto"/>
        </w:rPr>
        <w:t>joined our Board of Directors in December 2016. Mr. Heyer is the Chief Executive Officer and founder of Mistral Capital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a private equity fund manager. Prior to founding Mistral, he served as a Founding Managing Partner of Trimaran Capital Partners, L.L.C. Mr. Heyer was formerly a Vice Chairman of CIBC World Markets Corp. and co-head of CIBC Argosy Merchant Banking Funds. Prior to joining CIBC World Markets Corp. in 1995, Mr. Heyer was a founder and Managing Director of The Argosy Group L.P. Before Argosy, Mr. Heyer was a Managing Director at Drexel Burnham Lambert Incorporated and previous to that, he worked at Shearman/American Express. Mr. Heyer serves as a director of Jamba, Inc. and The Hain Celestial Group, both of which are publicly traded companies. He also serves on the boards of Mistral’s portfolio companies. Mr. Heyer also serves as a member of the Executive Committee and Board of Trustees of the University of Pennsylvania and the University of Pennsylvania Health System.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believe Mr. Heyer’s extensive experience in the securities industry qualifies him to serve on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Meeting Attendance</w:t>
      </w:r>
      <w:r>
        <w:rPr>
          <w:rFonts w:ascii="Arial" w:cs="Arial" w:eastAsia="Arial" w:hAnsi="Arial"/>
          <w:sz w:val="16"/>
          <w:szCs w:val="16"/>
          <w:color w:val="auto"/>
        </w:rPr>
        <w:t>. During the fiscal year ended December 31, 2017 there were thirteen (13) meetings of our Board of Directors as well as two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unanimous consents. The various committees of the Board of Directors met a total of eight (8) times. No director attended fewer than 75% of the total number of meetings of the Board of Directors and of committees of the Board of Directors on which he served during fiscal 2017. The Board of Directors has adopted a policy under which each member of the Board of Directors is strongly encouraged, but not required, to attend each annual meeting of our stockholders.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Our Audit Committee met five (5) times during fiscal 2017. This committee currently has three (3) members, Salvatore Giardina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SEC and The Nasdaq Stock Market (“Nasdaq”), as such standards apply specifically to members of audit committees. The Board of Directors has determined that both Messrs. Giardina and Bernstein are “audit committee financial experts,” as defined by the SEC in Item 407 of Regulation S-K.</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 copy of the Audit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Our Compensation Committee met two (2) times during fiscal 2017. This committee currently has two (2) members, Bruce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Bernstein (Chairman) and Donald E. Stout.</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2006 Stock Option Plan (the “2006 Plan”). The Compensation Committee is responsible for the determination of the compensation of our Chief Executive Officer, and shall conduct its decision-making process with respect to that issue without the Chief Executive Officer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2017, based on the recommendation of management, the Compensation Committee did not engage third party compensation consultants.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Both members of the Compensation Committee qualify as independent under the definition promulgated by Nasdaq. A copy of the Compensation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Our Nominating and Corporate Governance Committee met one (1) time during fiscal 2017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has two (2) members, Bruce T. Bernstein and Donald E. Stout. The Nominating and Corporate Governance Committee’s role and responsibilities are set forth in the Nominating and Corporate Governance Committee’s written charter and is authorized to:</w:t>
      </w:r>
    </w:p>
    <w:p>
      <w:pPr>
        <w:spacing w:after="0" w:line="181" w:lineRule="exact"/>
        <w:rPr>
          <w:sz w:val="20"/>
          <w:szCs w:val="20"/>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make recommendations to the Board of Directors as to the structure, composition and functioning of the Board of Directors and its committees.</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Both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all of fiscal 2017, Andrew Perlman served as our Chief Executive Officer and led all meetings of the Board of Directors. On February 5, 2018, the Board appointed Bruce T. Bernstein as the non-executive Chairman of the Board of Directors. On April 19, 2018, Mr. Perlman resigned as Chief Executive Officer and as our Director.</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7"/>
          <w:szCs w:val="17"/>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difference areas of our business risks and our risk mitigation practices.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16(a) of the Exchange Act requires our directors, executive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solely upon a review of the copies of the forms furnished to us, we believe that our officers, directors and beneficial owners of more than 10% of our common stock complied with all applicable filing requirements during the fiscal year ended December 31, 2017, with the exception of a Form 4 which was not filed on a timely basis on behalf of each of Edward Jankowski (two transactions), Andrew Perlman (two transactions), Anastasia Nyrkovskaya (two transactions), Jason Charkow (two transactions), John Engelman (one transaction), Donald E. Stout (one transaction), Salvatore Giardina (one transaction), Richard K. Abbe (one transaction) and Andrew R. Heyer (one transaction), and two Forms 4 which were not filed on a timely basis on behalf of Bruce T. Bernstein (three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have adopted a code of ethics that applies to all of our employees. The text of the code of conduct and ethics is posted on the “Investors — Corporate Governance” section of our website at </w:t>
      </w:r>
      <w:r>
        <w:rPr>
          <w:rFonts w:ascii="Arial" w:cs="Arial" w:eastAsia="Arial" w:hAnsi="Arial"/>
          <w:sz w:val="16"/>
          <w:szCs w:val="16"/>
          <w:i w:val="1"/>
          <w:iCs w:val="1"/>
          <w:color w:val="auto"/>
        </w:rPr>
        <w:t>www.xpresspagroup.com/corp_governance</w:t>
      </w:r>
      <w:r>
        <w:rPr>
          <w:rFonts w:ascii="Arial" w:cs="Arial" w:eastAsia="Arial" w:hAnsi="Arial"/>
          <w:sz w:val="16"/>
          <w:szCs w:val="16"/>
          <w:color w:val="auto"/>
        </w:rPr>
        <w:t>, and will be made available to stockholders without charge, upon request,</w:t>
      </w:r>
    </w:p>
    <w:p>
      <w:pPr>
        <w:jc w:val="both"/>
        <w:spacing w:after="0" w:line="224" w:lineRule="auto"/>
        <w:rPr>
          <w:sz w:val="20"/>
          <w:szCs w:val="20"/>
          <w:color w:val="auto"/>
        </w:rPr>
      </w:pPr>
      <w:r>
        <w:rPr>
          <w:rFonts w:ascii="Arial" w:cs="Arial" w:eastAsia="Arial" w:hAnsi="Arial"/>
          <w:sz w:val="18"/>
          <w:szCs w:val="18"/>
          <w:color w:val="auto"/>
        </w:rPr>
        <w:t>in writing to the Corporate Secretary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summarizes the total compensation awarded or incurred by us during the fiscal years ended December 31, 2017 and 2016 to (1) Edward Jankowski, who has served as our Chief Executive Officer since April 19, 2018, and previously served as our Senior Vice President and Chief Executive Officer of XpresSpa, (2) Andrew Perlman, our former Chief Executive Officer, and (3) Anastasia Nyrkovskaya, our Chief Financial Officer and Treasurer, who are all of our named executive officers as of December 31,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400"/>
              <w:spacing w:after="0"/>
              <w:rPr>
                <w:sz w:val="20"/>
                <w:szCs w:val="20"/>
                <w:color w:val="auto"/>
              </w:rPr>
            </w:pPr>
            <w:r>
              <w:rPr>
                <w:rFonts w:ascii="Arial" w:cs="Arial" w:eastAsia="Arial" w:hAnsi="Arial"/>
                <w:sz w:val="18"/>
                <w:szCs w:val="18"/>
                <w:b w:val="1"/>
                <w:bCs w:val="1"/>
                <w:color w:val="auto"/>
              </w:rPr>
              <w:t>Salary</w:t>
            </w: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Incentive Pay</w:t>
            </w: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 Awards</w:t>
            </w: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Name and principal position</w:t>
            </w:r>
          </w:p>
        </w:tc>
        <w:tc>
          <w:tcPr>
            <w:tcW w:w="1500" w:type="dxa"/>
            <w:vAlign w:val="bottom"/>
            <w:gridSpan w:val="2"/>
          </w:tcPr>
          <w:p>
            <w:pPr>
              <w:ind w:left="520"/>
              <w:spacing w:after="0"/>
              <w:rPr>
                <w:sz w:val="20"/>
                <w:szCs w:val="20"/>
                <w:color w:val="auto"/>
              </w:rPr>
            </w:pPr>
            <w:r>
              <w:rPr>
                <w:rFonts w:ascii="Arial" w:cs="Arial" w:eastAsia="Arial" w:hAnsi="Arial"/>
                <w:sz w:val="18"/>
                <w:szCs w:val="18"/>
                <w:b w:val="1"/>
                <w:bCs w:val="1"/>
                <w:color w:val="auto"/>
              </w:rPr>
              <w:t>Year</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260" w:type="dxa"/>
            <w:vAlign w:val="bottom"/>
          </w:tcPr>
          <w:p>
            <w:pPr>
              <w:jc w:val="right"/>
              <w:ind w:right="350"/>
              <w:spacing w:after="0" w:line="269"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20" w:type="dxa"/>
            <w:vAlign w:val="bottom"/>
          </w:tcPr>
          <w:p>
            <w:pPr>
              <w:spacing w:after="0"/>
              <w:rPr>
                <w:sz w:val="23"/>
                <w:szCs w:val="23"/>
                <w:color w:val="auto"/>
              </w:rPr>
            </w:pPr>
          </w:p>
        </w:tc>
        <w:tc>
          <w:tcPr>
            <w:tcW w:w="1240" w:type="dxa"/>
            <w:vAlign w:val="bottom"/>
          </w:tcPr>
          <w:p>
            <w:pPr>
              <w:jc w:val="right"/>
              <w:ind w:right="350"/>
              <w:spacing w:after="0" w:line="269"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(2)</w:t>
            </w:r>
          </w:p>
        </w:tc>
        <w:tc>
          <w:tcPr>
            <w:tcW w:w="200" w:type="dxa"/>
            <w:vAlign w:val="bottom"/>
          </w:tcPr>
          <w:p>
            <w:pPr>
              <w:spacing w:after="0"/>
              <w:rPr>
                <w:sz w:val="23"/>
                <w:szCs w:val="23"/>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auto"/>
            </w:tcBorders>
            <w:shd w:val="clear" w:color="auto" w:fill="CCEEFF"/>
          </w:tcPr>
          <w:p>
            <w:pPr>
              <w:spacing w:after="0" w:line="250" w:lineRule="exact"/>
              <w:rPr>
                <w:sz w:val="20"/>
                <w:szCs w:val="20"/>
                <w:color w:val="auto"/>
              </w:rPr>
            </w:pPr>
            <w:r>
              <w:rPr>
                <w:rFonts w:ascii="Arial" w:cs="Arial" w:eastAsia="Arial" w:hAnsi="Arial"/>
                <w:sz w:val="17"/>
                <w:szCs w:val="17"/>
                <w:color w:val="auto"/>
              </w:rPr>
              <w:t>Edward Jankowski</w:t>
            </w:r>
            <w:r>
              <w:rPr>
                <w:rFonts w:ascii="Arial" w:cs="Arial" w:eastAsia="Arial" w:hAnsi="Arial"/>
                <w:sz w:val="28"/>
                <w:szCs w:val="28"/>
                <w:color w:val="auto"/>
                <w:vertAlign w:val="superscript"/>
              </w:rPr>
              <w:t>(3)</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4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361,301</w:t>
            </w:r>
          </w:p>
        </w:tc>
        <w:tc>
          <w:tcPr>
            <w:tcW w:w="2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861,301</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ind w:left="5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9,247</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Andrew D. Perlman</w:t>
            </w:r>
          </w:p>
        </w:tc>
        <w:tc>
          <w:tcPr>
            <w:tcW w:w="1380" w:type="dxa"/>
            <w:vAlign w:val="bottom"/>
          </w:tcPr>
          <w:p>
            <w:pPr>
              <w:ind w:left="5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450,000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125,000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608,562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1,183,562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431,667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1,235,440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1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375,000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361,301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ind w:left="5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333,333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540,505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873,838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represent a discretionary cash bonus.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For the assumptions made in the valuation of our equity awards see Notes 2 and 12 to our consolidated financial statements included in our Annual Report on Form 10-K for the year ended December 31, 2017.</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Mr. Jankowski became the Chief Executive Officer of XpresSpa in June 2016. He became our Senior Vice President in December 2016 when the acquisition of XpresSpa was completed and, as such, his fiscal 2016 salary only includes his salary for the last nine days of that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Jankowski</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20, 2017, we entered into an employment agreement with Mr. Jankowski, which has a term of three years. Under the terms of the employment agreement, Mr. Jankowski receives an annual base salary of $375,000 and is eligible to participate in any annual bonus or other incentive compensation program that we may have adopted from time to time for our executive officers. If Mr. Jankowski has earned any bonus or non-equity based incentive compensation which remains unpaid upon termination of employment for any reason, whether by Mr. Jankowski or us other than for cause, then Mr. Jankowski shall be entitled to receive a pro- rata portion of such incentive compensation at the time it is paid.</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event the employment agreement is terminated for (i) Good Reason by Mr. Jankowski, or (ii) by us without Cause, Mr. Jankowski shall be entitled to receive an amount of base salary (at the rate of base salary in effect immediately prior to such termination) equal to one times the base salary, and COBRA continuation coverage paid in full by us for up to a maximum of twelve months following the date of termination. “Cause” as used in Mr. Jankowski’s employment agreement means: (a) the willful and continued failure of Mr. Jankowski to perform substantially his duties and responsibilities for us (other than any such failure resulting from his death or disability) after a written demand by the Board of Directors for substantial performance is delivered to Mr. Jankowski by us, which specifically identifies the manner in which the Board of Directors believes that Mr. Jankowski has not substantially performed his duties and responsibilities, which willful and continued failure is not cured by Mr. Jankowski within thirty days of his receipt of such written demand; (b) the conviction of, or plea of guilty or nolo contendere to a felony, (c) an intentional breach of his non-compete obligations, (d) an intentional breach of the non-disclosure and non-solicitation agreement; or (e) a unanimous good faith finding by the Board of Directors that Mr. Jankowski has engaged in fraud, dishonesty, gross negligence or misconduct which, if curable, has not been cured within thirty days after his receipt of a written notice from the Board of Directors stating with reasonable specificity the basis of such finding. “Good Reason” as used Mr. Jankowski’s employment agreement means (a) the assignment, without Mr. Jankowski’s consent, to Mr. Jankowski of duties that result in a substantial diminution of the duties that he assumed; (b) the assignment, without Mr. Jankowski’s consent, of a title that is subordinate to the title Senior Vice President; (c) a reduction in Mr. Jankowski’s base salary; (d) our requirement that Mr. Jankowski regularly report to work in a location that is more than fifty miles from our current New York office, without Mr. Jankowski’s consent; (e) a change in Mr. Jankowski’s reporting relationship other than to our Chief Executive Officer; or (f) a material breach by us of Mr. Perlman’s employment agreement, or (g) our failure to provide compensation and benefits to Mr. Jankowski as required by the employment agreement when due.</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unless Mr. Jankowski is terminated for cause, all applicable equity awards held by him as of the date of termination of employment that would have vested in the one-year period immediately following such termination will vest during the following year, provided that Mr. Jankowski makes himself reasonably available and cooperates with reasonable requests from us involving facts or events relating to us that Mr. Jankowski may have knowledge of.</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Andrew D. Perlman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13, 2013, we entered into an employment agreement with Mr. Perlman, which had a term of three (3) years. Under the terms of that employment agreement, from January 1, 2015, Mr. Perlman received a base salary of $415,000 and was eligible to participate in any annual bonus or other incentive compensation program that we may have adopted from time to time for our executive officers.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13, 2015, we entered into an amendment to the existing employment agreement with Mr. Perlman, pursuant to which, the employment period under the employment agreement was extended to December 31, 2017, and Mr. Perlman remained eligible to receive an annual performance bonus according to corporate and personal goals as established by the Compensation Committee in its sole discretion.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20, 2017, we entered into an employment agreement with Mr. Perlman that superseded his prior employment agreement. Under the terms of this new employment agreement, Mr. Perlman’s annual base salary was increased to $450,000, retroactive to January 1, 2017.</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employment agreement was for a term of three (3) years, provided that the employment agreement would extend in two (2) month increments for up to one (1) year thereafter for each month that the negotiations were not concluded prior to sixth months before the end of the term.</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employment agreement provided that Mr. Perlman would be eligible to participate in any annual bonus and other incentive compensation program that we may adopt from time to time for our executive officers and if Mr. Perlman had earned any bonus or non-equity based incentive compensation which remained unpaid upon termination of employment for any reason, whether by Mr. Perlman or us other than for cause, then Mr. Perlman would be entitled to receive a pro- rata portion of such incentive compensation at the time it is paid.</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event the employment agreement was terminated for (i) Good Reason by Mr. Perlman, or (ii) by us without Cause, Mr. Perlman was entitled to receive an amount of base salary (at the rate of base salary in effect immediately prior to such termination) equal to the lesser of (x) one times the base salary and (y) two times the base salary payable for the number of full months remaining in the employment period, and COBRA continuation coverage paid in full by us for up to a maximum of twelve months following the date of termination. “Cause” as used in Mr. Perlman’s employment agreement means: (a) the willful and continued failure of Mr. Perlman to perform substantially his duties and responsibilities for us (other than any such failure resulting from his death or disability) after a written demand by the Board of Directors for substantial performance is delivered to Mr. Perlman by us, which specifically identifies the manner in which the Board of Directors believes that Mr. Perlman has not substantially performed his duties and responsibilities, which willful and continued failure is not cured by Mr. Perlman within thirty days of his receipt of such written demand; (b) the conviction of, or plea of guilty or nolo contendere to a felony, (c) an intentional breach of his non-compete obligations, (d) an intentional breach of the non-disclosure and non-solicitation agreement; or (e) a unanimous good faith finding by the Board of Directors that Mr. Perlman has engaged in fraud, dishonesty, gross negligence or misconduct which, if curable, has not been cured within thirty days after his receipt of a written notice from the Board of Directors stating with reasonable specificity the basis of such finding. “Good Reason” as used Mr. Perlman’s employment agreement means (a) the assignment, without Mr. Perlman’s consent, to Mr. Perlman of duties that result in a substantial diminution of the duties that he assumed; provided, however, the failure of Mr. Perlman to be reelected to the Board of Directors shall not be deemed to be a diminution of duties; (b) the assignment, without Mr. Perlman’s consent, of a title that is subordinate to the title Chief Executive Officer; (c) a reduction in Mr. Perlman’s base salary; (d) our requirement that Mr. Perlman regularly report to work in a location that is more than fifty miles from our current New York office, without Mr. Perlman’s consent; (e) a change in reporting relationship, provided however, that Good Reason does not include a change in the reporting relationship whereby Mr. Perlman will report to the Board of Directors of an acquiring company after a change of control (as that term is defined in our 2012 Employee, Director and Consultant Equity Incentive Plan); or (f) a material breach by us of Mr. Perlman’s employment agreement.</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unless Mr. Perlman were terminated for cause, all applicable equity awards held by him as of the date of termination of employment that would have vested in the one-year period immediately following such termination will vest during the following year, provided that Mr. Perlman made himself reasonably available and cooperated with reasonable requests from us involving facts or events relating to us that Mr. Perlman may have knowledge of. In the event the employment agreement were terminated for good reason by Mr. Perlman, or by us without cause, and Mr. Perlman provided us with a release of claims, he would have been entitled to receive a cash severance payment in the amount of one times his then current base salary and one year of COBRA continuation coverage.</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On April 19, 2018, Mr. Perlman resigned from his position as Chief Executive Officer and as our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December 19, 2014, we entered into an employment agreement with Ms. Nyrkovskaya. Under the terms of her employment agreement, 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Nyrkovskaya’s annual base salary was $315,000.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13, 2015, we entered into an amendment to the existing employment agreement with Ms. Nyrkovskaya, pursuant to which, the employment period under the employment agreement was extended to December 31, 2017. In addition, the annual base salary of Ms. Nyrkovskaya was increased from $315,000 to $325,000 and Ms. Nyrkovskaya remained eligible to receive an annual performance bonus according to corporate and personal goals, as shall be established by the Compensation Committee in its sole discretion.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20, 2017, we entered into an employment agreement with Ms. Nyrkovskaya that superseded her prior employment agreement. Under the terms of this new employment agreement, Ms. Nyrkovskaya’s annual base salary was increased to $375,000, retroactive to January 1, 2017.</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employment agreement is for a term of three (3) years, provided that the employment agreement shall extend in two (2) month increments for up to one (1) year thereafter for each month that the negotiations are not concluded prior to sixth months before the end of the term.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employment agreement provides that Ms. Nyrkovskaya will be eligible to participate in any annual bonus and other incentive compensation program that we may adopt from time to time for our executive officers and if Ms. Nyrkovskaya has earned any bonus or non-equity based incentive compensation which remains unpaid upon termination of employment for any reason, whether by Ms. Nyrkovskaya or us other than for cause, then Ms. Nyrkovskaya shall be entitled to receive a pro- rata portion of such incentive compensation at the time it is paid.</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event the employment agreement is terminated for (i) Good Reason by Ms. Nyrkovskaya, or (ii) by us without Cause, Ms. Nyrkovskaya shall be entitled to receive an amount of base salary at the rate of base salary in effect immediately prior to such termination equal to twelve months of base salary, and COBRA continuation coverage paid in full by us for up to a maximum of twelve months following the date of termination. In case the agreement is terminated by Ms. Nyrkovskaya without Good Reason, she shall provide us with a written notice, at least ninety calendar days prior to such termination. "Cause" as used in Ms. Nyrkovskaya’s employment agreement means: (a) the willful and continued failure of Ms. Nyrkovskaya to perform substantially her duties and responsibilities for us (other than any such failure resulting from her death or disability) after a written demand by the chief executive officer for substantial performance is delivered to Ms. Nyrkovskaya by us, which specifically identifies the manner in which the chief executive officer believes that Ms. Nyrkovskaya has not substantially performed her duties and responsibilities, which willful and continued failure is not cured by Ms. Nyrkovskaya within thirty days of her receipt of such written demand; (b) the conviction of, or plea of guilty or nolo contendere to a felony, (c) breach of her non-compete obligations, (d) breach of the non-disclosure and non-solicitation agreement; or (e) a good faith finding by the chief executive officer that Ms. Nyrkovskaya has engaged in fraud, intentional dishonesty, or gross negligence. "Good Reason" as used Ms. Nyrkovskaya’s employment agreement means (a) the assignment, without Ms. Nyrkovskaya’s consent, to Ms. Nyrkovskaya of duties that result in a substantial diminution of the duties that she assumed; (b) the assignment, without Ms. Nyrkovskaya’s consent, of a title that is subordinate to the title Chief Financial Officer; (c) a reduction in Ms. Nyrkovskaya’s base salary; (d) our requirement that Ms. Nyrkovskaya regularly report to work in a location that is more than fifty miles from our current New York office, without Ms. Nyrkovskaya’s consent; (e) a material breach by us of the agreement during its term. Ms. Nyrkovskaya’s employment agreement also includes a covenant not to compete with us or solicit any material commercial relationships of ours for a period of one year after Ms. Nyrkovskaya is actually no longer employed by us</w:t>
      </w:r>
      <w:r>
        <w:rPr>
          <w:rFonts w:ascii="Arial" w:cs="Arial" w:eastAsia="Arial" w:hAnsi="Arial"/>
          <w:sz w:val="17"/>
          <w:szCs w:val="17"/>
          <w:b w:val="1"/>
          <w:bCs w:val="1"/>
          <w:color w:val="auto"/>
        </w:rPr>
        <w: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unless Ms. Nyrkovskaya is terminated for cause, all applicable equity awards held by her as of the date of termination of employment that would have vested in the one-year period immediately following such termination will vest during the following year, provided that Ms. Nyrkovskaya makes herself reasonably available and cooperates with reasonable requests from us involving facts or events relating to us that Ms. Nyrkovskaya may have knowledge of. In the event the employment agreement is terminated for good reason by Ms. Nyrkovskaya, or by us without cause, and Ms. Nyrkovskaya provides us with a release of claims, she shall be entitled to receive a cash severance payment in the amount of one times her then current base salary and one year of COBRA continuation coverage.</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Outstanding Equity Awards at 2017 Fiscal Year 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2017, to each of our named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4"/>
          </w:tcPr>
          <w:p>
            <w:pPr>
              <w:jc w:val="right"/>
              <w:ind w:right="1720"/>
              <w:spacing w:after="0"/>
              <w:rPr>
                <w:sz w:val="20"/>
                <w:szCs w:val="20"/>
                <w:color w:val="auto"/>
              </w:rPr>
            </w:pPr>
            <w:r>
              <w:rPr>
                <w:rFonts w:ascii="Arial" w:cs="Arial" w:eastAsia="Arial" w:hAnsi="Arial"/>
                <w:sz w:val="18"/>
                <w:szCs w:val="18"/>
                <w:b w:val="1"/>
                <w:bCs w:val="1"/>
                <w:color w:val="auto"/>
              </w:rPr>
              <w:t>Options Awards</w:t>
            </w:r>
          </w:p>
        </w:tc>
        <w:tc>
          <w:tcPr>
            <w:tcW w:w="2160" w:type="dxa"/>
            <w:vAlign w:val="bottom"/>
            <w:tcBorders>
              <w:bottom w:val="single" w:sz="8" w:color="auto"/>
            </w:tcBorders>
          </w:tcPr>
          <w:p>
            <w:pPr>
              <w:spacing w:after="0"/>
              <w:rPr>
                <w:sz w:val="20"/>
                <w:szCs w:val="20"/>
                <w:color w:val="auto"/>
              </w:rPr>
            </w:pPr>
          </w:p>
        </w:tc>
      </w:tr>
      <w:tr>
        <w:trPr>
          <w:trHeight w:val="191"/>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Number of securities</w:t>
            </w:r>
          </w:p>
        </w:tc>
        <w:tc>
          <w:tcPr>
            <w:tcW w:w="22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Number of securities</w:t>
            </w: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unexercised options</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unexercised options</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4"/>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 exercisable</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 un-exercisable</w:t>
            </w:r>
          </w:p>
        </w:tc>
        <w:tc>
          <w:tcPr>
            <w:tcW w:w="2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Option exercise price ($)</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Option expiration date</w:t>
            </w: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Jankowski</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17, 2027</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Andrew D. Perlman</w:t>
            </w:r>
          </w:p>
        </w:tc>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32,816</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16.50</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13, 2018</w:t>
            </w: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127,500</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26, 2022</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Andrew D. Perlman</w:t>
            </w:r>
          </w:p>
        </w:tc>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62,500</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31.80</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11, 2023</w:t>
            </w: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466,667</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333,333</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4, 2026</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Andrew D. Perlman</w:t>
            </w:r>
          </w:p>
        </w:tc>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100,000</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January 17, 2027</w:t>
            </w: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May 6, 2023</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Anastasia Nyrkovskaya</w:t>
            </w:r>
          </w:p>
        </w:tc>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30,000</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41.00</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20, 2024</w:t>
            </w: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204,167</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145,833</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4, 2026</w:t>
            </w: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Anastasia Nyrkovskaya</w:t>
            </w:r>
          </w:p>
        </w:tc>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83,333</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166,667</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January 17, 2027</w:t>
            </w:r>
          </w:p>
        </w:tc>
      </w:tr>
    </w:tbl>
    <w:p>
      <w:pPr>
        <w:spacing w:after="0" w:line="187" w:lineRule="exact"/>
        <w:rPr>
          <w:sz w:val="20"/>
          <w:szCs w:val="20"/>
          <w:color w:val="auto"/>
        </w:rPr>
      </w:pPr>
    </w:p>
    <w:p>
      <w:pPr>
        <w:ind w:left="700" w:right="20" w:hanging="341"/>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value is determined by multiplying the number of shares by $1.37, the closing price of our common stock on Nasdaq on December 29, 2017, the last day of our fiscal year.</w:t>
      </w:r>
    </w:p>
    <w:p>
      <w:pPr>
        <w:spacing w:after="0" w:line="170" w:lineRule="exact"/>
        <w:rPr>
          <w:sz w:val="20"/>
          <w:szCs w:val="20"/>
          <w:color w:val="auto"/>
        </w:rPr>
      </w:pPr>
    </w:p>
    <w:p>
      <w:pPr>
        <w:ind w:left="700" w:hanging="341"/>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Options vest in twelve equal quarterly increments (8.33% per quarter) over three years, subject to the participant's continuous service on the relevant vesting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summarizes the potential payments to each of our named executive officers as of December 31, 2017 upon termination or change-in-control. The discussion assumes that such event occurred on December 29, 2017, the last business day of our fiscal year, at which time the closing price of our common stock as listed on Nasdaq was $1.37 per share. For a further discussion of these provisions see the “Narrative Disclosure to Summary Compensation Table and Grants of Plan-Based Awards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Jankowski</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the event Mr. Jankowski’s employment was terminated for (i) Good Reason by Mr. Jankowski, or (ii) by us without Cause on December 29, 2017,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Jankowski would have received severance in the amount of one year of base salary, and COBRA payments totaling approximately $39,600.</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in the event a change-in-control of our wholly-owned subsidiary XpresSpa had occurred on December 29, 2017, Mr. Jankowski would have been entitled to receive 2% of the amount equal to the total amount of cash and the fair market value of all non-cash consideration paid or payable to us or our stockholders in connection with the change of control, net of transaction expenses payable to third parties and less the original acquisition price of wholly-owned subsidiary XpresSpa of $45,000,000 and less any past or future capital contributions made or to be made by us or our stockholders. A change of control of our wholly-owned subsidiary XpresSpa means (a) an acquisition or series of acquisitions by a person or entity unrelated to us of more than fifty percent (50%) of the outstanding shares or securities entitled to vote for the election of directors or similar managing authority of wholly-owned subsidiary XpresSpa or (b) a sale or disposition of all or substantially all of wholly-owned subsidiary XpresSpa’s assets to an unrelated third party. In the event that a closing of a public spin-off or initial public offering of our wholly-owned subsidiary XpresSpa had occurred on December 29, 2017, Mr. Jankowski would have been entitled to receive deferred stock units ("DSUs"), pursuant to wholly-owned subsidiary XpresSpa’s equity incentive plan then in effect, equal to 2% of wholly-owned subsidiary XpresSpa’s outstanding shares of common stock immediately after the such public offering; which DSUs would have been settled in common stock of XpresSpa twelve (12) months after the date of such public offering, which had no intrinsic value as of December 29, 2017.</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Andrew D. Perlman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event Mr. Perlman’s employment was terminated for (i) Good Reason by Mr. Perlman, or (ii) by us without Cause on December 29, 2017, Mr. Perlman would have received severance in the amount of one year of base salary, and COBRA payments totaling approximately $57,000. In addition, in the event a change-in-control had occurred on December 29, 2017, Mr. Perlman would have received severance in the amount of one year of base salary, or $450,000, and Mr. Perlman would have been entitled to receive 75% acceleration of certain unvested options, which had no intrinsic value as of December 29, 2017.</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19, 2018 (the “Separation Date”), we entered into a separation agreement (the “Separation Agreement”) with Mr. Perlman related to his resignation as Chief Executive Officer and as our Director. The Separation Agreement includes a release by Mr. Perlman of claims against us and certain related parties. In connection with the entry into the Settlement Agreement, Mr. Perlman agreed that he would continue to be subject to the Non-Disclosure Agreement between Mr. Perlman and us that contains a covenant protecting our confidential information. In addition, Mr. Perlman agreed to be subject to a covenant not to compete with us for a two-year period following the Separation Date, a covenant prohibiting Mr. Perlman from soliciting or hiring our employees for a two-year period following the Separation Date, and a covenant not to disparage us or any of our businesses, services, products, affiliates or current, former or future directors and named executive officers (in their capacity as such). The Separation Agreement also includes certain affirmative covenants binding on Mr. Perlman, including, without limitation, a covenant to reasonably cooperate with us in connection with any action, suit, or proceeding, whether or not by or in the right of us and whether civil, criminal, administrative, investigative or otherwise.</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consideration of the foregoing release and covenants, we will pay Mr. Perlman, severance in an amount equal to $125,000 (the “Deferred Cash”), payable in monthly installments of $20,833.34 over the six (6) month period following the date that we achieve both of the following objectives at the end of an applicable calendar quarter as shown in the Form 10-Q or Form 10-K reporting such quarter (the “Cash Objectives”): (i) our Working Capital exceeds</w:t>
      </w:r>
    </w:p>
    <w:p>
      <w:pPr>
        <w:jc w:val="both"/>
        <w:spacing w:after="0" w:line="267" w:lineRule="auto"/>
        <w:rPr>
          <w:sz w:val="20"/>
          <w:szCs w:val="20"/>
          <w:color w:val="auto"/>
        </w:rPr>
      </w:pPr>
      <w:r>
        <w:rPr>
          <w:rFonts w:ascii="Arial" w:cs="Arial" w:eastAsia="Arial" w:hAnsi="Arial"/>
          <w:sz w:val="16"/>
          <w:szCs w:val="16"/>
          <w:color w:val="auto"/>
        </w:rPr>
        <w:t>$6,368,000, and (ii) Free Cash exceeds $6,368,000; provided that if we do not achieve the Cash Objectives prior to the second (2</w:t>
      </w:r>
      <w:r>
        <w:rPr>
          <w:rFonts w:ascii="Arial" w:cs="Arial" w:eastAsia="Arial" w:hAnsi="Arial"/>
          <w:sz w:val="26"/>
          <w:szCs w:val="26"/>
          <w:color w:val="auto"/>
          <w:vertAlign w:val="superscript"/>
        </w:rPr>
        <w:t>nd</w:t>
      </w:r>
      <w:r>
        <w:rPr>
          <w:rFonts w:ascii="Arial" w:cs="Arial" w:eastAsia="Arial" w:hAnsi="Arial"/>
          <w:sz w:val="16"/>
          <w:szCs w:val="16"/>
          <w:color w:val="auto"/>
        </w:rPr>
        <w:t>) anniversary of the Separation Date, the Deferred Cash shall be forfeited and no amounts shall be payable under the Separation Agreement. For purposes of the Separation Agreement, “Free Cash” means cash and cash equivalents as defined in our Form 10-K and calculated consistently, less (i) any cash or cash equivalents that are restricted in any way, and (ii) any cash received by us from a debt, equity or other capital raise subsequent to the Separation Date. For purposes of the Separation Agreement, “Working Capital” shall mean (i) current assets less current liabilities, prepared in accordance with GAAP and consistent with our prior filings of Form 10-K, less (ii) any cash received by us from a debt, equity or other capital raise subsequent to the Separation Date.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in consideration of the foregoing release and covenants, an aggregate of 153,302 of Mr. Perlman’s restricted stock units that will vest on May 17, 2018 (the “Current RSUs”) will be subject to a restriction on sale until the earlier of: (i) the one (1) year anniversary of the Separation Date; and (ii) the date upon which the volume weighted average price (“VWAP”) for our common stock for thirty (30) consecutive trading days exceeds $1.50 (as adjusted by us in our discretion for any stock split, subdivision, dividend or distribution).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agreed to grant to Mr. Perlman an additional 150,000 restricted stock units, which shall be fully vested as of the date of grant (the “Granted RSUs”); provided, however, that such Granted RSUs will be subject to a restriction on sale until the earlier of: (i) the one (1) year anniversary of the Separation Date; and (ii) the date upon which the VWAP for our common stock for thirty (30) consecutive trading days exceeds $1.50 (as adjusted by us in our discretion for any stock split, subdivision, dividend or distribution).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Ms. Nyrkovskaya’s employment was terminated for (i) Good Reason by Ms. Nyrkovskaya, or (ii) by us without Cause on December 29, 2017, Ms. Nyrkovskaya would have received severance in the amount of one year of base salary, or $375,000, and COBRA payments totaling approximately $57,000. In addition, upon a change-in-control, Ms. Nyrkovskaya would have been entitled to receive 75% acceleration of certain unvested options, which had no intrinsic value as of December 29,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2017. Directors who are employed by us are not compensated for their service on our Board of Directors.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Fees Earned or</w:t>
            </w:r>
          </w:p>
        </w:tc>
        <w:tc>
          <w:tcPr>
            <w:tcW w:w="1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Option Awards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0"/>
              </w:rPr>
              <w:t>Paid in Cash</w:t>
            </w:r>
          </w:p>
        </w:tc>
        <w:tc>
          <w:tcPr>
            <w:tcW w:w="1440" w:type="dxa"/>
            <w:vAlign w:val="bottom"/>
            <w:gridSpan w:val="2"/>
            <w:vMerge w:val="continue"/>
          </w:tcPr>
          <w:p>
            <w:pPr>
              <w:spacing w:after="0"/>
              <w:rPr>
                <w:sz w:val="15"/>
                <w:szCs w:val="15"/>
                <w:color w:val="auto"/>
              </w:rPr>
            </w:pPr>
          </w:p>
        </w:tc>
        <w:tc>
          <w:tcPr>
            <w:tcW w:w="1360" w:type="dxa"/>
            <w:vAlign w:val="bottom"/>
            <w:gridSpan w:val="2"/>
          </w:tcPr>
          <w:p>
            <w:pPr>
              <w:ind w:left="440"/>
              <w:spacing w:after="0" w:line="181"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350"/>
              <w:spacing w:after="0" w:line="269"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Bruce T. Bernstein</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75,862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125,862</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(3)</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66,937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116,937</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(4)</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71,399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121,399</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(5)</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75,862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125,862</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Richard K. Abbe</w:t>
            </w:r>
            <w:r>
              <w:rPr>
                <w:rFonts w:ascii="Arial" w:cs="Arial" w:eastAsia="Arial" w:hAnsi="Arial"/>
                <w:sz w:val="29"/>
                <w:szCs w:val="29"/>
                <w:color w:val="auto"/>
                <w:vertAlign w:val="superscript"/>
              </w:rPr>
              <w:t>(6)</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66,937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116,937</w:t>
            </w:r>
          </w:p>
        </w:tc>
        <w:tc>
          <w:tcPr>
            <w:tcW w:w="0" w:type="dxa"/>
            <w:vAlign w:val="bottom"/>
          </w:tcPr>
          <w:p>
            <w:pPr>
              <w:spacing w:after="0"/>
              <w:rPr>
                <w:sz w:val="1"/>
                <w:szCs w:val="1"/>
                <w:color w:val="auto"/>
              </w:rPr>
            </w:pPr>
          </w:p>
        </w:tc>
      </w:tr>
      <w:tr>
        <w:trPr>
          <w:trHeight w:val="390"/>
        </w:trPr>
        <w:tc>
          <w:tcPr>
            <w:tcW w:w="7100" w:type="dxa"/>
            <w:vAlign w:val="bottom"/>
            <w:gridSpan w:val="2"/>
          </w:tcPr>
          <w:p>
            <w:pPr>
              <w:spacing w:after="0"/>
              <w:rPr>
                <w:sz w:val="20"/>
                <w:szCs w:val="20"/>
                <w:color w:val="auto"/>
              </w:rPr>
            </w:pPr>
            <w:r>
              <w:rPr>
                <w:rFonts w:ascii="Arial" w:cs="Arial" w:eastAsia="Arial" w:hAnsi="Arial"/>
                <w:sz w:val="18"/>
                <w:szCs w:val="18"/>
                <w:color w:val="auto"/>
              </w:rPr>
              <w:t>Andrew R. Heyer</w:t>
            </w:r>
            <w:r>
              <w:rPr>
                <w:rFonts w:ascii="Arial" w:cs="Arial" w:eastAsia="Arial" w:hAnsi="Arial"/>
                <w:sz w:val="30"/>
                <w:szCs w:val="30"/>
                <w:color w:val="auto"/>
                <w:vertAlign w:val="superscript"/>
              </w:rPr>
              <w:t>(7)</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66,937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116,937</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700" w:right="20" w:hanging="341"/>
        <w:spacing w:after="0" w:line="342"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Amounts represent the aggregate grant date fair value in accordance with FASB ASC </w:t>
      </w:r>
      <w:r>
        <w:rPr>
          <w:rFonts w:ascii="Arial" w:cs="Arial" w:eastAsia="Arial" w:hAnsi="Arial"/>
          <w:sz w:val="16"/>
          <w:szCs w:val="16"/>
          <w:i w:val="1"/>
          <w:iCs w:val="1"/>
          <w:color w:val="auto"/>
        </w:rPr>
        <w:t>Topic 718</w:t>
      </w:r>
      <w:r>
        <w:rPr>
          <w:rFonts w:ascii="Arial" w:cs="Arial" w:eastAsia="Arial" w:hAnsi="Arial"/>
          <w:sz w:val="16"/>
          <w:szCs w:val="16"/>
          <w:color w:val="auto"/>
        </w:rPr>
        <w:t>. See Notes 2 and 12 of the consolidated financial statements disclosed in the Form 10-K for the year ended December 31, 2017, for the assumptions made in the valuation of the equity awards.</w:t>
      </w:r>
    </w:p>
    <w:p>
      <w:pPr>
        <w:spacing w:after="0" w:line="123" w:lineRule="exact"/>
        <w:rPr>
          <w:rFonts w:ascii="Arial" w:cs="Arial" w:eastAsia="Arial" w:hAnsi="Arial"/>
          <w:sz w:val="16"/>
          <w:szCs w:val="16"/>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2017, Mr. Bernstein held 145,000 fully vested options.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2017, Mr. Engelman held 187,000 fully vested options.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2017, Mr. Stout held 172,500 fully vested options.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2016, Mr. Giardina held 145,000 fully vested options.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2017, Mr. Abbe held 125,000 fully vested options.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2017, Mr. Heyer held 75,000 fully vested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compensate each of our non-employee directors an annual cash stipend of $50,000. On January 17, 2017, we granted options to purchase shares of our common stock to each of our non-employee directors. Mr. Bernstein and Mr. Giardina each received options to purchase 85,000 shares of our common stock, Mr. Stout received options to purchase 80,000 shares of our common stock, and Mr. Engelman, Mr. Abbe and Mr. Heyer each received options to purchase 75,000 shares of our common stock. The options feature an exercise price of $2.12 per share and vest in equal quarterly installments over a one-year period, with one-fourth vesting at the end of each fiscal quarter following the grant.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certain aggregate information, as of December 31, 2017, with respect to all of our equity compensation plans then in effect: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 of securities</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No. of securities to be</w:t>
            </w:r>
          </w:p>
        </w:tc>
        <w:tc>
          <w:tcPr>
            <w:tcW w:w="12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Weighted-average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issued upon exercise of</w:t>
            </w:r>
          </w:p>
        </w:tc>
        <w:tc>
          <w:tcPr>
            <w:tcW w:w="12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 of</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outstanding options,</w:t>
            </w:r>
          </w:p>
        </w:tc>
        <w:tc>
          <w:tcPr>
            <w:tcW w:w="12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 options,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securities reflected in</w:t>
            </w:r>
          </w:p>
        </w:tc>
      </w:t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warrants and rights</w:t>
            </w:r>
          </w:p>
        </w:tc>
        <w:tc>
          <w:tcPr>
            <w:tcW w:w="2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 xml:space="preserve">warrants and rights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the first column)</w:t>
            </w:r>
          </w:p>
        </w:tc>
      </w:tr>
      <w:tr>
        <w:trPr>
          <w:trHeight w:val="199"/>
        </w:trPr>
        <w:tc>
          <w:tcPr>
            <w:tcW w:w="526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Total equity compensation plans approved by</w:t>
            </w:r>
          </w:p>
        </w:tc>
        <w:tc>
          <w:tcPr>
            <w:tcW w:w="12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67"/>
        </w:trPr>
        <w:tc>
          <w:tcPr>
            <w:tcW w:w="5380" w:type="dxa"/>
            <w:vAlign w:val="bottom"/>
            <w:gridSpan w:val="2"/>
            <w:shd w:val="clear" w:color="auto" w:fill="CCEEFF"/>
          </w:tcPr>
          <w:p>
            <w:pPr>
              <w:ind w:left="200"/>
              <w:spacing w:after="0" w:line="266" w:lineRule="exact"/>
              <w:rPr>
                <w:sz w:val="20"/>
                <w:szCs w:val="20"/>
                <w:color w:val="auto"/>
              </w:rPr>
            </w:pPr>
            <w:r>
              <w:rPr>
                <w:rFonts w:ascii="Arial" w:cs="Arial" w:eastAsia="Arial" w:hAnsi="Arial"/>
                <w:sz w:val="18"/>
                <w:szCs w:val="18"/>
                <w:color w:val="auto"/>
              </w:rPr>
              <w:t xml:space="preserve">security holders </w:t>
            </w:r>
            <w:r>
              <w:rPr>
                <w:rFonts w:ascii="Arial" w:cs="Arial" w:eastAsia="Arial" w:hAnsi="Arial"/>
                <w:sz w:val="30"/>
                <w:szCs w:val="30"/>
                <w:color w:val="auto"/>
                <w:vertAlign w:val="superscript"/>
              </w:rPr>
              <w:t>(1)(2)</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4,683,508</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2,416,492</w:t>
            </w:r>
          </w:p>
        </w:tc>
      </w:tr>
    </w:tbl>
    <w:p>
      <w:pPr>
        <w:spacing w:after="0" w:line="202" w:lineRule="exact"/>
        <w:rPr>
          <w:sz w:val="20"/>
          <w:szCs w:val="20"/>
          <w:color w:val="auto"/>
        </w:rPr>
      </w:pPr>
    </w:p>
    <w:p>
      <w:pPr>
        <w:jc w:val="both"/>
        <w:ind w:left="700" w:hanging="341"/>
        <w:spacing w:after="0" w:line="264"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plans consist of the 2012 Plan, as amended on November 23, 2016, and the 2006 Plan. Under the amended 2012 Plan, a maximum of 7,100,000 shares of common stock may be awarded. The 2012 Plan was originally approved by our stockholders on July 19, 2012, following the merger with Innovate/Protect, replacing our then existing 2006 Plan.</w:t>
      </w:r>
    </w:p>
    <w:p>
      <w:pPr>
        <w:spacing w:after="0" w:line="181" w:lineRule="exact"/>
        <w:rPr>
          <w:rFonts w:ascii="Arial" w:cs="Arial" w:eastAsia="Arial" w:hAnsi="Arial"/>
          <w:sz w:val="18"/>
          <w:szCs w:val="18"/>
          <w:color w:val="auto"/>
        </w:rPr>
      </w:pPr>
    </w:p>
    <w:p>
      <w:pPr>
        <w:ind w:left="700" w:hanging="341"/>
        <w:spacing w:after="0" w:line="342"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numbers of securities to be issued upon exercise of outstanding equities are 4,615,942 and 67,566 for the 2012 Plan and the 2006 Plan, respectively. The weighted-average exercise prices of outstanding options are $5.23 and $16.30 for the 2012 Plan and the 2006 Plan,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and Series D Preferred Stock as of April 30, 2018 for (a) each stockholder known by us to own beneficially more than 5% of our common stock, (b) each of our named executive officers, (c) each of our directors, and (d) all of our current directors and executive officers as a group. Beneficial ownership is determined in accordance with the rules of the SEC and includes voting or investment power with respect to the securities. We deem shares of common stock and Series D Preferred Stock that may be acquired by an individual or group within 60 days of April 30, 2018 pursuant to the exercise of options or warrants or the vesting of restricted stock units to be outstanding for the purpose of computing the percentage ownership of such individual or group, but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and/or Series D Preferred Stock shown to be beneficially owned by them based on information provided to us by these stockholders. Percentage of ownership is based on (i) 26,634,475 shares of common stock and (ii) 420,541 shares of Series D Preferred Stock convertible into 3,364,328 shares of common stock outstanding on April 30, 2018.</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Number of Shares</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 of Shares</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of Common Stock</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of Common Stock</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Underlying</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Number of Shares of</w:t>
            </w: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Percent of Shares of</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Series D</w:t>
            </w: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Series D</w:t>
            </w:r>
          </w:p>
        </w:tc>
        <w:tc>
          <w:tcPr>
            <w:tcW w:w="0" w:type="dxa"/>
            <w:vAlign w:val="bottom"/>
          </w:tcPr>
          <w:p>
            <w:pPr>
              <w:spacing w:after="0"/>
              <w:rPr>
                <w:sz w:val="1"/>
                <w:szCs w:val="1"/>
                <w:color w:val="auto"/>
              </w:rPr>
            </w:pPr>
          </w:p>
        </w:tc>
      </w:tr>
      <w:tr>
        <w:trPr>
          <w:trHeight w:val="216"/>
        </w:trPr>
        <w:tc>
          <w:tcPr>
            <w:tcW w:w="3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30"/>
                <w:szCs w:val="30"/>
                <w:b w:val="1"/>
                <w:bCs w:val="1"/>
                <w:color w:val="auto"/>
                <w:vertAlign w:val="superscript"/>
              </w:rPr>
              <w:t>(1)</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Common Stock</w:t>
            </w: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Common Stock</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Preferred Stock</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Preferred Stock</w:t>
            </w:r>
          </w:p>
        </w:tc>
        <w:tc>
          <w:tcPr>
            <w:tcW w:w="0" w:type="dxa"/>
            <w:vAlign w:val="bottom"/>
          </w:tcPr>
          <w:p>
            <w:pPr>
              <w:spacing w:after="0"/>
              <w:rPr>
                <w:sz w:val="1"/>
                <w:szCs w:val="1"/>
                <w:color w:val="auto"/>
              </w:rPr>
            </w:pPr>
          </w:p>
        </w:tc>
      </w:tr>
      <w:tr>
        <w:trPr>
          <w:trHeight w:val="234"/>
        </w:trPr>
        <w:tc>
          <w:tcPr>
            <w:tcW w:w="3740" w:type="dxa"/>
            <w:vAlign w:val="bottom"/>
            <w:gridSpan w:val="2"/>
            <w:vMerge w:val="continue"/>
          </w:tcPr>
          <w:p>
            <w:pPr>
              <w:spacing w:after="0"/>
              <w:rPr>
                <w:sz w:val="20"/>
                <w:szCs w:val="20"/>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 Owned</w:t>
            </w: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 Owned</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Beneficially Owned</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Beneficially Owned</w:t>
            </w:r>
          </w:p>
        </w:tc>
        <w:tc>
          <w:tcPr>
            <w:tcW w:w="0" w:type="dxa"/>
            <w:vAlign w:val="bottom"/>
          </w:tcPr>
          <w:p>
            <w:pPr>
              <w:spacing w:after="0"/>
              <w:rPr>
                <w:sz w:val="1"/>
                <w:szCs w:val="1"/>
                <w:color w:val="auto"/>
              </w:rPr>
            </w:pP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740" w:type="dxa"/>
            <w:vAlign w:val="bottom"/>
            <w:gridSpan w:val="2"/>
          </w:tcPr>
          <w:p>
            <w:pPr>
              <w:spacing w:after="0" w:line="242" w:lineRule="exact"/>
              <w:rPr>
                <w:sz w:val="20"/>
                <w:szCs w:val="20"/>
                <w:color w:val="auto"/>
              </w:rPr>
            </w:pPr>
            <w:r>
              <w:rPr>
                <w:rFonts w:ascii="Arial" w:cs="Arial" w:eastAsia="Arial" w:hAnsi="Arial"/>
                <w:sz w:val="17"/>
                <w:szCs w:val="17"/>
                <w:color w:val="auto"/>
              </w:rPr>
              <w:t>Mistral Spa Holdings, LLC</w:t>
            </w:r>
            <w:r>
              <w:rPr>
                <w:rFonts w:ascii="Arial" w:cs="Arial" w:eastAsia="Arial" w:hAnsi="Arial"/>
                <w:sz w:val="28"/>
                <w:szCs w:val="28"/>
                <w:color w:val="auto"/>
                <w:vertAlign w:val="superscript"/>
              </w:rPr>
              <w:t>(2)</w:t>
            </w:r>
          </w:p>
        </w:tc>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650 Fifth Avenue, Floor 31</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New York, NY 10019</w:t>
            </w:r>
          </w:p>
        </w:tc>
        <w:tc>
          <w:tcPr>
            <w:tcW w:w="1720" w:type="dxa"/>
            <w:vAlign w:val="bottom"/>
          </w:tcPr>
          <w:p>
            <w:pPr>
              <w:jc w:val="right"/>
              <w:spacing w:after="0"/>
              <w:rPr>
                <w:sz w:val="20"/>
                <w:szCs w:val="20"/>
                <w:color w:val="auto"/>
              </w:rPr>
            </w:pPr>
            <w:r>
              <w:rPr>
                <w:rFonts w:ascii="Arial" w:cs="Arial" w:eastAsia="Arial" w:hAnsi="Arial"/>
                <w:sz w:val="18"/>
                <w:szCs w:val="18"/>
                <w:color w:val="auto"/>
              </w:rPr>
              <w:t>3,926,806</w:t>
            </w:r>
          </w:p>
        </w:tc>
        <w:tc>
          <w:tcPr>
            <w:tcW w:w="20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2,414,992</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2"/>
        </w:trPr>
        <w:tc>
          <w:tcPr>
            <w:tcW w:w="37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AWM Investment Company, Inc.</w:t>
            </w:r>
            <w:r>
              <w:rPr>
                <w:rFonts w:ascii="Arial" w:cs="Arial" w:eastAsia="Arial" w:hAnsi="Arial"/>
                <w:sz w:val="28"/>
                <w:szCs w:val="28"/>
                <w:color w:val="auto"/>
                <w:vertAlign w:val="superscript"/>
              </w:rPr>
              <w:t>(3)</w:t>
            </w:r>
          </w:p>
        </w:tc>
        <w:tc>
          <w:tcPr>
            <w:tcW w:w="1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527 Madison Avenue, Suite 2600</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2,643,745</w:t>
            </w:r>
          </w:p>
        </w:tc>
        <w:tc>
          <w:tcPr>
            <w:tcW w:w="2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Edward Jankowski</w:t>
            </w:r>
            <w:r>
              <w:rPr>
                <w:rFonts w:ascii="Arial" w:cs="Arial" w:eastAsia="Arial" w:hAnsi="Arial"/>
                <w:sz w:val="29"/>
                <w:szCs w:val="29"/>
                <w:color w:val="auto"/>
                <w:vertAlign w:val="superscript"/>
              </w:rPr>
              <w:t>(4)</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163,129</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(5)</w:t>
            </w:r>
          </w:p>
        </w:tc>
        <w:tc>
          <w:tcPr>
            <w:tcW w:w="1720" w:type="dxa"/>
            <w:vAlign w:val="bottom"/>
          </w:tcPr>
          <w:p>
            <w:pPr>
              <w:jc w:val="right"/>
              <w:spacing w:after="0"/>
              <w:rPr>
                <w:sz w:val="20"/>
                <w:szCs w:val="20"/>
                <w:color w:val="auto"/>
              </w:rPr>
            </w:pPr>
            <w:r>
              <w:rPr>
                <w:rFonts w:ascii="Arial" w:cs="Arial" w:eastAsia="Arial" w:hAnsi="Arial"/>
                <w:sz w:val="18"/>
                <w:szCs w:val="18"/>
                <w:color w:val="auto"/>
              </w:rPr>
              <w:t>1,426,912</w:t>
            </w:r>
          </w:p>
        </w:tc>
        <w:tc>
          <w:tcPr>
            <w:tcW w:w="200" w:type="dxa"/>
            <w:vAlign w:val="bottom"/>
          </w:tcPr>
          <w:p>
            <w:pPr>
              <w:spacing w:after="0"/>
              <w:rPr>
                <w:sz w:val="22"/>
                <w:szCs w:val="22"/>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(6)</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458,062</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tcPr>
          <w:p>
            <w:pPr>
              <w:spacing w:after="0" w:line="256" w:lineRule="exact"/>
              <w:rPr>
                <w:sz w:val="20"/>
                <w:szCs w:val="20"/>
                <w:color w:val="auto"/>
              </w:rPr>
            </w:pPr>
            <w:r>
              <w:rPr>
                <w:rFonts w:ascii="Arial" w:cs="Arial" w:eastAsia="Arial" w:hAnsi="Arial"/>
                <w:sz w:val="18"/>
                <w:szCs w:val="18"/>
                <w:color w:val="auto"/>
              </w:rPr>
              <w:t>Jason Charkow</w:t>
            </w:r>
            <w:r>
              <w:rPr>
                <w:rFonts w:ascii="Arial" w:cs="Arial" w:eastAsia="Arial" w:hAnsi="Arial"/>
                <w:sz w:val="29"/>
                <w:szCs w:val="29"/>
                <w:color w:val="auto"/>
                <w:vertAlign w:val="superscript"/>
              </w:rPr>
              <w:t>(7)</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256,462</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Bruce T. Bernstein</w:t>
            </w:r>
            <w:r>
              <w:rPr>
                <w:rFonts w:ascii="Arial" w:cs="Arial" w:eastAsia="Arial" w:hAnsi="Arial"/>
                <w:sz w:val="29"/>
                <w:szCs w:val="29"/>
                <w:color w:val="auto"/>
                <w:vertAlign w:val="superscript"/>
              </w:rPr>
              <w:t>(8)</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814,457</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393,416</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3740" w:type="dxa"/>
            <w:vAlign w:val="bottom"/>
            <w:gridSpan w:val="2"/>
          </w:tcPr>
          <w:p>
            <w:pPr>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(9)</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189,908</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(10)</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264,632</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tcPr>
          <w:p>
            <w:pPr>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(11)</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145,000</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Richard K. Abbe</w:t>
            </w:r>
            <w:r>
              <w:rPr>
                <w:rFonts w:ascii="Arial" w:cs="Arial" w:eastAsia="Arial" w:hAnsi="Arial"/>
                <w:sz w:val="29"/>
                <w:szCs w:val="29"/>
                <w:color w:val="auto"/>
                <w:vertAlign w:val="superscript"/>
              </w:rPr>
              <w:t>(12)</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723,292</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tcPr>
          <w:p>
            <w:pPr>
              <w:spacing w:after="0" w:line="256" w:lineRule="exact"/>
              <w:rPr>
                <w:sz w:val="20"/>
                <w:szCs w:val="20"/>
                <w:color w:val="auto"/>
              </w:rPr>
            </w:pPr>
            <w:r>
              <w:rPr>
                <w:rFonts w:ascii="Arial" w:cs="Arial" w:eastAsia="Arial" w:hAnsi="Arial"/>
                <w:sz w:val="18"/>
                <w:szCs w:val="18"/>
                <w:color w:val="auto"/>
              </w:rPr>
              <w:t>Andrew R. Heyer</w:t>
            </w:r>
            <w:r>
              <w:rPr>
                <w:rFonts w:ascii="Arial" w:cs="Arial" w:eastAsia="Arial" w:hAnsi="Arial"/>
                <w:sz w:val="29"/>
                <w:szCs w:val="29"/>
                <w:color w:val="auto"/>
                <w:vertAlign w:val="superscript"/>
              </w:rPr>
              <w:t>(2)(13)</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4,116,806</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2,414,992</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5"/>
        </w:trPr>
        <w:tc>
          <w:tcPr>
            <w:tcW w:w="37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9"/>
              </w:rPr>
              <w:t>All current directors and officers as a group (10</w:t>
            </w: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740" w:type="dxa"/>
            <w:vAlign w:val="bottom"/>
            <w:gridSpan w:val="2"/>
            <w:shd w:val="clear" w:color="auto" w:fill="CCEEFF"/>
          </w:tcPr>
          <w:p>
            <w:pPr>
              <w:spacing w:after="0" w:line="266" w:lineRule="exact"/>
              <w:rPr>
                <w:sz w:val="20"/>
                <w:szCs w:val="20"/>
                <w:color w:val="auto"/>
              </w:rPr>
            </w:pPr>
            <w:r>
              <w:rPr>
                <w:rFonts w:ascii="Arial" w:cs="Arial" w:eastAsia="Arial" w:hAnsi="Arial"/>
                <w:sz w:val="18"/>
                <w:szCs w:val="18"/>
                <w:color w:val="auto"/>
              </w:rPr>
              <w:t>individuals)</w:t>
            </w:r>
            <w:r>
              <w:rPr>
                <w:rFonts w:ascii="Arial" w:cs="Arial" w:eastAsia="Arial" w:hAnsi="Arial"/>
                <w:sz w:val="30"/>
                <w:szCs w:val="30"/>
                <w:color w:val="auto"/>
                <w:vertAlign w:val="superscript"/>
              </w:rPr>
              <w:t>(14)</w:t>
            </w: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8,558,660</w:t>
            </w:r>
          </w:p>
        </w:tc>
        <w:tc>
          <w:tcPr>
            <w:tcW w:w="200" w:type="dxa"/>
            <w:vAlign w:val="bottom"/>
            <w:shd w:val="clear" w:color="auto" w:fill="CCEEFF"/>
          </w:tcPr>
          <w:p>
            <w:pPr>
              <w:spacing w:after="0"/>
              <w:rPr>
                <w:sz w:val="23"/>
                <w:szCs w:val="23"/>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2,808,408</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18"/>
          <w:szCs w:val="18"/>
          <w:color w:val="auto"/>
        </w:rPr>
        <w:t>*</w:t>
        <w:tab/>
        <w:t>Less than 1%</w:t>
      </w:r>
    </w:p>
    <w:p>
      <w:pPr>
        <w:spacing w:after="0" w:line="229" w:lineRule="exact"/>
        <w:rPr>
          <w:sz w:val="20"/>
          <w:szCs w:val="20"/>
          <w:color w:val="auto"/>
        </w:rPr>
      </w:pPr>
    </w:p>
    <w:p>
      <w:pPr>
        <w:ind w:left="700" w:hanging="341"/>
        <w:spacing w:after="0" w:line="186" w:lineRule="auto"/>
        <w:tabs>
          <w:tab w:leader="none" w:pos="700" w:val="left"/>
        </w:tabs>
        <w:numPr>
          <w:ilvl w:val="0"/>
          <w:numId w:val="10"/>
        </w:numPr>
        <w:rPr>
          <w:rFonts w:ascii="Arial" w:cs="Arial" w:eastAsia="Arial" w:hAnsi="Arial"/>
          <w:sz w:val="36"/>
          <w:szCs w:val="36"/>
          <w:color w:val="auto"/>
          <w:vertAlign w:val="superscript"/>
        </w:rPr>
      </w:pPr>
      <w:r>
        <w:rPr>
          <w:rFonts w:ascii="Arial" w:cs="Arial" w:eastAsia="Arial" w:hAnsi="Arial"/>
          <w:sz w:val="18"/>
          <w:szCs w:val="18"/>
          <w:color w:val="auto"/>
        </w:rPr>
        <w:t>Unless otherwise indicated, the business address of the individuals is c/o XpresSpa Group, Inc.,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w:t>
      </w:r>
    </w:p>
    <w:p>
      <w:pPr>
        <w:spacing w:after="0" w:line="203" w:lineRule="exact"/>
        <w:rPr>
          <w:rFonts w:ascii="Arial" w:cs="Arial" w:eastAsia="Arial" w:hAnsi="Arial"/>
          <w:sz w:val="36"/>
          <w:szCs w:val="36"/>
          <w:color w:val="auto"/>
          <w:vertAlign w:val="superscript"/>
        </w:rPr>
      </w:pPr>
    </w:p>
    <w:p>
      <w:pPr>
        <w:ind w:left="700" w:hanging="341"/>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2,338,690 shares of common stock and warrants to purchase 1,588,116 shares of common stock at the exercise price of $3.00 per share.</w:t>
      </w:r>
    </w:p>
    <w:p>
      <w:pPr>
        <w:spacing w:after="0" w:line="170" w:lineRule="exact"/>
        <w:rPr>
          <w:rFonts w:ascii="Arial" w:cs="Arial" w:eastAsia="Arial" w:hAnsi="Arial"/>
          <w:sz w:val="18"/>
          <w:szCs w:val="18"/>
          <w:color w:val="auto"/>
        </w:rPr>
      </w:pPr>
    </w:p>
    <w:p>
      <w:pPr>
        <w:ind w:left="700"/>
        <w:spacing w:after="0" w:line="277" w:lineRule="auto"/>
        <w:rPr>
          <w:rFonts w:ascii="Arial" w:cs="Arial" w:eastAsia="Arial" w:hAnsi="Arial"/>
          <w:sz w:val="18"/>
          <w:szCs w:val="18"/>
          <w:color w:val="auto"/>
        </w:rPr>
      </w:pPr>
      <w:r>
        <w:rPr>
          <w:rFonts w:ascii="Arial" w:cs="Arial" w:eastAsia="Arial" w:hAnsi="Arial"/>
          <w:sz w:val="18"/>
          <w:szCs w:val="18"/>
          <w:color w:val="auto"/>
        </w:rPr>
        <w:t>The number of shares of common stock underlying Series D Preferred Stock beneficially includes 301,874 shares of Series D Preferred Stock convertible into 2,414,992 shares of common stock.</w:t>
      </w:r>
    </w:p>
    <w:p>
      <w:pPr>
        <w:spacing w:after="0" w:line="170" w:lineRule="exact"/>
        <w:rPr>
          <w:rFonts w:ascii="Arial" w:cs="Arial" w:eastAsia="Arial" w:hAnsi="Arial"/>
          <w:sz w:val="18"/>
          <w:szCs w:val="18"/>
          <w:color w:val="auto"/>
        </w:rPr>
      </w:pPr>
    </w:p>
    <w:p>
      <w:pPr>
        <w:jc w:val="both"/>
        <w:ind w:left="700"/>
        <w:spacing w:after="0" w:line="289" w:lineRule="auto"/>
        <w:rPr>
          <w:rFonts w:ascii="Arial" w:cs="Arial" w:eastAsia="Arial" w:hAnsi="Arial"/>
          <w:sz w:val="18"/>
          <w:szCs w:val="18"/>
          <w:color w:val="auto"/>
        </w:rPr>
      </w:pPr>
      <w:r>
        <w:rPr>
          <w:rFonts w:ascii="Arial" w:cs="Arial" w:eastAsia="Arial" w:hAnsi="Arial"/>
          <w:sz w:val="16"/>
          <w:szCs w:val="16"/>
          <w:color w:val="auto"/>
        </w:rPr>
        <w:t>Mistral Spa Holdings, LLC (“MSH”), a Delaware limited liability company, is an investment entity indirectly controlled by Mr. Heyer through Mistral Equity Partners, LP (“MEP”), Mistral Equity Partners QP, LP (“MEP QP”) and MEP Co-Invest, LLC (“MEP Co-Invest”). Mistral Equity GP, LLC (“MEP GP” and, together with MEP, MEP QP, and MEP Co-Invest, the “Mistral Fund Entities”) is the general partner of MEP and MEP QP. By reason of the provisions of Rule 16a-1 of the Exchange Act, the Mistral Fund Entities may be deemed to be beneficial owners of certain of the securities that are deemed to be beneficially owned by MSH, and Mr. Heyer may be deemed to be the beneficial owner of any securities that may be deemed to be beneficially owned by MSH and/or the Mistral Fund Entities. Mr. Heyer may be deemed to have an indirect pecuniary interest (within the meaning of Rule 16a-1 of the Exchange Act) in an indeterminate portion of the securities reported as beneficially owned by MSH, and MEP GP may be deemed to have an indirect pecuniary interest in an indeterminate portion of the securities reported as beneficially owned by MEP and MEP QP. Mr. Heyer’s business address is c/o Mistral Capital Management, LLC, 650 Fifth Avenue, 31st Floor, New York, NY 10019.</w:t>
      </w:r>
    </w:p>
    <w:p>
      <w:pPr>
        <w:spacing w:after="0" w:line="166" w:lineRule="exact"/>
        <w:rPr>
          <w:rFonts w:ascii="Arial" w:cs="Arial" w:eastAsia="Arial" w:hAnsi="Arial"/>
          <w:sz w:val="18"/>
          <w:szCs w:val="18"/>
          <w:color w:val="auto"/>
        </w:rPr>
      </w:pPr>
    </w:p>
    <w:p>
      <w:pPr>
        <w:jc w:val="both"/>
        <w:ind w:left="700" w:hanging="341"/>
        <w:spacing w:after="0" w:line="302"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AWM Investment Company, Inc., a Delaware corporation (“AWM”), is the investment adviser to Special Situations Cayman Fund, L.P. (“CAYMAN”), Special Situations Fund III QP, L.P. (“SSFQP”) and Special Situations Private Equity Fund, L.P. (“SSPE” and together with CAYMAN and SSFQP, the “Funds”). As the investment adviser to the Funds, AWM holds sole voting and investment power over 462,561 shares of common stock held by CAYMAN, 1,387,683 shares of common stock held by SSFQP and 793,501 shares of common stock held by SSPE.</w:t>
      </w:r>
    </w:p>
    <w:p>
      <w:pPr>
        <w:spacing w:after="0" w:line="154" w:lineRule="exact"/>
        <w:rPr>
          <w:rFonts w:ascii="Arial" w:cs="Arial" w:eastAsia="Arial" w:hAnsi="Arial"/>
          <w:sz w:val="16"/>
          <w:szCs w:val="16"/>
          <w:color w:val="auto"/>
        </w:rPr>
      </w:pPr>
    </w:p>
    <w:p>
      <w:pPr>
        <w:ind w:left="700"/>
        <w:spacing w:after="0" w:line="277" w:lineRule="auto"/>
        <w:rPr>
          <w:rFonts w:ascii="Arial" w:cs="Arial" w:eastAsia="Arial" w:hAnsi="Arial"/>
          <w:sz w:val="16"/>
          <w:szCs w:val="16"/>
          <w:color w:val="auto"/>
        </w:rPr>
      </w:pPr>
      <w:r>
        <w:rPr>
          <w:rFonts w:ascii="Arial" w:cs="Arial" w:eastAsia="Arial" w:hAnsi="Arial"/>
          <w:sz w:val="18"/>
          <w:szCs w:val="18"/>
          <w:color w:val="auto"/>
        </w:rPr>
        <w:t>Austin W. Marxe, David M. Greenhouse and Adam C. Stettner are the controlling principals of AWM. The reporting person disclaims beneficial ownership of the shares, except to the extent of its pecuniary interest therein.</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341" w:hanging="341"/>
        <w:spacing w:after="0" w:line="277"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104,167 shares of our common stock exercisable and 58,962 restricted stock units vesting within 60 days of April 30, 2018.</w:t>
      </w:r>
    </w:p>
    <w:p>
      <w:pPr>
        <w:spacing w:after="0" w:line="170" w:lineRule="exact"/>
        <w:rPr>
          <w:rFonts w:ascii="Arial" w:cs="Arial" w:eastAsia="Arial" w:hAnsi="Arial"/>
          <w:sz w:val="18"/>
          <w:szCs w:val="18"/>
          <w:color w:val="auto"/>
        </w:rPr>
      </w:pPr>
    </w:p>
    <w:p>
      <w:pPr>
        <w:ind w:left="341" w:hanging="341"/>
        <w:spacing w:after="0" w:line="277"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848,333 shares of our common stock exercisable and 303,302 restricted stock units vesting within 60 days of April 30, 2018.</w:t>
      </w:r>
    </w:p>
    <w:p>
      <w:pPr>
        <w:spacing w:after="0" w:line="170" w:lineRule="exact"/>
        <w:rPr>
          <w:rFonts w:ascii="Arial" w:cs="Arial" w:eastAsia="Arial" w:hAnsi="Arial"/>
          <w:sz w:val="18"/>
          <w:szCs w:val="18"/>
          <w:color w:val="auto"/>
        </w:rPr>
      </w:pPr>
    </w:p>
    <w:p>
      <w:pPr>
        <w:ind w:left="341"/>
        <w:spacing w:after="0"/>
        <w:rPr>
          <w:rFonts w:ascii="Arial" w:cs="Arial" w:eastAsia="Arial" w:hAnsi="Arial"/>
          <w:sz w:val="18"/>
          <w:szCs w:val="18"/>
          <w:color w:val="auto"/>
        </w:rPr>
      </w:pPr>
      <w:r>
        <w:rPr>
          <w:rFonts w:ascii="Arial" w:cs="Arial" w:eastAsia="Arial" w:hAnsi="Arial"/>
          <w:sz w:val="16"/>
          <w:szCs w:val="16"/>
          <w:color w:val="auto"/>
        </w:rPr>
        <w:t>An aggregate of 153,302 of Mr. Perlman’s restricted stock units vesting on May 17, 2018 will be subject to a restriction on sale until the earlier of:</w:t>
      </w:r>
    </w:p>
    <w:p>
      <w:pPr>
        <w:spacing w:after="0" w:line="46" w:lineRule="exact"/>
        <w:rPr>
          <w:rFonts w:ascii="Arial" w:cs="Arial" w:eastAsia="Arial" w:hAnsi="Arial"/>
          <w:sz w:val="18"/>
          <w:szCs w:val="18"/>
          <w:color w:val="auto"/>
        </w:rPr>
      </w:pPr>
    </w:p>
    <w:p>
      <w:pPr>
        <w:jc w:val="both"/>
        <w:ind w:left="341" w:right="20" w:hanging="3"/>
        <w:spacing w:after="0" w:line="292" w:lineRule="auto"/>
        <w:tabs>
          <w:tab w:leader="none" w:pos="567"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one (1) year anniversary of the Separation Date; and (ii) the date upon which the VWAP for our common stock for thirty (30) consecutive trading days exceeds $1.50 (as adjusted by us in our discretion for any stock split, subdivision, dividend or distribution). In addition, we have agreed to grant to Mr. Perlman an additional 150,000 restricted stock units; provided, however, that such Granted RSUs will be subject to a restriction on sale until the earlier of: (i) the one (1) year anniversary of the Separation Date; and (ii) the date upon which the VWAP for our common stock for thirty (30) consecutive trading days exceeds $1.50 (as adjusted by us in our discretion for any stock split, subdivision, dividend or distribution).</w:t>
      </w:r>
    </w:p>
    <w:p>
      <w:pPr>
        <w:spacing w:after="0" w:line="162" w:lineRule="exact"/>
        <w:rPr>
          <w:rFonts w:ascii="Arial" w:cs="Arial" w:eastAsia="Arial" w:hAnsi="Arial"/>
          <w:sz w:val="16"/>
          <w:szCs w:val="16"/>
          <w:color w:val="auto"/>
        </w:rPr>
      </w:pPr>
    </w:p>
    <w:p>
      <w:pPr>
        <w:ind w:left="341" w:hanging="341"/>
        <w:spacing w:after="0" w:line="277"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397,500 shares of our common stock exercisable and 58,962 restricted stock units vesting within 60 days of April 30, 2018.</w:t>
      </w:r>
    </w:p>
    <w:p>
      <w:pPr>
        <w:spacing w:after="0" w:line="170" w:lineRule="exact"/>
        <w:rPr>
          <w:rFonts w:ascii="Arial" w:cs="Arial" w:eastAsia="Arial" w:hAnsi="Arial"/>
          <w:sz w:val="18"/>
          <w:szCs w:val="18"/>
          <w:color w:val="auto"/>
        </w:rPr>
      </w:pPr>
    </w:p>
    <w:p>
      <w:pPr>
        <w:ind w:left="341" w:hanging="341"/>
        <w:spacing w:after="0" w:line="277"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197,500 shares of our common stock exercisable and 58,962 restricted stock units vesting within 60 days of April 30, 2018.</w:t>
      </w:r>
    </w:p>
    <w:p>
      <w:pPr>
        <w:spacing w:after="0" w:line="170" w:lineRule="exact"/>
        <w:rPr>
          <w:rFonts w:ascii="Arial" w:cs="Arial" w:eastAsia="Arial" w:hAnsi="Arial"/>
          <w:sz w:val="18"/>
          <w:szCs w:val="18"/>
          <w:color w:val="auto"/>
        </w:rPr>
      </w:pPr>
    </w:p>
    <w:p>
      <w:pPr>
        <w:ind w:left="341" w:right="20" w:hanging="341"/>
        <w:spacing w:after="0" w:line="308" w:lineRule="auto"/>
        <w:tabs>
          <w:tab w:leader="none" w:pos="34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options to purchase 145,000 shares of our common stock exercisable within 60 days of April 30, 2018 and warrants to purchase 258,712 shares of common stock at the exercise price of $3.00 per share.</w:t>
      </w:r>
    </w:p>
    <w:p>
      <w:pPr>
        <w:spacing w:after="0" w:line="146" w:lineRule="exact"/>
        <w:rPr>
          <w:rFonts w:ascii="Arial" w:cs="Arial" w:eastAsia="Arial" w:hAnsi="Arial"/>
          <w:sz w:val="17"/>
          <w:szCs w:val="17"/>
          <w:color w:val="auto"/>
        </w:rPr>
      </w:pPr>
    </w:p>
    <w:p>
      <w:pPr>
        <w:ind w:left="341"/>
        <w:spacing w:after="0" w:line="277" w:lineRule="auto"/>
        <w:rPr>
          <w:rFonts w:ascii="Arial" w:cs="Arial" w:eastAsia="Arial" w:hAnsi="Arial"/>
          <w:sz w:val="17"/>
          <w:szCs w:val="17"/>
          <w:color w:val="auto"/>
        </w:rPr>
      </w:pPr>
      <w:r>
        <w:rPr>
          <w:rFonts w:ascii="Arial" w:cs="Arial" w:eastAsia="Arial" w:hAnsi="Arial"/>
          <w:sz w:val="18"/>
          <w:szCs w:val="18"/>
          <w:color w:val="auto"/>
        </w:rPr>
        <w:t>The number of shares of common stock underlying Series D Preferred Stock beneficially includes 49,177 shares of Series D Preferred Stock convertible into 393,416 shares of common stock.</w:t>
      </w:r>
    </w:p>
    <w:p>
      <w:pPr>
        <w:spacing w:after="0" w:line="170" w:lineRule="exact"/>
        <w:rPr>
          <w:rFonts w:ascii="Arial" w:cs="Arial" w:eastAsia="Arial" w:hAnsi="Arial"/>
          <w:sz w:val="17"/>
          <w:szCs w:val="17"/>
          <w:color w:val="auto"/>
        </w:rPr>
      </w:pPr>
    </w:p>
    <w:p>
      <w:pPr>
        <w:ind w:left="341" w:right="20" w:hanging="341"/>
        <w:spacing w:after="0" w:line="277"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167,500 shares of our common stock exercisable within 60 days of April 30, 2018.</w:t>
      </w:r>
    </w:p>
    <w:p>
      <w:pPr>
        <w:spacing w:after="0" w:line="170" w:lineRule="exact"/>
        <w:rPr>
          <w:rFonts w:ascii="Arial" w:cs="Arial" w:eastAsia="Arial" w:hAnsi="Arial"/>
          <w:sz w:val="18"/>
          <w:szCs w:val="18"/>
          <w:color w:val="auto"/>
        </w:rPr>
      </w:pPr>
    </w:p>
    <w:p>
      <w:pPr>
        <w:ind w:left="341" w:right="20" w:hanging="341"/>
        <w:spacing w:after="0" w:line="277"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172,500 shares of our common stock exercisable within 60 days of April 30, 2018.</w:t>
      </w:r>
    </w:p>
    <w:p>
      <w:pPr>
        <w:spacing w:after="0" w:line="170" w:lineRule="exact"/>
        <w:rPr>
          <w:rFonts w:ascii="Arial" w:cs="Arial" w:eastAsia="Arial" w:hAnsi="Arial"/>
          <w:sz w:val="18"/>
          <w:szCs w:val="18"/>
          <w:color w:val="auto"/>
        </w:rPr>
      </w:pPr>
    </w:p>
    <w:p>
      <w:pPr>
        <w:ind w:left="341" w:right="20" w:hanging="341"/>
        <w:spacing w:after="0" w:line="277"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145,000 shares of our common stock exercisable within 60 days of April 30, 2018.</w:t>
      </w:r>
    </w:p>
    <w:p>
      <w:pPr>
        <w:spacing w:after="0" w:line="170" w:lineRule="exact"/>
        <w:rPr>
          <w:rFonts w:ascii="Arial" w:cs="Arial" w:eastAsia="Arial" w:hAnsi="Arial"/>
          <w:sz w:val="18"/>
          <w:szCs w:val="18"/>
          <w:color w:val="auto"/>
        </w:rPr>
      </w:pPr>
    </w:p>
    <w:p>
      <w:pPr>
        <w:ind w:left="341" w:right="20" w:hanging="341"/>
        <w:spacing w:after="0" w:line="308" w:lineRule="auto"/>
        <w:tabs>
          <w:tab w:leader="none" w:pos="34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options to purchase 125,000 shares of our common stock exercisable within 60 days of April 30, 2018 and warrants to purchase 311,750 shares of common stock at the exercise price of $3.00 per share.</w:t>
      </w:r>
    </w:p>
    <w:p>
      <w:pPr>
        <w:spacing w:after="0" w:line="146" w:lineRule="exact"/>
        <w:rPr>
          <w:rFonts w:ascii="Arial" w:cs="Arial" w:eastAsia="Arial" w:hAnsi="Arial"/>
          <w:sz w:val="17"/>
          <w:szCs w:val="17"/>
          <w:color w:val="auto"/>
        </w:rPr>
      </w:pPr>
    </w:p>
    <w:p>
      <w:pPr>
        <w:jc w:val="both"/>
        <w:ind w:left="341"/>
        <w:spacing w:after="0" w:line="273" w:lineRule="auto"/>
        <w:rPr>
          <w:rFonts w:ascii="Arial" w:cs="Arial" w:eastAsia="Arial" w:hAnsi="Arial"/>
          <w:sz w:val="17"/>
          <w:szCs w:val="17"/>
          <w:color w:val="auto"/>
        </w:rPr>
      </w:pPr>
      <w:r>
        <w:rPr>
          <w:rFonts w:ascii="Arial" w:cs="Arial" w:eastAsia="Arial" w:hAnsi="Arial"/>
          <w:sz w:val="17"/>
          <w:szCs w:val="17"/>
          <w:color w:val="auto"/>
        </w:rPr>
        <w:t>Warrants to purchase 225,750 shares of common stock are held by Iroquois Master Fund Ltd. (the "Fund") and warrants to purchase 86,000 shares are held by Iroquois Capital Investment Group (“ICIG”). Mr. Abbe is president of Iroquois Capital Management L.L.C, and managing member of ICIG, who has the authority and responsibility for the investments made on behalf of the Fund and ICIG, and, as such, may be deemed to be the beneficial owner of all shares of common stock held by the Fund and ICIG.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78" w:lineRule="exact"/>
        <w:rPr>
          <w:rFonts w:ascii="Arial" w:cs="Arial" w:eastAsia="Arial" w:hAnsi="Arial"/>
          <w:sz w:val="17"/>
          <w:szCs w:val="17"/>
          <w:color w:val="auto"/>
        </w:rPr>
      </w:pPr>
    </w:p>
    <w:p>
      <w:pPr>
        <w:ind w:left="341" w:hanging="341"/>
        <w:spacing w:after="0" w:line="308" w:lineRule="auto"/>
        <w:tabs>
          <w:tab w:leader="none" w:pos="34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options to purchase 75,000 shares of our common stock exercisable within 60 days of April 30, 2018 and warrants to purchase 1,588,116 shares of common stock at the exercise price of $3.00 per share.</w:t>
      </w:r>
    </w:p>
    <w:p>
      <w:pPr>
        <w:spacing w:after="0" w:line="146" w:lineRule="exact"/>
        <w:rPr>
          <w:rFonts w:ascii="Arial" w:cs="Arial" w:eastAsia="Arial" w:hAnsi="Arial"/>
          <w:sz w:val="17"/>
          <w:szCs w:val="17"/>
          <w:color w:val="auto"/>
        </w:rPr>
      </w:pPr>
    </w:p>
    <w:p>
      <w:pPr>
        <w:ind w:left="341"/>
        <w:spacing w:after="0" w:line="277" w:lineRule="auto"/>
        <w:rPr>
          <w:rFonts w:ascii="Arial" w:cs="Arial" w:eastAsia="Arial" w:hAnsi="Arial"/>
          <w:sz w:val="17"/>
          <w:szCs w:val="17"/>
          <w:color w:val="auto"/>
        </w:rPr>
      </w:pPr>
      <w:r>
        <w:rPr>
          <w:rFonts w:ascii="Arial" w:cs="Arial" w:eastAsia="Arial" w:hAnsi="Arial"/>
          <w:sz w:val="18"/>
          <w:szCs w:val="18"/>
          <w:color w:val="auto"/>
        </w:rPr>
        <w:t>The number of shares of common stock underlying Series D Preferred Stock beneficially includes 301,874 shares of Series D Preferred Stock convertible into 2,414,992 shares of common stock.</w:t>
      </w:r>
    </w:p>
    <w:p>
      <w:pPr>
        <w:spacing w:after="0" w:line="170" w:lineRule="exact"/>
        <w:rPr>
          <w:rFonts w:ascii="Arial" w:cs="Arial" w:eastAsia="Arial" w:hAnsi="Arial"/>
          <w:sz w:val="17"/>
          <w:szCs w:val="17"/>
          <w:color w:val="auto"/>
        </w:rPr>
      </w:pPr>
    </w:p>
    <w:p>
      <w:pPr>
        <w:ind w:left="341" w:hanging="341"/>
        <w:spacing w:after="0"/>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footnotes (2) through (13).</w:t>
      </w: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1"/>
          </w:cols>
          <w:pgMar w:left="599"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2017, we entered into the following related party transactions: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XpresSpa entered in a credit agreement and secured promissory note (“Debt”) with Rockmore Investment Master Fund Ltd. (“Rockmore”) on April 22, 2015 that was amended on August 8, 2016. The principal amount of the debt is $6,500,000. Rockmore is an investment entity controlled by our board member, Bruce T. Bernstein. We believe the terms of the Debt were reflective of market rates as of the time of issuance. In addition, we paid $212,000 to Bruce T. Bernstein in March 2017 for legal costs incurred in conjunction with the acquisition of XpresSpa and Amiral </w:t>
      </w:r>
      <w:r>
        <w:rPr>
          <w:rFonts w:ascii="Arial" w:cs="Arial" w:eastAsia="Arial" w:hAnsi="Arial"/>
          <w:sz w:val="17"/>
          <w:szCs w:val="17"/>
          <w:color w:val="181818"/>
        </w:rPr>
        <w:t>Holdings SAS</w:t>
      </w:r>
      <w:r>
        <w:rPr>
          <w:rFonts w:ascii="Arial" w:cs="Arial" w:eastAsia="Arial" w:hAnsi="Arial"/>
          <w:sz w:val="17"/>
          <w:szCs w:val="17"/>
          <w:color w:val="auto"/>
        </w:rPr>
        <w:t xml:space="preserve"> legal proceedings prior to the completion of the acquisition, as he was indemnified by XpresSpa. These costs are included in the accounts payable, accrued expenses and other current liabilities in the consolidated balance sheet as of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229"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Our Board of Directors has reviewed the materiality of any relationship that each of our directors has with us, either directly or indirectly. Based upon this review, we believe that Messrs. Bernstein, Engelman, Stout, Giardina, Abbe and Heyer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Giardina and Bernstein are “audit committee financial experts” as defined in the rules of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CohnReznick LLP (“CohnReznick”) was selected by our Audit Committee as our independent registered public accounting firm for the fiscal year ended December 31, 2017. This selection was ratified by our stockholders at the 2017 annual meeting held on November 8, 2017. In deciding to select CohnReznick, the Audit Committee carefully considered the qualifications of CohnReznick, including its reputation for integrity, quality, and competence in the fields of accounting and auditing. Further, the Audit Committee reviewed auditor independence issues and existing commercial relationships with CohnReznick. The Audit Committee concluded that independence of CohnReznick was not impaired for the fiscal years ended December 31, 2017 and 2016. For the fiscal years ended December 31, 2017 and 2016, we incurred the following fees for the services of CohnReznick: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37"/>
        </w:trPr>
        <w:tc>
          <w:tcPr>
            <w:tcW w:w="80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Audit fees</w:t>
            </w:r>
            <w:r>
              <w:rPr>
                <w:rFonts w:ascii="Arial" w:cs="Arial" w:eastAsia="Arial" w:hAnsi="Arial"/>
                <w:sz w:val="27"/>
                <w:szCs w:val="27"/>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431,325</w:t>
            </w: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383,250</w:t>
            </w:r>
          </w:p>
        </w:tc>
      </w:tr>
      <w:tr>
        <w:trPr>
          <w:trHeight w:val="270"/>
        </w:trPr>
        <w:tc>
          <w:tcPr>
            <w:tcW w:w="8000" w:type="dxa"/>
            <w:vAlign w:val="bottom"/>
          </w:tcPr>
          <w:p>
            <w:pPr>
              <w:spacing w:after="0" w:line="269" w:lineRule="exact"/>
              <w:rPr>
                <w:sz w:val="20"/>
                <w:szCs w:val="20"/>
                <w:color w:val="auto"/>
              </w:rPr>
            </w:pPr>
            <w:r>
              <w:rPr>
                <w:rFonts w:ascii="Arial" w:cs="Arial" w:eastAsia="Arial" w:hAnsi="Arial"/>
                <w:sz w:val="18"/>
                <w:szCs w:val="18"/>
                <w:color w:val="auto"/>
              </w:rPr>
              <w:t>Audit-related fees</w:t>
            </w:r>
            <w:r>
              <w:rPr>
                <w:rFonts w:ascii="Arial" w:cs="Arial" w:eastAsia="Arial" w:hAnsi="Arial"/>
                <w:sz w:val="30"/>
                <w:szCs w:val="30"/>
                <w:color w:val="auto"/>
                <w:vertAlign w:val="superscript"/>
              </w:rPr>
              <w:t>(2)</w:t>
            </w:r>
          </w:p>
        </w:tc>
        <w:tc>
          <w:tcPr>
            <w:tcW w:w="34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25,450</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456,775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383,250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Audit-related fees includes fees for benefit plan audits and lease compliance audits.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firms in 2017 and 2016.</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statements, financial statement schedules and exhibits listed in the exhibit index of the Original Filing and the exhibits listed in the exhibit index of this Form 10-K/A are filed with, or incorporated by reference in, this Form 10-K/A.</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Pursuant to the requirements of Section 13 or 15(d) of the Securities Act of 1934, the registrant has duly caused this Amendment No. 1 to Annual Report on Form 10-K/A to be signed on its behalf by the undersigned, thereunto duly authorized, in the City of New York of New York on the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April, 2018.</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Edward Jankowski</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Edward Jankowski</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Securities Exchange Act of 1934, this Annual Report on Form 10-K has been signed below by the following persons on behalf of the registrant and in the capacities indicated below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2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Jankowski</w:t>
            </w:r>
          </w:p>
        </w:tc>
        <w:tc>
          <w:tcPr>
            <w:tcW w:w="2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Chief Executive Officer and Director (Principal</w:t>
            </w:r>
          </w:p>
        </w:tc>
        <w:tc>
          <w:tcPr>
            <w:tcW w:w="2280" w:type="dxa"/>
            <w:vAlign w:val="bottom"/>
          </w:tcPr>
          <w:p>
            <w:pPr>
              <w:spacing w:after="0"/>
              <w:rPr>
                <w:sz w:val="20"/>
                <w:szCs w:val="20"/>
                <w:color w:val="auto"/>
              </w:rPr>
            </w:pPr>
            <w:r>
              <w:rPr>
                <w:rFonts w:ascii="Arial" w:cs="Arial" w:eastAsia="Arial" w:hAnsi="Arial"/>
                <w:sz w:val="18"/>
                <w:szCs w:val="18"/>
                <w:color w:val="auto"/>
              </w:rPr>
              <w:t>April 30,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Edward Jankowski</w:t>
            </w:r>
          </w:p>
        </w:tc>
        <w:tc>
          <w:tcPr>
            <w:tcW w:w="24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22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c>
          <w:tcPr>
            <w:tcW w:w="2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c>
          <w:tcPr>
            <w:tcW w:w="2280" w:type="dxa"/>
            <w:vAlign w:val="bottom"/>
          </w:tcPr>
          <w:p>
            <w:pPr>
              <w:spacing w:after="0"/>
              <w:rPr>
                <w:sz w:val="20"/>
                <w:szCs w:val="20"/>
                <w:color w:val="auto"/>
              </w:rPr>
            </w:pPr>
            <w:r>
              <w:rPr>
                <w:rFonts w:ascii="Arial" w:cs="Arial" w:eastAsia="Arial" w:hAnsi="Arial"/>
                <w:sz w:val="18"/>
                <w:szCs w:val="18"/>
                <w:color w:val="auto"/>
              </w:rPr>
              <w:t>April 30,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Anastasia Nyrkovskaya</w:t>
            </w:r>
          </w:p>
        </w:tc>
        <w:tc>
          <w:tcPr>
            <w:tcW w:w="24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and Principal Accounting Officer)</w:t>
            </w:r>
          </w:p>
        </w:tc>
        <w:tc>
          <w:tcPr>
            <w:tcW w:w="22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T. Bernstein</w:t>
            </w:r>
          </w:p>
        </w:tc>
        <w:tc>
          <w:tcPr>
            <w:tcW w:w="2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 Chairman of Board of Directors</w:t>
            </w:r>
          </w:p>
        </w:tc>
        <w:tc>
          <w:tcPr>
            <w:tcW w:w="2280" w:type="dxa"/>
            <w:vAlign w:val="bottom"/>
          </w:tcPr>
          <w:p>
            <w:pPr>
              <w:spacing w:after="0"/>
              <w:rPr>
                <w:sz w:val="20"/>
                <w:szCs w:val="20"/>
                <w:color w:val="auto"/>
              </w:rPr>
            </w:pPr>
            <w:r>
              <w:rPr>
                <w:rFonts w:ascii="Arial" w:cs="Arial" w:eastAsia="Arial" w:hAnsi="Arial"/>
                <w:sz w:val="18"/>
                <w:szCs w:val="18"/>
                <w:color w:val="auto"/>
              </w:rPr>
              <w:t>April 30,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Bruce T. Bernstein</w:t>
            </w:r>
          </w:p>
        </w:tc>
        <w:tc>
          <w:tcPr>
            <w:tcW w:w="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Engelman</w:t>
            </w:r>
          </w:p>
        </w:tc>
        <w:tc>
          <w:tcPr>
            <w:tcW w:w="2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April 30,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John Engelman</w:t>
            </w:r>
          </w:p>
        </w:tc>
        <w:tc>
          <w:tcPr>
            <w:tcW w:w="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Salvatore Giardina</w:t>
            </w:r>
          </w:p>
        </w:tc>
        <w:tc>
          <w:tcPr>
            <w:tcW w:w="2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April 30,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Salvatore Giardina</w:t>
            </w:r>
          </w:p>
        </w:tc>
        <w:tc>
          <w:tcPr>
            <w:tcW w:w="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E. Stout</w:t>
            </w:r>
          </w:p>
        </w:tc>
        <w:tc>
          <w:tcPr>
            <w:tcW w:w="2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April 30,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Donald E. Stout</w:t>
            </w:r>
          </w:p>
        </w:tc>
        <w:tc>
          <w:tcPr>
            <w:tcW w:w="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 Heyer</w:t>
            </w:r>
          </w:p>
        </w:tc>
        <w:tc>
          <w:tcPr>
            <w:tcW w:w="2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April 30,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Andrew R. Heyer</w:t>
            </w:r>
          </w:p>
        </w:tc>
        <w:tc>
          <w:tcPr>
            <w:tcW w:w="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Abbe</w:t>
            </w:r>
          </w:p>
        </w:tc>
        <w:tc>
          <w:tcPr>
            <w:tcW w:w="2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April 30, 2018</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Richard K. Abbe</w:t>
            </w:r>
          </w:p>
        </w:tc>
        <w:tc>
          <w:tcPr>
            <w:tcW w:w="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60" w:type="dxa"/>
            <w:vAlign w:val="bottom"/>
            <w:gridSpan w:val="13"/>
          </w:tcPr>
          <w:p>
            <w:pPr>
              <w:jc w:val="center"/>
              <w:ind w:right="5000"/>
              <w:spacing w:after="0"/>
              <w:rPr>
                <w:sz w:val="20"/>
                <w:szCs w:val="20"/>
                <w:color w:val="auto"/>
              </w:rPr>
            </w:pPr>
            <w:r>
              <w:rPr>
                <w:rFonts w:ascii="Arial" w:cs="Arial" w:eastAsia="Arial" w:hAnsi="Arial"/>
                <w:sz w:val="18"/>
                <w:szCs w:val="18"/>
                <w:b w:val="1"/>
                <w:bCs w:val="1"/>
                <w:color w:val="auto"/>
                <w:w w:val="93"/>
              </w:rPr>
              <w:t>Exhibits Index</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0"/>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34">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tcBorders>
              <w:bottom w:val="single" w:sz="8" w:color="0000FF"/>
            </w:tcBorders>
            <w:gridSpan w:val="20"/>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Agreement and Plan of Merger by and among FORM Holdings Corp., FHXMS, LLC, XpresSpa Holdings, LLC, the unitholders of XpresSpa</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6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who are parties thereto and Mistral XH Representative, LLC, as representative of the unitholders, dated as of August 8, 2016 (incorporated by</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10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reference to Exhibit 2.1 to our Current Report on Form 8-K filed with the SEC on August 8, 2016)</w:t>
              </w:r>
            </w:hyperlink>
          </w:p>
        </w:tc>
        <w:tc>
          <w:tcPr>
            <w:tcW w:w="3160" w:type="dxa"/>
            <w:vAlign w:val="bottom"/>
            <w:gridSpan w:val="6"/>
          </w:tcPr>
          <w:p>
            <w:pPr>
              <w:spacing w:after="0"/>
              <w:rPr>
                <w:sz w:val="17"/>
                <w:szCs w:val="17"/>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35">
              <w:r>
                <w:rPr>
                  <w:rFonts w:ascii="Arial" w:cs="Arial" w:eastAsia="Arial" w:hAnsi="Arial"/>
                  <w:sz w:val="18"/>
                  <w:szCs w:val="18"/>
                  <w:color w:val="0000FF"/>
                  <w:w w:val="87"/>
                </w:rPr>
                <w:t>2.</w:t>
              </w:r>
              <w:r>
                <w:rPr>
                  <w:rFonts w:ascii="Arial" w:cs="Arial" w:eastAsia="Arial" w:hAnsi="Arial"/>
                  <w:sz w:val="18"/>
                  <w:szCs w:val="18"/>
                  <w:u w:val="single" w:color="auto"/>
                  <w:color w:val="0000FF"/>
                  <w:w w:val="87"/>
                </w:rPr>
                <w:t>2</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tcBorders>
              <w:bottom w:val="single" w:sz="8" w:color="0000FF"/>
            </w:tcBorders>
            <w:gridSpan w:val="20"/>
          </w:tcPr>
          <w:p>
            <w:pPr>
              <w:spacing w:after="0"/>
              <w:rPr>
                <w:rFonts w:ascii="Arial" w:cs="Arial" w:eastAsia="Arial" w:hAnsi="Arial"/>
                <w:sz w:val="18"/>
                <w:szCs w:val="18"/>
                <w:color w:val="0000FF"/>
                <w:w w:val="95"/>
              </w:rPr>
            </w:pPr>
            <w:hyperlink r:id="rId35">
              <w:r>
                <w:rPr>
                  <w:rFonts w:ascii="Arial" w:cs="Arial" w:eastAsia="Arial" w:hAnsi="Arial"/>
                  <w:sz w:val="18"/>
                  <w:szCs w:val="18"/>
                  <w:color w:val="0000FF"/>
                  <w:w w:val="95"/>
                </w:rPr>
                <w:t>Amendment No. 1 to Agreement and Plan of Merger by and among FORM Holdings Corp., FHXMS, LLC, XpresSpa Holdings, LLC and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6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Mistral XH Representative, LLC, as representative of the unitholders, dated September 8, 2016 (incorporated by reference to Exhibit 2.1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our Current Report on Form 8-K filed with the SEC on September 9, 2016)</w:t>
              </w:r>
            </w:hyperlink>
          </w:p>
        </w:tc>
        <w:tc>
          <w:tcPr>
            <w:tcW w:w="4840" w:type="dxa"/>
            <w:vAlign w:val="bottom"/>
            <w:gridSpan w:val="9"/>
          </w:tcPr>
          <w:p>
            <w:pPr>
              <w:spacing w:after="0"/>
              <w:rPr>
                <w:sz w:val="17"/>
                <w:szCs w:val="17"/>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36">
              <w:r>
                <w:rPr>
                  <w:rFonts w:ascii="Arial" w:cs="Arial" w:eastAsia="Arial" w:hAnsi="Arial"/>
                  <w:sz w:val="18"/>
                  <w:szCs w:val="18"/>
                  <w:color w:val="0000FF"/>
                  <w:w w:val="87"/>
                </w:rPr>
                <w:t>2.</w:t>
              </w:r>
              <w:r>
                <w:rPr>
                  <w:rFonts w:ascii="Arial" w:cs="Arial" w:eastAsia="Arial" w:hAnsi="Arial"/>
                  <w:sz w:val="18"/>
                  <w:szCs w:val="18"/>
                  <w:u w:val="single" w:color="auto"/>
                  <w:color w:val="0000FF"/>
                  <w:w w:val="87"/>
                </w:rPr>
                <w:t>3</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tcBorders>
              <w:bottom w:val="single" w:sz="8" w:color="0000FF"/>
            </w:tcBorders>
            <w:gridSpan w:val="20"/>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Amendment No. 2 to Agreement and Plan of Merger by and among FORM Holdings Corp., FHXMS, LLC, XpresSpa Holdings, LLC and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Mistral XH Representative, LLC, as representative of the unitholders, dated October 25, 2016 (incorporated by reference to Exhibit 2.1 to our</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Current Report on Form 8-K filed with the SEC on October 25, 2016)</w:t>
              </w:r>
            </w:hyperlink>
          </w:p>
        </w:tc>
        <w:tc>
          <w:tcPr>
            <w:tcW w:w="5200" w:type="dxa"/>
            <w:vAlign w:val="bottom"/>
            <w:tcBorders>
              <w:top w:val="single" w:sz="8" w:color="0000FF"/>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3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tcBorders>
              <w:bottom w:val="single" w:sz="8" w:color="0000FF"/>
            </w:tcBorders>
            <w:gridSpan w:val="20"/>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Amended and Restated Certificate of Incorporation, as amended as of November 28, 2016 (incorporated by reference to our Current Report</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on Form 8-K filed with the SEC on May 5, 2016)</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3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tcBorders>
              <w:bottom w:val="single" w:sz="8" w:color="0000FF"/>
            </w:tcBorders>
            <w:gridSpan w:val="20"/>
          </w:tcPr>
          <w:p>
            <w:pP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Certificate of Amendment to Amended and Restated Certificate of Incorporation, dated January 5, 2018 (incorporated by reference to our</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Current Report on Form 8-K filed with the SEC on January 5, 2018)</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FF"/>
                <w:w w:val="87"/>
              </w:rPr>
            </w:pPr>
            <w:hyperlink r:id="rId3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FF"/>
                <w:w w:val="95"/>
              </w:rPr>
            </w:pPr>
            <w:hyperlink r:id="rId39">
              <w:r>
                <w:rPr>
                  <w:rFonts w:ascii="Arial" w:cs="Arial" w:eastAsia="Arial" w:hAnsi="Arial"/>
                  <w:sz w:val="18"/>
                  <w:szCs w:val="18"/>
                  <w:color w:val="0000FF"/>
                  <w:w w:val="95"/>
                </w:rPr>
                <w:t>Third Amended and Restated Bylaws (incorporated by reference to Exhibit 3.2 to our Current Report on Form 8-K filed with the SEC on</w:t>
              </w:r>
            </w:hyperlink>
          </w:p>
        </w:tc>
      </w:tr>
      <w:tr>
        <w:trPr>
          <w:trHeight w:val="196"/>
        </w:trPr>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January 5, 2018)</w:t>
              </w:r>
            </w:hyperlink>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4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4</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tcBorders>
              <w:bottom w:val="single" w:sz="8" w:color="0000FF"/>
            </w:tcBorders>
            <w:gridSpan w:val="20"/>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Certificate of Designations, Preferences and Rights of Series A Convertible Preferred Stock (incorporated by reference from Exhibit 3.2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our Current Report on Form 8-K filed on July 20, 2012)</w:t>
              </w:r>
            </w:hyperlink>
          </w:p>
        </w:tc>
        <w:tc>
          <w:tcPr>
            <w:tcW w:w="6220" w:type="dxa"/>
            <w:vAlign w:val="bottom"/>
            <w:gridSpan w:val="12"/>
          </w:tcPr>
          <w:p>
            <w:pPr>
              <w:spacing w:after="0"/>
              <w:rPr>
                <w:sz w:val="17"/>
                <w:szCs w:val="17"/>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4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5</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tcBorders>
              <w:bottom w:val="single" w:sz="8" w:color="0000FF"/>
            </w:tcBorders>
            <w:gridSpan w:val="20"/>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Certificate of Designations of Preferences, Rights and Limitations of Series B Convertible Preferred Stock (incorporated by reference from</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Exhibit 3.1 to our Current Report on Form 8-K filed with the SEC on October 16, 2015)</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4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6</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tcBorders>
              <w:bottom w:val="single" w:sz="8" w:color="0000FF"/>
            </w:tcBorders>
            <w:gridSpan w:val="20"/>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Certificate of Designation of Series C Junior Participating Preferred Stock (incorporated by reference from Exhibit 3.1 to our Current Report</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on Form 8-K filed with the SEC on March 21, 2016)</w:t>
              </w:r>
            </w:hyperlink>
          </w:p>
        </w:tc>
        <w:tc>
          <w:tcPr>
            <w:tcW w:w="6460" w:type="dxa"/>
            <w:vAlign w:val="bottom"/>
            <w:gridSpan w:val="13"/>
          </w:tcPr>
          <w:p>
            <w:pPr>
              <w:spacing w:after="0"/>
              <w:rPr>
                <w:sz w:val="17"/>
                <w:szCs w:val="17"/>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4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7</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tcBorders>
              <w:bottom w:val="single" w:sz="8" w:color="0000FF"/>
            </w:tcBorders>
            <w:gridSpan w:val="20"/>
          </w:tcPr>
          <w:p>
            <w:pPr>
              <w:spacing w:after="0"/>
              <w:rPr>
                <w:rFonts w:ascii="Arial" w:cs="Arial" w:eastAsia="Arial" w:hAnsi="Arial"/>
                <w:sz w:val="18"/>
                <w:szCs w:val="18"/>
                <w:color w:val="0000FF"/>
                <w:w w:val="96"/>
              </w:rPr>
            </w:pPr>
            <w:hyperlink r:id="rId43">
              <w:r>
                <w:rPr>
                  <w:rFonts w:ascii="Arial" w:cs="Arial" w:eastAsia="Arial" w:hAnsi="Arial"/>
                  <w:sz w:val="18"/>
                  <w:szCs w:val="18"/>
                  <w:color w:val="0000FF"/>
                  <w:w w:val="96"/>
                </w:rPr>
                <w:t>Certificate of Designation of Preferences, Rights and Limitations of Series D Convertible Preferred Stock (incorporated by reference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56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Exhibit 3.1 to our Current Report on Form 8-K filed with the SEC on December 23, 2016).</w:t>
              </w:r>
            </w:hyperlink>
          </w:p>
        </w:tc>
        <w:tc>
          <w:tcPr>
            <w:tcW w:w="3700" w:type="dxa"/>
            <w:vAlign w:val="bottom"/>
            <w:gridSpan w:val="7"/>
          </w:tcPr>
          <w:p>
            <w:pPr>
              <w:spacing w:after="0"/>
              <w:rPr>
                <w:sz w:val="17"/>
                <w:szCs w:val="17"/>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4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560" w:type="dxa"/>
            <w:vAlign w:val="bottom"/>
            <w:tcBorders>
              <w:bottom w:val="single" w:sz="8" w:color="0000FF"/>
            </w:tcBorders>
            <w:gridSpan w:val="16"/>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Specimen common stock certificate (incorporated by reference from our Registration Statement on Form S-1 filed on May 18, 2010)</w:t>
              </w:r>
            </w:hyperlink>
          </w:p>
        </w:tc>
        <w:tc>
          <w:tcPr>
            <w:tcW w:w="700" w:type="dxa"/>
            <w:vAlign w:val="bottom"/>
            <w:gridSpan w:val="4"/>
          </w:tcPr>
          <w:p>
            <w:pPr>
              <w:spacing w:after="0"/>
              <w:rPr>
                <w:sz w:val="24"/>
                <w:szCs w:val="24"/>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4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180" w:type="dxa"/>
            <w:vAlign w:val="bottom"/>
            <w:tcBorders>
              <w:bottom w:val="single" w:sz="8" w:color="0000FF"/>
            </w:tcBorders>
            <w:gridSpan w:val="15"/>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Form of Warrant Agreement (incorporated by reference from our Registration Statement on Form S-1 filed on March 29, 2010)</w:t>
              </w:r>
            </w:hyperlink>
          </w:p>
        </w:tc>
        <w:tc>
          <w:tcPr>
            <w:tcW w:w="1080" w:type="dxa"/>
            <w:vAlign w:val="bottom"/>
            <w:gridSpan w:val="5"/>
          </w:tcPr>
          <w:p>
            <w:pPr>
              <w:spacing w:after="0"/>
              <w:rPr>
                <w:sz w:val="24"/>
                <w:szCs w:val="24"/>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4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0" w:type="dxa"/>
            <w:vAlign w:val="bottom"/>
            <w:tcBorders>
              <w:bottom w:val="single" w:sz="8" w:color="0000FF"/>
            </w:tcBorders>
            <w:gridSpan w:val="17"/>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Form of Special Bridge Warrants (incorporated by reference from our Registration Statement on Form S-1 filed on January 29, 2010)</w:t>
              </w:r>
            </w:hyperlink>
          </w:p>
        </w:tc>
        <w:tc>
          <w:tcPr>
            <w:tcW w:w="660" w:type="dxa"/>
            <w:vAlign w:val="bottom"/>
            <w:gridSpan w:val="3"/>
          </w:tcPr>
          <w:p>
            <w:pPr>
              <w:spacing w:after="0"/>
              <w:rPr>
                <w:sz w:val="24"/>
                <w:szCs w:val="24"/>
                <w:color w:val="auto"/>
              </w:rPr>
            </w:pPr>
          </w:p>
        </w:tc>
      </w:tr>
      <w:tr>
        <w:trPr>
          <w:trHeight w:val="412"/>
        </w:trPr>
        <w:tc>
          <w:tcPr>
            <w:tcW w:w="1160" w:type="dxa"/>
            <w:vAlign w:val="bottom"/>
            <w:gridSpan w:val="3"/>
          </w:tcPr>
          <w:p>
            <w:pPr>
              <w:spacing w:after="0"/>
              <w:rPr>
                <w:rFonts w:ascii="Arial" w:cs="Arial" w:eastAsia="Arial" w:hAnsi="Arial"/>
                <w:sz w:val="18"/>
                <w:szCs w:val="18"/>
                <w:color w:val="0000FF"/>
              </w:rPr>
            </w:pPr>
            <w:hyperlink r:id="rId47">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10260" w:type="dxa"/>
            <w:vAlign w:val="bottom"/>
            <w:gridSpan w:val="20"/>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Form of Management Option Agreement (incorporated by reference from our Registration Statement on Form S-1 filed on March 29, 2010)</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700" w:type="dxa"/>
            <w:vAlign w:val="bottom"/>
            <w:gridSpan w:val="1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4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5</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tcBorders>
              <w:bottom w:val="single" w:sz="8" w:color="0000FF"/>
            </w:tcBorders>
            <w:gridSpan w:val="20"/>
          </w:tcPr>
          <w:p>
            <w:pPr>
              <w:spacing w:after="0"/>
              <w:rPr>
                <w:rFonts w:ascii="Arial" w:cs="Arial" w:eastAsia="Arial" w:hAnsi="Arial"/>
                <w:sz w:val="18"/>
                <w:szCs w:val="18"/>
                <w:color w:val="0000FF"/>
                <w:w w:val="94"/>
              </w:rPr>
            </w:pPr>
            <w:hyperlink r:id="rId48">
              <w:r>
                <w:rPr>
                  <w:rFonts w:ascii="Arial" w:cs="Arial" w:eastAsia="Arial" w:hAnsi="Arial"/>
                  <w:sz w:val="18"/>
                  <w:szCs w:val="18"/>
                  <w:color w:val="0000FF"/>
                  <w:w w:val="94"/>
                </w:rPr>
                <w:t>Form of Preferential Reload Warrant (incorporated by reference from our Quarterly Report on Form 10-Q for the period ended March 31,</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2012 filed on May 15, 2012)</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4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6</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tcBorders>
              <w:bottom w:val="single" w:sz="8" w:color="0000FF"/>
            </w:tcBorders>
            <w:gridSpan w:val="20"/>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Form of Reload Warrants (incorporated by reference from our Quarterly Report on Form 10-Q for the period ended March 31, 2012 filed on</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May 15, 2012)</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5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7</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tcBorders>
              <w:bottom w:val="single" w:sz="8" w:color="0000FF"/>
            </w:tcBorders>
            <w:gridSpan w:val="20"/>
          </w:tcPr>
          <w:p>
            <w:pPr>
              <w:spacing w:after="0"/>
              <w:rPr>
                <w:rFonts w:ascii="Arial" w:cs="Arial" w:eastAsia="Arial" w:hAnsi="Arial"/>
                <w:sz w:val="18"/>
                <w:szCs w:val="18"/>
                <w:color w:val="0000FF"/>
                <w:w w:val="97"/>
              </w:rPr>
            </w:pPr>
            <w:hyperlink r:id="rId50">
              <w:r>
                <w:rPr>
                  <w:rFonts w:ascii="Arial" w:cs="Arial" w:eastAsia="Arial" w:hAnsi="Arial"/>
                  <w:sz w:val="18"/>
                  <w:szCs w:val="18"/>
                  <w:color w:val="0000FF"/>
                  <w:w w:val="97"/>
                </w:rPr>
                <w:t>Form of Series 1 Warrant (incorporated by reference from Annex F to our Registration Statement on Form S-4 (File No. 333-180609)</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80" w:type="dxa"/>
            <w:vAlign w:val="bottom"/>
            <w:tcBorders>
              <w:bottom w:val="single" w:sz="8" w:color="0000FF"/>
            </w:tcBorders>
            <w:gridSpan w:val="5"/>
          </w:tcPr>
          <w:p>
            <w:pPr>
              <w:spacing w:after="0" w:line="196"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originally filed with the SEC on April 6, 2012)</w:t>
              </w:r>
            </w:hyperlink>
          </w:p>
        </w:tc>
        <w:tc>
          <w:tcPr>
            <w:tcW w:w="6880" w:type="dxa"/>
            <w:vAlign w:val="bottom"/>
            <w:gridSpan w:val="15"/>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FF"/>
                <w:w w:val="87"/>
              </w:rPr>
            </w:pPr>
            <w:hyperlink r:id="rId5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8</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FF"/>
                <w:w w:val="96"/>
              </w:rPr>
            </w:pPr>
            <w:hyperlink r:id="rId50">
              <w:r>
                <w:rPr>
                  <w:rFonts w:ascii="Arial" w:cs="Arial" w:eastAsia="Arial" w:hAnsi="Arial"/>
                  <w:sz w:val="18"/>
                  <w:szCs w:val="18"/>
                  <w:color w:val="0000FF"/>
                  <w:w w:val="96"/>
                </w:rPr>
                <w:t>Form of Series 2 Warrant (incorporated by reference from Annex G to our Registration Statement on Form S-4 (File No. 333-180609)</w:t>
              </w:r>
            </w:hyperlink>
          </w:p>
        </w:tc>
      </w:tr>
      <w:tr>
        <w:trPr>
          <w:trHeight w:val="196"/>
        </w:trPr>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originally filed with the SEC on April 6, 2012)</w:t>
              </w:r>
            </w:hyperlink>
          </w:p>
        </w:tc>
        <w:tc>
          <w:tcPr>
            <w:tcW w:w="686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5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9</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tcBorders>
              <w:bottom w:val="single" w:sz="8" w:color="0000FF"/>
            </w:tcBorders>
            <w:gridSpan w:val="20"/>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Form of Warrant, dated June 20, 2014 (incorporated by reference from our Quarterly Report on Form 10-Q for the period ended June 30, 2014</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filed on August 6, 2014)</w:t>
              </w:r>
            </w:hyperlink>
          </w:p>
        </w:tc>
      </w:tr>
      <w:tr>
        <w:trPr>
          <w:trHeight w:val="723"/>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760" w:type="dxa"/>
            <w:vAlign w:val="bottom"/>
            <w:tcBorders>
              <w:top w:val="single" w:sz="8" w:color="0000FF"/>
              <w:bottom w:val="single" w:sz="8" w:color="auto"/>
            </w:tcBorders>
            <w:gridSpan w:val="3"/>
          </w:tcPr>
          <w:p>
            <w:pPr>
              <w:spacing w:after="0"/>
              <w:rPr>
                <w:sz w:val="24"/>
                <w:szCs w:val="24"/>
                <w:color w:val="auto"/>
              </w:rPr>
            </w:pPr>
          </w:p>
        </w:tc>
        <w:tc>
          <w:tcPr>
            <w:tcW w:w="31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22"/>
                <w:szCs w:val="22"/>
                <w:color w:val="auto"/>
              </w:rPr>
              <w:t>23</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rFonts w:ascii="Arial" w:cs="Arial" w:eastAsia="Arial" w:hAnsi="Arial"/>
                <w:sz w:val="18"/>
                <w:szCs w:val="18"/>
                <w:color w:val="0000FF"/>
                <w:w w:val="85"/>
              </w:rPr>
            </w:pPr>
            <w:hyperlink r:id="rId52">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10</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gridSpan w:val="22"/>
          </w:tcPr>
          <w:p>
            <w:pPr>
              <w:spacing w:after="0"/>
              <w:rPr>
                <w:rFonts w:ascii="Arial" w:cs="Arial" w:eastAsia="Arial" w:hAnsi="Arial"/>
                <w:sz w:val="18"/>
                <w:szCs w:val="18"/>
                <w:color w:val="0000FF"/>
                <w:w w:val="94"/>
              </w:rPr>
            </w:pPr>
            <w:hyperlink r:id="rId52">
              <w:r>
                <w:rPr>
                  <w:rFonts w:ascii="Arial" w:cs="Arial" w:eastAsia="Arial" w:hAnsi="Arial"/>
                  <w:sz w:val="18"/>
                  <w:szCs w:val="18"/>
                  <w:color w:val="0000FF"/>
                  <w:w w:val="94"/>
                </w:rPr>
                <w:t>Form of Warrant (incorporated by reference from Exhibit 4.1 to our Current Report on Form 8-K filed with the SEC on October 16, 2015)</w:t>
              </w:r>
            </w:hyperlink>
          </w:p>
        </w:tc>
      </w:tr>
      <w:tr>
        <w:trPr>
          <w:trHeight w:val="412"/>
        </w:trPr>
        <w:tc>
          <w:tcPr>
            <w:tcW w:w="320" w:type="dxa"/>
            <w:vAlign w:val="bottom"/>
            <w:tcBorders>
              <w:top w:val="single" w:sz="8" w:color="0000FF"/>
              <w:bottom w:val="single" w:sz="8" w:color="0000FF"/>
            </w:tcBorders>
          </w:tcPr>
          <w:p>
            <w:pPr>
              <w:spacing w:after="0"/>
              <w:rPr>
                <w:rFonts w:ascii="Arial" w:cs="Arial" w:eastAsia="Arial" w:hAnsi="Arial"/>
                <w:sz w:val="18"/>
                <w:szCs w:val="18"/>
                <w:color w:val="0000FF"/>
                <w:w w:val="85"/>
              </w:rPr>
            </w:pPr>
            <w:hyperlink r:id="rId53">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4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Form of Notes (incorporated by reference from Exhibit 10.2 to our Current Report on Form 8-K filed with the SEC on May 4, 2015)</w:t>
              </w:r>
            </w:hyperlink>
          </w:p>
        </w:tc>
        <w:tc>
          <w:tcPr>
            <w:tcW w:w="400" w:type="dxa"/>
            <w:vAlign w:val="bottom"/>
            <w:tcBorders>
              <w:top w:val="single" w:sz="8" w:color="0000FF"/>
            </w:tcBorders>
            <w:gridSpan w:val="3"/>
          </w:tcPr>
          <w:p>
            <w:pPr>
              <w:spacing w:after="0"/>
              <w:rPr>
                <w:sz w:val="24"/>
                <w:szCs w:val="24"/>
                <w:color w:val="auto"/>
              </w:rPr>
            </w:pPr>
          </w:p>
        </w:tc>
        <w:tc>
          <w:tcPr>
            <w:tcW w:w="320" w:type="dxa"/>
            <w:vAlign w:val="bottom"/>
            <w:gridSpan w:val="3"/>
          </w:tcPr>
          <w:p>
            <w:pPr>
              <w:spacing w:after="0"/>
              <w:rPr>
                <w:sz w:val="24"/>
                <w:szCs w:val="24"/>
                <w:color w:val="auto"/>
              </w:rPr>
            </w:pPr>
          </w:p>
        </w:tc>
      </w:tr>
      <w:tr>
        <w:trPr>
          <w:trHeight w:val="41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54">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00" w:type="dxa"/>
            <w:vAlign w:val="bottom"/>
            <w:tcBorders>
              <w:bottom w:val="single" w:sz="8" w:color="0000FF"/>
            </w:tcBorders>
            <w:gridSpan w:val="18"/>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Form of Warrant (incorporated by reference from Exhibit 10.3 to our Current Report on Form 8-K filed with the SEC on May 4, 2015)</w:t>
              </w:r>
            </w:hyperlink>
          </w:p>
        </w:tc>
        <w:tc>
          <w:tcPr>
            <w:tcW w:w="560" w:type="dxa"/>
            <w:vAlign w:val="bottom"/>
            <w:gridSpan w:val="4"/>
          </w:tcPr>
          <w:p>
            <w:pPr>
              <w:spacing w:after="0"/>
              <w:rPr>
                <w:sz w:val="24"/>
                <w:szCs w:val="24"/>
                <w:color w:val="auto"/>
              </w:rPr>
            </w:pPr>
          </w:p>
        </w:tc>
      </w:tr>
      <w:tr>
        <w:trPr>
          <w:trHeight w:val="412"/>
        </w:trPr>
        <w:tc>
          <w:tcPr>
            <w:tcW w:w="320" w:type="dxa"/>
            <w:vAlign w:val="bottom"/>
          </w:tcPr>
          <w:p>
            <w:pPr>
              <w:spacing w:after="0"/>
              <w:rPr>
                <w:rFonts w:ascii="Arial" w:cs="Arial" w:eastAsia="Arial" w:hAnsi="Arial"/>
                <w:sz w:val="18"/>
                <w:szCs w:val="18"/>
                <w:color w:val="0000FF"/>
                <w:w w:val="85"/>
              </w:rPr>
            </w:pPr>
            <w:hyperlink r:id="rId55">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13</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gridSpan w:val="22"/>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Form of Base Indenture between Vringo, Inc. and Computershare Trust Company, N.A. (incorporated by reference from Exhibit 10.4 to our</w:t>
              </w:r>
            </w:hyperlink>
          </w:p>
        </w:tc>
      </w:tr>
      <w:tr>
        <w:trPr>
          <w:trHeight w:val="196"/>
        </w:trPr>
        <w:tc>
          <w:tcPr>
            <w:tcW w:w="3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Current Report on Form 8-K filed with the SEC on May 4, 2015)</w:t>
              </w:r>
            </w:hyperlink>
          </w:p>
        </w:tc>
        <w:tc>
          <w:tcPr>
            <w:tcW w:w="554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56">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14</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Form of First Supplemental Indenture (incorporated by reference from Exhibit 10.5 to our Current Report on Form 8-K filed with the SEC on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May 4, 2015)</w:t>
              </w:r>
            </w:hyperlink>
          </w:p>
        </w:tc>
        <w:tc>
          <w:tcPr>
            <w:tcW w:w="9280" w:type="dxa"/>
            <w:vAlign w:val="bottom"/>
            <w:gridSpan w:val="20"/>
          </w:tcPr>
          <w:p>
            <w:pPr>
              <w:spacing w:after="0"/>
              <w:rPr>
                <w:sz w:val="17"/>
                <w:szCs w:val="17"/>
                <w:color w:val="auto"/>
              </w:rPr>
            </w:pPr>
          </w:p>
        </w:tc>
      </w:tr>
      <w:tr>
        <w:trPr>
          <w:trHeight w:val="41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57">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15</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4"/>
              </w:rPr>
            </w:pPr>
            <w:hyperlink r:id="rId57">
              <w:r>
                <w:rPr>
                  <w:rFonts w:ascii="Arial" w:cs="Arial" w:eastAsia="Arial" w:hAnsi="Arial"/>
                  <w:sz w:val="18"/>
                  <w:szCs w:val="18"/>
                  <w:color w:val="0000FF"/>
                  <w:w w:val="94"/>
                </w:rPr>
                <w:t>Section 382 Rights Agreement, dated as of March 18, 2016, between Vringo, Inc. and American Stock Transfer &amp; Trust Company, LLC,</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tcBorders>
              <w:bottom w:val="single" w:sz="8" w:color="0000FF"/>
            </w:tcBorders>
            <w:gridSpan w:val="22"/>
          </w:tcPr>
          <w:p>
            <w:pPr>
              <w:spacing w:after="0" w:line="196" w:lineRule="exact"/>
              <w:rPr>
                <w:rFonts w:ascii="Arial" w:cs="Arial" w:eastAsia="Arial" w:hAnsi="Arial"/>
                <w:sz w:val="18"/>
                <w:szCs w:val="18"/>
                <w:color w:val="0000FF"/>
                <w:w w:val="97"/>
              </w:rPr>
            </w:pPr>
            <w:hyperlink r:id="rId57">
              <w:r>
                <w:rPr>
                  <w:rFonts w:ascii="Arial" w:cs="Arial" w:eastAsia="Arial" w:hAnsi="Arial"/>
                  <w:sz w:val="18"/>
                  <w:szCs w:val="18"/>
                  <w:color w:val="0000FF"/>
                  <w:w w:val="97"/>
                </w:rPr>
                <w:t>which includes the Form of Certificate of Designation of Series C Junior Participating Preferred Stock as Exhibit A, the Form of Right</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Certificate as Exhibit B and the Summary of Rights to Purchase Preferred Stock as Exhibit C (incorporated by reference from Exhibit 4.1 to</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gridSpan w:val="22"/>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our Current Report on Form 8-K filed with the SEC on March 21, 2016)</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3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58">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16</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Form of Warrant to Purchase Shares of Common Stock of FORM Holdings Corp. (incorporated by reference from Annex F to our</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gridSpan w:val="22"/>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Registration Statement on Form S-4 filed with the SEC on October 26, 2016)</w:t>
              </w:r>
            </w:hyperlink>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3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260" w:type="dxa"/>
            <w:vAlign w:val="bottom"/>
            <w:gridSpan w:val="22"/>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Vringo, Inc. 2012 Employee, Director and Consultant Equity Incentive Plan, as amended (incorporated by reference from Appendix C of our</w:t>
              </w:r>
            </w:hyperlink>
          </w:p>
        </w:tc>
      </w:tr>
      <w:tr>
        <w:trPr>
          <w:trHeight w:val="196"/>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5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Proxy Statement on Schedule 14A (DEF 14A) filed with the SEC on September 25, 2015)</w:t>
              </w:r>
            </w:hyperlink>
          </w:p>
        </w:tc>
        <w:tc>
          <w:tcPr>
            <w:tcW w:w="3760" w:type="dxa"/>
            <w:vAlign w:val="bottom"/>
            <w:tcBorders>
              <w:top w:val="single" w:sz="8" w:color="0000FF"/>
            </w:tcBorders>
            <w:gridSpan w:val="13"/>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FF"/>
                <w:w w:val="88"/>
              </w:rPr>
            </w:pPr>
            <w:hyperlink r:id="rId6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w:t>
              </w:r>
            </w:hyperlink>
          </w:p>
        </w:tc>
        <w:tc>
          <w:tcPr>
            <w:tcW w:w="740" w:type="dxa"/>
            <w:vAlign w:val="bottom"/>
            <w:gridSpan w:val="3"/>
          </w:tcPr>
          <w:p>
            <w:pPr>
              <w:spacing w:after="0"/>
              <w:rPr>
                <w:sz w:val="24"/>
                <w:szCs w:val="24"/>
                <w:color w:val="auto"/>
              </w:rPr>
            </w:pPr>
          </w:p>
        </w:tc>
        <w:tc>
          <w:tcPr>
            <w:tcW w:w="10260" w:type="dxa"/>
            <w:vAlign w:val="bottom"/>
            <w:gridSpan w:val="22"/>
          </w:tcPr>
          <w:p>
            <w:pPr>
              <w:spacing w:after="0"/>
              <w:rPr>
                <w:rFonts w:ascii="Arial" w:cs="Arial" w:eastAsia="Arial" w:hAnsi="Arial"/>
                <w:sz w:val="18"/>
                <w:szCs w:val="18"/>
                <w:color w:val="0000FF"/>
                <w:w w:val="99"/>
              </w:rPr>
            </w:pPr>
            <w:hyperlink r:id="rId60">
              <w:r>
                <w:rPr>
                  <w:rFonts w:ascii="Arial" w:cs="Arial" w:eastAsia="Arial" w:hAnsi="Arial"/>
                  <w:sz w:val="18"/>
                  <w:szCs w:val="18"/>
                  <w:color w:val="0000FF"/>
                  <w:w w:val="99"/>
                </w:rPr>
                <w:t>Form of Stock Option Agreement (incorporated by reference from our Registration Statement on Form S-8 filed on July 26, 2012)</w:t>
              </w:r>
            </w:hyperlink>
          </w:p>
        </w:tc>
      </w:tr>
      <w:tr>
        <w:trPr>
          <w:trHeight w:val="20"/>
        </w:trPr>
        <w:tc>
          <w:tcPr>
            <w:tcW w:w="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340" w:type="dxa"/>
            <w:vAlign w:val="bottom"/>
            <w:gridSpan w:val="3"/>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FF"/>
            </w:tcBorders>
            <w:gridSpan w:val="2"/>
          </w:tcPr>
          <w:p>
            <w:pPr>
              <w:spacing w:after="0"/>
              <w:rPr>
                <w:rFonts w:ascii="Arial" w:cs="Arial" w:eastAsia="Arial" w:hAnsi="Arial"/>
                <w:sz w:val="18"/>
                <w:szCs w:val="18"/>
                <w:color w:val="0000FF"/>
                <w:w w:val="88"/>
              </w:rPr>
            </w:pPr>
            <w:hyperlink r:id="rId6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w:t>
              </w:r>
            </w:hyperlink>
          </w:p>
        </w:tc>
        <w:tc>
          <w:tcPr>
            <w:tcW w:w="740" w:type="dxa"/>
            <w:vAlign w:val="bottom"/>
            <w:gridSpan w:val="3"/>
          </w:tcPr>
          <w:p>
            <w:pPr>
              <w:spacing w:after="0"/>
              <w:rPr>
                <w:sz w:val="24"/>
                <w:szCs w:val="24"/>
                <w:color w:val="auto"/>
              </w:rPr>
            </w:pPr>
          </w:p>
        </w:tc>
        <w:tc>
          <w:tcPr>
            <w:tcW w:w="9980" w:type="dxa"/>
            <w:vAlign w:val="bottom"/>
            <w:tcBorders>
              <w:bottom w:val="single" w:sz="8" w:color="0000FF"/>
            </w:tcBorders>
            <w:gridSpan w:val="20"/>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Form of Restricted Stock Unit Agreement (incorporated by reference from our Registration Statement on Form S-8 filed on July 26, 2012)</w:t>
              </w:r>
            </w:hyperlink>
          </w:p>
        </w:tc>
        <w:tc>
          <w:tcPr>
            <w:tcW w:w="280" w:type="dxa"/>
            <w:vAlign w:val="bottom"/>
            <w:gridSpan w:val="2"/>
          </w:tcPr>
          <w:p>
            <w:pPr>
              <w:spacing w:after="0"/>
              <w:rPr>
                <w:sz w:val="24"/>
                <w:szCs w:val="24"/>
                <w:color w:val="auto"/>
              </w:rPr>
            </w:pPr>
          </w:p>
        </w:tc>
      </w:tr>
      <w:tr>
        <w:trPr>
          <w:trHeight w:val="41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6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Form of Indemnification Agreement, dated January 31, 2013, by and between Vringo, Inc. and each of its Directors and Executive Officer</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8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(incorporated by reference from our Annual Report on Form 10-K for the period ended December 31, 2012 filed on March 21, 2013)</w:t>
              </w:r>
            </w:hyperlink>
          </w:p>
        </w:tc>
        <w:tc>
          <w:tcPr>
            <w:tcW w:w="680" w:type="dxa"/>
            <w:vAlign w:val="bottom"/>
            <w:gridSpan w:val="5"/>
          </w:tcPr>
          <w:p>
            <w:pPr>
              <w:spacing w:after="0"/>
              <w:rPr>
                <w:sz w:val="17"/>
                <w:szCs w:val="17"/>
                <w:color w:val="auto"/>
              </w:rPr>
            </w:pPr>
          </w:p>
        </w:tc>
      </w:tr>
      <w:tr>
        <w:trPr>
          <w:trHeight w:val="41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6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Subscription Agreement, dated as of August 8, 2016, by and between FORM Holdings Corp. and Mistral Spa Holdings, LLC (incorporated by</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reference from Exhibit 10.1 to our Current Report on Form 8-K filed with the SEC on August 8, 2016)</w:t>
              </w:r>
            </w:hyperlink>
          </w:p>
        </w:tc>
        <w:tc>
          <w:tcPr>
            <w:tcW w:w="2860" w:type="dxa"/>
            <w:vAlign w:val="bottom"/>
            <w:gridSpan w:val="11"/>
          </w:tcPr>
          <w:p>
            <w:pPr>
              <w:spacing w:after="0"/>
              <w:rPr>
                <w:sz w:val="17"/>
                <w:szCs w:val="17"/>
                <w:color w:val="auto"/>
              </w:rPr>
            </w:pPr>
          </w:p>
        </w:tc>
      </w:tr>
      <w:tr>
        <w:trPr>
          <w:trHeight w:val="41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6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5"/>
              </w:rPr>
            </w:pPr>
            <w:hyperlink r:id="rId64">
              <w:r>
                <w:rPr>
                  <w:rFonts w:ascii="Arial" w:cs="Arial" w:eastAsia="Arial" w:hAnsi="Arial"/>
                  <w:sz w:val="18"/>
                  <w:szCs w:val="18"/>
                  <w:color w:val="0000FF"/>
                  <w:w w:val="95"/>
                </w:rPr>
                <w:t>Subscription Agreement and Joinder, dated as of August 8, 2016, by and between XpresSpa Holdings, LLC and FORM Holdings Corp</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4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(incorporated by reference from Exhibit 10.2 to our Current Report on Form 8-K filed with the SEC on August 8, 2016)</w:t>
              </w:r>
            </w:hyperlink>
          </w:p>
        </w:tc>
        <w:tc>
          <w:tcPr>
            <w:tcW w:w="1620" w:type="dxa"/>
            <w:vAlign w:val="bottom"/>
            <w:gridSpan w:val="9"/>
          </w:tcPr>
          <w:p>
            <w:pPr>
              <w:spacing w:after="0"/>
              <w:rPr>
                <w:sz w:val="17"/>
                <w:szCs w:val="17"/>
                <w:color w:val="auto"/>
              </w:rPr>
            </w:pPr>
          </w:p>
        </w:tc>
      </w:tr>
      <w:tr>
        <w:trPr>
          <w:trHeight w:val="412"/>
        </w:trPr>
        <w:tc>
          <w:tcPr>
            <w:tcW w:w="1160" w:type="dxa"/>
            <w:vAlign w:val="bottom"/>
            <w:gridSpan w:val="5"/>
          </w:tcPr>
          <w:p>
            <w:pPr>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10260" w:type="dxa"/>
            <w:vAlign w:val="bottom"/>
            <w:gridSpan w:val="22"/>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FORM Holdings Corp. 2012 Employee, Director and Consultant Equity Incentive Plan, as amended (incorporated by reference from Exhibit</w:t>
              </w:r>
            </w:hyperlink>
          </w:p>
        </w:tc>
      </w:tr>
      <w:tr>
        <w:trPr>
          <w:trHeight w:val="196"/>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our Current Report on Form 8-K filed with the SEC on November 28, 2016)</w:t>
              </w:r>
            </w:hyperlink>
          </w:p>
        </w:tc>
      </w:tr>
      <w:tr>
        <w:trPr>
          <w:trHeight w:val="20"/>
        </w:trPr>
        <w:tc>
          <w:tcPr>
            <w:tcW w:w="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340" w:type="dxa"/>
            <w:vAlign w:val="bottom"/>
            <w:gridSpan w:val="3"/>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10260" w:type="dxa"/>
            <w:vAlign w:val="bottom"/>
            <w:gridSpan w:val="22"/>
          </w:tcPr>
          <w:p>
            <w:pPr>
              <w:spacing w:after="0"/>
              <w:rPr>
                <w:rFonts w:ascii="Arial" w:cs="Arial" w:eastAsia="Arial" w:hAnsi="Arial"/>
                <w:sz w:val="18"/>
                <w:szCs w:val="18"/>
                <w:color w:val="0000FF"/>
                <w:w w:val="99"/>
              </w:rPr>
            </w:pPr>
            <w:hyperlink r:id="rId66">
              <w:r>
                <w:rPr>
                  <w:rFonts w:ascii="Arial" w:cs="Arial" w:eastAsia="Arial" w:hAnsi="Arial"/>
                  <w:sz w:val="18"/>
                  <w:szCs w:val="18"/>
                  <w:color w:val="0000FF"/>
                  <w:w w:val="99"/>
                </w:rPr>
                <w:t>Independent Director’s Agreement, by and between FORM Holdings Corp. and Andrew R. Heyer, dated as of December 23, 2016</w:t>
              </w:r>
            </w:hyperlink>
          </w:p>
        </w:tc>
      </w:tr>
      <w:tr>
        <w:trPr>
          <w:trHeight w:val="196"/>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(incorporated by reference from Exhibit 10.1 to our Current Report on Form 8-K filed with the SEC on December 23, 2016)</w:t>
              </w:r>
            </w:hyperlink>
          </w:p>
        </w:tc>
      </w:tr>
      <w:tr>
        <w:trPr>
          <w:trHeight w:val="20"/>
        </w:trPr>
        <w:tc>
          <w:tcPr>
            <w:tcW w:w="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340" w:type="dxa"/>
            <w:vAlign w:val="bottom"/>
            <w:gridSpan w:val="3"/>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FF"/>
              </w:rPr>
            </w:pPr>
            <w:hyperlink r:id="rId67">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10260" w:type="dxa"/>
            <w:vAlign w:val="bottom"/>
            <w:gridSpan w:val="22"/>
          </w:tcPr>
          <w:p>
            <w:pPr>
              <w:spacing w:after="0"/>
              <w:rPr>
                <w:rFonts w:ascii="Arial" w:cs="Arial" w:eastAsia="Arial" w:hAnsi="Arial"/>
                <w:sz w:val="18"/>
                <w:szCs w:val="18"/>
                <w:color w:val="0000FF"/>
                <w:w w:val="96"/>
              </w:rPr>
            </w:pPr>
            <w:hyperlink r:id="rId67">
              <w:r>
                <w:rPr>
                  <w:rFonts w:ascii="Arial" w:cs="Arial" w:eastAsia="Arial" w:hAnsi="Arial"/>
                  <w:sz w:val="18"/>
                  <w:szCs w:val="18"/>
                  <w:color w:val="0000FF"/>
                  <w:w w:val="96"/>
                </w:rPr>
                <w:t>Confidential Settlement and Patent Assignment Agreement by and between FORM Holdings Corp. and Nokia Corporation dated as of</w:t>
              </w:r>
            </w:hyperlink>
          </w:p>
        </w:tc>
      </w:tr>
      <w:tr>
        <w:trPr>
          <w:trHeight w:val="196"/>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December 5, 2016 (incorporated by reference from our Annual Report on Form 10-K for the period ended December 31, 2016 filed on March</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67">
              <w:r>
                <w:rPr>
                  <w:rFonts w:ascii="Arial" w:cs="Arial" w:eastAsia="Arial" w:hAnsi="Arial"/>
                  <w:sz w:val="18"/>
                  <w:szCs w:val="18"/>
                  <w:color w:val="0000FF"/>
                  <w:w w:val="86"/>
                </w:rPr>
                <w:t>30, 2017)</w:t>
              </w:r>
            </w:hyperlink>
          </w:p>
        </w:tc>
        <w:tc>
          <w:tcPr>
            <w:tcW w:w="3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FF"/>
                <w:w w:val="88"/>
              </w:rPr>
            </w:pPr>
            <w:hyperlink r:id="rId6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gridSpan w:val="22"/>
          </w:tcPr>
          <w:p>
            <w:pPr>
              <w:spacing w:after="0"/>
              <w:rPr>
                <w:rFonts w:ascii="Arial" w:cs="Arial" w:eastAsia="Arial" w:hAnsi="Arial"/>
                <w:sz w:val="18"/>
                <w:szCs w:val="18"/>
                <w:color w:val="0000FF"/>
                <w:w w:val="93"/>
              </w:rPr>
            </w:pPr>
            <w:hyperlink r:id="rId68">
              <w:r>
                <w:rPr>
                  <w:rFonts w:ascii="Arial" w:cs="Arial" w:eastAsia="Arial" w:hAnsi="Arial"/>
                  <w:sz w:val="18"/>
                  <w:szCs w:val="18"/>
                  <w:color w:val="0000FF"/>
                  <w:w w:val="93"/>
                </w:rPr>
                <w:t>Form of Stock Purchase Agreement, dated as of February 2, 2016, by and between FORM Holdings Corp., Excalibur Integrated Systems,</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20" w:type="dxa"/>
            <w:vAlign w:val="bottom"/>
            <w:gridSpan w:val="4"/>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72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Inc., each of the holders of the capital stock of Excalibur, and the sellers’ representative (incorporated by reference from Exhibit 10.1 to our</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Current Report on Form 8-K filed with the SEC on February 3, 2017)</w:t>
              </w:r>
            </w:hyperlink>
          </w:p>
        </w:tc>
        <w:tc>
          <w:tcPr>
            <w:tcW w:w="5240" w:type="dxa"/>
            <w:vAlign w:val="bottom"/>
            <w:gridSpan w:val="18"/>
          </w:tcPr>
          <w:p>
            <w:pPr>
              <w:spacing w:after="0"/>
              <w:rPr>
                <w:sz w:val="17"/>
                <w:szCs w:val="17"/>
                <w:color w:val="auto"/>
              </w:rPr>
            </w:pPr>
          </w:p>
        </w:tc>
      </w:tr>
      <w:tr>
        <w:trPr>
          <w:trHeight w:val="412"/>
        </w:trPr>
        <w:tc>
          <w:tcPr>
            <w:tcW w:w="1160" w:type="dxa"/>
            <w:vAlign w:val="bottom"/>
            <w:gridSpan w:val="5"/>
          </w:tcPr>
          <w:p>
            <w:pPr>
              <w:spacing w:after="0"/>
              <w:rPr>
                <w:rFonts w:ascii="Arial" w:cs="Arial" w:eastAsia="Arial" w:hAnsi="Arial"/>
                <w:sz w:val="18"/>
                <w:szCs w:val="18"/>
                <w:color w:val="0000FF"/>
              </w:rPr>
            </w:pPr>
            <w:hyperlink r:id="rId69">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10260" w:type="dxa"/>
            <w:vAlign w:val="bottom"/>
            <w:gridSpan w:val="22"/>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Employment Agreement, dated February 13, 2013, by and between Vringo, Inc. and Cliff Weinstein (incorporated by reference from Exhibit</w:t>
              </w:r>
            </w:hyperlink>
          </w:p>
        </w:tc>
      </w:tr>
      <w:tr>
        <w:trPr>
          <w:trHeight w:val="196"/>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14</w:t>
              </w:r>
              <w:r>
                <w:rPr>
                  <w:rFonts w:ascii="Arial" w:cs="Arial" w:eastAsia="Arial" w:hAnsi="Arial"/>
                  <w:sz w:val="18"/>
                  <w:szCs w:val="18"/>
                  <w:color w:val="0000FF"/>
                  <w:w w:val="92"/>
                </w:rPr>
                <w:t xml:space="preserve"> to our Annual Report on Form 10-K filed with the SEC on March 10, 2016)</w:t>
              </w:r>
            </w:hyperlink>
          </w:p>
        </w:tc>
        <w:tc>
          <w:tcPr>
            <w:tcW w:w="4340" w:type="dxa"/>
            <w:vAlign w:val="bottom"/>
            <w:tcBorders>
              <w:top w:val="single" w:sz="8" w:color="0000FF"/>
            </w:tcBorders>
            <w:gridSpan w:val="15"/>
          </w:tcPr>
          <w:p>
            <w:pPr>
              <w:spacing w:after="0"/>
              <w:rPr>
                <w:sz w:val="17"/>
                <w:szCs w:val="17"/>
                <w:color w:val="auto"/>
              </w:rPr>
            </w:pPr>
          </w:p>
        </w:tc>
      </w:tr>
      <w:tr>
        <w:trPr>
          <w:trHeight w:val="412"/>
        </w:trPr>
        <w:tc>
          <w:tcPr>
            <w:tcW w:w="1160" w:type="dxa"/>
            <w:vAlign w:val="bottom"/>
            <w:gridSpan w:val="5"/>
          </w:tcPr>
          <w:p>
            <w:pPr>
              <w:spacing w:after="0"/>
              <w:rPr>
                <w:rFonts w:ascii="Arial" w:cs="Arial" w:eastAsia="Arial" w:hAnsi="Arial"/>
                <w:sz w:val="18"/>
                <w:szCs w:val="18"/>
                <w:color w:val="0000FF"/>
              </w:rPr>
            </w:pPr>
            <w:hyperlink r:id="rId70">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260" w:type="dxa"/>
            <w:vAlign w:val="bottom"/>
            <w:gridSpan w:val="22"/>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Amendment to Employment Agreement dated October 13, 2015, by and between Vringo, Inc. and Cliff Weinstein (incorporated by reference</w:t>
              </w:r>
            </w:hyperlink>
          </w:p>
        </w:tc>
      </w:tr>
      <w:tr>
        <w:trPr>
          <w:trHeight w:val="196"/>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from Exhibit 10.24 to our Annual Report on Form 10-K filed with the SEC on March 10, 2016)</w:t>
              </w:r>
            </w:hyperlink>
          </w:p>
        </w:tc>
      </w:tr>
      <w:tr>
        <w:trPr>
          <w:trHeight w:val="20"/>
        </w:trPr>
        <w:tc>
          <w:tcPr>
            <w:tcW w:w="1160" w:type="dxa"/>
            <w:vAlign w:val="bottom"/>
            <w:gridSpan w:val="5"/>
          </w:tcPr>
          <w:p>
            <w:pPr>
              <w:spacing w:after="0" w:line="20" w:lineRule="exact"/>
              <w:rPr>
                <w:sz w:val="1"/>
                <w:szCs w:val="1"/>
                <w:color w:val="auto"/>
              </w:rPr>
            </w:pPr>
          </w:p>
        </w:tc>
        <w:tc>
          <w:tcPr>
            <w:tcW w:w="6880" w:type="dxa"/>
            <w:vAlign w:val="bottom"/>
            <w:gridSpan w:val="10"/>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740" w:type="dxa"/>
            <w:vAlign w:val="bottom"/>
            <w:gridSpan w:val="10"/>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FF"/>
              </w:rPr>
            </w:pPr>
            <w:hyperlink r:id="rId71">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260" w:type="dxa"/>
            <w:vAlign w:val="bottom"/>
            <w:gridSpan w:val="22"/>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Amendment to Employment Agreement dated January 18, 2017, by and between FORM Holdings Corp. and Cliff Weinstein (incorporated by</w:t>
              </w:r>
            </w:hyperlink>
          </w:p>
        </w:tc>
      </w:tr>
      <w:tr>
        <w:trPr>
          <w:trHeight w:val="196"/>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reference from Exhibit 10.1 to our Quarterly Report on Form 10-Q filed with the SEC on May 15, 2017)</w:t>
              </w:r>
            </w:hyperlink>
          </w:p>
        </w:tc>
        <w:tc>
          <w:tcPr>
            <w:tcW w:w="20" w:type="dxa"/>
            <w:vAlign w:val="bottom"/>
          </w:tcPr>
          <w:p>
            <w:pPr>
              <w:spacing w:after="0"/>
              <w:rPr>
                <w:sz w:val="17"/>
                <w:szCs w:val="17"/>
                <w:color w:val="auto"/>
              </w:rPr>
            </w:pPr>
          </w:p>
        </w:tc>
      </w:tr>
      <w:tr>
        <w:trPr>
          <w:trHeight w:val="723"/>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700" w:type="dxa"/>
            <w:vAlign w:val="bottom"/>
            <w:tcBorders>
              <w:top w:val="single" w:sz="8" w:color="0000FF"/>
              <w:bottom w:val="single" w:sz="8" w:color="auto"/>
            </w:tcBorders>
            <w:gridSpan w:val="3"/>
          </w:tcPr>
          <w:p>
            <w:pPr>
              <w:ind w:left="4420"/>
              <w:spacing w:after="0"/>
              <w:rPr>
                <w:sz w:val="20"/>
                <w:szCs w:val="20"/>
                <w:color w:val="auto"/>
              </w:rPr>
            </w:pPr>
            <w:r>
              <w:rPr>
                <w:rFonts w:ascii="Arial" w:cs="Arial" w:eastAsia="Arial" w:hAnsi="Arial"/>
                <w:sz w:val="22"/>
                <w:szCs w:val="22"/>
                <w:color w:val="auto"/>
              </w:rPr>
              <w:t>24</w:t>
            </w:r>
          </w:p>
        </w:tc>
        <w:tc>
          <w:tcPr>
            <w:tcW w:w="320" w:type="dxa"/>
            <w:vAlign w:val="bottom"/>
            <w:tcBorders>
              <w:top w:val="single" w:sz="8" w:color="0000FF"/>
              <w:bottom w:val="single" w:sz="8" w:color="auto"/>
            </w:tcBorders>
          </w:tcPr>
          <w:p>
            <w:pPr>
              <w:spacing w:after="0"/>
              <w:rPr>
                <w:sz w:val="24"/>
                <w:szCs w:val="24"/>
                <w:color w:val="auto"/>
              </w:rPr>
            </w:pPr>
          </w:p>
        </w:tc>
        <w:tc>
          <w:tcPr>
            <w:tcW w:w="180" w:type="dxa"/>
            <w:vAlign w:val="bottom"/>
            <w:tcBorders>
              <w:top w:val="single" w:sz="8" w:color="0000FF"/>
              <w:bottom w:val="single" w:sz="8" w:color="auto"/>
            </w:tcBorders>
          </w:tcPr>
          <w:p>
            <w:pPr>
              <w:spacing w:after="0"/>
              <w:rPr>
                <w:sz w:val="24"/>
                <w:szCs w:val="24"/>
                <w:color w:val="auto"/>
              </w:rPr>
            </w:pPr>
          </w:p>
        </w:tc>
        <w:tc>
          <w:tcPr>
            <w:tcW w:w="360" w:type="dxa"/>
            <w:vAlign w:val="bottom"/>
            <w:tcBorders>
              <w:top w:val="single" w:sz="8" w:color="0000FF"/>
              <w:bottom w:val="single" w:sz="8" w:color="auto"/>
            </w:tcBorders>
          </w:tcPr>
          <w:p>
            <w:pPr>
              <w:spacing w:after="0"/>
              <w:rPr>
                <w:sz w:val="24"/>
                <w:szCs w:val="24"/>
                <w:color w:val="auto"/>
              </w:rPr>
            </w:pPr>
          </w:p>
        </w:tc>
        <w:tc>
          <w:tcPr>
            <w:tcW w:w="360" w:type="dxa"/>
            <w:vAlign w:val="bottom"/>
            <w:tcBorders>
              <w:top w:val="single" w:sz="8" w:color="0000FF"/>
              <w:bottom w:val="single" w:sz="8" w:color="auto"/>
            </w:tcBorders>
          </w:tcPr>
          <w:p>
            <w:pPr>
              <w:spacing w:after="0"/>
              <w:rPr>
                <w:sz w:val="24"/>
                <w:szCs w:val="24"/>
                <w:color w:val="auto"/>
              </w:rPr>
            </w:pPr>
          </w:p>
        </w:tc>
        <w:tc>
          <w:tcPr>
            <w:tcW w:w="120" w:type="dxa"/>
            <w:vAlign w:val="bottom"/>
            <w:tcBorders>
              <w:top w:val="single" w:sz="8" w:color="0000FF"/>
              <w:bottom w:val="single" w:sz="8" w:color="auto"/>
            </w:tcBorders>
          </w:tcPr>
          <w:p>
            <w:pPr>
              <w:spacing w:after="0"/>
              <w:rPr>
                <w:sz w:val="24"/>
                <w:szCs w:val="24"/>
                <w:color w:val="auto"/>
              </w:rPr>
            </w:pPr>
          </w:p>
        </w:tc>
        <w:tc>
          <w:tcPr>
            <w:tcW w:w="460" w:type="dxa"/>
            <w:vAlign w:val="bottom"/>
            <w:tcBorders>
              <w:top w:val="single" w:sz="8" w:color="0000FF"/>
              <w:bottom w:val="single" w:sz="8" w:color="auto"/>
            </w:tcBorders>
          </w:tcPr>
          <w:p>
            <w:pPr>
              <w:spacing w:after="0"/>
              <w:rPr>
                <w:sz w:val="24"/>
                <w:szCs w:val="24"/>
                <w:color w:val="auto"/>
              </w:rPr>
            </w:pPr>
          </w:p>
        </w:tc>
        <w:tc>
          <w:tcPr>
            <w:tcW w:w="380" w:type="dxa"/>
            <w:vAlign w:val="bottom"/>
            <w:tcBorders>
              <w:top w:val="single" w:sz="8" w:color="0000FF"/>
              <w:bottom w:val="single" w:sz="8" w:color="auto"/>
            </w:tcBorders>
          </w:tcPr>
          <w:p>
            <w:pPr>
              <w:spacing w:after="0"/>
              <w:rPr>
                <w:sz w:val="24"/>
                <w:szCs w:val="24"/>
                <w:color w:val="auto"/>
              </w:rPr>
            </w:pPr>
          </w:p>
        </w:tc>
        <w:tc>
          <w:tcPr>
            <w:tcW w:w="520" w:type="dxa"/>
            <w:vAlign w:val="bottom"/>
            <w:tcBorders>
              <w:top w:val="single" w:sz="8" w:color="0000FF"/>
              <w:bottom w:val="single" w:sz="8" w:color="auto"/>
            </w:tcBorders>
          </w:tcPr>
          <w:p>
            <w:pPr>
              <w:spacing w:after="0"/>
              <w:rPr>
                <w:sz w:val="24"/>
                <w:szCs w:val="24"/>
                <w:color w:val="auto"/>
              </w:rPr>
            </w:pPr>
          </w:p>
        </w:tc>
        <w:tc>
          <w:tcPr>
            <w:tcW w:w="120" w:type="dxa"/>
            <w:vAlign w:val="bottom"/>
            <w:tcBorders>
              <w:top w:val="single" w:sz="8" w:color="0000FF"/>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34"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6"/>
          </w:tcPr>
          <w:p>
            <w:pPr>
              <w:spacing w:after="0"/>
              <w:rPr>
                <w:rFonts w:ascii="Arial" w:cs="Arial" w:eastAsia="Arial" w:hAnsi="Arial"/>
                <w:sz w:val="18"/>
                <w:szCs w:val="18"/>
                <w:color w:val="0000FF"/>
              </w:rPr>
            </w:pPr>
            <w:hyperlink r:id="rId72">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260" w:type="dxa"/>
            <w:vAlign w:val="bottom"/>
            <w:gridSpan w:val="12"/>
          </w:tcPr>
          <w:p>
            <w:pPr>
              <w:spacing w:after="0"/>
              <w:rPr>
                <w:rFonts w:ascii="Arial" w:cs="Arial" w:eastAsia="Arial" w:hAnsi="Arial"/>
                <w:sz w:val="18"/>
                <w:szCs w:val="18"/>
                <w:color w:val="0000FF"/>
                <w:w w:val="94"/>
              </w:rPr>
            </w:pPr>
            <w:hyperlink r:id="rId72">
              <w:r>
                <w:rPr>
                  <w:rFonts w:ascii="Arial" w:cs="Arial" w:eastAsia="Arial" w:hAnsi="Arial"/>
                  <w:sz w:val="18"/>
                  <w:szCs w:val="18"/>
                  <w:color w:val="0000FF"/>
                  <w:w w:val="94"/>
                </w:rPr>
                <w:t>Amendment to Employment Agreement dated May 15, 2017, by and between FORM Holdings Corp. and Cliff Weinstein (incorporated by</w:t>
              </w:r>
            </w:hyperlink>
          </w:p>
        </w:tc>
      </w:tr>
      <w:tr>
        <w:trPr>
          <w:trHeight w:val="196"/>
        </w:trPr>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reference from Exhibit 10.1 to our Current Report on Form 8-K filed with the SEC on May 5, 2017)</w:t>
              </w:r>
            </w:hyperlink>
          </w:p>
        </w:tc>
        <w:tc>
          <w:tcPr>
            <w:tcW w:w="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6"/>
          </w:tcPr>
          <w:p>
            <w:pPr>
              <w:spacing w:after="0"/>
              <w:rPr>
                <w:rFonts w:ascii="Arial" w:cs="Arial" w:eastAsia="Arial" w:hAnsi="Arial"/>
                <w:sz w:val="18"/>
                <w:szCs w:val="18"/>
                <w:color w:val="0000FF"/>
              </w:rPr>
            </w:pPr>
            <w:hyperlink r:id="rId73">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260" w:type="dxa"/>
            <w:vAlign w:val="bottom"/>
            <w:gridSpan w:val="12"/>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Executive Employment Agreement, dated January 20, 2017, by and between FORM Holdings Corp. and Edward Jankowski (incorporated by</w:t>
              </w:r>
            </w:hyperlink>
          </w:p>
        </w:tc>
      </w:tr>
      <w:tr>
        <w:trPr>
          <w:trHeight w:val="196"/>
        </w:trPr>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reference from Exhibit 10.2 to our Quarterly Report on Form 10-Q filed with the SEC on May 15, 2017)</w:t>
              </w:r>
            </w:hyperlink>
          </w:p>
        </w:tc>
        <w:tc>
          <w:tcPr>
            <w:tcW w:w="2720" w:type="dxa"/>
            <w:vAlign w:val="bottom"/>
            <w:tcBorders>
              <w:top w:val="single" w:sz="8" w:color="0000FF"/>
            </w:tcBorders>
            <w:gridSpan w:val="5"/>
          </w:tcPr>
          <w:p>
            <w:pPr>
              <w:spacing w:after="0"/>
              <w:rPr>
                <w:sz w:val="17"/>
                <w:szCs w:val="17"/>
                <w:color w:val="auto"/>
              </w:rPr>
            </w:pPr>
          </w:p>
        </w:tc>
      </w:tr>
      <w:tr>
        <w:trPr>
          <w:trHeight w:val="412"/>
        </w:trPr>
        <w:tc>
          <w:tcPr>
            <w:tcW w:w="1160" w:type="dxa"/>
            <w:vAlign w:val="bottom"/>
            <w:gridSpan w:val="6"/>
          </w:tcPr>
          <w:p>
            <w:pPr>
              <w:spacing w:after="0"/>
              <w:rPr>
                <w:rFonts w:ascii="Arial" w:cs="Arial" w:eastAsia="Arial" w:hAnsi="Arial"/>
                <w:sz w:val="18"/>
                <w:szCs w:val="18"/>
                <w:color w:val="0000FF"/>
              </w:rPr>
            </w:pPr>
            <w:hyperlink r:id="rId74">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0260" w:type="dxa"/>
            <w:vAlign w:val="bottom"/>
            <w:gridSpan w:val="12"/>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Executive Employment Agreement, dated January 18, 2017, by and between FORM Holdings Corp. and Andrew Perlman (incorporated by</w:t>
              </w:r>
            </w:hyperlink>
          </w:p>
        </w:tc>
      </w:tr>
      <w:tr>
        <w:trPr>
          <w:trHeight w:val="196"/>
        </w:trPr>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reference from Exhibit 10.3 to our Quarterly Report on Form 10-Q filed with the SEC on May 15, 2017)</w:t>
              </w:r>
            </w:hyperlink>
          </w:p>
        </w:tc>
      </w:tr>
      <w:tr>
        <w:trPr>
          <w:trHeight w:val="20"/>
        </w:trPr>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6"/>
          </w:tcPr>
          <w:p>
            <w:pPr>
              <w:spacing w:after="0"/>
              <w:rPr>
                <w:rFonts w:ascii="Arial" w:cs="Arial" w:eastAsia="Arial" w:hAnsi="Arial"/>
                <w:sz w:val="18"/>
                <w:szCs w:val="18"/>
                <w:color w:val="0000FF"/>
              </w:rPr>
            </w:pPr>
            <w:hyperlink r:id="rId75">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10260" w:type="dxa"/>
            <w:vAlign w:val="bottom"/>
            <w:gridSpan w:val="12"/>
          </w:tcPr>
          <w:p>
            <w:pPr>
              <w:spacing w:after="0"/>
              <w:rPr>
                <w:rFonts w:ascii="Arial" w:cs="Arial" w:eastAsia="Arial" w:hAnsi="Arial"/>
                <w:sz w:val="18"/>
                <w:szCs w:val="18"/>
                <w:color w:val="0000FF"/>
              </w:rPr>
            </w:pPr>
            <w:hyperlink r:id="rId75">
              <w:r>
                <w:rPr>
                  <w:rFonts w:ascii="Arial" w:cs="Arial" w:eastAsia="Arial" w:hAnsi="Arial"/>
                  <w:sz w:val="18"/>
                  <w:szCs w:val="18"/>
                  <w:color w:val="0000FF"/>
                </w:rPr>
                <w:t>Executive Employment Agreement, dated January 17, 2017, by and between FORM Holdings Corp. and Anastasia Nyrkovskaya</w:t>
              </w:r>
            </w:hyperlink>
          </w:p>
        </w:tc>
      </w:tr>
      <w:tr>
        <w:trPr>
          <w:trHeight w:val="196"/>
        </w:trPr>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(incorporated by reference from Exhibit 10.4 to our Quarterly Report on Form 10-Q filed with the SEC on May 15, 2017)</w:t>
              </w:r>
            </w:hyperlink>
          </w:p>
        </w:tc>
      </w:tr>
      <w:tr>
        <w:trPr>
          <w:trHeight w:val="20"/>
        </w:trPr>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6"/>
          </w:tcPr>
          <w:p>
            <w:pPr>
              <w:spacing w:after="0"/>
              <w:rPr>
                <w:rFonts w:ascii="Arial" w:cs="Arial" w:eastAsia="Arial" w:hAnsi="Arial"/>
                <w:sz w:val="18"/>
                <w:szCs w:val="18"/>
                <w:color w:val="0000FF"/>
              </w:rPr>
            </w:pPr>
            <w:hyperlink r:id="rId76">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10260" w:type="dxa"/>
            <w:vAlign w:val="bottom"/>
            <w:gridSpan w:val="12"/>
          </w:tcPr>
          <w:p>
            <w:pPr>
              <w:spacing w:after="0"/>
              <w:rPr>
                <w:rFonts w:ascii="Arial" w:cs="Arial" w:eastAsia="Arial" w:hAnsi="Arial"/>
                <w:sz w:val="18"/>
                <w:szCs w:val="18"/>
                <w:color w:val="0000FF"/>
                <w:w w:val="93"/>
              </w:rPr>
            </w:pPr>
            <w:hyperlink r:id="rId76">
              <w:r>
                <w:rPr>
                  <w:rFonts w:ascii="Arial" w:cs="Arial" w:eastAsia="Arial" w:hAnsi="Arial"/>
                  <w:sz w:val="18"/>
                  <w:szCs w:val="18"/>
                  <w:color w:val="0000FF"/>
                  <w:w w:val="93"/>
                </w:rPr>
                <w:t>Executive Employment Agreement, dated January 17, 2017, by and between FORM Holdings Corp. and Jason Charkow (incorporated by</w:t>
              </w:r>
            </w:hyperlink>
          </w:p>
        </w:tc>
      </w:tr>
      <w:tr>
        <w:trPr>
          <w:trHeight w:val="196"/>
        </w:trPr>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reference from Exhibit 10.5 to our Quarterly Report on Form 10-Q filed with the SEC on May 15, 2017)</w:t>
              </w:r>
            </w:hyperlink>
          </w:p>
        </w:tc>
        <w:tc>
          <w:tcPr>
            <w:tcW w:w="2720" w:type="dxa"/>
            <w:vAlign w:val="bottom"/>
            <w:tcBorders>
              <w:top w:val="single" w:sz="8" w:color="0000FF"/>
            </w:tcBorders>
            <w:gridSpan w:val="5"/>
          </w:tcPr>
          <w:p>
            <w:pPr>
              <w:spacing w:after="0"/>
              <w:rPr>
                <w:sz w:val="17"/>
                <w:szCs w:val="17"/>
                <w:color w:val="auto"/>
              </w:rPr>
            </w:pPr>
          </w:p>
        </w:tc>
      </w:tr>
      <w:tr>
        <w:trPr>
          <w:trHeight w:val="412"/>
        </w:trPr>
        <w:tc>
          <w:tcPr>
            <w:tcW w:w="460" w:type="dxa"/>
            <w:vAlign w:val="bottom"/>
            <w:gridSpan w:val="3"/>
          </w:tcPr>
          <w:p>
            <w:pPr>
              <w:spacing w:after="0"/>
              <w:rPr>
                <w:rFonts w:ascii="Arial" w:cs="Arial" w:eastAsia="Arial" w:hAnsi="Arial"/>
                <w:sz w:val="18"/>
                <w:szCs w:val="18"/>
                <w:color w:val="0000FF"/>
                <w:w w:val="97"/>
              </w:rPr>
            </w:pPr>
            <w:hyperlink r:id="rId77">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19</w:t>
              </w:r>
            </w:hyperlink>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60" w:type="dxa"/>
            <w:vAlign w:val="bottom"/>
            <w:gridSpan w:val="12"/>
          </w:tcPr>
          <w:p>
            <w:pPr>
              <w:spacing w:after="0"/>
              <w:rPr>
                <w:rFonts w:ascii="Arial" w:cs="Arial" w:eastAsia="Arial" w:hAnsi="Arial"/>
                <w:sz w:val="18"/>
                <w:szCs w:val="18"/>
                <w:color w:val="0000FF"/>
                <w:w w:val="91"/>
              </w:rPr>
            </w:pPr>
            <w:hyperlink r:id="rId77">
              <w:r>
                <w:rPr>
                  <w:rFonts w:ascii="Arial" w:cs="Arial" w:eastAsia="Arial" w:hAnsi="Arial"/>
                  <w:sz w:val="18"/>
                  <w:szCs w:val="18"/>
                  <w:color w:val="0000FF"/>
                  <w:w w:val="91"/>
                </w:rPr>
                <w:t>Membership Purchase Agreement dated as of March 7, 2018 by and among Route1 Security Corporation, Route1 Inc. and XpresSpa Group,</w:t>
              </w:r>
            </w:hyperlink>
          </w:p>
        </w:tc>
      </w:tr>
      <w:tr>
        <w:trPr>
          <w:trHeight w:val="196"/>
        </w:trPr>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Inc. (incorporated by reference from Exhibit 2.1 to our Current Report on Form 8-K filed with the SEC on March 26, 2018)</w:t>
              </w:r>
            </w:hyperlink>
          </w:p>
        </w:tc>
      </w:tr>
      <w:tr>
        <w:trPr>
          <w:trHeight w:val="412"/>
        </w:trPr>
        <w:tc>
          <w:tcPr>
            <w:tcW w:w="1160" w:type="dxa"/>
            <w:vAlign w:val="bottom"/>
            <w:gridSpan w:val="6"/>
          </w:tcPr>
          <w:p>
            <w:pPr>
              <w:spacing w:after="0"/>
              <w:rPr>
                <w:rFonts w:ascii="Arial" w:cs="Arial" w:eastAsia="Arial" w:hAnsi="Arial"/>
                <w:sz w:val="18"/>
                <w:szCs w:val="18"/>
                <w:color w:val="0000EE"/>
              </w:rPr>
            </w:pPr>
            <w:hyperlink r:id="rId78">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8900" w:type="dxa"/>
            <w:vAlign w:val="bottom"/>
            <w:tcBorders>
              <w:top w:val="single" w:sz="8" w:color="0000FF"/>
            </w:tcBorders>
            <w:gridSpan w:val="10"/>
          </w:tcPr>
          <w:p>
            <w:pPr>
              <w:spacing w:after="0"/>
              <w:rPr>
                <w:rFonts w:ascii="Arial" w:cs="Arial" w:eastAsia="Arial" w:hAnsi="Arial"/>
                <w:sz w:val="18"/>
                <w:szCs w:val="18"/>
                <w:color w:val="0000EE"/>
              </w:rPr>
            </w:pPr>
            <w:hyperlink r:id="rId78">
              <w:r>
                <w:rPr>
                  <w:rFonts w:ascii="Arial" w:cs="Arial" w:eastAsia="Arial" w:hAnsi="Arial"/>
                  <w:sz w:val="18"/>
                  <w:szCs w:val="18"/>
                  <w:color w:val="0000EE"/>
                </w:rPr>
                <w:t>Separation Agreement dated as of April 19, 2018 by and between XpresSpa Group, Inc. and Andrew Perlman.</w:t>
              </w:r>
            </w:hyperlink>
          </w:p>
        </w:tc>
        <w:tc>
          <w:tcPr>
            <w:tcW w:w="1360" w:type="dxa"/>
            <w:vAlign w:val="bottom"/>
            <w:gridSpan w:val="2"/>
          </w:tcPr>
          <w:p>
            <w:pPr>
              <w:spacing w:after="0"/>
              <w:rPr>
                <w:sz w:val="24"/>
                <w:szCs w:val="24"/>
                <w:color w:val="auto"/>
              </w:rPr>
            </w:pPr>
          </w:p>
        </w:tc>
      </w:tr>
      <w:tr>
        <w:trPr>
          <w:trHeight w:val="412"/>
        </w:trPr>
        <w:tc>
          <w:tcPr>
            <w:tcW w:w="4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FF"/>
              </w:rPr>
              <w:t>21***</w:t>
            </w: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40" w:type="dxa"/>
            <w:vAlign w:val="bottom"/>
            <w:tcBorders>
              <w:top w:val="single" w:sz="8" w:color="0000EE"/>
            </w:tcBorders>
            <w:gridSpan w:val="8"/>
          </w:tcPr>
          <w:p>
            <w:pPr>
              <w:spacing w:after="0"/>
              <w:rPr>
                <w:rFonts w:ascii="Arial" w:cs="Arial" w:eastAsia="Arial" w:hAnsi="Arial"/>
                <w:sz w:val="18"/>
                <w:szCs w:val="18"/>
                <w:color w:val="0000FF"/>
              </w:rPr>
            </w:pPr>
            <w:hyperlink r:id="rId79">
              <w:r>
                <w:rPr>
                  <w:rFonts w:ascii="Arial" w:cs="Arial" w:eastAsia="Arial" w:hAnsi="Arial"/>
                  <w:sz w:val="18"/>
                  <w:szCs w:val="18"/>
                  <w:color w:val="0000FF"/>
                </w:rPr>
                <w:t>Subsidiaries of XpresSpa Group, Inc.</w:t>
              </w:r>
            </w:hyperlink>
          </w:p>
        </w:tc>
        <w:tc>
          <w:tcPr>
            <w:tcW w:w="2320" w:type="dxa"/>
            <w:vAlign w:val="bottom"/>
            <w:gridSpan w:val="4"/>
          </w:tcPr>
          <w:p>
            <w:pPr>
              <w:spacing w:after="0"/>
              <w:rPr>
                <w:sz w:val="24"/>
                <w:szCs w:val="24"/>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00" w:type="dxa"/>
            <w:vAlign w:val="bottom"/>
            <w:tcBorders>
              <w:bottom w:val="single" w:sz="8" w:color="0000FF"/>
            </w:tcBorders>
            <w:gridSpan w:val="5"/>
          </w:tcPr>
          <w:p>
            <w:pPr>
              <w:spacing w:after="0"/>
              <w:rPr>
                <w:rFonts w:ascii="Arial" w:cs="Arial" w:eastAsia="Arial" w:hAnsi="Arial"/>
                <w:sz w:val="18"/>
                <w:szCs w:val="18"/>
                <w:color w:val="0000FF"/>
              </w:rPr>
            </w:pPr>
            <w:hyperlink r:id="rId80">
              <w:r>
                <w:rPr>
                  <w:rFonts w:ascii="Arial" w:cs="Arial" w:eastAsia="Arial" w:hAnsi="Arial"/>
                  <w:sz w:val="18"/>
                  <w:szCs w:val="18"/>
                  <w:color w:val="0000FF"/>
                </w:rPr>
                <w:t>23.</w:t>
              </w:r>
            </w:hyperlink>
            <w:r>
              <w:rPr>
                <w:rFonts w:ascii="Arial" w:cs="Arial" w:eastAsia="Arial" w:hAnsi="Arial"/>
                <w:sz w:val="18"/>
                <w:szCs w:val="18"/>
                <w:u w:val="single" w:color="auto"/>
                <w:color w:val="0000FF"/>
              </w:rPr>
              <w:t>1***</w:t>
            </w:r>
          </w:p>
        </w:tc>
        <w:tc>
          <w:tcPr>
            <w:tcW w:w="560" w:type="dxa"/>
            <w:vAlign w:val="bottom"/>
          </w:tcPr>
          <w:p>
            <w:pPr>
              <w:spacing w:after="0"/>
              <w:rPr>
                <w:sz w:val="24"/>
                <w:szCs w:val="24"/>
                <w:color w:val="auto"/>
              </w:rPr>
            </w:pPr>
          </w:p>
        </w:tc>
        <w:tc>
          <w:tcPr>
            <w:tcW w:w="5560" w:type="dxa"/>
            <w:vAlign w:val="bottom"/>
            <w:tcBorders>
              <w:bottom w:val="single" w:sz="8" w:color="0000FF"/>
            </w:tcBorders>
            <w:gridSpan w:val="4"/>
          </w:tcPr>
          <w:p>
            <w:pPr>
              <w:spacing w:after="0"/>
              <w:rPr>
                <w:rFonts w:ascii="Arial" w:cs="Arial" w:eastAsia="Arial" w:hAnsi="Arial"/>
                <w:sz w:val="18"/>
                <w:szCs w:val="18"/>
                <w:color w:val="0000FF"/>
                <w:w w:val="90"/>
              </w:rPr>
            </w:pPr>
            <w:hyperlink r:id="rId80">
              <w:r>
                <w:rPr>
                  <w:rFonts w:ascii="Arial" w:cs="Arial" w:eastAsia="Arial" w:hAnsi="Arial"/>
                  <w:sz w:val="18"/>
                  <w:szCs w:val="18"/>
                  <w:color w:val="0000FF"/>
                  <w:w w:val="90"/>
                </w:rPr>
                <w:t>Consent of CohnReznick LLP, independent registered public accounting firm</w:t>
              </w:r>
            </w:hyperlink>
          </w:p>
        </w:tc>
        <w:tc>
          <w:tcPr>
            <w:tcW w:w="4700" w:type="dxa"/>
            <w:vAlign w:val="bottom"/>
            <w:gridSpan w:val="8"/>
          </w:tcPr>
          <w:p>
            <w:pPr>
              <w:spacing w:after="0"/>
              <w:rPr>
                <w:sz w:val="24"/>
                <w:szCs w:val="24"/>
                <w:color w:val="auto"/>
              </w:rPr>
            </w:pPr>
          </w:p>
        </w:tc>
      </w:tr>
      <w:tr>
        <w:trPr>
          <w:trHeight w:val="412"/>
        </w:trPr>
        <w:tc>
          <w:tcPr>
            <w:tcW w:w="420" w:type="dxa"/>
            <w:vAlign w:val="bottom"/>
            <w:gridSpan w:val="2"/>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60" w:type="dxa"/>
            <w:vAlign w:val="bottom"/>
            <w:gridSpan w:val="1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of Principal Executive Officer pursuant to Exchange Act, Rules 13a – 14(a) and 15d – 14(a), as adopted pursuant to Section 302</w:t>
              </w:r>
            </w:hyperlink>
          </w:p>
        </w:tc>
      </w:tr>
      <w:tr>
        <w:trPr>
          <w:trHeight w:val="196"/>
        </w:trPr>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of the Sarbanes-Oxley Act of 2002</w:t>
              </w:r>
            </w:hyperlink>
          </w:p>
        </w:tc>
        <w:tc>
          <w:tcPr>
            <w:tcW w:w="772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60" w:type="dxa"/>
            <w:vAlign w:val="bottom"/>
            <w:gridSpan w:val="12"/>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Certification of Principal Financial Officer pursuant to Exchange Act Rules 13a – 14(a) and 15d – 14(a), as adopted pursuant to Section 302</w:t>
              </w:r>
            </w:hyperlink>
          </w:p>
        </w:tc>
      </w:tr>
      <w:tr>
        <w:trPr>
          <w:trHeight w:val="196"/>
        </w:trPr>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of the Sarbanes-Oxley Act of 2002</w:t>
              </w:r>
            </w:hyperlink>
          </w:p>
        </w:tc>
        <w:tc>
          <w:tcPr>
            <w:tcW w:w="772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60" w:type="dxa"/>
            <w:vAlign w:val="bottom"/>
          </w:tcPr>
          <w:p>
            <w:pPr>
              <w:spacing w:after="0"/>
              <w:rPr>
                <w:rFonts w:ascii="Arial" w:cs="Arial" w:eastAsia="Arial" w:hAnsi="Arial"/>
                <w:sz w:val="18"/>
                <w:szCs w:val="18"/>
                <w:color w:val="0000FF"/>
                <w:w w:val="99"/>
              </w:rPr>
            </w:pPr>
            <w:hyperlink r:id="rId81">
              <w:r>
                <w:rPr>
                  <w:rFonts w:ascii="Arial" w:cs="Arial" w:eastAsia="Arial" w:hAnsi="Arial"/>
                  <w:sz w:val="18"/>
                  <w:szCs w:val="18"/>
                  <w:color w:val="0000FF"/>
                  <w:w w:val="99"/>
                </w:rPr>
                <w:t>32**</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60" w:type="dxa"/>
            <w:vAlign w:val="bottom"/>
            <w:gridSpan w:val="12"/>
          </w:tcPr>
          <w:p>
            <w:pPr>
              <w:spacing w:after="0"/>
              <w:rPr>
                <w:rFonts w:ascii="Arial" w:cs="Arial" w:eastAsia="Arial" w:hAnsi="Arial"/>
                <w:sz w:val="18"/>
                <w:szCs w:val="18"/>
                <w:color w:val="0000FF"/>
                <w:w w:val="95"/>
              </w:rPr>
            </w:pPr>
            <w:hyperlink r:id="rId81">
              <w:r>
                <w:rPr>
                  <w:rFonts w:ascii="Arial" w:cs="Arial" w:eastAsia="Arial" w:hAnsi="Arial"/>
                  <w:sz w:val="18"/>
                  <w:szCs w:val="18"/>
                  <w:color w:val="0000FF"/>
                  <w:w w:val="95"/>
                </w:rPr>
                <w:t>Certifications of Principal Executive Officer and Principal Financial Officer Pursuant to 18 U.S.C. Section 1350, as adopted pursuant to</w:t>
              </w:r>
            </w:hyperlink>
          </w:p>
        </w:tc>
      </w:tr>
      <w:tr>
        <w:trPr>
          <w:trHeight w:val="196"/>
        </w:trPr>
        <w:tc>
          <w:tcPr>
            <w:tcW w:w="3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Section 906 of the Sarbanes-Oxley Act of 2002</w:t>
              </w:r>
            </w:hyperlink>
          </w:p>
        </w:tc>
        <w:tc>
          <w:tcPr>
            <w:tcW w:w="682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160" w:type="dxa"/>
            <w:vAlign w:val="bottom"/>
            <w:gridSpan w:val="6"/>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6"/>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12"/>
          </w:tcPr>
          <w:p>
            <w:pPr>
              <w:spacing w:after="0"/>
              <w:rPr>
                <w:sz w:val="20"/>
                <w:szCs w:val="20"/>
                <w:color w:val="auto"/>
              </w:rPr>
            </w:pPr>
            <w:r>
              <w:rPr>
                <w:rFonts w:ascii="Arial" w:cs="Arial" w:eastAsia="Arial" w:hAnsi="Arial"/>
                <w:sz w:val="18"/>
                <w:szCs w:val="18"/>
                <w:color w:val="auto"/>
              </w:rPr>
              <w:t>XBLR Taxonomy Extension Schema Document</w:t>
            </w:r>
          </w:p>
        </w:tc>
      </w:tr>
      <w:tr>
        <w:trPr>
          <w:trHeight w:val="432"/>
        </w:trPr>
        <w:tc>
          <w:tcPr>
            <w:tcW w:w="1160" w:type="dxa"/>
            <w:vAlign w:val="bottom"/>
            <w:gridSpan w:val="6"/>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12"/>
          </w:tcPr>
          <w:p>
            <w:pPr>
              <w:spacing w:after="0"/>
              <w:rPr>
                <w:sz w:val="20"/>
                <w:szCs w:val="20"/>
                <w:color w:val="auto"/>
              </w:rPr>
            </w:pPr>
            <w:r>
              <w:rPr>
                <w:rFonts w:ascii="Arial" w:cs="Arial" w:eastAsia="Arial" w:hAnsi="Arial"/>
                <w:sz w:val="18"/>
                <w:szCs w:val="18"/>
                <w:color w:val="auto"/>
              </w:rPr>
              <w:t>XBLR Taxonomy Extension Calculation Linkbase Document</w:t>
            </w:r>
          </w:p>
        </w:tc>
      </w:tr>
      <w:tr>
        <w:trPr>
          <w:trHeight w:val="432"/>
        </w:trPr>
        <w:tc>
          <w:tcPr>
            <w:tcW w:w="1160" w:type="dxa"/>
            <w:vAlign w:val="bottom"/>
            <w:gridSpan w:val="6"/>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12"/>
          </w:tcPr>
          <w:p>
            <w:pPr>
              <w:spacing w:after="0"/>
              <w:rPr>
                <w:sz w:val="20"/>
                <w:szCs w:val="20"/>
                <w:color w:val="auto"/>
              </w:rPr>
            </w:pPr>
            <w:r>
              <w:rPr>
                <w:rFonts w:ascii="Arial" w:cs="Arial" w:eastAsia="Arial" w:hAnsi="Arial"/>
                <w:sz w:val="18"/>
                <w:szCs w:val="18"/>
                <w:color w:val="auto"/>
              </w:rPr>
              <w:t>XBLR Taxonomy Extension Definition Linkbase Document</w:t>
            </w:r>
          </w:p>
        </w:tc>
      </w:tr>
      <w:tr>
        <w:trPr>
          <w:trHeight w:val="432"/>
        </w:trPr>
        <w:tc>
          <w:tcPr>
            <w:tcW w:w="1160" w:type="dxa"/>
            <w:vAlign w:val="bottom"/>
            <w:gridSpan w:val="6"/>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12"/>
          </w:tcPr>
          <w:p>
            <w:pPr>
              <w:spacing w:after="0"/>
              <w:rPr>
                <w:sz w:val="20"/>
                <w:szCs w:val="20"/>
                <w:color w:val="auto"/>
              </w:rPr>
            </w:pPr>
            <w:r>
              <w:rPr>
                <w:rFonts w:ascii="Arial" w:cs="Arial" w:eastAsia="Arial" w:hAnsi="Arial"/>
                <w:sz w:val="18"/>
                <w:szCs w:val="18"/>
                <w:color w:val="auto"/>
              </w:rPr>
              <w:t>XBLR Taxonomy Extension Label Linkbase Document</w:t>
            </w:r>
          </w:p>
        </w:tc>
      </w:tr>
      <w:tr>
        <w:trPr>
          <w:trHeight w:val="432"/>
        </w:trPr>
        <w:tc>
          <w:tcPr>
            <w:tcW w:w="1160" w:type="dxa"/>
            <w:vAlign w:val="bottom"/>
            <w:gridSpan w:val="6"/>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12"/>
          </w:tcPr>
          <w:p>
            <w:pPr>
              <w:spacing w:after="0"/>
              <w:rPr>
                <w:sz w:val="20"/>
                <w:szCs w:val="20"/>
                <w:color w:val="auto"/>
              </w:rPr>
            </w:pPr>
            <w:r>
              <w:rPr>
                <w:rFonts w:ascii="Arial" w:cs="Arial" w:eastAsia="Arial" w:hAnsi="Arial"/>
                <w:sz w:val="18"/>
                <w:szCs w:val="18"/>
                <w:color w:val="auto"/>
              </w:rPr>
              <w:t>XBLR Taxonomy Extension Presentation Linkbase Document</w:t>
            </w:r>
          </w:p>
        </w:tc>
      </w:tr>
    </w:tbl>
    <w:p>
      <w:pPr>
        <w:spacing w:after="0" w:line="202" w:lineRule="exact"/>
        <w:rPr>
          <w:sz w:val="20"/>
          <w:szCs w:val="20"/>
          <w:color w:val="auto"/>
        </w:rPr>
      </w:pPr>
    </w:p>
    <w:p>
      <w:pPr>
        <w:ind w:left="1160" w:hanging="115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1160" w:hanging="115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furnished in connection with the Registrant’s Annual Report on Form 10-K filed on March 29, 2018.</w:t>
      </w:r>
    </w:p>
    <w:p>
      <w:pPr>
        <w:spacing w:after="0" w:line="225" w:lineRule="exact"/>
        <w:rPr>
          <w:rFonts w:ascii="Arial" w:cs="Arial" w:eastAsia="Arial" w:hAnsi="Arial"/>
          <w:sz w:val="18"/>
          <w:szCs w:val="18"/>
          <w:color w:val="auto"/>
        </w:rPr>
      </w:pPr>
    </w:p>
    <w:p>
      <w:pPr>
        <w:ind w:left="1160" w:hanging="115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Annual Report on Form 10-K filed on March 29, 2018.</w:t>
      </w:r>
    </w:p>
    <w:p>
      <w:pPr>
        <w:spacing w:after="0" w:line="225" w:lineRule="exact"/>
        <w:rPr>
          <w:sz w:val="20"/>
          <w:szCs w:val="20"/>
          <w:color w:val="auto"/>
        </w:rPr>
      </w:pPr>
    </w:p>
    <w:p>
      <w:pPr>
        <w:ind w:left="1160" w:hanging="115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1160" w:hanging="1152"/>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Certain portions have been omitted pursuant to a confidential treatment request. Omitted information has been filed separately with the SEC.</w:t>
      </w: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Jankowski,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XpresSpa Group,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2018</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/s/ Edward Jankowski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Edward Jankowski</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XpresSpa Group,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2018</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/s/ Anastasia Nyrkovskaya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Anastasia Nyrkovskaya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4"/>
    </w:lvl>
    <w:lvl w:ilvl="1">
      <w:lvlJc w:val="left"/>
      <w:lvlText w:val="(%2)"/>
      <w:numFmt w:val="lowerRoman"/>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82" Type="http://schemas.openxmlformats.org/officeDocument/2006/relationships/image" Target="media/image27.png"/><Relationship Id="rId83" Type="http://schemas.openxmlformats.org/officeDocument/2006/relationships/image" Target="media/image28.png"/><Relationship Id="rId84" Type="http://schemas.openxmlformats.org/officeDocument/2006/relationships/image" Target="media/image29.png"/><Relationship Id="rId34" Type="http://schemas.openxmlformats.org/officeDocument/2006/relationships/hyperlink" Target="http://www.sec.gov/Archives/edgar/data/1410428/000114420416117230/v446257_ex2-1.htm" TargetMode="External"/><Relationship Id="rId35" Type="http://schemas.openxmlformats.org/officeDocument/2006/relationships/hyperlink" Target="http://www.sec.gov/Archives/edgar/data/1410428/000114420416123414/v448507_ex2-1.htm" TargetMode="External"/><Relationship Id="rId36" Type="http://schemas.openxmlformats.org/officeDocument/2006/relationships/hyperlink" Target="http://www.sec.gov/Archives/edgar/data/1410428/000114420416129472/v451220_ex2-1.htm" TargetMode="External"/><Relationship Id="rId37" Type="http://schemas.openxmlformats.org/officeDocument/2006/relationships/hyperlink" Target="http://www.sec.gov/Archives/edgar/data/1410428/000114420416099228/v439052_ex3-1.htm" TargetMode="External"/><Relationship Id="rId38" Type="http://schemas.openxmlformats.org/officeDocument/2006/relationships/hyperlink" Target="http://www.sec.gov/Archives/edgar/data/1410428/000114420418001050/tv482804_ex3-1.htm" TargetMode="External"/><Relationship Id="rId39" Type="http://schemas.openxmlformats.org/officeDocument/2006/relationships/hyperlink" Target="http://www.sec.gov/Archives/edgar/data/1410428/000114420418001050/tv482804_ex3-2.htm" TargetMode="External"/><Relationship Id="rId40" Type="http://schemas.openxmlformats.org/officeDocument/2006/relationships/hyperlink" Target="http://www.sec.gov/Archives/edgar/data/1410428/000114420412040409/v318877_ex3-2.htm" TargetMode="External"/><Relationship Id="rId41" Type="http://schemas.openxmlformats.org/officeDocument/2006/relationships/hyperlink" Target="http://www.sec.gov/Archives/edgar/data/1410428/000114420415059695/v422196_ex3-1.htm" TargetMode="External"/><Relationship Id="rId42" Type="http://schemas.openxmlformats.org/officeDocument/2006/relationships/hyperlink" Target="http://www.sec.gov/Archives/edgar/data/1410428/000114420416089189/v434655_ex3-1.htm" TargetMode="External"/><Relationship Id="rId43" Type="http://schemas.openxmlformats.org/officeDocument/2006/relationships/hyperlink" Target="http://www.sec.gov/Archives/edgar/data/1410428/000114420416141154/v455681_ex3-1.htm" TargetMode="External"/><Relationship Id="rId44" Type="http://schemas.openxmlformats.org/officeDocument/2006/relationships/hyperlink" Target="http://www.sec.gov/Archives/edgar/data/1410428/000119312510123446/dex42.htm" TargetMode="External"/><Relationship Id="rId45" Type="http://schemas.openxmlformats.org/officeDocument/2006/relationships/hyperlink" Target="http://www.sec.gov/Archives/edgar/data/1410428/000119312510069268/dex44.htm" TargetMode="External"/><Relationship Id="rId46" Type="http://schemas.openxmlformats.org/officeDocument/2006/relationships/hyperlink" Target="http://www.sec.gov/Archives/edgar/data/1410428/000119312510016082/dex1016.htm" TargetMode="External"/><Relationship Id="rId47" Type="http://schemas.openxmlformats.org/officeDocument/2006/relationships/hyperlink" Target="http://www.sec.gov/Archives/edgar/data/1410428/000119312510069268/dex45.htm" TargetMode="External"/><Relationship Id="rId48" Type="http://schemas.openxmlformats.org/officeDocument/2006/relationships/hyperlink" Target="http://www.sec.gov/Archives/edgar/data/1410428/000114420412029638/v312966_ex4-1.htm" TargetMode="External"/><Relationship Id="rId49" Type="http://schemas.openxmlformats.org/officeDocument/2006/relationships/hyperlink" Target="http://www.sec.gov/Archives/edgar/data/1410428/000114420412029638/v312966_ex4-2.htm" TargetMode="External"/><Relationship Id="rId50" Type="http://schemas.openxmlformats.org/officeDocument/2006/relationships/hyperlink" Target="http://www.sec.gov/Archives/edgar/data/1410428/000114420412020499/v308431_s4.htm" TargetMode="External"/><Relationship Id="rId51" Type="http://schemas.openxmlformats.org/officeDocument/2006/relationships/hyperlink" Target="http://www.sec.gov/Archives/edgar/data/1410428/000114420414047373/v384083_ex4-1.htm" TargetMode="External"/><Relationship Id="rId52" Type="http://schemas.openxmlformats.org/officeDocument/2006/relationships/hyperlink" Target="http://www.sec.gov/Archives/edgar/data/1410428/000114420415059695/v422196_ex4-1.htm" TargetMode="External"/><Relationship Id="rId53" Type="http://schemas.openxmlformats.org/officeDocument/2006/relationships/hyperlink" Target="http://www.sec.gov/Archives/edgar/data/1410428/000114420415027143/v409292_ex10-2.htm" TargetMode="External"/><Relationship Id="rId54" Type="http://schemas.openxmlformats.org/officeDocument/2006/relationships/hyperlink" Target="http://www.sec.gov/Archives/edgar/data/1410428/000114420415027143/v409292_ex10-3.htm" TargetMode="External"/><Relationship Id="rId55" Type="http://schemas.openxmlformats.org/officeDocument/2006/relationships/hyperlink" Target="http://www.sec.gov/Archives/edgar/data/1410428/000114420415027143/v409292_ex10-4.htm" TargetMode="External"/><Relationship Id="rId56" Type="http://schemas.openxmlformats.org/officeDocument/2006/relationships/hyperlink" Target="http://www.sec.gov/Archives/edgar/data/1410428/000114420415027143/v409292_ex10-5.htm" TargetMode="External"/><Relationship Id="rId57" Type="http://schemas.openxmlformats.org/officeDocument/2006/relationships/hyperlink" Target="http://www.sec.gov/Archives/edgar/data/1410428/000114420416089189/v434655_ex4-1.htm" TargetMode="External"/><Relationship Id="rId58" Type="http://schemas.openxmlformats.org/officeDocument/2006/relationships/hyperlink" Target="http://www.sec.gov/Archives/edgar/data/1410428/000114420416129474/v449051_s4a.htm" TargetMode="External"/><Relationship Id="rId59" Type="http://schemas.openxmlformats.org/officeDocument/2006/relationships/hyperlink" Target="http://www.sec.gov/Archives/edgar/data/1410428/000114420415056596/v420716_def14a.htm" TargetMode="External"/><Relationship Id="rId60" Type="http://schemas.openxmlformats.org/officeDocument/2006/relationships/hyperlink" Target="http://www.sec.gov/Archives/edgar/data/1410428/000114420412041064/v319421_ex99-2.htm" TargetMode="External"/><Relationship Id="rId61" Type="http://schemas.openxmlformats.org/officeDocument/2006/relationships/hyperlink" Target="http://www.sec.gov/Archives/edgar/data/1410428/000114420412041064/v319421_ex99-3.htm" TargetMode="External"/><Relationship Id="rId62" Type="http://schemas.openxmlformats.org/officeDocument/2006/relationships/hyperlink" Target="http://www.sec.gov/Archives/edgar/data/1410428/000114420413016671/v333989_ex10-24.htm" TargetMode="External"/><Relationship Id="rId63" Type="http://schemas.openxmlformats.org/officeDocument/2006/relationships/hyperlink" Target="http://www.sec.gov/Archives/edgar/data/1410428/000114420416117230/v446257_ex10-1.htm" TargetMode="External"/><Relationship Id="rId64" Type="http://schemas.openxmlformats.org/officeDocument/2006/relationships/hyperlink" Target="http://www.sec.gov/Archives/edgar/data/1410428/000114420416117230/v446257_ex10-2.htm" TargetMode="External"/><Relationship Id="rId65" Type="http://schemas.openxmlformats.org/officeDocument/2006/relationships/hyperlink" Target="http://www.sec.gov/Archives/edgar/data/1410428/000114420416136736/v454026_ex10-1.htm" TargetMode="External"/><Relationship Id="rId66" Type="http://schemas.openxmlformats.org/officeDocument/2006/relationships/hyperlink" Target="http://www.sec.gov/Archives/edgar/data/1410428/000114420416141154/v455681_ex10-1.htm" TargetMode="External"/><Relationship Id="rId67" Type="http://schemas.openxmlformats.org/officeDocument/2006/relationships/hyperlink" Target="http://www.sec.gov/Archives/edgar/data/1410428/000114420417017688/v462079_ex10-27.htm" TargetMode="External"/><Relationship Id="rId68" Type="http://schemas.openxmlformats.org/officeDocument/2006/relationships/hyperlink" Target="http://www.sec.gov/Archives/edgar/data/1410428/000114420417005775/v458330_ex10-1.htm" TargetMode="External"/><Relationship Id="rId69" Type="http://schemas.openxmlformats.org/officeDocument/2006/relationships/hyperlink" Target="http://www.sec.gov/Archives/edgar/data/1410428/000114420416087235/v432779_ex10-14.htm" TargetMode="External"/><Relationship Id="rId70" Type="http://schemas.openxmlformats.org/officeDocument/2006/relationships/hyperlink" Target="http://www.sec.gov/Archives/edgar/data/1410428/000114420416087235/v432779_ex10-24.htm" TargetMode="External"/><Relationship Id="rId71" Type="http://schemas.openxmlformats.org/officeDocument/2006/relationships/hyperlink" Target="http://www.sec.gov/Archives/edgar/data/1410428/000114420417027519/v466214_ex10-1.htm" TargetMode="External"/><Relationship Id="rId72" Type="http://schemas.openxmlformats.org/officeDocument/2006/relationships/hyperlink" Target="http://www.sec.gov/Archives/edgar/data/1410428/000114420417027523/v467101_ex10-1.htm" TargetMode="External"/><Relationship Id="rId73" Type="http://schemas.openxmlformats.org/officeDocument/2006/relationships/hyperlink" Target="http://www.sec.gov/Archives/edgar/data/1410428/000114420417027519/v466214_ex10-2.htm" TargetMode="External"/><Relationship Id="rId74" Type="http://schemas.openxmlformats.org/officeDocument/2006/relationships/hyperlink" Target="http://www.sec.gov/Archives/edgar/data/1410428/000114420417027519/v466214_ex10-3.htm" TargetMode="External"/><Relationship Id="rId75" Type="http://schemas.openxmlformats.org/officeDocument/2006/relationships/hyperlink" Target="http://www.sec.gov/Archives/edgar/data/1410428/000114420417027519/v466214_ex10-4.htm" TargetMode="External"/><Relationship Id="rId76" Type="http://schemas.openxmlformats.org/officeDocument/2006/relationships/hyperlink" Target="http://www.sec.gov/Archives/edgar/data/1410428/000114420417027519/v466214_ex10-5.htm" TargetMode="External"/><Relationship Id="rId77" Type="http://schemas.openxmlformats.org/officeDocument/2006/relationships/hyperlink" Target="http://www.sec.gov/Archives/edgar/data/1410428/000114420418016778/tv489440_ex2-1.htm" TargetMode="External"/><Relationship Id="rId78" Type="http://schemas.openxmlformats.org/officeDocument/2006/relationships/hyperlink" Target="http://www.sec.gov/Archives/edgar/data/1410428/000114420418021354/tv491390_ex10-1.htm" TargetMode="External"/><Relationship Id="rId79" Type="http://schemas.openxmlformats.org/officeDocument/2006/relationships/hyperlink" Target="http://www.sec.gov/Archives/edgar/data/1410428/000114420418017944/tv488839_ex21.htm" TargetMode="External"/><Relationship Id="rId80" Type="http://schemas.openxmlformats.org/officeDocument/2006/relationships/hyperlink" Target="http://www.sec.gov/Archives/edgar/data/1410428/000114420418017944/tv488839_ex23-1.htm" TargetMode="External"/><Relationship Id="rId81" Type="http://schemas.openxmlformats.org/officeDocument/2006/relationships/hyperlink" Target="http://www.sec.gov/Archives/edgar/data/1410428/000114420418017944/tv48883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2019-12-28T22:57:14Z</dcterms:created>
  <dcterms:modified xsi:type="dcterms:W3CDTF">2019-12-28T22:57:14Z</dcterms:modified>
</cp:coreProperties>
</file>