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7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8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Current Report</w:t>
      </w:r>
    </w:p>
    <w:p>
      <w:pPr>
        <w:spacing w:after="0" w:line="225"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Section 13 or 15(d) of the</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Securities Exchange Act of 1934</w:t>
      </w:r>
    </w:p>
    <w:p>
      <w:pPr>
        <w:spacing w:after="0" w:line="20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Date of Report (Date of earliest event reported): July 20, 2012 (July 19, 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8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VRINGO, INC.</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70" w:lineRule="exact"/>
        <w:rPr>
          <w:sz w:val="24"/>
          <w:szCs w:val="24"/>
          <w:color w:val="auto"/>
        </w:rPr>
      </w:pPr>
    </w:p>
    <w:tbl>
      <w:tblPr>
        <w:tblLayout w:type="fixed"/>
        <w:tblInd w:w="880" w:type="dxa"/>
        <w:tblCellMar>
          <w:top w:w="0" w:type="dxa"/>
          <w:left w:w="0" w:type="dxa"/>
          <w:bottom w:w="0" w:type="dxa"/>
          <w:right w:w="0" w:type="dxa"/>
        </w:tblCellMar>
      </w:tblPr>
      <w:tr>
        <w:trPr>
          <w:trHeight w:val="216"/>
        </w:trPr>
        <w:tc>
          <w:tcPr>
            <w:tcW w:w="2160" w:type="dxa"/>
            <w:vAlign w:val="bottom"/>
          </w:tcPr>
          <w:p>
            <w:pPr>
              <w:jc w:val="center"/>
              <w:ind w:right="30"/>
              <w:spacing w:after="0"/>
              <w:rPr>
                <w:sz w:val="20"/>
                <w:szCs w:val="20"/>
                <w:color w:val="auto"/>
              </w:rPr>
            </w:pPr>
            <w:r>
              <w:rPr>
                <w:rFonts w:ascii="Arial" w:cs="Arial" w:eastAsia="Arial" w:hAnsi="Arial"/>
                <w:sz w:val="18"/>
                <w:szCs w:val="18"/>
                <w:b w:val="1"/>
                <w:bCs w:val="1"/>
                <w:color w:val="auto"/>
                <w:w w:val="91"/>
              </w:rPr>
              <w:t>Delaware</w:t>
            </w:r>
          </w:p>
        </w:tc>
        <w:tc>
          <w:tcPr>
            <w:tcW w:w="5520" w:type="dxa"/>
            <w:vAlign w:val="bottom"/>
          </w:tcPr>
          <w:p>
            <w:pPr>
              <w:jc w:val="center"/>
              <w:ind w:right="90"/>
              <w:spacing w:after="0"/>
              <w:rPr>
                <w:sz w:val="20"/>
                <w:szCs w:val="20"/>
                <w:color w:val="auto"/>
              </w:rPr>
            </w:pPr>
            <w:r>
              <w:rPr>
                <w:rFonts w:ascii="Arial" w:cs="Arial" w:eastAsia="Arial" w:hAnsi="Arial"/>
                <w:sz w:val="18"/>
                <w:szCs w:val="18"/>
                <w:b w:val="1"/>
                <w:bCs w:val="1"/>
                <w:color w:val="auto"/>
                <w:w w:val="90"/>
              </w:rPr>
              <w:t>001-34785</w:t>
            </w:r>
          </w:p>
        </w:tc>
        <w:tc>
          <w:tcPr>
            <w:tcW w:w="1660" w:type="dxa"/>
            <w:vAlign w:val="bottom"/>
          </w:tcPr>
          <w:p>
            <w:pPr>
              <w:jc w:val="center"/>
              <w:ind w:left="170"/>
              <w:spacing w:after="0"/>
              <w:rPr>
                <w:sz w:val="20"/>
                <w:szCs w:val="20"/>
                <w:color w:val="auto"/>
              </w:rPr>
            </w:pPr>
            <w:r>
              <w:rPr>
                <w:rFonts w:ascii="Arial" w:cs="Arial" w:eastAsia="Arial" w:hAnsi="Arial"/>
                <w:sz w:val="18"/>
                <w:szCs w:val="18"/>
                <w:b w:val="1"/>
                <w:bCs w:val="1"/>
                <w:color w:val="auto"/>
                <w:w w:val="91"/>
              </w:rPr>
              <w:t>20-4988129</w:t>
            </w:r>
          </w:p>
        </w:tc>
      </w:tr>
      <w:tr>
        <w:trPr>
          <w:trHeight w:val="216"/>
        </w:trPr>
        <w:tc>
          <w:tcPr>
            <w:tcW w:w="2160" w:type="dxa"/>
            <w:vAlign w:val="bottom"/>
          </w:tcPr>
          <w:p>
            <w:pPr>
              <w:jc w:val="center"/>
              <w:ind w:right="10"/>
              <w:spacing w:after="0"/>
              <w:rPr>
                <w:sz w:val="20"/>
                <w:szCs w:val="20"/>
                <w:color w:val="auto"/>
              </w:rPr>
            </w:pPr>
            <w:r>
              <w:rPr>
                <w:rFonts w:ascii="Arial" w:cs="Arial" w:eastAsia="Arial" w:hAnsi="Arial"/>
                <w:sz w:val="18"/>
                <w:szCs w:val="18"/>
                <w:b w:val="1"/>
                <w:bCs w:val="1"/>
                <w:color w:val="auto"/>
                <w:w w:val="91"/>
              </w:rPr>
              <w:t>(State or other jurisdiction</w:t>
            </w:r>
          </w:p>
        </w:tc>
        <w:tc>
          <w:tcPr>
            <w:tcW w:w="552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(Commission</w:t>
            </w:r>
          </w:p>
        </w:tc>
        <w:tc>
          <w:tcPr>
            <w:tcW w:w="1660" w:type="dxa"/>
            <w:vAlign w:val="bottom"/>
          </w:tcPr>
          <w:p>
            <w:pPr>
              <w:jc w:val="center"/>
              <w:ind w:left="150"/>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2160" w:type="dxa"/>
            <w:vAlign w:val="bottom"/>
          </w:tcPr>
          <w:p>
            <w:pPr>
              <w:jc w:val="center"/>
              <w:ind w:right="30"/>
              <w:spacing w:after="0"/>
              <w:rPr>
                <w:sz w:val="20"/>
                <w:szCs w:val="20"/>
                <w:color w:val="auto"/>
              </w:rPr>
            </w:pPr>
            <w:r>
              <w:rPr>
                <w:rFonts w:ascii="Arial" w:cs="Arial" w:eastAsia="Arial" w:hAnsi="Arial"/>
                <w:sz w:val="18"/>
                <w:szCs w:val="18"/>
                <w:b w:val="1"/>
                <w:bCs w:val="1"/>
                <w:color w:val="auto"/>
                <w:w w:val="91"/>
              </w:rPr>
              <w:t>of incorporation)</w:t>
            </w:r>
          </w:p>
        </w:tc>
        <w:tc>
          <w:tcPr>
            <w:tcW w:w="5520" w:type="dxa"/>
            <w:vAlign w:val="bottom"/>
          </w:tcPr>
          <w:p>
            <w:pPr>
              <w:jc w:val="center"/>
              <w:ind w:right="110"/>
              <w:spacing w:after="0"/>
              <w:rPr>
                <w:sz w:val="20"/>
                <w:szCs w:val="20"/>
                <w:color w:val="auto"/>
              </w:rPr>
            </w:pPr>
            <w:r>
              <w:rPr>
                <w:rFonts w:ascii="Arial" w:cs="Arial" w:eastAsia="Arial" w:hAnsi="Arial"/>
                <w:sz w:val="18"/>
                <w:szCs w:val="18"/>
                <w:b w:val="1"/>
                <w:bCs w:val="1"/>
                <w:color w:val="auto"/>
                <w:w w:val="94"/>
              </w:rPr>
              <w:t>File Number)</w:t>
            </w:r>
          </w:p>
        </w:tc>
        <w:tc>
          <w:tcPr>
            <w:tcW w:w="1660" w:type="dxa"/>
            <w:vAlign w:val="bottom"/>
          </w:tcPr>
          <w:p>
            <w:pPr>
              <w:jc w:val="center"/>
              <w:ind w:left="170"/>
              <w:spacing w:after="0"/>
              <w:rPr>
                <w:sz w:val="20"/>
                <w:szCs w:val="20"/>
                <w:color w:val="auto"/>
              </w:rPr>
            </w:pPr>
            <w:r>
              <w:rPr>
                <w:rFonts w:ascii="Arial" w:cs="Arial" w:eastAsia="Arial" w:hAnsi="Arial"/>
                <w:sz w:val="18"/>
                <w:szCs w:val="18"/>
                <w:b w:val="1"/>
                <w:bCs w:val="1"/>
                <w:color w:val="auto"/>
                <w:w w:val="92"/>
              </w:rPr>
              <w:t>Identification No.)</w:t>
            </w:r>
          </w:p>
        </w:tc>
      </w:tr>
      <w:tr>
        <w:trPr>
          <w:trHeight w:val="414"/>
        </w:trPr>
        <w:tc>
          <w:tcPr>
            <w:tcW w:w="2160" w:type="dxa"/>
            <w:vAlign w:val="bottom"/>
          </w:tcPr>
          <w:p>
            <w:pPr>
              <w:spacing w:after="0"/>
              <w:rPr>
                <w:sz w:val="24"/>
                <w:szCs w:val="24"/>
                <w:color w:val="auto"/>
              </w:rPr>
            </w:pPr>
          </w:p>
        </w:tc>
        <w:tc>
          <w:tcPr>
            <w:tcW w:w="552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44 W. 28th Street</w:t>
            </w:r>
          </w:p>
        </w:tc>
        <w:tc>
          <w:tcPr>
            <w:tcW w:w="1660" w:type="dxa"/>
            <w:vAlign w:val="bottom"/>
          </w:tcPr>
          <w:p>
            <w:pPr>
              <w:spacing w:after="0"/>
              <w:rPr>
                <w:sz w:val="24"/>
                <w:szCs w:val="24"/>
                <w:color w:val="auto"/>
              </w:rPr>
            </w:pPr>
          </w:p>
        </w:tc>
      </w:tr>
      <w:tr>
        <w:trPr>
          <w:trHeight w:val="216"/>
        </w:trPr>
        <w:tc>
          <w:tcPr>
            <w:tcW w:w="2160" w:type="dxa"/>
            <w:vAlign w:val="bottom"/>
          </w:tcPr>
          <w:p>
            <w:pPr>
              <w:spacing w:after="0"/>
              <w:rPr>
                <w:sz w:val="18"/>
                <w:szCs w:val="18"/>
                <w:color w:val="auto"/>
              </w:rPr>
            </w:pPr>
          </w:p>
        </w:tc>
        <w:tc>
          <w:tcPr>
            <w:tcW w:w="5520" w:type="dxa"/>
            <w:vAlign w:val="bottom"/>
          </w:tcPr>
          <w:p>
            <w:pPr>
              <w:jc w:val="center"/>
              <w:ind w:right="70"/>
              <w:spacing w:after="0"/>
              <w:rPr>
                <w:sz w:val="20"/>
                <w:szCs w:val="20"/>
                <w:color w:val="auto"/>
              </w:rPr>
            </w:pPr>
            <w:r>
              <w:rPr>
                <w:rFonts w:ascii="Arial" w:cs="Arial" w:eastAsia="Arial" w:hAnsi="Arial"/>
                <w:sz w:val="18"/>
                <w:szCs w:val="18"/>
                <w:b w:val="1"/>
                <w:bCs w:val="1"/>
                <w:color w:val="auto"/>
                <w:w w:val="92"/>
              </w:rPr>
              <w:t>New York, New York 10001</w:t>
            </w:r>
          </w:p>
        </w:tc>
        <w:tc>
          <w:tcPr>
            <w:tcW w:w="1660" w:type="dxa"/>
            <w:vAlign w:val="bottom"/>
          </w:tcPr>
          <w:p>
            <w:pPr>
              <w:spacing w:after="0"/>
              <w:rPr>
                <w:sz w:val="18"/>
                <w:szCs w:val="18"/>
                <w:color w:val="auto"/>
              </w:rPr>
            </w:pPr>
          </w:p>
        </w:tc>
      </w:tr>
      <w:tr>
        <w:trPr>
          <w:trHeight w:val="234"/>
        </w:trPr>
        <w:tc>
          <w:tcPr>
            <w:tcW w:w="2160" w:type="dxa"/>
            <w:vAlign w:val="bottom"/>
          </w:tcPr>
          <w:p>
            <w:pPr>
              <w:spacing w:after="0"/>
              <w:rPr>
                <w:sz w:val="20"/>
                <w:szCs w:val="20"/>
                <w:color w:val="auto"/>
              </w:rPr>
            </w:pPr>
          </w:p>
        </w:tc>
        <w:tc>
          <w:tcPr>
            <w:tcW w:w="5520" w:type="dxa"/>
            <w:vAlign w:val="bottom"/>
          </w:tcPr>
          <w:p>
            <w:pPr>
              <w:jc w:val="center"/>
              <w:ind w:right="90"/>
              <w:spacing w:after="0"/>
              <w:rPr>
                <w:sz w:val="20"/>
                <w:szCs w:val="20"/>
                <w:color w:val="auto"/>
              </w:rPr>
            </w:pPr>
            <w:r>
              <w:rPr>
                <w:rFonts w:ascii="Arial" w:cs="Arial" w:eastAsia="Arial" w:hAnsi="Arial"/>
                <w:sz w:val="18"/>
                <w:szCs w:val="18"/>
                <w:b w:val="1"/>
                <w:bCs w:val="1"/>
                <w:color w:val="auto"/>
                <w:w w:val="90"/>
              </w:rPr>
              <w:t>(Address of Principal Executive Offices and Zip Code)</w:t>
            </w:r>
          </w:p>
        </w:tc>
        <w:tc>
          <w:tcPr>
            <w:tcW w:w="1660" w:type="dxa"/>
            <w:vAlign w:val="bottom"/>
          </w:tcPr>
          <w:p>
            <w:pPr>
              <w:spacing w:after="0"/>
              <w:rPr>
                <w:sz w:val="20"/>
                <w:szCs w:val="20"/>
                <w:color w:val="auto"/>
              </w:rPr>
            </w:pPr>
          </w:p>
        </w:tc>
      </w:tr>
      <w:tr>
        <w:trPr>
          <w:trHeight w:val="432"/>
        </w:trPr>
        <w:tc>
          <w:tcPr>
            <w:tcW w:w="2160" w:type="dxa"/>
            <w:vAlign w:val="bottom"/>
          </w:tcPr>
          <w:p>
            <w:pPr>
              <w:spacing w:after="0"/>
              <w:rPr>
                <w:sz w:val="24"/>
                <w:szCs w:val="24"/>
                <w:color w:val="auto"/>
              </w:rPr>
            </w:pPr>
          </w:p>
        </w:tc>
        <w:tc>
          <w:tcPr>
            <w:tcW w:w="552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Registrant’s telephone number, including area code: (646) 525-4319</w:t>
            </w:r>
          </w:p>
        </w:tc>
        <w:tc>
          <w:tcPr>
            <w:tcW w:w="166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6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31" w:lineRule="exact"/>
        <w:rPr>
          <w:rFonts w:ascii="MS PGothic" w:cs="MS PGothic" w:eastAsia="MS PGothic" w:hAnsi="MS PGothic"/>
          <w:sz w:val="18"/>
          <w:szCs w:val="18"/>
          <w:color w:val="auto"/>
        </w:rPr>
      </w:pPr>
    </w:p>
    <w:p>
      <w:pPr>
        <w:ind w:left="260" w:hanging="252"/>
        <w:spacing w:after="0"/>
        <w:tabs>
          <w:tab w:leader="none" w:pos="260" w:val="left"/>
        </w:tabs>
        <w:numPr>
          <w:ilvl w:val="0"/>
          <w:numId w:val="1"/>
        </w:numPr>
        <w:rPr>
          <w:rFonts w:ascii="MS PGothic" w:cs="MS PGothic" w:eastAsia="MS PGothic" w:hAnsi="MS PGothic"/>
          <w:sz w:val="22"/>
          <w:szCs w:val="22"/>
          <w:color w:val="auto"/>
        </w:rPr>
      </w:pPr>
      <w:r>
        <w:rPr>
          <w:rFonts w:ascii="Arial" w:cs="Arial" w:eastAsia="Arial" w:hAnsi="Arial"/>
          <w:sz w:val="22"/>
          <w:szCs w:val="22"/>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419100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229" w:right="35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i w:val="1"/>
          <w:iCs w:val="1"/>
          <w:color w:val="auto"/>
        </w:rPr>
        <w:t>Statements contained in this Current Report on Form 8-K relating to Vringo’s or management’s intentions, hopes, beliefs, expectations or predictions of the future, including statements relating to the combined company’s management and board of directors and any other statements about Vringo’s management team’s future expectations, beliefs, goals, plans or prospects are forward-looking statements. Vringo’s actual results could differ materially from those projected in these forward-looking statements. Additional factors that could cause actual results to differ materially from those described in the forward-looking statements are set forth in the 424(b)(3) proxy statement/prospectus of Vringo, Inc. (File No. 333-180609), filed with the SEC on June 21, 2012, and in subsequent reports on Forms 10-Q and 8-K and other filings made with the SEC by Vringo. Vringo disclaims any intention or obligation to revise any forward-looking statements, including financial estimates, whether as a result of new information, future events or otherwise.</w:t>
      </w:r>
    </w:p>
    <w:p>
      <w:pPr>
        <w:spacing w:after="0" w:line="163" w:lineRule="exact"/>
        <w:rPr>
          <w:sz w:val="20"/>
          <w:szCs w:val="20"/>
          <w:color w:val="auto"/>
        </w:rPr>
      </w:pPr>
    </w:p>
    <w:p>
      <w:pPr>
        <w:ind w:left="1300" w:right="20" w:hanging="1296"/>
        <w:spacing w:after="0" w:line="282" w:lineRule="auto"/>
        <w:tabs>
          <w:tab w:leader="none" w:pos="1280" w:val="left"/>
        </w:tabs>
        <w:rPr>
          <w:sz w:val="20"/>
          <w:szCs w:val="20"/>
          <w:color w:val="auto"/>
        </w:rPr>
      </w:pPr>
      <w:r>
        <w:rPr>
          <w:rFonts w:ascii="Arial" w:cs="Arial" w:eastAsia="Arial" w:hAnsi="Arial"/>
          <w:sz w:val="18"/>
          <w:szCs w:val="18"/>
          <w:b w:val="1"/>
          <w:bCs w:val="1"/>
          <w:color w:val="auto"/>
        </w:rPr>
        <w:t>Item 5.02</w:t>
      </w:r>
      <w:r>
        <w:rPr>
          <w:sz w:val="20"/>
          <w:szCs w:val="20"/>
          <w:color w:val="auto"/>
        </w:rPr>
        <w:tab/>
      </w:r>
      <w:r>
        <w:rPr>
          <w:rFonts w:ascii="Arial" w:cs="Arial" w:eastAsia="Arial" w:hAnsi="Arial"/>
          <w:sz w:val="18"/>
          <w:szCs w:val="18"/>
          <w:b w:val="1"/>
          <w:bCs w:val="1"/>
          <w:color w:val="auto"/>
        </w:rPr>
        <w:t>Departure of Directors or Certain Officers; Election of Directors; Appointment of Certain Officers; Compensatory Arrangement of Certain Officers</w:t>
      </w:r>
    </w:p>
    <w:p>
      <w:pPr>
        <w:spacing w:after="0" w:line="166"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As previously disclosed on the Current Report on Form 8-K filed with the Securities and Exchange Commission on July 20, 2012, on July 19, 2012 (the “</w:t>
      </w:r>
      <w:r>
        <w:rPr>
          <w:rFonts w:ascii="Arial" w:cs="Arial" w:eastAsia="Arial" w:hAnsi="Arial"/>
          <w:sz w:val="18"/>
          <w:szCs w:val="18"/>
          <w:u w:val="single" w:color="auto"/>
          <w:color w:val="auto"/>
        </w:rPr>
        <w:t>Closing Date</w:t>
      </w:r>
      <w:r>
        <w:rPr>
          <w:rFonts w:ascii="Arial" w:cs="Arial" w:eastAsia="Arial" w:hAnsi="Arial"/>
          <w:sz w:val="18"/>
          <w:szCs w:val="18"/>
          <w:color w:val="auto"/>
        </w:rPr>
        <w:t>”), Innovate/Protect, Inc. a Delaware corporation (“</w:t>
      </w:r>
      <w:r>
        <w:rPr>
          <w:rFonts w:ascii="Arial" w:cs="Arial" w:eastAsia="Arial" w:hAnsi="Arial"/>
          <w:sz w:val="18"/>
          <w:szCs w:val="18"/>
          <w:u w:val="single" w:color="auto"/>
          <w:color w:val="auto"/>
        </w:rPr>
        <w:t>Innovate Protect</w:t>
      </w:r>
      <w:r>
        <w:rPr>
          <w:rFonts w:ascii="Arial" w:cs="Arial" w:eastAsia="Arial" w:hAnsi="Arial"/>
          <w:sz w:val="18"/>
          <w:szCs w:val="18"/>
          <w:color w:val="auto"/>
        </w:rPr>
        <w:t>”), merged with and into VIP Merger Sub, Inc. (which changed its name to Innovate/Protect, Inc.) (</w:t>
      </w:r>
      <w:r>
        <w:rPr>
          <w:rFonts w:ascii="Arial" w:cs="Arial" w:eastAsia="Arial" w:hAnsi="Arial"/>
          <w:sz w:val="18"/>
          <w:szCs w:val="18"/>
          <w:u w:val="single" w:color="auto"/>
          <w:color w:val="auto"/>
        </w:rPr>
        <w:t>Merger Sub</w:t>
      </w:r>
      <w:r>
        <w:rPr>
          <w:rFonts w:ascii="Arial" w:cs="Arial" w:eastAsia="Arial" w:hAnsi="Arial"/>
          <w:sz w:val="18"/>
          <w:szCs w:val="18"/>
          <w:color w:val="auto"/>
        </w:rPr>
        <w:t>”), a Delaware corporation and wholly-owned subsidiary of Vringo, Inc. (the “</w:t>
      </w:r>
      <w:r>
        <w:rPr>
          <w:rFonts w:ascii="Arial" w:cs="Arial" w:eastAsia="Arial" w:hAnsi="Arial"/>
          <w:sz w:val="18"/>
          <w:szCs w:val="18"/>
          <w:u w:val="single" w:color="auto"/>
          <w:color w:val="auto"/>
        </w:rPr>
        <w:t>Company</w:t>
      </w:r>
      <w:r>
        <w:rPr>
          <w:rFonts w:ascii="Arial" w:cs="Arial" w:eastAsia="Arial" w:hAnsi="Arial"/>
          <w:sz w:val="18"/>
          <w:szCs w:val="18"/>
          <w:color w:val="auto"/>
        </w:rPr>
        <w:t>”), pursuant to the terms and conditions of the previously announced Agreement and Plan of Merger, dated as of March 12, 2012 (the “</w:t>
      </w:r>
      <w:r>
        <w:rPr>
          <w:rFonts w:ascii="Arial" w:cs="Arial" w:eastAsia="Arial" w:hAnsi="Arial"/>
          <w:sz w:val="18"/>
          <w:szCs w:val="18"/>
          <w:u w:val="single" w:color="auto"/>
          <w:color w:val="auto"/>
        </w:rPr>
        <w:t>Merger Agreement</w:t>
      </w:r>
      <w:r>
        <w:rPr>
          <w:rFonts w:ascii="Arial" w:cs="Arial" w:eastAsia="Arial" w:hAnsi="Arial"/>
          <w:sz w:val="18"/>
          <w:szCs w:val="18"/>
          <w:color w:val="auto"/>
        </w:rPr>
        <w:t>”), by and among the Company, Merger Sub and Innovate/Protect (the “</w:t>
      </w:r>
      <w:r>
        <w:rPr>
          <w:rFonts w:ascii="Arial" w:cs="Arial" w:eastAsia="Arial" w:hAnsi="Arial"/>
          <w:sz w:val="18"/>
          <w:szCs w:val="18"/>
          <w:u w:val="single" w:color="auto"/>
          <w:color w:val="auto"/>
        </w:rPr>
        <w:t>Merger</w:t>
      </w:r>
      <w:r>
        <w:rPr>
          <w:rFonts w:ascii="Arial" w:cs="Arial" w:eastAsia="Arial" w:hAnsi="Arial"/>
          <w:sz w:val="18"/>
          <w:szCs w:val="18"/>
          <w:color w:val="auto"/>
        </w:rPr>
        <w:t>”).</w:t>
      </w:r>
    </w:p>
    <w:p>
      <w:pPr>
        <w:spacing w:after="0" w:line="188" w:lineRule="exact"/>
        <w:rPr>
          <w:sz w:val="20"/>
          <w:szCs w:val="20"/>
          <w:color w:val="auto"/>
        </w:rPr>
      </w:pPr>
    </w:p>
    <w:p>
      <w:pPr>
        <w:ind w:right="140" w:firstLine="656"/>
        <w:spacing w:after="0" w:line="277" w:lineRule="auto"/>
        <w:tabs>
          <w:tab w:leader="none" w:pos="903" w:val="left"/>
        </w:tabs>
        <w:numPr>
          <w:ilvl w:val="0"/>
          <w:numId w:val="2"/>
        </w:numPr>
        <w:rPr>
          <w:rFonts w:ascii="Arial" w:cs="Arial" w:eastAsia="Arial" w:hAnsi="Arial"/>
          <w:sz w:val="18"/>
          <w:szCs w:val="18"/>
          <w:color w:val="auto"/>
        </w:rPr>
      </w:pPr>
      <w:r>
        <w:rPr>
          <w:rFonts w:ascii="Arial" w:cs="Arial" w:eastAsia="Arial" w:hAnsi="Arial"/>
          <w:sz w:val="18"/>
          <w:szCs w:val="18"/>
          <w:color w:val="auto"/>
        </w:rPr>
        <w:t>On July 19, 2012, pursuant to the Merger Agreement and in connection with the completion of the Merger, Messrs. Edo Segal, Philip Serlin and Geoffrey Skolnik resigned from the board of directors of the Company (the “</w:t>
      </w:r>
      <w:r>
        <w:rPr>
          <w:rFonts w:ascii="Arial" w:cs="Arial" w:eastAsia="Arial" w:hAnsi="Arial"/>
          <w:sz w:val="18"/>
          <w:szCs w:val="18"/>
          <w:u w:val="single" w:color="auto"/>
          <w:color w:val="auto"/>
        </w:rPr>
        <w:t>Board</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right="220" w:firstLine="656"/>
        <w:spacing w:after="0" w:line="277" w:lineRule="auto"/>
        <w:tabs>
          <w:tab w:leader="none" w:pos="893" w:val="left"/>
        </w:tabs>
        <w:numPr>
          <w:ilvl w:val="0"/>
          <w:numId w:val="2"/>
        </w:numPr>
        <w:rPr>
          <w:rFonts w:ascii="Arial" w:cs="Arial" w:eastAsia="Arial" w:hAnsi="Arial"/>
          <w:sz w:val="18"/>
          <w:szCs w:val="18"/>
          <w:color w:val="auto"/>
        </w:rPr>
      </w:pPr>
      <w:r>
        <w:rPr>
          <w:rFonts w:ascii="Arial" w:cs="Arial" w:eastAsia="Arial" w:hAnsi="Arial"/>
          <w:sz w:val="18"/>
          <w:szCs w:val="18"/>
          <w:color w:val="auto"/>
        </w:rPr>
        <w:t>On July 19, 2012, at the Board meeting held immediately following the 2012 Annual Meeting of Stockholders, the Board elected the following persons to the offices set forth opposite their names, to hold office in accordance with the by-laws of the Company:</w:t>
      </w:r>
    </w:p>
    <w:p>
      <w:pPr>
        <w:sectPr>
          <w:pgSz w:w="11900" w:h="16838" w:orient="portrait"/>
          <w:cols w:equalWidth="0" w:num="1">
            <w:col w:w="11420"/>
          </w:cols>
          <w:pgMar w:left="240" w:top="904" w:right="239" w:bottom="1440" w:gutter="0" w:footer="0" w:header="0"/>
        </w:sectPr>
      </w:pP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Andrew D. Perlman</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Andrew Kennedy Lang</w:t>
      </w:r>
    </w:p>
    <w:p>
      <w:pPr>
        <w:spacing w:after="0" w:line="3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Ellen Cohl</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Alexander R. Berger</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President and Chief Technology Officer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Chief Financial Officer and Treasurer</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Chief Operating Officer and Secretary</w:t>
      </w:r>
    </w:p>
    <w:p>
      <w:pPr>
        <w:spacing w:after="0" w:line="211" w:lineRule="exact"/>
        <w:rPr>
          <w:sz w:val="20"/>
          <w:szCs w:val="20"/>
          <w:color w:val="auto"/>
        </w:rPr>
      </w:pPr>
    </w:p>
    <w:p>
      <w:pPr>
        <w:sectPr>
          <w:pgSz w:w="11900" w:h="16838" w:orient="portrait"/>
          <w:cols w:equalWidth="0" w:num="2">
            <w:col w:w="4480" w:space="720"/>
            <w:col w:w="6220"/>
          </w:cols>
          <w:pgMar w:left="240" w:top="904" w:right="239" w:bottom="1440" w:gutter="0" w:footer="0" w:header="0"/>
          <w:type w:val="continuous"/>
        </w:sectPr>
      </w:pPr>
    </w:p>
    <w:p>
      <w:pPr>
        <w:spacing w:after="0" w:line="11"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Mr. Perlman will continue to act as the Company’s principal executive officer and Ms. Cohl will continue to act as the Company’s principal financial and accounting officer.</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information relating to Ms. Cohl and Messrs. Perlman, Lang and Berger required by Item 5.02(c)(2) and (3) of Form 8-K are incorporated herein by reference to the relevant sections of the Proxy Statement.</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type w:val="continuous"/>
        </w:sectPr>
      </w:pPr>
    </w:p>
    <w:bookmarkStart w:id="2" w:name="page3"/>
    <w:bookmarkEnd w:id="2"/>
    <w:p>
      <w:pPr>
        <w:ind w:right="60" w:firstLine="648"/>
        <w:spacing w:after="0" w:line="342" w:lineRule="auto"/>
        <w:rPr>
          <w:sz w:val="20"/>
          <w:szCs w:val="20"/>
          <w:color w:val="auto"/>
        </w:rPr>
      </w:pPr>
      <w:r>
        <w:rPr>
          <w:rFonts w:ascii="Arial" w:cs="Arial" w:eastAsia="Arial" w:hAnsi="Arial"/>
          <w:sz w:val="16"/>
          <w:szCs w:val="16"/>
          <w:color w:val="auto"/>
        </w:rPr>
        <w:t>On July 19, 2012, the Company assumed all of the duties, obligations and liabilities of Innovate/Protect under (i) the employment agreement with Andrew Kennedy Lang, dated June 22, 2011, as amended, and (ii) the employment agreement with Alexander R. Berger, dated August 11, 2012, as amended.</w:t>
      </w:r>
    </w:p>
    <w:p>
      <w:pPr>
        <w:spacing w:after="0" w:line="124"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Mr. Lang’s employment agreement has an initial term of eighteen (18) months, with an option to either renegotiate the terms of the employment agreement prior to the expiration of the initial term, which term is subject to automatic one-year extensions unless either party gives notice of non-renewal to the other party three (3) months prior to the expiration of the applicable term. Under the terms of his agreement, Mr. Lang is currently entitled to receive a base salary of $250,000 and, upon the subsequent consummation of certain financing by the Company of at least $7 million, such base salary shall be increased to $385,000. Mr. Lang is also entitled to a bonus, which may be awarded by the Board, in the Board’s sole discretion, based on certain annual performance-based objectives established by the Board.</w:t>
      </w:r>
    </w:p>
    <w:p>
      <w:pPr>
        <w:spacing w:after="0" w:line="193"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The employment agreement may be terminated upon death, disability, by the Company, with or without Cause (as defined in the employment agreement), by Mr. Lang with or without Good Reason (as defined in the employment agreement) or at either party’s election not to renew the employment agreement. In the event the employment agreement is terminated for (i) Good Reason by Mr. Lang, or (ii) by the Company without Cause, Mr. Lang shall be entitled to receive all Accrued Obligations (as defined in the employment agreement), benefits for up to one (1) year, and a pro rata bonus payment. In the event the employment agreement is terminated by the Company for Cause, without Good Reason by Mr. Lang, or the parties elect not to renew the agreement, Mr. Lang will be entitled to payment of any base salary earned but unpaid through the date of termination and any other payment or benefit to which he is entitled under the applicable terms of any applicable company arrangement.</w:t>
      </w:r>
    </w:p>
    <w:p>
      <w:pPr>
        <w:spacing w:after="0" w:line="178" w:lineRule="exact"/>
        <w:rPr>
          <w:sz w:val="20"/>
          <w:szCs w:val="20"/>
          <w:color w:val="auto"/>
        </w:rPr>
      </w:pPr>
    </w:p>
    <w:p>
      <w:pPr>
        <w:jc w:val="both"/>
        <w:ind w:right="260" w:firstLine="648"/>
        <w:spacing w:after="0" w:line="264" w:lineRule="auto"/>
        <w:rPr>
          <w:sz w:val="20"/>
          <w:szCs w:val="20"/>
          <w:color w:val="auto"/>
        </w:rPr>
      </w:pPr>
      <w:r>
        <w:rPr>
          <w:rFonts w:ascii="Arial" w:cs="Arial" w:eastAsia="Arial" w:hAnsi="Arial"/>
          <w:sz w:val="18"/>
          <w:szCs w:val="18"/>
          <w:color w:val="auto"/>
        </w:rPr>
        <w:t>Mr. Lang’s employment agreement also includes a one (1) year non-competition and non-solicitation and certain confidentiality covenants. Under the terms of this agreement, Mr. Lang is entitled to certain expense reimbursements, including up to $30,000 for relocation expenses, and medical, dental, vision, life and disability insurance and 401(k) benefits.</w:t>
      </w:r>
    </w:p>
    <w:p>
      <w:pPr>
        <w:spacing w:after="0" w:line="181" w:lineRule="exact"/>
        <w:rPr>
          <w:sz w:val="20"/>
          <w:szCs w:val="20"/>
          <w:color w:val="auto"/>
        </w:rPr>
      </w:pPr>
    </w:p>
    <w:p>
      <w:pPr>
        <w:ind w:right="240" w:firstLine="648"/>
        <w:spacing w:after="0" w:line="272" w:lineRule="auto"/>
        <w:rPr>
          <w:sz w:val="20"/>
          <w:szCs w:val="20"/>
          <w:color w:val="auto"/>
        </w:rPr>
      </w:pPr>
      <w:r>
        <w:rPr>
          <w:rFonts w:ascii="Arial" w:cs="Arial" w:eastAsia="Arial" w:hAnsi="Arial"/>
          <w:sz w:val="17"/>
          <w:szCs w:val="17"/>
          <w:color w:val="auto"/>
        </w:rPr>
        <w:t>Mr. Berger’s employment agreement, as amended, has an initial term of eighteen (18) months, with an option to either renegotiate the terms of the employment agreement prior to the expiration of the initial term, which term is subject to automatic one-year extensions unless either party gives notice of non-renewal to the other party three (3) months prior to the expiration of the applicable term. Under the terms of his agreement, Mr. Berger is currently entitled to receive a base salary of $150,000 and, upon the subsequent consummation of certain financing by the Company of at least $7 million, such base salary shall be increased to $250,000. Mr. Berger is also entitled to a bonus, which may be awarded by the Board, in the Board’s sole discretion, based on certain annual performance-based objectives established by the board of directors. Mr. Berger received 625,000 shares of restricted stock of the Company upon execution of the employment agreement.</w:t>
      </w:r>
    </w:p>
    <w:p>
      <w:pPr>
        <w:spacing w:after="0" w:line="178" w:lineRule="exact"/>
        <w:rPr>
          <w:sz w:val="20"/>
          <w:szCs w:val="20"/>
          <w:color w:val="auto"/>
        </w:rPr>
      </w:pPr>
    </w:p>
    <w:p>
      <w:pPr>
        <w:ind w:right="160" w:firstLine="648"/>
        <w:spacing w:after="0" w:line="272" w:lineRule="auto"/>
        <w:rPr>
          <w:sz w:val="20"/>
          <w:szCs w:val="20"/>
          <w:color w:val="auto"/>
        </w:rPr>
      </w:pPr>
      <w:r>
        <w:rPr>
          <w:rFonts w:ascii="Arial" w:cs="Arial" w:eastAsia="Arial" w:hAnsi="Arial"/>
          <w:sz w:val="17"/>
          <w:szCs w:val="17"/>
          <w:color w:val="auto"/>
        </w:rPr>
        <w:t>The employment agreement may be terminated upon death, disability, by us with or without Cause (as defined in the employment agreement), by Mr. Berger with or without Good Reason (as defined in the employment agreement) or at either party’s election not to renew the employment agreement. In the event the employment agreement is terminated for (i) Good Reason by Mr. Berger, or (ii) by the Company without Cause, Mr. Berger shall be entitled to receive all Accrued Obligations (as defined in the employment agreement), benefits for up to one (1) year, and a pro rata bonus payment. In the event the employment agreement is terminated by the Company for Cause, without Good Reason by Mr. Berger, or the parties elect not to renew the agreement, Mr. Berger will be entitled to payment of any base salary earned but unpaid through the date of termination and any other payment or benefit to which he is entitled under the applicable terms of any other arrangement with the company.</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 w:name="page4"/>
    <w:bookmarkEnd w:id="3"/>
    <w:p>
      <w:pPr>
        <w:ind w:right="20" w:firstLine="648"/>
        <w:spacing w:after="0" w:line="342" w:lineRule="auto"/>
        <w:rPr>
          <w:sz w:val="20"/>
          <w:szCs w:val="20"/>
          <w:color w:val="auto"/>
        </w:rPr>
      </w:pPr>
      <w:r>
        <w:rPr>
          <w:rFonts w:ascii="Arial" w:cs="Arial" w:eastAsia="Arial" w:hAnsi="Arial"/>
          <w:sz w:val="16"/>
          <w:szCs w:val="16"/>
          <w:color w:val="auto"/>
        </w:rPr>
        <w:t>Mr. Berger’s employment agreement also includes a one (1) year non-competition and non-solicitation and certain confidentiality covenants. Under the terms of this agreement, he is also entitled to certain expense reimbursements and medical, dental, vision, life and disability insurance and 401(k) benefits.</w:t>
      </w:r>
    </w:p>
    <w:p>
      <w:pPr>
        <w:spacing w:after="0" w:line="124" w:lineRule="exact"/>
        <w:rPr>
          <w:sz w:val="20"/>
          <w:szCs w:val="20"/>
          <w:color w:val="auto"/>
        </w:rPr>
      </w:pPr>
    </w:p>
    <w:p>
      <w:pPr>
        <w:ind w:right="220" w:firstLine="648"/>
        <w:spacing w:after="0" w:line="264" w:lineRule="auto"/>
        <w:rPr>
          <w:sz w:val="20"/>
          <w:szCs w:val="20"/>
          <w:color w:val="auto"/>
        </w:rPr>
      </w:pPr>
      <w:r>
        <w:rPr>
          <w:rFonts w:ascii="Arial" w:cs="Arial" w:eastAsia="Arial" w:hAnsi="Arial"/>
          <w:sz w:val="18"/>
          <w:szCs w:val="18"/>
          <w:color w:val="auto"/>
        </w:rPr>
        <w:t>The foregoing descriptions of the employment agreements are not complete and are subject to, and qualified in their entirety by, the full text of the employment agreements with Messrs. Lang and Berger, which are attached to this Current Report as Exhibit 10.1 and Exhibit 10.2, respectively, and are incorporated herein by reference.</w:t>
      </w:r>
    </w:p>
    <w:p>
      <w:pPr>
        <w:spacing w:after="0" w:line="181" w:lineRule="exact"/>
        <w:rPr>
          <w:sz w:val="20"/>
          <w:szCs w:val="20"/>
          <w:color w:val="auto"/>
        </w:rPr>
      </w:pPr>
    </w:p>
    <w:p>
      <w:pPr>
        <w:jc w:val="both"/>
        <w:ind w:right="600" w:firstLine="656"/>
        <w:spacing w:after="0" w:line="264" w:lineRule="auto"/>
        <w:tabs>
          <w:tab w:leader="none" w:pos="883" w:val="left"/>
        </w:tabs>
        <w:numPr>
          <w:ilvl w:val="0"/>
          <w:numId w:val="3"/>
        </w:numPr>
        <w:rPr>
          <w:rFonts w:ascii="Arial" w:cs="Arial" w:eastAsia="Arial" w:hAnsi="Arial"/>
          <w:sz w:val="18"/>
          <w:szCs w:val="18"/>
          <w:color w:val="auto"/>
        </w:rPr>
      </w:pPr>
      <w:r>
        <w:rPr>
          <w:rFonts w:ascii="Arial" w:cs="Arial" w:eastAsia="Arial" w:hAnsi="Arial"/>
          <w:sz w:val="18"/>
          <w:szCs w:val="18"/>
          <w:color w:val="auto"/>
        </w:rPr>
        <w:t>As disclosed in Item 5.07 of the Current Report on Form 8-K filed with the Securities and Exchange Commission on July 20, 2012, at the Company’s 2012 Annual Meeting of Stockholders held on July 19, 2012, the stockholders of the Company approved the Vringo, Inc. 2012 Employee, Director and Consultant Equity Incentive Plan (the “</w:t>
      </w:r>
      <w:r>
        <w:rPr>
          <w:rFonts w:ascii="Arial" w:cs="Arial" w:eastAsia="Arial" w:hAnsi="Arial"/>
          <w:sz w:val="18"/>
          <w:szCs w:val="18"/>
          <w:u w:val="single" w:color="auto"/>
          <w:color w:val="auto"/>
        </w:rPr>
        <w:t>2012 Plan</w:t>
      </w:r>
      <w:r>
        <w:rPr>
          <w:rFonts w:ascii="Arial" w:cs="Arial" w:eastAsia="Arial" w:hAnsi="Arial"/>
          <w:sz w:val="18"/>
          <w:szCs w:val="18"/>
          <w:color w:val="auto"/>
        </w:rPr>
        <w:t>”).</w:t>
      </w:r>
    </w:p>
    <w:p>
      <w:pPr>
        <w:spacing w:after="0" w:line="181"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The description of the 2012 Plan is qualified in its entirety by reference to the 2012 Plan, a copy of which is attached hereto as Exhibit 10.1 and incorporated herein by reference. Further information about the 2012 Plan is included in the Proxy Statement.</w:t>
      </w:r>
    </w:p>
    <w:p>
      <w:pPr>
        <w:spacing w:after="0" w:line="16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Attached hereto as Exhibit 99.1 is an updated presentation of the Company after giving effect to the Merger.</w:t>
      </w:r>
    </w:p>
    <w:p>
      <w:pPr>
        <w:spacing w:after="0" w:line="225"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The information furnished by the Company pursuant to this Item 7.01, including Exhibit 99.8, shall not be deemed “filed” for purposes of Section 18 of the Exchange Act, or otherwise subject to the liability of that section, and shall not be deemed to be incorporated by reference into any filing under the Securities Act of 1933, as amended, or the Securities Exchange Act of 1934, as amended.</w:t>
      </w:r>
    </w:p>
    <w:p>
      <w:pPr>
        <w:spacing w:after="0" w:line="17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ind w:left="660" w:hanging="652"/>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Exhibits.</w:t>
      </w:r>
    </w:p>
    <w:p>
      <w:pPr>
        <w:spacing w:after="0" w:line="221"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b w:val="1"/>
          <w:bCs w:val="1"/>
          <w:color w:val="auto"/>
        </w:rPr>
        <w:t>Exhibit</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100" w:type="dxa"/>
            <w:vAlign w:val="bottom"/>
            <w:gridSpan w:val="3"/>
          </w:tcPr>
          <w:p>
            <w:pPr>
              <w:ind w:left="660"/>
              <w:spacing w:after="0"/>
              <w:rPr>
                <w:sz w:val="20"/>
                <w:szCs w:val="20"/>
                <w:color w:val="auto"/>
              </w:rPr>
            </w:pPr>
            <w:r>
              <w:rPr>
                <w:rFonts w:ascii="Arial" w:cs="Arial" w:eastAsia="Arial" w:hAnsi="Arial"/>
                <w:sz w:val="18"/>
                <w:szCs w:val="18"/>
                <w:b w:val="1"/>
                <w:bCs w:val="1"/>
                <w:color w:val="auto"/>
              </w:rPr>
              <w:t>Number</w:t>
            </w:r>
          </w:p>
        </w:tc>
        <w:tc>
          <w:tcPr>
            <w:tcW w:w="8820" w:type="dxa"/>
            <w:vAlign w:val="bottom"/>
          </w:tcPr>
          <w:p>
            <w:pPr>
              <w:spacing w:after="0"/>
              <w:rPr>
                <w:sz w:val="20"/>
                <w:szCs w:val="20"/>
                <w:color w:val="auto"/>
              </w:rPr>
            </w:pPr>
            <w:r>
              <w:rPr>
                <w:rFonts w:ascii="Arial" w:cs="Arial" w:eastAsia="Arial" w:hAnsi="Arial"/>
                <w:sz w:val="18"/>
                <w:szCs w:val="18"/>
                <w:b w:val="1"/>
                <w:bCs w:val="1"/>
                <w:color w:val="auto"/>
              </w:rPr>
              <w:t>Description</w:t>
            </w:r>
          </w:p>
        </w:tc>
        <w:tc>
          <w:tcPr>
            <w:tcW w:w="500" w:type="dxa"/>
            <w:vAlign w:val="bottom"/>
          </w:tcPr>
          <w:p>
            <w:pPr>
              <w:spacing w:after="0"/>
              <w:rPr>
                <w:sz w:val="18"/>
                <w:szCs w:val="18"/>
                <w:color w:val="auto"/>
              </w:rPr>
            </w:pPr>
          </w:p>
        </w:tc>
      </w:tr>
      <w:tr>
        <w:trPr>
          <w:trHeight w:val="195"/>
        </w:trPr>
        <w:tc>
          <w:tcPr>
            <w:tcW w:w="660" w:type="dxa"/>
            <w:vAlign w:val="bottom"/>
          </w:tcPr>
          <w:p>
            <w:pPr>
              <w:spacing w:after="0"/>
              <w:rPr>
                <w:sz w:val="16"/>
                <w:szCs w:val="16"/>
                <w:color w:val="auto"/>
              </w:rPr>
            </w:pPr>
          </w:p>
        </w:tc>
        <w:tc>
          <w:tcPr>
            <w:tcW w:w="1140" w:type="dxa"/>
            <w:vAlign w:val="bottom"/>
            <w:tcBorders>
              <w:top w:val="single" w:sz="8" w:color="auto"/>
            </w:tcBorders>
            <w:shd w:val="clear" w:color="auto" w:fill="CCFFCC"/>
          </w:tcPr>
          <w:p>
            <w:pPr>
              <w:spacing w:after="0" w:line="195" w:lineRule="exact"/>
              <w:rPr>
                <w:sz w:val="20"/>
                <w:szCs w:val="20"/>
                <w:color w:val="auto"/>
              </w:rPr>
            </w:pPr>
            <w:r>
              <w:rPr>
                <w:rFonts w:ascii="Arial" w:cs="Arial" w:eastAsia="Arial" w:hAnsi="Arial"/>
                <w:sz w:val="18"/>
                <w:szCs w:val="18"/>
                <w:color w:val="auto"/>
              </w:rPr>
              <w:t>10.1</w:t>
            </w:r>
          </w:p>
        </w:tc>
        <w:tc>
          <w:tcPr>
            <w:tcW w:w="300" w:type="dxa"/>
            <w:vAlign w:val="bottom"/>
            <w:tcBorders>
              <w:top w:val="single" w:sz="8" w:color="CCFFCC"/>
            </w:tcBorders>
            <w:shd w:val="clear" w:color="auto" w:fill="CCFFCC"/>
          </w:tcPr>
          <w:p>
            <w:pPr>
              <w:spacing w:after="0"/>
              <w:rPr>
                <w:sz w:val="16"/>
                <w:szCs w:val="16"/>
                <w:color w:val="auto"/>
              </w:rPr>
            </w:pPr>
          </w:p>
        </w:tc>
        <w:tc>
          <w:tcPr>
            <w:tcW w:w="8820" w:type="dxa"/>
            <w:vAlign w:val="bottom"/>
            <w:tcBorders>
              <w:top w:val="single" w:sz="8" w:color="auto"/>
            </w:tcBorders>
            <w:shd w:val="clear" w:color="auto" w:fill="CCFFCC"/>
          </w:tcPr>
          <w:p>
            <w:pPr>
              <w:spacing w:after="0" w:line="195" w:lineRule="exact"/>
              <w:rPr>
                <w:sz w:val="20"/>
                <w:szCs w:val="20"/>
                <w:color w:val="auto"/>
              </w:rPr>
            </w:pPr>
            <w:r>
              <w:rPr>
                <w:rFonts w:ascii="Arial" w:cs="Arial" w:eastAsia="Arial" w:hAnsi="Arial"/>
                <w:sz w:val="18"/>
                <w:szCs w:val="18"/>
                <w:color w:val="auto"/>
                <w:w w:val="94"/>
              </w:rPr>
              <w:t>Employment Agreement, dated June 22, 2011, by and between Innovate/Protect, Inc. and Andrew Kennedy Lang, as</w:t>
            </w:r>
          </w:p>
        </w:tc>
        <w:tc>
          <w:tcPr>
            <w:tcW w:w="500" w:type="dxa"/>
            <w:vAlign w:val="bottom"/>
          </w:tcPr>
          <w:p>
            <w:pPr>
              <w:spacing w:after="0"/>
              <w:rPr>
                <w:sz w:val="16"/>
                <w:szCs w:val="16"/>
                <w:color w:val="auto"/>
              </w:rPr>
            </w:pPr>
          </w:p>
        </w:tc>
      </w:tr>
      <w:tr>
        <w:trPr>
          <w:trHeight w:val="216"/>
        </w:trPr>
        <w:tc>
          <w:tcPr>
            <w:tcW w:w="660" w:type="dxa"/>
            <w:vAlign w:val="bottom"/>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8820" w:type="dxa"/>
            <w:vAlign w:val="bottom"/>
            <w:shd w:val="clear" w:color="auto" w:fill="CCFFCC"/>
          </w:tcPr>
          <w:p>
            <w:pPr>
              <w:spacing w:after="0"/>
              <w:rPr>
                <w:sz w:val="20"/>
                <w:szCs w:val="20"/>
                <w:color w:val="auto"/>
              </w:rPr>
            </w:pPr>
            <w:r>
              <w:rPr>
                <w:rFonts w:ascii="Arial" w:cs="Arial" w:eastAsia="Arial" w:hAnsi="Arial"/>
                <w:sz w:val="18"/>
                <w:szCs w:val="18"/>
                <w:color w:val="auto"/>
                <w:w w:val="98"/>
              </w:rPr>
              <w:t>amended by Amendment No. 1 to Employment Agreement, dated November 14, 2011, and Amendment No. 2 to</w:t>
            </w:r>
          </w:p>
        </w:tc>
        <w:tc>
          <w:tcPr>
            <w:tcW w:w="500" w:type="dxa"/>
            <w:vAlign w:val="bottom"/>
          </w:tcPr>
          <w:p>
            <w:pPr>
              <w:spacing w:after="0"/>
              <w:rPr>
                <w:sz w:val="18"/>
                <w:szCs w:val="18"/>
                <w:color w:val="auto"/>
              </w:rPr>
            </w:pPr>
          </w:p>
        </w:tc>
      </w:tr>
      <w:tr>
        <w:trPr>
          <w:trHeight w:val="230"/>
        </w:trPr>
        <w:tc>
          <w:tcPr>
            <w:tcW w:w="660" w:type="dxa"/>
            <w:vAlign w:val="bottom"/>
          </w:tcPr>
          <w:p>
            <w:pPr>
              <w:spacing w:after="0"/>
              <w:rPr>
                <w:sz w:val="20"/>
                <w:szCs w:val="20"/>
                <w:color w:val="auto"/>
              </w:rPr>
            </w:pPr>
          </w:p>
        </w:tc>
        <w:tc>
          <w:tcPr>
            <w:tcW w:w="1140" w:type="dxa"/>
            <w:vAlign w:val="bottom"/>
            <w:shd w:val="clear" w:color="auto" w:fill="CCFFCC"/>
          </w:tcPr>
          <w:p>
            <w:pPr>
              <w:spacing w:after="0"/>
              <w:rPr>
                <w:sz w:val="20"/>
                <w:szCs w:val="20"/>
                <w:color w:val="auto"/>
              </w:rPr>
            </w:pPr>
          </w:p>
        </w:tc>
        <w:tc>
          <w:tcPr>
            <w:tcW w:w="300" w:type="dxa"/>
            <w:vAlign w:val="bottom"/>
            <w:shd w:val="clear" w:color="auto" w:fill="CCFFCC"/>
          </w:tcPr>
          <w:p>
            <w:pPr>
              <w:spacing w:after="0"/>
              <w:rPr>
                <w:sz w:val="20"/>
                <w:szCs w:val="20"/>
                <w:color w:val="auto"/>
              </w:rPr>
            </w:pPr>
          </w:p>
        </w:tc>
        <w:tc>
          <w:tcPr>
            <w:tcW w:w="8820" w:type="dxa"/>
            <w:vAlign w:val="bottom"/>
            <w:shd w:val="clear" w:color="auto" w:fill="CCFFCC"/>
          </w:tcPr>
          <w:p>
            <w:pPr>
              <w:spacing w:after="0"/>
              <w:rPr>
                <w:sz w:val="20"/>
                <w:szCs w:val="20"/>
                <w:color w:val="auto"/>
              </w:rPr>
            </w:pPr>
            <w:r>
              <w:rPr>
                <w:rFonts w:ascii="Arial" w:cs="Arial" w:eastAsia="Arial" w:hAnsi="Arial"/>
                <w:sz w:val="18"/>
                <w:szCs w:val="18"/>
                <w:color w:val="auto"/>
              </w:rPr>
              <w:t>Employment Agreement, dated March 11, 2012</w:t>
            </w:r>
          </w:p>
        </w:tc>
        <w:tc>
          <w:tcPr>
            <w:tcW w:w="500" w:type="dxa"/>
            <w:vAlign w:val="bottom"/>
          </w:tcPr>
          <w:p>
            <w:pPr>
              <w:spacing w:after="0"/>
              <w:rPr>
                <w:sz w:val="20"/>
                <w:szCs w:val="20"/>
                <w:color w:val="auto"/>
              </w:rPr>
            </w:pPr>
          </w:p>
        </w:tc>
      </w:tr>
      <w:tr>
        <w:trPr>
          <w:trHeight w:val="202"/>
        </w:trPr>
        <w:tc>
          <w:tcPr>
            <w:tcW w:w="660" w:type="dxa"/>
            <w:vAlign w:val="bottom"/>
          </w:tcPr>
          <w:p>
            <w:pPr>
              <w:spacing w:after="0"/>
              <w:rPr>
                <w:sz w:val="17"/>
                <w:szCs w:val="17"/>
                <w:color w:val="auto"/>
              </w:rPr>
            </w:pPr>
          </w:p>
        </w:tc>
        <w:tc>
          <w:tcPr>
            <w:tcW w:w="1140" w:type="dxa"/>
            <w:vAlign w:val="bottom"/>
          </w:tcPr>
          <w:p>
            <w:pPr>
              <w:spacing w:after="0" w:line="201" w:lineRule="exact"/>
              <w:rPr>
                <w:sz w:val="20"/>
                <w:szCs w:val="20"/>
                <w:color w:val="auto"/>
              </w:rPr>
            </w:pPr>
            <w:r>
              <w:rPr>
                <w:rFonts w:ascii="Arial" w:cs="Arial" w:eastAsia="Arial" w:hAnsi="Arial"/>
                <w:sz w:val="18"/>
                <w:szCs w:val="18"/>
                <w:color w:val="auto"/>
              </w:rPr>
              <w:t>10.2</w:t>
            </w:r>
          </w:p>
        </w:tc>
        <w:tc>
          <w:tcPr>
            <w:tcW w:w="300" w:type="dxa"/>
            <w:vAlign w:val="bottom"/>
          </w:tcPr>
          <w:p>
            <w:pPr>
              <w:spacing w:after="0"/>
              <w:rPr>
                <w:sz w:val="17"/>
                <w:szCs w:val="17"/>
                <w:color w:val="auto"/>
              </w:rPr>
            </w:pPr>
          </w:p>
        </w:tc>
        <w:tc>
          <w:tcPr>
            <w:tcW w:w="8820" w:type="dxa"/>
            <w:vAlign w:val="bottom"/>
          </w:tcPr>
          <w:p>
            <w:pPr>
              <w:spacing w:after="0" w:line="201" w:lineRule="exact"/>
              <w:rPr>
                <w:sz w:val="20"/>
                <w:szCs w:val="20"/>
                <w:color w:val="auto"/>
              </w:rPr>
            </w:pPr>
            <w:r>
              <w:rPr>
                <w:rFonts w:ascii="Arial" w:cs="Arial" w:eastAsia="Arial" w:hAnsi="Arial"/>
                <w:sz w:val="18"/>
                <w:szCs w:val="18"/>
                <w:color w:val="auto"/>
                <w:w w:val="94"/>
              </w:rPr>
              <w:t>Employment Agreement, dated August 10, 2011, by and between Innovate/Protect, Inc. and Alexander R. Berger, as</w:t>
            </w:r>
          </w:p>
        </w:tc>
        <w:tc>
          <w:tcPr>
            <w:tcW w:w="500" w:type="dxa"/>
            <w:vAlign w:val="bottom"/>
          </w:tcPr>
          <w:p>
            <w:pPr>
              <w:spacing w:after="0"/>
              <w:rPr>
                <w:sz w:val="17"/>
                <w:szCs w:val="17"/>
                <w:color w:val="auto"/>
              </w:rPr>
            </w:pPr>
          </w:p>
        </w:tc>
      </w:tr>
      <w:tr>
        <w:trPr>
          <w:trHeight w:val="216"/>
        </w:trPr>
        <w:tc>
          <w:tcPr>
            <w:tcW w:w="6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20" w:type="dxa"/>
            <w:vAlign w:val="bottom"/>
          </w:tcPr>
          <w:p>
            <w:pPr>
              <w:spacing w:after="0"/>
              <w:rPr>
                <w:sz w:val="20"/>
                <w:szCs w:val="20"/>
                <w:color w:val="auto"/>
              </w:rPr>
            </w:pPr>
            <w:r>
              <w:rPr>
                <w:rFonts w:ascii="Arial" w:cs="Arial" w:eastAsia="Arial" w:hAnsi="Arial"/>
                <w:sz w:val="18"/>
                <w:szCs w:val="18"/>
                <w:color w:val="auto"/>
                <w:w w:val="98"/>
              </w:rPr>
              <w:t>amended by Amendment No. 1 to Employment Agreement, dated November 15, 2011, and Amendment No. 2 to</w:t>
            </w:r>
          </w:p>
        </w:tc>
        <w:tc>
          <w:tcPr>
            <w:tcW w:w="500" w:type="dxa"/>
            <w:vAlign w:val="bottom"/>
          </w:tcPr>
          <w:p>
            <w:pPr>
              <w:spacing w:after="0"/>
              <w:rPr>
                <w:sz w:val="18"/>
                <w:szCs w:val="18"/>
                <w:color w:val="auto"/>
              </w:rPr>
            </w:pPr>
          </w:p>
        </w:tc>
      </w:tr>
      <w:tr>
        <w:trPr>
          <w:trHeight w:val="230"/>
        </w:trPr>
        <w:tc>
          <w:tcPr>
            <w:tcW w:w="6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820" w:type="dxa"/>
            <w:vAlign w:val="bottom"/>
          </w:tcPr>
          <w:p>
            <w:pPr>
              <w:spacing w:after="0"/>
              <w:rPr>
                <w:sz w:val="20"/>
                <w:szCs w:val="20"/>
                <w:color w:val="auto"/>
              </w:rPr>
            </w:pPr>
            <w:r>
              <w:rPr>
                <w:rFonts w:ascii="Arial" w:cs="Arial" w:eastAsia="Arial" w:hAnsi="Arial"/>
                <w:sz w:val="18"/>
                <w:szCs w:val="18"/>
                <w:color w:val="auto"/>
              </w:rPr>
              <w:t>Employment Agreement, dated March 11, 2012</w:t>
            </w:r>
          </w:p>
        </w:tc>
        <w:tc>
          <w:tcPr>
            <w:tcW w:w="500" w:type="dxa"/>
            <w:vAlign w:val="bottom"/>
          </w:tcPr>
          <w:p>
            <w:pPr>
              <w:spacing w:after="0"/>
              <w:rPr>
                <w:sz w:val="20"/>
                <w:szCs w:val="20"/>
                <w:color w:val="auto"/>
              </w:rPr>
            </w:pPr>
          </w:p>
        </w:tc>
      </w:tr>
      <w:tr>
        <w:trPr>
          <w:trHeight w:val="202"/>
        </w:trPr>
        <w:tc>
          <w:tcPr>
            <w:tcW w:w="660" w:type="dxa"/>
            <w:vAlign w:val="bottom"/>
          </w:tcPr>
          <w:p>
            <w:pPr>
              <w:spacing w:after="0"/>
              <w:rPr>
                <w:sz w:val="17"/>
                <w:szCs w:val="17"/>
                <w:color w:val="auto"/>
              </w:rPr>
            </w:pPr>
          </w:p>
        </w:tc>
        <w:tc>
          <w:tcPr>
            <w:tcW w:w="1140" w:type="dxa"/>
            <w:vAlign w:val="bottom"/>
            <w:shd w:val="clear" w:color="auto" w:fill="CCFFCC"/>
          </w:tcPr>
          <w:p>
            <w:pPr>
              <w:spacing w:after="0" w:line="201" w:lineRule="exact"/>
              <w:rPr>
                <w:sz w:val="20"/>
                <w:szCs w:val="20"/>
                <w:color w:val="auto"/>
              </w:rPr>
            </w:pPr>
            <w:r>
              <w:rPr>
                <w:rFonts w:ascii="Arial" w:cs="Arial" w:eastAsia="Arial" w:hAnsi="Arial"/>
                <w:sz w:val="18"/>
                <w:szCs w:val="18"/>
                <w:color w:val="auto"/>
              </w:rPr>
              <w:t>10.3</w:t>
            </w:r>
          </w:p>
        </w:tc>
        <w:tc>
          <w:tcPr>
            <w:tcW w:w="300" w:type="dxa"/>
            <w:vAlign w:val="bottom"/>
            <w:shd w:val="clear" w:color="auto" w:fill="CCFFCC"/>
          </w:tcPr>
          <w:p>
            <w:pPr>
              <w:spacing w:after="0"/>
              <w:rPr>
                <w:sz w:val="17"/>
                <w:szCs w:val="17"/>
                <w:color w:val="auto"/>
              </w:rPr>
            </w:pPr>
          </w:p>
        </w:tc>
        <w:tc>
          <w:tcPr>
            <w:tcW w:w="8820" w:type="dxa"/>
            <w:vAlign w:val="bottom"/>
            <w:shd w:val="clear" w:color="auto" w:fill="CCFFCC"/>
          </w:tcPr>
          <w:p>
            <w:pPr>
              <w:spacing w:after="0" w:line="201" w:lineRule="exact"/>
              <w:rPr>
                <w:sz w:val="20"/>
                <w:szCs w:val="20"/>
                <w:color w:val="auto"/>
              </w:rPr>
            </w:pPr>
            <w:r>
              <w:rPr>
                <w:rFonts w:ascii="Arial" w:cs="Arial" w:eastAsia="Arial" w:hAnsi="Arial"/>
                <w:sz w:val="18"/>
                <w:szCs w:val="18"/>
                <w:color w:val="auto"/>
              </w:rPr>
              <w:t>Vringo, Inc. 2012 Employee, Director and Consultant Equity Incentive Plan (previously filed as Annex D to the</w:t>
            </w:r>
          </w:p>
        </w:tc>
        <w:tc>
          <w:tcPr>
            <w:tcW w:w="500" w:type="dxa"/>
            <w:vAlign w:val="bottom"/>
          </w:tcPr>
          <w:p>
            <w:pPr>
              <w:spacing w:after="0"/>
              <w:rPr>
                <w:sz w:val="17"/>
                <w:szCs w:val="17"/>
                <w:color w:val="auto"/>
              </w:rPr>
            </w:pPr>
          </w:p>
        </w:tc>
      </w:tr>
      <w:tr>
        <w:trPr>
          <w:trHeight w:val="230"/>
        </w:trPr>
        <w:tc>
          <w:tcPr>
            <w:tcW w:w="660" w:type="dxa"/>
            <w:vAlign w:val="bottom"/>
          </w:tcPr>
          <w:p>
            <w:pPr>
              <w:spacing w:after="0"/>
              <w:rPr>
                <w:sz w:val="20"/>
                <w:szCs w:val="20"/>
                <w:color w:val="auto"/>
              </w:rPr>
            </w:pPr>
          </w:p>
        </w:tc>
        <w:tc>
          <w:tcPr>
            <w:tcW w:w="1140" w:type="dxa"/>
            <w:vAlign w:val="bottom"/>
            <w:shd w:val="clear" w:color="auto" w:fill="CCFFCC"/>
          </w:tcPr>
          <w:p>
            <w:pPr>
              <w:spacing w:after="0"/>
              <w:rPr>
                <w:sz w:val="20"/>
                <w:szCs w:val="20"/>
                <w:color w:val="auto"/>
              </w:rPr>
            </w:pPr>
          </w:p>
        </w:tc>
        <w:tc>
          <w:tcPr>
            <w:tcW w:w="300" w:type="dxa"/>
            <w:vAlign w:val="bottom"/>
            <w:shd w:val="clear" w:color="auto" w:fill="CCFFCC"/>
          </w:tcPr>
          <w:p>
            <w:pPr>
              <w:spacing w:after="0"/>
              <w:rPr>
                <w:sz w:val="20"/>
                <w:szCs w:val="20"/>
                <w:color w:val="auto"/>
              </w:rPr>
            </w:pPr>
          </w:p>
        </w:tc>
        <w:tc>
          <w:tcPr>
            <w:tcW w:w="8820" w:type="dxa"/>
            <w:vAlign w:val="bottom"/>
            <w:shd w:val="clear" w:color="auto" w:fill="CCFFCC"/>
          </w:tcPr>
          <w:p>
            <w:pPr>
              <w:spacing w:after="0"/>
              <w:rPr>
                <w:sz w:val="20"/>
                <w:szCs w:val="20"/>
                <w:color w:val="auto"/>
              </w:rPr>
            </w:pPr>
            <w:r>
              <w:rPr>
                <w:rFonts w:ascii="Arial" w:cs="Arial" w:eastAsia="Arial" w:hAnsi="Arial"/>
                <w:sz w:val="18"/>
                <w:szCs w:val="18"/>
                <w:color w:val="auto"/>
                <w:w w:val="95"/>
              </w:rPr>
              <w:t>Company’s Registration Statement on Form S-4 (File No. 333-180609) originally filed with the SEC on April 6, 2012)</w:t>
            </w:r>
          </w:p>
        </w:tc>
        <w:tc>
          <w:tcPr>
            <w:tcW w:w="500" w:type="dxa"/>
            <w:vAlign w:val="bottom"/>
          </w:tcPr>
          <w:p>
            <w:pPr>
              <w:spacing w:after="0"/>
              <w:rPr>
                <w:sz w:val="20"/>
                <w:szCs w:val="20"/>
                <w:color w:val="auto"/>
              </w:rPr>
            </w:pPr>
          </w:p>
        </w:tc>
      </w:tr>
      <w:tr>
        <w:trPr>
          <w:trHeight w:val="230"/>
        </w:trPr>
        <w:tc>
          <w:tcPr>
            <w:tcW w:w="660" w:type="dxa"/>
            <w:vAlign w:val="bottom"/>
          </w:tcPr>
          <w:p>
            <w:pPr>
              <w:spacing w:after="0"/>
              <w:rPr>
                <w:sz w:val="20"/>
                <w:szCs w:val="20"/>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99.1</w:t>
            </w:r>
          </w:p>
        </w:tc>
        <w:tc>
          <w:tcPr>
            <w:tcW w:w="300" w:type="dxa"/>
            <w:vAlign w:val="bottom"/>
          </w:tcPr>
          <w:p>
            <w:pPr>
              <w:spacing w:after="0"/>
              <w:rPr>
                <w:sz w:val="20"/>
                <w:szCs w:val="20"/>
                <w:color w:val="auto"/>
              </w:rPr>
            </w:pPr>
          </w:p>
        </w:tc>
        <w:tc>
          <w:tcPr>
            <w:tcW w:w="8820" w:type="dxa"/>
            <w:vAlign w:val="bottom"/>
          </w:tcPr>
          <w:p>
            <w:pPr>
              <w:spacing w:after="0"/>
              <w:rPr>
                <w:sz w:val="20"/>
                <w:szCs w:val="20"/>
                <w:color w:val="auto"/>
              </w:rPr>
            </w:pPr>
            <w:r>
              <w:rPr>
                <w:rFonts w:ascii="Arial" w:cs="Arial" w:eastAsia="Arial" w:hAnsi="Arial"/>
                <w:sz w:val="18"/>
                <w:szCs w:val="18"/>
                <w:color w:val="auto"/>
              </w:rPr>
              <w:t>Presentation of Vringo, Inc.</w:t>
            </w:r>
          </w:p>
        </w:tc>
        <w:tc>
          <w:tcPr>
            <w:tcW w:w="500" w:type="dxa"/>
            <w:vAlign w:val="bottom"/>
          </w:tcPr>
          <w:p>
            <w:pPr>
              <w:spacing w:after="0"/>
              <w:rPr>
                <w:sz w:val="20"/>
                <w:szCs w:val="20"/>
                <w:color w:val="auto"/>
              </w:rPr>
            </w:pPr>
          </w:p>
        </w:tc>
      </w:tr>
      <w:tr>
        <w:trPr>
          <w:trHeight w:val="634"/>
        </w:trPr>
        <w:tc>
          <w:tcPr>
            <w:tcW w:w="6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820" w:type="dxa"/>
            <w:vAlign w:val="bottom"/>
            <w:tcBorders>
              <w:bottom w:val="single" w:sz="8" w:color="auto"/>
            </w:tcBorders>
          </w:tcPr>
          <w:p>
            <w:pPr>
              <w:ind w:left="3560"/>
              <w:spacing w:after="0"/>
              <w:rPr>
                <w:sz w:val="20"/>
                <w:szCs w:val="20"/>
                <w:color w:val="auto"/>
              </w:rPr>
            </w:pPr>
            <w:r>
              <w:rPr>
                <w:rFonts w:ascii="Arial" w:cs="Arial" w:eastAsia="Arial" w:hAnsi="Arial"/>
                <w:sz w:val="18"/>
                <w:szCs w:val="18"/>
                <w:color w:val="auto"/>
              </w:rPr>
              <w:t>4</w:t>
            </w:r>
          </w:p>
        </w:tc>
        <w:tc>
          <w:tcPr>
            <w:tcW w:w="5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8"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80" w:type="dxa"/>
            <w:vAlign w:val="bottom"/>
          </w:tcPr>
          <w:p>
            <w:pPr>
              <w:spacing w:after="0"/>
              <w:rPr>
                <w:sz w:val="20"/>
                <w:szCs w:val="20"/>
                <w:color w:val="auto"/>
              </w:rPr>
            </w:pPr>
          </w:p>
        </w:tc>
        <w:tc>
          <w:tcPr>
            <w:tcW w:w="3180" w:type="dxa"/>
            <w:vAlign w:val="bottom"/>
            <w:gridSpan w:val="3"/>
          </w:tcPr>
          <w:p>
            <w:pPr>
              <w:ind w:left="1880"/>
              <w:spacing w:after="0"/>
              <w:rPr>
                <w:sz w:val="20"/>
                <w:szCs w:val="20"/>
                <w:color w:val="auto"/>
              </w:rPr>
            </w:pPr>
            <w:r>
              <w:rPr>
                <w:rFonts w:ascii="Arial" w:cs="Arial" w:eastAsia="Arial" w:hAnsi="Arial"/>
                <w:sz w:val="18"/>
                <w:szCs w:val="18"/>
                <w:b w:val="1"/>
                <w:bCs w:val="1"/>
                <w:color w:val="auto"/>
              </w:rPr>
              <w:t>VRINGO, INC.</w:t>
            </w:r>
          </w:p>
        </w:tc>
        <w:tc>
          <w:tcPr>
            <w:tcW w:w="4860" w:type="dxa"/>
            <w:vAlign w:val="bottom"/>
          </w:tcPr>
          <w:p>
            <w:pPr>
              <w:spacing w:after="0"/>
              <w:rPr>
                <w:sz w:val="20"/>
                <w:szCs w:val="20"/>
                <w:color w:val="auto"/>
              </w:rPr>
            </w:pPr>
          </w:p>
        </w:tc>
      </w:tr>
      <w:tr>
        <w:trPr>
          <w:trHeight w:val="648"/>
        </w:trPr>
        <w:tc>
          <w:tcPr>
            <w:tcW w:w="3380" w:type="dxa"/>
            <w:vAlign w:val="bottom"/>
          </w:tcPr>
          <w:p>
            <w:pPr>
              <w:spacing w:after="0"/>
              <w:rPr>
                <w:sz w:val="20"/>
                <w:szCs w:val="20"/>
                <w:color w:val="auto"/>
              </w:rPr>
            </w:pPr>
            <w:r>
              <w:rPr>
                <w:rFonts w:ascii="Arial" w:cs="Arial" w:eastAsia="Arial" w:hAnsi="Arial"/>
                <w:sz w:val="18"/>
                <w:szCs w:val="18"/>
                <w:color w:val="auto"/>
              </w:rPr>
              <w:t>Dated: July 20, 2012</w:t>
            </w:r>
          </w:p>
        </w:tc>
        <w:tc>
          <w:tcPr>
            <w:tcW w:w="2220" w:type="dxa"/>
            <w:vAlign w:val="bottom"/>
          </w:tcPr>
          <w:p>
            <w:pPr>
              <w:ind w:left="1880"/>
              <w:spacing w:after="0"/>
              <w:rPr>
                <w:sz w:val="20"/>
                <w:szCs w:val="20"/>
                <w:color w:val="auto"/>
              </w:rPr>
            </w:pPr>
            <w:r>
              <w:rPr>
                <w:rFonts w:ascii="Arial" w:cs="Arial" w:eastAsia="Arial" w:hAnsi="Arial"/>
                <w:sz w:val="18"/>
                <w:szCs w:val="18"/>
                <w:color w:val="auto"/>
              </w:rPr>
              <w:t>By:</w:t>
            </w:r>
          </w:p>
        </w:tc>
        <w:tc>
          <w:tcPr>
            <w:tcW w:w="240" w:type="dxa"/>
            <w:vAlign w:val="bottom"/>
          </w:tcPr>
          <w:p>
            <w:pPr>
              <w:spacing w:after="0"/>
              <w:rPr>
                <w:sz w:val="24"/>
                <w:szCs w:val="24"/>
                <w:color w:val="auto"/>
              </w:rPr>
            </w:pPr>
          </w:p>
        </w:tc>
        <w:tc>
          <w:tcPr>
            <w:tcW w:w="55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Andrew D. Perlman</w:t>
            </w:r>
          </w:p>
        </w:tc>
      </w:tr>
      <w:tr>
        <w:trPr>
          <w:trHeight w:val="195"/>
        </w:trPr>
        <w:tc>
          <w:tcPr>
            <w:tcW w:w="338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860" w:type="dxa"/>
            <w:vAlign w:val="bottom"/>
          </w:tcPr>
          <w:p>
            <w:pPr>
              <w:ind w:left="80"/>
              <w:spacing w:after="0" w:line="195" w:lineRule="exact"/>
              <w:rPr>
                <w:sz w:val="20"/>
                <w:szCs w:val="20"/>
                <w:color w:val="auto"/>
              </w:rPr>
            </w:pPr>
            <w:r>
              <w:rPr>
                <w:rFonts w:ascii="Arial" w:cs="Arial" w:eastAsia="Arial" w:hAnsi="Arial"/>
                <w:sz w:val="18"/>
                <w:szCs w:val="18"/>
                <w:color w:val="auto"/>
              </w:rPr>
              <w:t>Andrew D. Perlman</w:t>
            </w:r>
          </w:p>
        </w:tc>
      </w:tr>
      <w:tr>
        <w:trPr>
          <w:trHeight w:val="230"/>
        </w:trPr>
        <w:tc>
          <w:tcPr>
            <w:tcW w:w="338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spacing w:after="0"/>
              <w:rPr>
                <w:sz w:val="20"/>
                <w:szCs w:val="20"/>
                <w:color w:val="auto"/>
              </w:rPr>
            </w:pPr>
            <w:r>
              <w:rPr>
                <w:rFonts w:ascii="Arial" w:cs="Arial" w:eastAsia="Arial" w:hAnsi="Arial"/>
                <w:sz w:val="18"/>
                <w:szCs w:val="18"/>
                <w:color w:val="auto"/>
              </w:rPr>
              <w:t>Title:</w:t>
            </w:r>
          </w:p>
        </w:tc>
        <w:tc>
          <w:tcPr>
            <w:tcW w:w="4860" w:type="dxa"/>
            <w:vAlign w:val="bottom"/>
          </w:tcPr>
          <w:p>
            <w:pPr>
              <w:ind w:left="80"/>
              <w:spacing w:after="0"/>
              <w:rPr>
                <w:sz w:val="20"/>
                <w:szCs w:val="20"/>
                <w:color w:val="auto"/>
              </w:rPr>
            </w:pPr>
            <w:r>
              <w:rPr>
                <w:rFonts w:ascii="Arial" w:cs="Arial" w:eastAsia="Arial" w:hAnsi="Arial"/>
                <w:sz w:val="18"/>
                <w:szCs w:val="18"/>
                <w:color w:val="auto"/>
              </w:rPr>
              <w:t>Chief Executive Officer</w:t>
            </w:r>
          </w:p>
        </w:tc>
      </w:tr>
      <w:tr>
        <w:trPr>
          <w:trHeight w:val="648"/>
        </w:trPr>
        <w:tc>
          <w:tcPr>
            <w:tcW w:w="338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720" w:type="dxa"/>
            <w:vAlign w:val="bottom"/>
            <w:tcBorders>
              <w:bottom w:val="single" w:sz="8" w:color="auto"/>
            </w:tcBorders>
          </w:tcPr>
          <w:p>
            <w:pPr>
              <w:spacing w:after="0"/>
              <w:rPr>
                <w:sz w:val="24"/>
                <w:szCs w:val="24"/>
                <w:color w:val="auto"/>
              </w:rPr>
            </w:pPr>
          </w:p>
        </w:tc>
        <w:tc>
          <w:tcPr>
            <w:tcW w:w="48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b w:val="1"/>
          <w:bCs w:val="1"/>
          <w:color w:val="auto"/>
        </w:rPr>
        <w:t>Exhibit 10.1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EMPLOYMENT AGREEMENT</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This EXECUTIVE EMPLOYMENT AGREEMENT (this "</w:t>
      </w:r>
      <w:r>
        <w:rPr>
          <w:rFonts w:ascii="Arial" w:cs="Arial" w:eastAsia="Arial" w:hAnsi="Arial"/>
          <w:sz w:val="18"/>
          <w:szCs w:val="18"/>
          <w:u w:val="single" w:color="auto"/>
          <w:color w:val="auto"/>
        </w:rPr>
        <w:t>Agreement</w:t>
      </w:r>
      <w:r>
        <w:rPr>
          <w:rFonts w:ascii="Arial" w:cs="Arial" w:eastAsia="Arial" w:hAnsi="Arial"/>
          <w:sz w:val="18"/>
          <w:szCs w:val="18"/>
          <w:color w:val="auto"/>
        </w:rPr>
        <w:t>") is made and entered into as of the 22nd day of June, 2011 (the "</w:t>
      </w:r>
      <w:r>
        <w:rPr>
          <w:rFonts w:ascii="Arial" w:cs="Arial" w:eastAsia="Arial" w:hAnsi="Arial"/>
          <w:sz w:val="18"/>
          <w:szCs w:val="18"/>
          <w:u w:val="single" w:color="auto"/>
          <w:color w:val="auto"/>
        </w:rPr>
        <w:t>Effective</w:t>
      </w:r>
      <w:r>
        <w:rPr>
          <w:rFonts w:ascii="Arial" w:cs="Arial" w:eastAsia="Arial" w:hAnsi="Arial"/>
          <w:sz w:val="18"/>
          <w:szCs w:val="18"/>
          <w:color w:val="auto"/>
        </w:rPr>
        <w:t xml:space="preserve"> </w:t>
      </w:r>
      <w:r>
        <w:rPr>
          <w:rFonts w:ascii="Arial" w:cs="Arial" w:eastAsia="Arial" w:hAnsi="Arial"/>
          <w:sz w:val="18"/>
          <w:szCs w:val="18"/>
          <w:u w:val="single" w:color="auto"/>
          <w:color w:val="auto"/>
        </w:rPr>
        <w:t>Date</w:t>
      </w:r>
      <w:r>
        <w:rPr>
          <w:rFonts w:ascii="Arial" w:cs="Arial" w:eastAsia="Arial" w:hAnsi="Arial"/>
          <w:sz w:val="18"/>
          <w:szCs w:val="18"/>
          <w:color w:val="auto"/>
        </w:rPr>
        <w:t>"), by and between Andrew Kennedy Lang an individual residing at the address listed in Exhibit "</w:t>
      </w:r>
      <w:r>
        <w:rPr>
          <w:rFonts w:ascii="Arial" w:cs="Arial" w:eastAsia="Arial" w:hAnsi="Arial"/>
          <w:sz w:val="18"/>
          <w:szCs w:val="18"/>
          <w:u w:val="single" w:color="auto"/>
          <w:color w:val="auto"/>
        </w:rPr>
        <w:t>A</w:t>
      </w:r>
      <w:r>
        <w:rPr>
          <w:rFonts w:ascii="Arial" w:cs="Arial" w:eastAsia="Arial" w:hAnsi="Arial"/>
          <w:sz w:val="18"/>
          <w:szCs w:val="18"/>
          <w:color w:val="auto"/>
        </w:rPr>
        <w:t>" ("</w:t>
      </w:r>
      <w:r>
        <w:rPr>
          <w:rFonts w:ascii="Arial" w:cs="Arial" w:eastAsia="Arial" w:hAnsi="Arial"/>
          <w:sz w:val="18"/>
          <w:szCs w:val="18"/>
          <w:u w:val="single" w:color="auto"/>
          <w:color w:val="auto"/>
        </w:rPr>
        <w:t>Executive</w:t>
      </w:r>
      <w:r>
        <w:rPr>
          <w:rFonts w:ascii="Arial" w:cs="Arial" w:eastAsia="Arial" w:hAnsi="Arial"/>
          <w:sz w:val="18"/>
          <w:szCs w:val="18"/>
          <w:color w:val="auto"/>
        </w:rPr>
        <w:t>") and Labrador Search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w:t>
      </w:r>
    </w:p>
    <w:p>
      <w:pPr>
        <w:spacing w:after="0" w:line="181"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W I T N E S S E T H:</w:t>
      </w:r>
    </w:p>
    <w:p>
      <w:pPr>
        <w:spacing w:after="0" w:line="225" w:lineRule="exact"/>
        <w:rPr>
          <w:sz w:val="20"/>
          <w:szCs w:val="20"/>
          <w:color w:val="auto"/>
        </w:rPr>
      </w:pPr>
    </w:p>
    <w:p>
      <w:pPr>
        <w:jc w:val="both"/>
        <w:ind w:left="20" w:firstLine="622"/>
        <w:spacing w:after="0" w:line="277" w:lineRule="auto"/>
        <w:rPr>
          <w:sz w:val="20"/>
          <w:szCs w:val="20"/>
          <w:color w:val="auto"/>
        </w:rPr>
      </w:pPr>
      <w:r>
        <w:rPr>
          <w:rFonts w:ascii="Arial" w:cs="Arial" w:eastAsia="Arial" w:hAnsi="Arial"/>
          <w:sz w:val="18"/>
          <w:szCs w:val="18"/>
          <w:color w:val="auto"/>
        </w:rPr>
        <w:t>WHEREAS, the Executive desires to be employed by the Company as its Chief Executive Officer under the terms set forth herein and the Company wishes to employ Executive in such capacity;</w:t>
      </w:r>
    </w:p>
    <w:p>
      <w:pPr>
        <w:spacing w:after="0" w:line="170" w:lineRule="exact"/>
        <w:rPr>
          <w:sz w:val="20"/>
          <w:szCs w:val="20"/>
          <w:color w:val="auto"/>
        </w:rPr>
      </w:pPr>
    </w:p>
    <w:p>
      <w:pPr>
        <w:jc w:val="both"/>
        <w:ind w:left="20" w:firstLine="622"/>
        <w:spacing w:after="0" w:line="277" w:lineRule="auto"/>
        <w:rPr>
          <w:sz w:val="20"/>
          <w:szCs w:val="20"/>
          <w:color w:val="auto"/>
        </w:rPr>
      </w:pPr>
      <w:r>
        <w:rPr>
          <w:rFonts w:ascii="Arial" w:cs="Arial" w:eastAsia="Arial" w:hAnsi="Arial"/>
          <w:sz w:val="18"/>
          <w:szCs w:val="18"/>
          <w:color w:val="auto"/>
        </w:rPr>
        <w:t>NOW, THEREFORE, in consideration of the foregoing recitals and the respective covenants and agreements of the parties contained in this document, the Company and Executive hereby agree as follows:</w:t>
      </w:r>
    </w:p>
    <w:p>
      <w:pPr>
        <w:spacing w:after="0" w:line="170" w:lineRule="exact"/>
        <w:rPr>
          <w:sz w:val="20"/>
          <w:szCs w:val="20"/>
          <w:color w:val="auto"/>
        </w:rPr>
      </w:pPr>
    </w:p>
    <w:p>
      <w:pPr>
        <w:jc w:val="both"/>
        <w:ind w:firstLine="656"/>
        <w:spacing w:after="0" w:line="257" w:lineRule="auto"/>
        <w:tabs>
          <w:tab w:leader="none" w:pos="1301"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t>Employment and Duties</w:t>
      </w:r>
      <w:r>
        <w:rPr>
          <w:rFonts w:ascii="Arial" w:cs="Arial" w:eastAsia="Arial" w:hAnsi="Arial"/>
          <w:sz w:val="18"/>
          <w:szCs w:val="18"/>
          <w:color w:val="auto"/>
        </w:rPr>
        <w:t>. The Company agrees to employ and Executive agrees to serve as the Chief Executive Officer ("</w:t>
      </w:r>
      <w:r>
        <w:rPr>
          <w:rFonts w:ascii="Arial" w:cs="Arial" w:eastAsia="Arial" w:hAnsi="Arial"/>
          <w:sz w:val="18"/>
          <w:szCs w:val="18"/>
          <w:u w:val="single" w:color="auto"/>
          <w:color w:val="auto"/>
        </w:rPr>
        <w:t>CEO</w:t>
      </w:r>
      <w:r>
        <w:rPr>
          <w:rFonts w:ascii="Arial" w:cs="Arial" w:eastAsia="Arial" w:hAnsi="Arial"/>
          <w:sz w:val="18"/>
          <w:szCs w:val="18"/>
          <w:color w:val="auto"/>
        </w:rPr>
        <w:t>") and, until such time as the Company hires a full-time employee to serve as its Chief Technology Officer ("</w:t>
      </w:r>
      <w:r>
        <w:rPr>
          <w:rFonts w:ascii="Arial" w:cs="Arial" w:eastAsia="Arial" w:hAnsi="Arial"/>
          <w:sz w:val="18"/>
          <w:szCs w:val="18"/>
          <w:u w:val="single" w:color="auto"/>
          <w:color w:val="auto"/>
        </w:rPr>
        <w:t>CTO</w:t>
      </w:r>
      <w:r>
        <w:rPr>
          <w:rFonts w:ascii="Arial" w:cs="Arial" w:eastAsia="Arial" w:hAnsi="Arial"/>
          <w:sz w:val="18"/>
          <w:szCs w:val="18"/>
          <w:color w:val="auto"/>
        </w:rPr>
        <w:t>"), the CTO. The duties and responsibilities of Executive shall include the duties and responsibilities normally associated with such positions and such other duties and responsibilities consistent with such positions as the Board may from time to time reasonably assign to Executive. At all times during the Employment Period, the Executive shall report directly to the Company's Board of Directors (the "</w:t>
      </w:r>
      <w:r>
        <w:rPr>
          <w:rFonts w:ascii="Arial" w:cs="Arial" w:eastAsia="Arial" w:hAnsi="Arial"/>
          <w:sz w:val="18"/>
          <w:szCs w:val="18"/>
          <w:u w:val="single" w:color="auto"/>
          <w:color w:val="auto"/>
        </w:rPr>
        <w:t>Board</w:t>
      </w:r>
      <w:r>
        <w:rPr>
          <w:rFonts w:ascii="Arial" w:cs="Arial" w:eastAsia="Arial" w:hAnsi="Arial"/>
          <w:sz w:val="18"/>
          <w:szCs w:val="18"/>
          <w:color w:val="auto"/>
        </w:rPr>
        <w:t>").</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addition, the Company agrees that Executive shall serve as a member of the Board at all times during the Employment Period.</w:t>
      </w:r>
    </w:p>
    <w:p>
      <w:pPr>
        <w:spacing w:after="0" w:line="225" w:lineRule="exact"/>
        <w:rPr>
          <w:sz w:val="20"/>
          <w:szCs w:val="20"/>
          <w:color w:val="auto"/>
        </w:rPr>
      </w:pPr>
    </w:p>
    <w:p>
      <w:pPr>
        <w:jc w:val="both"/>
        <w:ind w:left="60" w:right="100" w:firstLine="639"/>
        <w:spacing w:after="0" w:line="284" w:lineRule="auto"/>
        <w:rPr>
          <w:sz w:val="20"/>
          <w:szCs w:val="20"/>
          <w:color w:val="auto"/>
        </w:rPr>
      </w:pPr>
      <w:r>
        <w:rPr>
          <w:rFonts w:ascii="Arial" w:cs="Arial" w:eastAsia="Arial" w:hAnsi="Arial"/>
          <w:sz w:val="16"/>
          <w:szCs w:val="16"/>
          <w:color w:val="auto"/>
        </w:rPr>
        <w:t>Executive shall devote substantially all of his working time and efforts during the Company's normal business hours to the business and affairs of the Company and its subsidiaries and to the diligent and faithful performance of the duties and responsibilities duly assigned to him pursuant to this Agreement. Notwithstanding the foregoing, nothing herein shall preclude Executive from (i) performing services for such other company as the Company may designate or permit, (ii) serving, with the prior written consent of the Board, as a member of the boards of directors or advisory boards (or their equivalents in the case of a non-corporate entity) of non-competing businesses and charitable organizations, (iii) engaging in charitable activities and community affairs, and (iv) managing Executive's personal investments and affairs; provided, however, that the activities set out in clauses (i), (ii), (iii) and</w:t>
      </w:r>
    </w:p>
    <w:p>
      <w:pPr>
        <w:spacing w:after="0" w:line="5" w:lineRule="exact"/>
        <w:rPr>
          <w:sz w:val="20"/>
          <w:szCs w:val="20"/>
          <w:color w:val="auto"/>
        </w:rPr>
      </w:pPr>
    </w:p>
    <w:p>
      <w:pPr>
        <w:ind w:left="60" w:right="120" w:hanging="9"/>
        <w:spacing w:after="0" w:line="261" w:lineRule="auto"/>
        <w:tabs>
          <w:tab w:leader="none" w:pos="397" w:val="left"/>
        </w:tabs>
        <w:numPr>
          <w:ilvl w:val="0"/>
          <w:numId w:val="6"/>
        </w:numPr>
        <w:rPr>
          <w:rFonts w:ascii="Arial" w:cs="Arial" w:eastAsia="Arial" w:hAnsi="Arial"/>
          <w:sz w:val="18"/>
          <w:szCs w:val="18"/>
          <w:color w:val="auto"/>
        </w:rPr>
      </w:pPr>
      <w:r>
        <w:rPr>
          <w:rFonts w:ascii="Arial" w:cs="Arial" w:eastAsia="Arial" w:hAnsi="Arial"/>
          <w:sz w:val="18"/>
          <w:szCs w:val="18"/>
          <w:color w:val="auto"/>
        </w:rPr>
        <w:t>shall be limited by Executive so as not to materially interfere, individually or in the aggregate, with the performance of Executive's duties and responsibilities hereunder.</w:t>
      </w:r>
    </w:p>
    <w:p>
      <w:pPr>
        <w:spacing w:after="0" w:line="183" w:lineRule="exact"/>
        <w:rPr>
          <w:rFonts w:ascii="Arial" w:cs="Arial" w:eastAsia="Arial" w:hAnsi="Arial"/>
          <w:sz w:val="18"/>
          <w:szCs w:val="18"/>
          <w:color w:val="auto"/>
        </w:rPr>
      </w:pPr>
    </w:p>
    <w:p>
      <w:pPr>
        <w:jc w:val="both"/>
        <w:ind w:firstLine="656"/>
        <w:spacing w:after="0" w:line="297" w:lineRule="auto"/>
        <w:tabs>
          <w:tab w:leader="none" w:pos="1436" w:val="left"/>
        </w:tabs>
        <w:numPr>
          <w:ilvl w:val="1"/>
          <w:numId w:val="6"/>
        </w:numPr>
        <w:rPr>
          <w:rFonts w:ascii="Arial" w:cs="Arial" w:eastAsia="Arial" w:hAnsi="Arial"/>
          <w:sz w:val="16"/>
          <w:szCs w:val="16"/>
          <w:color w:val="auto"/>
        </w:rPr>
      </w:pPr>
      <w:r>
        <w:rPr>
          <w:rFonts w:ascii="Arial" w:cs="Arial" w:eastAsia="Arial" w:hAnsi="Arial"/>
          <w:sz w:val="16"/>
          <w:szCs w:val="16"/>
          <w:u w:val="single" w:color="auto"/>
          <w:color w:val="auto"/>
        </w:rPr>
        <w:t>Term</w:t>
      </w:r>
      <w:r>
        <w:rPr>
          <w:rFonts w:ascii="Arial" w:cs="Arial" w:eastAsia="Arial" w:hAnsi="Arial"/>
          <w:sz w:val="16"/>
          <w:szCs w:val="16"/>
          <w:color w:val="auto"/>
        </w:rPr>
        <w:t>. The term of this Agreement shall commence on the Effective Date and continue for a period of eighteen (18) months. It is the intention of the parties to negotiate and enter into a new employment agreement prior to the expiration of the Employment Period (defined below), but to the extent a new agreement is not executed within such time frame, this Agreement shall be automatically renewed for successive one year periods unless either party provides the other party with written notice of his or its intention not to renew this Agreement at least three months prior to the expiration of the initial term or any renewal term of this Agreement. "</w:t>
      </w:r>
      <w:r>
        <w:rPr>
          <w:rFonts w:ascii="Arial" w:cs="Arial" w:eastAsia="Arial" w:hAnsi="Arial"/>
          <w:sz w:val="16"/>
          <w:szCs w:val="16"/>
          <w:u w:val="single" w:color="auto"/>
          <w:color w:val="auto"/>
        </w:rPr>
        <w:t>Employment Period</w:t>
      </w:r>
      <w:r>
        <w:rPr>
          <w:rFonts w:ascii="Arial" w:cs="Arial" w:eastAsia="Arial" w:hAnsi="Arial"/>
          <w:sz w:val="16"/>
          <w:szCs w:val="16"/>
          <w:color w:val="auto"/>
        </w:rPr>
        <w:t>" shall mean the initial eighteen (18) month term plus renewals, if any.</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6" w:name="page7"/>
    <w:bookmarkEnd w:id="6"/>
    <w:p>
      <w:pPr>
        <w:jc w:val="both"/>
        <w:ind w:firstLine="656"/>
        <w:spacing w:after="0" w:line="259" w:lineRule="auto"/>
        <w:tabs>
          <w:tab w:leader="none" w:pos="1247"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Place of Employment</w:t>
      </w:r>
      <w:r>
        <w:rPr>
          <w:rFonts w:ascii="Arial" w:cs="Arial" w:eastAsia="Arial" w:hAnsi="Arial"/>
          <w:sz w:val="18"/>
          <w:szCs w:val="18"/>
          <w:color w:val="auto"/>
        </w:rPr>
        <w:t>. Executive's services shall be performed at the Company's offices located at 120 Broadway, 40th Floor, New York and any other locus where the Company and Executive mutually agree is an acceptable location from which Executive's services may be performed. The parties acknowledge that any location in the Borough of Manhattan, City of New York, is an acceptable location. The parties further acknowledge, however, that Executive may be required to travel in connection with the performance of his duties hereunder.</w:t>
      </w:r>
    </w:p>
    <w:p>
      <w:pPr>
        <w:spacing w:after="0" w:line="186" w:lineRule="exact"/>
        <w:rPr>
          <w:rFonts w:ascii="Arial" w:cs="Arial" w:eastAsia="Arial" w:hAnsi="Arial"/>
          <w:sz w:val="18"/>
          <w:szCs w:val="18"/>
          <w:color w:val="auto"/>
        </w:rPr>
      </w:pPr>
    </w:p>
    <w:p>
      <w:pPr>
        <w:jc w:val="both"/>
        <w:ind w:firstLine="656"/>
        <w:spacing w:after="0" w:line="254" w:lineRule="auto"/>
        <w:tabs>
          <w:tab w:leader="none" w:pos="1382"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Base Salary</w:t>
      </w:r>
      <w:r>
        <w:rPr>
          <w:rFonts w:ascii="Arial" w:cs="Arial" w:eastAsia="Arial" w:hAnsi="Arial"/>
          <w:sz w:val="18"/>
          <w:szCs w:val="18"/>
          <w:color w:val="auto"/>
        </w:rPr>
        <w:t>. For all services to be rendered by Executive pursuant to this Agreement, the Company agrees to pay Executive during the Employment Period an initial base salary (the "</w:t>
      </w:r>
      <w:r>
        <w:rPr>
          <w:rFonts w:ascii="Arial" w:cs="Arial" w:eastAsia="Arial" w:hAnsi="Arial"/>
          <w:sz w:val="18"/>
          <w:szCs w:val="18"/>
          <w:u w:val="single" w:color="auto"/>
          <w:color w:val="auto"/>
        </w:rPr>
        <w:t>Base Salary</w:t>
      </w:r>
      <w:r>
        <w:rPr>
          <w:rFonts w:ascii="Arial" w:cs="Arial" w:eastAsia="Arial" w:hAnsi="Arial"/>
          <w:sz w:val="18"/>
          <w:szCs w:val="18"/>
          <w:color w:val="auto"/>
        </w:rPr>
        <w:t>") at an annual rate of $100,000.00. The Base Salary shall be paid in periodic installments in accordance with the Company's regular payroll practices. The Base Salary shall be increased (a) to $250,000.00 in the event the Company successfully completes a private placement of its securities in which the Company realizes net proceeds of at least $2 million (excluding any proceeds from any parties listed in Exhibit "</w:t>
      </w:r>
      <w:r>
        <w:rPr>
          <w:rFonts w:ascii="Arial" w:cs="Arial" w:eastAsia="Arial" w:hAnsi="Arial"/>
          <w:sz w:val="18"/>
          <w:szCs w:val="18"/>
          <w:u w:val="single" w:color="auto"/>
          <w:color w:val="auto"/>
        </w:rPr>
        <w:t>B</w:t>
      </w:r>
      <w:r>
        <w:rPr>
          <w:rFonts w:ascii="Arial" w:cs="Arial" w:eastAsia="Arial" w:hAnsi="Arial"/>
          <w:sz w:val="18"/>
          <w:szCs w:val="18"/>
          <w:color w:val="auto"/>
        </w:rPr>
        <w:t>") (the "</w:t>
      </w:r>
      <w:r>
        <w:rPr>
          <w:rFonts w:ascii="Arial" w:cs="Arial" w:eastAsia="Arial" w:hAnsi="Arial"/>
          <w:sz w:val="18"/>
          <w:szCs w:val="18"/>
          <w:u w:val="single" w:color="auto"/>
          <w:color w:val="auto"/>
        </w:rPr>
        <w:t>Private Placement</w:t>
      </w:r>
      <w:r>
        <w:rPr>
          <w:rFonts w:ascii="Arial" w:cs="Arial" w:eastAsia="Arial" w:hAnsi="Arial"/>
          <w:sz w:val="18"/>
          <w:szCs w:val="18"/>
          <w:color w:val="auto"/>
        </w:rPr>
        <w:t>"), and (b) to $385,000 in the event that (i) the Company successfully completes an initial public offering of its securities (the "</w:t>
      </w:r>
      <w:r>
        <w:rPr>
          <w:rFonts w:ascii="Arial" w:cs="Arial" w:eastAsia="Arial" w:hAnsi="Arial"/>
          <w:sz w:val="18"/>
          <w:szCs w:val="18"/>
          <w:u w:val="single" w:color="auto"/>
          <w:color w:val="auto"/>
        </w:rPr>
        <w:t>IPO</w:t>
      </w:r>
      <w:r>
        <w:rPr>
          <w:rFonts w:ascii="Arial" w:cs="Arial" w:eastAsia="Arial" w:hAnsi="Arial"/>
          <w:sz w:val="18"/>
          <w:szCs w:val="18"/>
          <w:color w:val="auto"/>
        </w:rPr>
        <w:t>") and (ii) the Company realizes net proceeds of at least $7 million from the sum of the Private Placement and the IPO (excluding any proceeds received from any parties listed in Exhibit "</w:t>
      </w:r>
      <w:r>
        <w:rPr>
          <w:rFonts w:ascii="Arial" w:cs="Arial" w:eastAsia="Arial" w:hAnsi="Arial"/>
          <w:sz w:val="18"/>
          <w:szCs w:val="18"/>
          <w:u w:val="single" w:color="auto"/>
          <w:color w:val="auto"/>
        </w:rPr>
        <w:t>B</w:t>
      </w:r>
      <w:r>
        <w:rPr>
          <w:rFonts w:ascii="Arial" w:cs="Arial" w:eastAsia="Arial" w:hAnsi="Arial"/>
          <w:sz w:val="18"/>
          <w:szCs w:val="18"/>
          <w:color w:val="auto"/>
        </w:rPr>
        <w:t>"). Such increases shall take effect immediately as of the consummation of the Private Placement and the IPO, as the case may be.</w:t>
      </w:r>
    </w:p>
    <w:p>
      <w:pPr>
        <w:spacing w:after="0" w:line="19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Compensation Committee (the "</w:t>
      </w:r>
      <w:r>
        <w:rPr>
          <w:rFonts w:ascii="Arial" w:cs="Arial" w:eastAsia="Arial" w:hAnsi="Arial"/>
          <w:sz w:val="18"/>
          <w:szCs w:val="18"/>
          <w:u w:val="single" w:color="auto"/>
          <w:color w:val="auto"/>
        </w:rPr>
        <w:t>Compensation Committee</w:t>
      </w:r>
      <w:r>
        <w:rPr>
          <w:rFonts w:ascii="Arial" w:cs="Arial" w:eastAsia="Arial" w:hAnsi="Arial"/>
          <w:sz w:val="18"/>
          <w:szCs w:val="18"/>
          <w:color w:val="auto"/>
        </w:rPr>
        <w:t>") of the Board (or by the independent members of the Board, if there is no Compensation Committee) shall review the Executive's Base Salary annually after the conclusion of the initial eighteen (18) month term and shall make a recommendation to the Board as to whether such Base Salary should be increased. The determination of whether to increase the Base Salary shall be within the Board's sole discretion.</w:t>
      </w:r>
    </w:p>
    <w:p>
      <w:pPr>
        <w:spacing w:after="0" w:line="187" w:lineRule="exact"/>
        <w:rPr>
          <w:sz w:val="20"/>
          <w:szCs w:val="20"/>
          <w:color w:val="auto"/>
        </w:rPr>
      </w:pPr>
    </w:p>
    <w:p>
      <w:pPr>
        <w:jc w:val="both"/>
        <w:ind w:firstLine="656"/>
        <w:spacing w:after="0" w:line="259" w:lineRule="auto"/>
        <w:tabs>
          <w:tab w:leader="none" w:pos="1409"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Bonuses</w:t>
      </w:r>
      <w:r>
        <w:rPr>
          <w:rFonts w:ascii="Arial" w:cs="Arial" w:eastAsia="Arial" w:hAnsi="Arial"/>
          <w:sz w:val="18"/>
          <w:szCs w:val="18"/>
          <w:color w:val="auto"/>
        </w:rPr>
        <w:t>. During the Employment Period, the Executive shall be eligible to receive an annual performance-based bonus (the "</w:t>
      </w:r>
      <w:r>
        <w:rPr>
          <w:rFonts w:ascii="Arial" w:cs="Arial" w:eastAsia="Arial" w:hAnsi="Arial"/>
          <w:sz w:val="18"/>
          <w:szCs w:val="18"/>
          <w:u w:val="single" w:color="auto"/>
          <w:color w:val="auto"/>
        </w:rPr>
        <w:t>Bonus</w:t>
      </w:r>
      <w:r>
        <w:rPr>
          <w:rFonts w:ascii="Arial" w:cs="Arial" w:eastAsia="Arial" w:hAnsi="Arial"/>
          <w:sz w:val="18"/>
          <w:szCs w:val="18"/>
          <w:color w:val="auto"/>
        </w:rPr>
        <w:t>"), which shall be based upon the achievement of Company and individual objectives established by the Compensation Committee (or the independent members of the Board, if there is no Compensation Committee) after consultation with the Executive. Bonus determinations shall be made at the end of each calendar year during the Employment Period and paid on or before March 15 of the following year.</w:t>
      </w:r>
    </w:p>
    <w:p>
      <w:pPr>
        <w:spacing w:after="0" w:line="186" w:lineRule="exact"/>
        <w:rPr>
          <w:rFonts w:ascii="Arial" w:cs="Arial" w:eastAsia="Arial" w:hAnsi="Arial"/>
          <w:sz w:val="18"/>
          <w:szCs w:val="18"/>
          <w:color w:val="auto"/>
        </w:rPr>
      </w:pPr>
    </w:p>
    <w:p>
      <w:pPr>
        <w:jc w:val="both"/>
        <w:ind w:firstLine="656"/>
        <w:spacing w:after="0" w:line="288" w:lineRule="auto"/>
        <w:tabs>
          <w:tab w:leader="none" w:pos="1314" w:val="left"/>
        </w:tabs>
        <w:numPr>
          <w:ilvl w:val="0"/>
          <w:numId w:val="8"/>
        </w:numPr>
        <w:rPr>
          <w:rFonts w:ascii="Arial" w:cs="Arial" w:eastAsia="Arial" w:hAnsi="Arial"/>
          <w:sz w:val="16"/>
          <w:szCs w:val="16"/>
          <w:color w:val="auto"/>
        </w:rPr>
      </w:pPr>
      <w:r>
        <w:rPr>
          <w:rFonts w:ascii="Arial" w:cs="Arial" w:eastAsia="Arial" w:hAnsi="Arial"/>
          <w:sz w:val="16"/>
          <w:szCs w:val="16"/>
          <w:u w:val="single" w:color="auto"/>
          <w:color w:val="auto"/>
        </w:rPr>
        <w:t>Expenses</w:t>
      </w:r>
      <w:r>
        <w:rPr>
          <w:rFonts w:ascii="Arial" w:cs="Arial" w:eastAsia="Arial" w:hAnsi="Arial"/>
          <w:sz w:val="16"/>
          <w:szCs w:val="16"/>
          <w:color w:val="auto"/>
        </w:rPr>
        <w:t>. Executive shall be entitled to prompt reimbursement by the Company for the costs and expenses incurred by Executive and his family in connection with his relocation to New York City, up to a maximum accrued amount of $30,000 including, without limitation, moving charges, shipping and storage costs, temporary housing (if any), airfare, and costs associated with actual lease termination. Executive shall provide the Board and/or its designees with appropriate backup documentation reflecting such expenses prior to being reimbursed. Executive shall also be entitled to reimbursement for all reasonable ordinary and necessary travel, entertainment, and other expenses incurred by Executive while employed (in accordance with the policies and procedures established by the Company for its senior executive officers) in the performance of his duties and responsibilities under this Agreement; provided, that Executive shall properly account for such expenses in accordance with Company policies and procedures. In connection with his duties and responsibilities, the Company shall cause a credit card to be issued to Executive to be used by the Executive in a manner consistent with the performance of his duties and Company policies and procedures. The Executive shall be responsible for any charges made to the credit card that are deemed by the Board of Directors to be inconsistent with the performance of his duties and Company policies and procedures.</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7" w:name="page8"/>
    <w:bookmarkEnd w:id="7"/>
    <w:p>
      <w:pPr>
        <w:ind w:left="1240" w:hanging="584"/>
        <w:spacing w:after="0"/>
        <w:tabs>
          <w:tab w:leader="none" w:pos="1240"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Other Benefits and Indemnification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1268"/>
        <w:spacing w:after="0" w:line="259" w:lineRule="auto"/>
        <w:tabs>
          <w:tab w:leader="none" w:pos="1770" w:val="left"/>
        </w:tabs>
        <w:numPr>
          <w:ilvl w:val="1"/>
          <w:numId w:val="9"/>
        </w:numPr>
        <w:rPr>
          <w:rFonts w:ascii="Arial" w:cs="Arial" w:eastAsia="Arial" w:hAnsi="Arial"/>
          <w:sz w:val="18"/>
          <w:szCs w:val="18"/>
          <w:color w:val="auto"/>
        </w:rPr>
      </w:pPr>
      <w:r>
        <w:rPr>
          <w:rFonts w:ascii="Arial" w:cs="Arial" w:eastAsia="Arial" w:hAnsi="Arial"/>
          <w:sz w:val="18"/>
          <w:szCs w:val="18"/>
          <w:color w:val="auto"/>
        </w:rPr>
        <w:t>During the term of this Agreement, the Executive shall be eligible to participate in all incentive, savings, retirement (401(k)), and welfare benefit plans, health, medical, dental, vision, life (including accidental death and dismemberment) and disability insurance plans (collectively, to the extent they exist "</w:t>
      </w:r>
      <w:r>
        <w:rPr>
          <w:rFonts w:ascii="Arial" w:cs="Arial" w:eastAsia="Arial" w:hAnsi="Arial"/>
          <w:sz w:val="18"/>
          <w:szCs w:val="18"/>
          <w:u w:val="single" w:color="auto"/>
          <w:color w:val="auto"/>
        </w:rPr>
        <w:t>Benefit Plans</w:t>
      </w:r>
      <w:r>
        <w:rPr>
          <w:rFonts w:ascii="Arial" w:cs="Arial" w:eastAsia="Arial" w:hAnsi="Arial"/>
          <w:sz w:val="18"/>
          <w:szCs w:val="18"/>
          <w:color w:val="auto"/>
        </w:rPr>
        <w:t>"), in substantially the same manner and at substantially the same levels as the Company makes such opportunities available to the Company's executive employees.</w:t>
      </w:r>
    </w:p>
    <w:p>
      <w:pPr>
        <w:spacing w:after="0" w:line="186" w:lineRule="exact"/>
        <w:rPr>
          <w:rFonts w:ascii="Arial" w:cs="Arial" w:eastAsia="Arial" w:hAnsi="Arial"/>
          <w:sz w:val="18"/>
          <w:szCs w:val="18"/>
          <w:color w:val="auto"/>
        </w:rPr>
      </w:pPr>
    </w:p>
    <w:p>
      <w:pPr>
        <w:jc w:val="both"/>
        <w:ind w:firstLine="1268"/>
        <w:spacing w:after="0" w:line="286" w:lineRule="auto"/>
        <w:tabs>
          <w:tab w:leader="none" w:pos="1714" w:val="left"/>
        </w:tabs>
        <w:numPr>
          <w:ilvl w:val="1"/>
          <w:numId w:val="9"/>
        </w:numPr>
        <w:rPr>
          <w:rFonts w:ascii="Arial" w:cs="Arial" w:eastAsia="Arial" w:hAnsi="Arial"/>
          <w:sz w:val="16"/>
          <w:szCs w:val="16"/>
          <w:color w:val="auto"/>
        </w:rPr>
      </w:pPr>
      <w:r>
        <w:rPr>
          <w:rFonts w:ascii="Arial" w:cs="Arial" w:eastAsia="Arial" w:hAnsi="Arial"/>
          <w:sz w:val="16"/>
          <w:szCs w:val="16"/>
          <w:color w:val="auto"/>
        </w:rPr>
        <w:t>The Company hereby covenants and agrees to indemnify Executive and hold Executive harmless fully, completely, and absolutely (to the maximum extent allowed by law) against and in respect to any and all threatened or actual actions, suits, proceedings, claims, demands, investigations, judgments, costs, expenses (including settlement and/or reasonable attorney's fees), losses, and damages resulting from (1) the fact that Executive is or was a director, officer, employee, or manager of the Company, or (2) Executive's good faith performance of his duties and obligations under the terms of this Agreement. The indemnification obligations set forth herein apply regardless of the nature of the legal matter (i.e., whether it is civil, criminal, administrative, investigative, appellate or other). Reasonable costs and expenses incurred by Executive in defense of any such litigation (including reasonable attorneys' fees) shall be paid by the Company as they are incurred and in advance of the final disposition of such litigation upon receipt by the Company of (i) a written request for payment and (ii) appropriate documentation evidencing the incurrence, amount and nature of the costs and expenses for which payment is being sought. In addition to the above, prior to the closing of the Private Placement, the Company shall maintain an insurance policy or policies providing liability insurance for directors, officers, employees, agents or fiduciaries of the Company or of any other corporation, partnership, joint venture, trust, employee benefit plan or other trust or other enterprise which such person serves at the request of the Company, Executive shall be covered by such policy or policies in accordance with its or their terms to the maximum extent of the coverage available for any such director, officer, employee or agent under such policy or policies. Such indemnification set forth herein shall continue as to the Executive even if he has ceased to be a director, member, employee or manager of the Company and shall inure to the benefit of the Executive's heirs, executors and administrators. Executive also shall be entitled to the indemnification protection afforded under the Company's by-laws or articles of organization, as applicable.</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8" w:name="page9"/>
    <w:bookmarkEnd w:id="8"/>
    <w:p>
      <w:pPr>
        <w:jc w:val="both"/>
        <w:ind w:firstLine="656"/>
        <w:spacing w:after="0" w:line="264" w:lineRule="auto"/>
        <w:tabs>
          <w:tab w:leader="none" w:pos="1422"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Vacation</w:t>
      </w:r>
      <w:r>
        <w:rPr>
          <w:rFonts w:ascii="Arial" w:cs="Arial" w:eastAsia="Arial" w:hAnsi="Arial"/>
          <w:sz w:val="18"/>
          <w:szCs w:val="18"/>
          <w:color w:val="auto"/>
        </w:rPr>
        <w:t>. During the term of this Agreement, the Executive shall be entitled to accrue, on a pro rata quarterly basis, twenty (20) paid vacation days per year. Vacation shall be taken at such times as are mutually convenient to the Executive and the Company. The Executive shall be entitled to carry over any accrued, unused vacation days from year to year.</w:t>
      </w:r>
    </w:p>
    <w:p>
      <w:pPr>
        <w:spacing w:after="0" w:line="181" w:lineRule="exact"/>
        <w:rPr>
          <w:rFonts w:ascii="Arial" w:cs="Arial" w:eastAsia="Arial" w:hAnsi="Arial"/>
          <w:sz w:val="18"/>
          <w:szCs w:val="18"/>
          <w:color w:val="auto"/>
        </w:rPr>
      </w:pPr>
    </w:p>
    <w:p>
      <w:pPr>
        <w:ind w:left="1240" w:hanging="584"/>
        <w:spacing w:after="0"/>
        <w:tabs>
          <w:tab w:leader="none" w:pos="1240"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Termination of Employment</w:t>
      </w:r>
      <w:r>
        <w:rPr>
          <w:rFonts w:ascii="Arial" w:cs="Arial" w:eastAsia="Arial" w:hAnsi="Arial"/>
          <w:sz w:val="18"/>
          <w:szCs w:val="18"/>
          <w:color w:val="auto"/>
        </w:rPr>
        <w:t>.</w:t>
      </w:r>
    </w:p>
    <w:p>
      <w:pPr>
        <w:spacing w:after="0" w:line="225" w:lineRule="exact"/>
        <w:rPr>
          <w:sz w:val="20"/>
          <w:szCs w:val="20"/>
          <w:color w:val="auto"/>
        </w:rPr>
      </w:pPr>
    </w:p>
    <w:p>
      <w:pPr>
        <w:jc w:val="both"/>
        <w:ind w:left="20" w:firstLine="623"/>
        <w:spacing w:after="0" w:line="271" w:lineRule="auto"/>
        <w:tabs>
          <w:tab w:leader="none" w:pos="1067" w:val="left"/>
        </w:tabs>
        <w:numPr>
          <w:ilvl w:val="0"/>
          <w:numId w:val="11"/>
        </w:numPr>
        <w:rPr>
          <w:rFonts w:ascii="Arial" w:cs="Arial" w:eastAsia="Arial" w:hAnsi="Arial"/>
          <w:sz w:val="17"/>
          <w:szCs w:val="17"/>
          <w:color w:val="auto"/>
        </w:rPr>
      </w:pPr>
      <w:r>
        <w:rPr>
          <w:rFonts w:ascii="Arial" w:cs="Arial" w:eastAsia="Arial" w:hAnsi="Arial"/>
          <w:sz w:val="17"/>
          <w:szCs w:val="17"/>
          <w:u w:val="single" w:color="auto"/>
          <w:color w:val="auto"/>
        </w:rPr>
        <w:t>General</w:t>
      </w:r>
      <w:r>
        <w:rPr>
          <w:rFonts w:ascii="Arial" w:cs="Arial" w:eastAsia="Arial" w:hAnsi="Arial"/>
          <w:sz w:val="17"/>
          <w:szCs w:val="17"/>
          <w:color w:val="auto"/>
        </w:rPr>
        <w:t>. The Employment Period shall terminate upon the earliest to occur of: (i) Executive's death, (ii) a termination by reason of Executive's Disability, (iii) a termination by the Company with or without Cause, (iv) a termination by Employee with or without Good Reason, or (vi) the Company's or Executive's election not to renew the Employment Period. Notwithstanding anything herein to the contrary, the payment (or commencement of a series of payments) hereunder of any nonqualified deferred compensation (within the meaning of Section 409A of the Internal Revenue Code, (the “</w:t>
      </w:r>
      <w:r>
        <w:rPr>
          <w:rFonts w:ascii="Arial" w:cs="Arial" w:eastAsia="Arial" w:hAnsi="Arial"/>
          <w:sz w:val="17"/>
          <w:szCs w:val="17"/>
          <w:u w:val="single" w:color="auto"/>
          <w:color w:val="auto"/>
        </w:rPr>
        <w:t>Code</w:t>
      </w:r>
      <w:r>
        <w:rPr>
          <w:rFonts w:ascii="Arial" w:cs="Arial" w:eastAsia="Arial" w:hAnsi="Arial"/>
          <w:sz w:val="17"/>
          <w:szCs w:val="17"/>
          <w:color w:val="auto"/>
        </w:rPr>
        <w:t>”)) upon a termination of employment shall be delayed until such time as Executive has also undergone a "separation from service" as defined in Treas. Reg. 1.409A-1(h), at which time such nonqualified deferred compensation (calculated as of the date of Executive's termination of employment hereunder) shall be paid (or commence to be paid) to Executive on the schedule set forth in this Section 9 as if Executive had undergone such termination of employment (under the same circumstances) on the date of Executive's ultimate "separation from service."</w:t>
      </w:r>
    </w:p>
    <w:p>
      <w:pPr>
        <w:spacing w:after="0" w:line="178" w:lineRule="exact"/>
        <w:rPr>
          <w:rFonts w:ascii="Arial" w:cs="Arial" w:eastAsia="Arial" w:hAnsi="Arial"/>
          <w:sz w:val="17"/>
          <w:szCs w:val="17"/>
          <w:color w:val="auto"/>
        </w:rPr>
      </w:pPr>
    </w:p>
    <w:p>
      <w:pPr>
        <w:jc w:val="both"/>
        <w:ind w:left="20" w:firstLine="623"/>
        <w:spacing w:after="0" w:line="271" w:lineRule="auto"/>
        <w:tabs>
          <w:tab w:leader="none" w:pos="1293" w:val="left"/>
        </w:tabs>
        <w:numPr>
          <w:ilvl w:val="0"/>
          <w:numId w:val="11"/>
        </w:numPr>
        <w:rPr>
          <w:rFonts w:ascii="Arial" w:cs="Arial" w:eastAsia="Arial" w:hAnsi="Arial"/>
          <w:sz w:val="17"/>
          <w:szCs w:val="17"/>
          <w:color w:val="auto"/>
        </w:rPr>
      </w:pPr>
      <w:r>
        <w:rPr>
          <w:rFonts w:ascii="Arial" w:cs="Arial" w:eastAsia="Arial" w:hAnsi="Arial"/>
          <w:sz w:val="17"/>
          <w:szCs w:val="17"/>
          <w:u w:val="single" w:color="auto"/>
          <w:color w:val="auto"/>
        </w:rPr>
        <w:t>Death</w:t>
      </w:r>
      <w:r>
        <w:rPr>
          <w:rFonts w:ascii="Arial" w:cs="Arial" w:eastAsia="Arial" w:hAnsi="Arial"/>
          <w:sz w:val="17"/>
          <w:szCs w:val="17"/>
          <w:color w:val="auto"/>
        </w:rPr>
        <w:t>. If Executive dies during the Employment Period, this Agreement and the Executive's employment with the Company shall automatically terminate and the Company shall have no further obligations to the Executive or his heirs, administrators or executors with respect to compensation and benefits accruing thereafter, except for the obligation to pay to the Executive's heirs, administrators or executors (i) any earned but unpaid Base Salary up to and through the date of termination, (ii) any accrued but unused vacation pay, (iii) any unpaid declared Bonus, (iv) any and all reasonable expenses paid or incurred by the Executive in connection with and related to the performance of his duties and responsibilities for the Company up to and through the date of termination, and (v) any benefits provided under the Company's employee benefit plans pursuant to, and in accordance with, the terms of such plans through the date of termination (collectively, the "Accrued Obligations"). The Company shall deduct, from all payments made hereunder, all applicable taxes, including income tax, FICA and FUTA, and other appropriate deductions.</w:t>
      </w:r>
    </w:p>
    <w:p>
      <w:pPr>
        <w:spacing w:after="0" w:line="178" w:lineRule="exact"/>
        <w:rPr>
          <w:rFonts w:ascii="Arial" w:cs="Arial" w:eastAsia="Arial" w:hAnsi="Arial"/>
          <w:sz w:val="17"/>
          <w:szCs w:val="17"/>
          <w:color w:val="auto"/>
        </w:rPr>
      </w:pPr>
    </w:p>
    <w:p>
      <w:pPr>
        <w:jc w:val="both"/>
        <w:ind w:firstLine="656"/>
        <w:spacing w:after="0" w:line="254" w:lineRule="auto"/>
        <w:tabs>
          <w:tab w:leader="none" w:pos="1221" w:val="left"/>
        </w:tabs>
        <w:numPr>
          <w:ilvl w:val="1"/>
          <w:numId w:val="11"/>
        </w:numPr>
        <w:rPr>
          <w:rFonts w:ascii="Arial" w:cs="Arial" w:eastAsia="Arial" w:hAnsi="Arial"/>
          <w:sz w:val="18"/>
          <w:szCs w:val="18"/>
          <w:color w:val="auto"/>
        </w:rPr>
      </w:pPr>
      <w:r>
        <w:rPr>
          <w:rFonts w:ascii="Arial" w:cs="Arial" w:eastAsia="Arial" w:hAnsi="Arial"/>
          <w:sz w:val="18"/>
          <w:szCs w:val="18"/>
          <w:u w:val="single" w:color="auto"/>
          <w:color w:val="auto"/>
        </w:rPr>
        <w:t>Disability</w:t>
      </w:r>
      <w:r>
        <w:rPr>
          <w:rFonts w:ascii="Arial" w:cs="Arial" w:eastAsia="Arial" w:hAnsi="Arial"/>
          <w:sz w:val="18"/>
          <w:szCs w:val="18"/>
          <w:color w:val="auto"/>
        </w:rPr>
        <w:t>. In the event that during the Employment Period the Executive is unable to perform his essential duties and responsibilities hereunder to the full extent required by the Company by reason of a Disability (as defined below), this Agreement and the Executive's employment with the Company shall automatically terminate and the Company shall have no further obligations or liability to the Executive or his heirs, administrators or executors with respect to compensation and benefits accruing thereafter, except for the obligation to pay the Accrued Obligations. The Company shall deduct, from all payments made hereunder, all applicable taxes, including income tax, FICA and FUTA, and other appropriate deductions. For purposes of this Agreement, "</w:t>
      </w:r>
      <w:r>
        <w:rPr>
          <w:rFonts w:ascii="Arial" w:cs="Arial" w:eastAsia="Arial" w:hAnsi="Arial"/>
          <w:sz w:val="18"/>
          <w:szCs w:val="18"/>
          <w:u w:val="single" w:color="auto"/>
          <w:color w:val="auto"/>
        </w:rPr>
        <w:t>Disability</w:t>
      </w:r>
      <w:r>
        <w:rPr>
          <w:rFonts w:ascii="Arial" w:cs="Arial" w:eastAsia="Arial" w:hAnsi="Arial"/>
          <w:sz w:val="18"/>
          <w:szCs w:val="18"/>
          <w:color w:val="auto"/>
        </w:rPr>
        <w:t>" shall mean a physical or mental disability that prevents the performance by the Executive, with or without reasonable accommodation, of his essential duties and responsibilities hereunder for a period of not less than an aggregate of three months during any twelve consecutive months.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9" w:name="page10"/>
    <w:bookmarkEnd w:id="9"/>
    <w:p>
      <w:pPr>
        <w:ind w:left="1080" w:hanging="444"/>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t>Cause</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640" w:firstLine="645"/>
        <w:spacing w:after="0" w:line="308" w:lineRule="auto"/>
        <w:tabs>
          <w:tab w:leader="none" w:pos="1744" w:val="left"/>
        </w:tabs>
        <w:numPr>
          <w:ilvl w:val="1"/>
          <w:numId w:val="12"/>
        </w:numPr>
        <w:rPr>
          <w:rFonts w:ascii="Arial" w:cs="Arial" w:eastAsia="Arial" w:hAnsi="Arial"/>
          <w:sz w:val="17"/>
          <w:szCs w:val="17"/>
          <w:color w:val="auto"/>
        </w:rPr>
      </w:pPr>
      <w:r>
        <w:rPr>
          <w:rFonts w:ascii="Arial" w:cs="Arial" w:eastAsia="Arial" w:hAnsi="Arial"/>
          <w:sz w:val="17"/>
          <w:szCs w:val="17"/>
          <w:color w:val="auto"/>
        </w:rPr>
        <w:t>At any time during the Employment Period, the Company may terminate this Agreement and the Executive's employment hereunder for Cause. Such termination shall be effective immediately following the satisfaction of any notice provisions required in this Section.</w:t>
      </w:r>
    </w:p>
    <w:p>
      <w:pPr>
        <w:spacing w:after="0" w:line="147" w:lineRule="exact"/>
        <w:rPr>
          <w:sz w:val="20"/>
          <w:szCs w:val="20"/>
          <w:color w:val="auto"/>
        </w:rPr>
      </w:pPr>
    </w:p>
    <w:p>
      <w:pPr>
        <w:jc w:val="both"/>
        <w:ind w:left="640" w:firstLine="648"/>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Cause</w:t>
      </w:r>
      <w:r>
        <w:rPr>
          <w:rFonts w:ascii="Arial" w:cs="Arial" w:eastAsia="Arial" w:hAnsi="Arial"/>
          <w:sz w:val="17"/>
          <w:szCs w:val="17"/>
          <w:color w:val="auto"/>
        </w:rPr>
        <w:t xml:space="preserve">" as used in this Agreement shall mean: (a) the willful and continued failure of the Executive to perform substantially his duties and responsibilities for the Company (other than any such failure resulting from Executive's death or Disability) after a written demand by the Board for substantial performance is delivered to the Executive by the Company, which specifically identifies the manner in which the Board believes that the Executive has not substantially performed his duties and responsibilities, which willful and continued failure is not cured by the Executive within thirty (30) days of his receipt of such written demand; (b) the conviction of, or plea of guilty or nolo contendere to a felony, (c) violation of </w:t>
      </w:r>
      <w:r>
        <w:rPr>
          <w:rFonts w:ascii="Arial" w:cs="Arial" w:eastAsia="Arial" w:hAnsi="Arial"/>
          <w:sz w:val="17"/>
          <w:szCs w:val="17"/>
          <w:u w:val="single" w:color="auto"/>
          <w:color w:val="auto"/>
        </w:rPr>
        <w:t>Sections</w:t>
      </w:r>
      <w:r>
        <w:rPr>
          <w:rFonts w:ascii="Arial" w:cs="Arial" w:eastAsia="Arial" w:hAnsi="Arial"/>
          <w:sz w:val="17"/>
          <w:szCs w:val="17"/>
          <w:color w:val="auto"/>
        </w:rPr>
        <w:t xml:space="preserve"> </w:t>
      </w:r>
      <w:r>
        <w:rPr>
          <w:rFonts w:ascii="Arial" w:cs="Arial" w:eastAsia="Arial" w:hAnsi="Arial"/>
          <w:sz w:val="17"/>
          <w:szCs w:val="17"/>
          <w:u w:val="single" w:color="auto"/>
          <w:color w:val="auto"/>
        </w:rPr>
        <w:t>10, 11</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13</w:t>
      </w:r>
      <w:r>
        <w:rPr>
          <w:rFonts w:ascii="Arial" w:cs="Arial" w:eastAsia="Arial" w:hAnsi="Arial"/>
          <w:sz w:val="17"/>
          <w:szCs w:val="17"/>
          <w:color w:val="auto"/>
        </w:rPr>
        <w:t xml:space="preserve"> of this Agreement, or (d) fraud, dishonesty or gross misconduct, which is materially and demonstratively injurious to the Company. Termination under clauses (b), (c) or (d) of this </w:t>
      </w:r>
      <w:r>
        <w:rPr>
          <w:rFonts w:ascii="Arial" w:cs="Arial" w:eastAsia="Arial" w:hAnsi="Arial"/>
          <w:sz w:val="17"/>
          <w:szCs w:val="17"/>
          <w:u w:val="single" w:color="auto"/>
          <w:color w:val="auto"/>
        </w:rPr>
        <w:t>Section 9(d)(1)</w:t>
      </w:r>
      <w:r>
        <w:rPr>
          <w:rFonts w:ascii="Arial" w:cs="Arial" w:eastAsia="Arial" w:hAnsi="Arial"/>
          <w:sz w:val="17"/>
          <w:szCs w:val="17"/>
          <w:color w:val="auto"/>
        </w:rPr>
        <w:t xml:space="preserve"> shall not be subject to cure.</w:t>
      </w:r>
    </w:p>
    <w:p>
      <w:pPr>
        <w:spacing w:after="0" w:line="178" w:lineRule="exact"/>
        <w:rPr>
          <w:sz w:val="20"/>
          <w:szCs w:val="20"/>
          <w:color w:val="auto"/>
        </w:rPr>
      </w:pPr>
    </w:p>
    <w:p>
      <w:pPr>
        <w:jc w:val="both"/>
        <w:ind w:left="640" w:firstLine="645"/>
        <w:spacing w:after="0" w:line="259" w:lineRule="auto"/>
        <w:tabs>
          <w:tab w:leader="none" w:pos="1807" w:val="left"/>
        </w:tabs>
        <w:numPr>
          <w:ilvl w:val="1"/>
          <w:numId w:val="13"/>
        </w:numPr>
        <w:rPr>
          <w:rFonts w:ascii="Arial" w:cs="Arial" w:eastAsia="Arial" w:hAnsi="Arial"/>
          <w:sz w:val="18"/>
          <w:szCs w:val="18"/>
          <w:color w:val="auto"/>
        </w:rPr>
      </w:pPr>
      <w:r>
        <w:rPr>
          <w:rFonts w:ascii="Arial" w:cs="Arial" w:eastAsia="Arial" w:hAnsi="Arial"/>
          <w:sz w:val="18"/>
          <w:szCs w:val="18"/>
          <w:color w:val="auto"/>
        </w:rPr>
        <w:t>Upon termination of this Agreement for Cause, the Company shall have no further obligations or liability to the Executive or his heirs, administrators or executors with respect to compensation and benefits thereafter, except for the obligation to pay the Executive the Accrued Obligations. The Company shall deduct, from all payments made hereunder, all applicable taxes, including income tax, FICA and FUTA, and other appropriate deductions.</w:t>
      </w:r>
    </w:p>
    <w:p>
      <w:pPr>
        <w:spacing w:after="0" w:line="186" w:lineRule="exact"/>
        <w:rPr>
          <w:rFonts w:ascii="Arial" w:cs="Arial" w:eastAsia="Arial" w:hAnsi="Arial"/>
          <w:sz w:val="18"/>
          <w:szCs w:val="18"/>
          <w:color w:val="auto"/>
        </w:rPr>
      </w:pPr>
    </w:p>
    <w:p>
      <w:pPr>
        <w:jc w:val="both"/>
        <w:ind w:firstLine="623"/>
        <w:spacing w:after="0" w:line="270" w:lineRule="auto"/>
        <w:tabs>
          <w:tab w:leader="none" w:pos="1087" w:val="left"/>
        </w:tabs>
        <w:numPr>
          <w:ilvl w:val="0"/>
          <w:numId w:val="14"/>
        </w:numPr>
        <w:rPr>
          <w:rFonts w:ascii="Arial" w:cs="Arial" w:eastAsia="Arial" w:hAnsi="Arial"/>
          <w:sz w:val="17"/>
          <w:szCs w:val="17"/>
          <w:color w:val="auto"/>
        </w:rPr>
      </w:pPr>
      <w:r>
        <w:rPr>
          <w:rFonts w:ascii="Arial" w:cs="Arial" w:eastAsia="Arial" w:hAnsi="Arial"/>
          <w:sz w:val="17"/>
          <w:szCs w:val="17"/>
          <w:u w:val="single" w:color="auto"/>
          <w:color w:val="auto"/>
        </w:rPr>
        <w:t>Change of Control</w:t>
      </w:r>
      <w:r>
        <w:rPr>
          <w:rFonts w:ascii="Arial" w:cs="Arial" w:eastAsia="Arial" w:hAnsi="Arial"/>
          <w:sz w:val="17"/>
          <w:szCs w:val="17"/>
          <w:color w:val="auto"/>
        </w:rPr>
        <w:t>. For purposes of this Agreement, "</w:t>
      </w:r>
      <w:r>
        <w:rPr>
          <w:rFonts w:ascii="Arial" w:cs="Arial" w:eastAsia="Arial" w:hAnsi="Arial"/>
          <w:sz w:val="17"/>
          <w:szCs w:val="17"/>
          <w:u w:val="single" w:color="auto"/>
          <w:color w:val="auto"/>
        </w:rPr>
        <w:t>Change of Control</w:t>
      </w:r>
      <w:r>
        <w:rPr>
          <w:rFonts w:ascii="Arial" w:cs="Arial" w:eastAsia="Arial" w:hAnsi="Arial"/>
          <w:sz w:val="17"/>
          <w:szCs w:val="17"/>
          <w:color w:val="auto"/>
        </w:rPr>
        <w:t xml:space="preserve">" shall mean the occurrence of any one or more of the following: (i) the accumulation, whether directly, indirectly, beneficially or of record, by any individual, entity or group (within the meaning of </w:t>
      </w:r>
      <w:r>
        <w:rPr>
          <w:rFonts w:ascii="Arial" w:cs="Arial" w:eastAsia="Arial" w:hAnsi="Arial"/>
          <w:sz w:val="17"/>
          <w:szCs w:val="17"/>
          <w:u w:val="single" w:color="auto"/>
          <w:color w:val="auto"/>
        </w:rPr>
        <w:t>Section 13(d)(3)</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14(d)(2)</w:t>
      </w:r>
      <w:r>
        <w:rPr>
          <w:rFonts w:ascii="Arial" w:cs="Arial" w:eastAsia="Arial" w:hAnsi="Arial"/>
          <w:sz w:val="17"/>
          <w:szCs w:val="17"/>
          <w:color w:val="auto"/>
        </w:rPr>
        <w:t xml:space="preserve"> of the Securities Exchange Act of 1934, as amended) of 50% or more of the shares of the outstanding Common Stock of the Company, whether by merger, consolidation, sale or other transfer of shares of Common Stock (other than a merger or consolidation where the stockholders of the Company prior to the merger or consolidation are the holders of a majority of the voting securities of the entity that survives such merger or consolidation), or (ii) a sale of all or substantially all of the assets of the Company;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following acquisitions shall not constitute a Change of Control for the purposes of this Agreement: (A) any acquisitions of Common Stock or securities convertible into Common Stock directly from the Company, or any conversions of any securities convertible into Common Stock, or (B) any acquisition of Common Stock or securities convertible into Common Stock by any employee benefit plan (or related trust) sponsored by or maintained by the Company.</w:t>
      </w:r>
    </w:p>
    <w:p>
      <w:pPr>
        <w:spacing w:after="0" w:line="181" w:lineRule="exact"/>
        <w:rPr>
          <w:rFonts w:ascii="Arial" w:cs="Arial" w:eastAsia="Arial" w:hAnsi="Arial"/>
          <w:sz w:val="17"/>
          <w:szCs w:val="17"/>
          <w:color w:val="auto"/>
        </w:rPr>
      </w:pPr>
    </w:p>
    <w:p>
      <w:pPr>
        <w:ind w:left="1040" w:hanging="404"/>
        <w:spacing w:after="0"/>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Good Reason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640" w:firstLine="645"/>
        <w:spacing w:after="0" w:line="254" w:lineRule="auto"/>
        <w:tabs>
          <w:tab w:leader="none" w:pos="1745" w:val="left"/>
        </w:tabs>
        <w:numPr>
          <w:ilvl w:val="1"/>
          <w:numId w:val="14"/>
        </w:numPr>
        <w:rPr>
          <w:rFonts w:ascii="Arial" w:cs="Arial" w:eastAsia="Arial" w:hAnsi="Arial"/>
          <w:sz w:val="18"/>
          <w:szCs w:val="18"/>
          <w:color w:val="auto"/>
        </w:rPr>
      </w:pPr>
      <w:r>
        <w:rPr>
          <w:rFonts w:ascii="Arial" w:cs="Arial" w:eastAsia="Arial" w:hAnsi="Arial"/>
          <w:sz w:val="18"/>
          <w:szCs w:val="18"/>
          <w:color w:val="auto"/>
        </w:rPr>
        <w:t xml:space="preserve">At any time during the Employment Period, subject to the conditions set forth in </w:t>
      </w:r>
      <w:r>
        <w:rPr>
          <w:rFonts w:ascii="Arial" w:cs="Arial" w:eastAsia="Arial" w:hAnsi="Arial"/>
          <w:sz w:val="18"/>
          <w:szCs w:val="18"/>
          <w:u w:val="single" w:color="auto"/>
          <w:color w:val="auto"/>
        </w:rPr>
        <w:t>Section 9(f)(2</w:t>
      </w:r>
      <w:r>
        <w:rPr>
          <w:rFonts w:ascii="Arial" w:cs="Arial" w:eastAsia="Arial" w:hAnsi="Arial"/>
          <w:sz w:val="18"/>
          <w:szCs w:val="18"/>
          <w:color w:val="auto"/>
        </w:rPr>
        <w:t>) below, the Executive may terminate this Agreement and the Executive's employment with the Company for Good Reason. "</w:t>
      </w:r>
      <w:r>
        <w:rPr>
          <w:rFonts w:ascii="Arial" w:cs="Arial" w:eastAsia="Arial" w:hAnsi="Arial"/>
          <w:sz w:val="18"/>
          <w:szCs w:val="18"/>
          <w:u w:val="single" w:color="auto"/>
          <w:color w:val="auto"/>
        </w:rPr>
        <w:t>Good Reason</w:t>
      </w:r>
      <w:r>
        <w:rPr>
          <w:rFonts w:ascii="Arial" w:cs="Arial" w:eastAsia="Arial" w:hAnsi="Arial"/>
          <w:sz w:val="18"/>
          <w:szCs w:val="18"/>
          <w:color w:val="auto"/>
        </w:rPr>
        <w:t>" as used in this Agreement shall mean the occurrence of any of the following events: (A) the assignment, without the Executive's consent, to the Executive of duties that are significantly different from, or that result in a substantial diminution of, the duties that he assumed on the Effective Date; (B) the assignment, without the Executive's consent, to the Executive of a title that is different from and subordinate to the title Chief Executive Officer; (C) a reduction in Executive's Base Salary; (D) the Company's requirement that Executive regularly report to work in a location that is more than thirty miles from the Company’s New York office as of the date of this Agreement, without the Executive's consent; or (E) a material breach by the Company of this Agreement.</w:t>
      </w:r>
    </w:p>
    <w:p>
      <w:pPr>
        <w:spacing w:after="0" w:line="200" w:lineRule="exact"/>
        <w:rPr>
          <w:sz w:val="20"/>
          <w:szCs w:val="20"/>
          <w:color w:val="auto"/>
        </w:rPr>
      </w:pPr>
    </w:p>
    <w:p>
      <w:pPr>
        <w:spacing w:after="0" w:line="20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8" w:right="239" w:bottom="1440" w:gutter="0" w:footer="0" w:header="0"/>
        </w:sectPr>
      </w:pPr>
    </w:p>
    <w:bookmarkStart w:id="10" w:name="page11"/>
    <w:bookmarkEnd w:id="10"/>
    <w:p>
      <w:pPr>
        <w:jc w:val="both"/>
        <w:ind w:left="-540" w:firstLine="645"/>
        <w:spacing w:after="0" w:line="302" w:lineRule="auto"/>
        <w:tabs>
          <w:tab w:leader="none" w:pos="621"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Executive shall not be entitled to terminate this Agreement for Good Reason unless and until he shall have delivered written notice to the Company of his intention to terminate this Agreement and his employment with the Company for Good Reason, which notice specifies in reasonable detail the circumstances claimed to provide the basis for such termination for Good Reason, and the Company shall not have eliminated the circumstances constituting Good Reason within thirty (30) days of its receipt from the Executive of such written notice.</w:t>
      </w:r>
    </w:p>
    <w:p>
      <w:pPr>
        <w:spacing w:after="0" w:line="154" w:lineRule="exact"/>
        <w:rPr>
          <w:rFonts w:ascii="Arial" w:cs="Arial" w:eastAsia="Arial" w:hAnsi="Arial"/>
          <w:sz w:val="16"/>
          <w:szCs w:val="16"/>
          <w:color w:val="auto"/>
        </w:rPr>
      </w:pPr>
    </w:p>
    <w:p>
      <w:pPr>
        <w:jc w:val="both"/>
        <w:ind w:left="-540" w:firstLine="645"/>
        <w:spacing w:after="0" w:line="285" w:lineRule="auto"/>
        <w:tabs>
          <w:tab w:leader="none" w:pos="611" w:val="left"/>
        </w:tabs>
        <w:numPr>
          <w:ilvl w:val="0"/>
          <w:numId w:val="15"/>
        </w:numPr>
        <w:rPr>
          <w:rFonts w:ascii="Arial" w:cs="Arial" w:eastAsia="Arial" w:hAnsi="Arial"/>
          <w:sz w:val="16"/>
          <w:szCs w:val="16"/>
          <w:color w:val="auto"/>
        </w:rPr>
      </w:pPr>
      <w:r>
        <w:rPr>
          <w:rFonts w:ascii="Arial" w:cs="Arial" w:eastAsia="Arial" w:hAnsi="Arial"/>
          <w:sz w:val="16"/>
          <w:szCs w:val="16"/>
          <w:color w:val="auto"/>
        </w:rPr>
        <w:t>In the event that the Executive terminates this Agreement and his employment with the Company for Good Reason, the Company shall pay or provide to the Executive (or, following his death, to the Executive's heirs, administrators or executors): (A) the Accrued Obligations; (B) continued coverage, at the Company's expense, under all Benefits Plans in which the Executive was a participant immediately prior to his last date of employment with the Company, or, in the event that any such Benefit Plans do not permit coverage of the Executive following his last date of employment with the Company, under benefit plans that provide no less coverage than such Benefit Plans, for a period following the termination of employment, of: (i) a minimum of three (3) months, if the Executive has worked for a period up to three (3) months; (ii) the number of days the Executive actually worked, if Executive worked more than three (3) months but less than six (6) months; or (iii) twelve (12) months, if Executive worked longer than six (6) months; (C) a Base Salary of: (i) three (3) months of Base Salary (in all instances, as such Base Salary is in effect immediately prior to the Executive's termination hereunder), if the Executive has worked for a period of up to three (3) months; (ii) an amount of Base Salary equal to the number of days the Executive actually worked, if Executive has worked more than three (3) months but less than six (6) months; or (iii) twelve (12) months of Base Salary, if Executive has worked longer than six (6) months and (D) a pro rata Bonus payment, payable in a lump sum, for the year in which Executive’s employment is terminated, which shall be pro rated based upon the number of full weeks worked by Executive in such year and calculated as the greater of (i) the Bonus paid to Executive in the calendar year immediately prior to the year in which his employment is terminated and (ii) the Bonus payable to Executive in the year in which his employment is terminated based upon the achievement of Company and/or individual objectives established for the achievement of a Bonus in such year. All payments due hereunder shall be payable according to the Company's standard payroll procedures. The Company shall deduct, from all payments made hereunder, all applicable taxes, including income tax, FICA and FUTA, and other appropriate deductions.</w:t>
      </w:r>
    </w:p>
    <w:p>
      <w:pPr>
        <w:spacing w:after="0" w:line="39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908" w:right="239" w:bottom="1440" w:gutter="0" w:footer="0" w:header="0"/>
        </w:sectPr>
      </w:pPr>
    </w:p>
    <w:bookmarkStart w:id="11" w:name="page12"/>
    <w:bookmarkEnd w:id="11"/>
    <w:p>
      <w:pPr>
        <w:ind w:left="444" w:hanging="444"/>
        <w:spacing w:after="0"/>
        <w:tabs>
          <w:tab w:leader="none" w:pos="444"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Without "Good Reason" by Executive or Without "Cause" by the Company and Upon Election Not to Renew</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4" w:firstLine="645"/>
        <w:spacing w:after="0" w:line="273" w:lineRule="auto"/>
        <w:tabs>
          <w:tab w:leader="none" w:pos="1114" w:val="left"/>
        </w:tabs>
        <w:numPr>
          <w:ilvl w:val="1"/>
          <w:numId w:val="16"/>
        </w:numPr>
        <w:rPr>
          <w:rFonts w:ascii="Arial" w:cs="Arial" w:eastAsia="Arial" w:hAnsi="Arial"/>
          <w:sz w:val="17"/>
          <w:szCs w:val="17"/>
          <w:color w:val="auto"/>
        </w:rPr>
      </w:pPr>
      <w:r>
        <w:rPr>
          <w:rFonts w:ascii="Arial" w:cs="Arial" w:eastAsia="Arial" w:hAnsi="Arial"/>
          <w:sz w:val="17"/>
          <w:szCs w:val="17"/>
          <w:u w:val="single" w:color="auto"/>
          <w:color w:val="auto"/>
        </w:rPr>
        <w:t>By the Executive</w:t>
      </w:r>
      <w:r>
        <w:rPr>
          <w:rFonts w:ascii="Arial" w:cs="Arial" w:eastAsia="Arial" w:hAnsi="Arial"/>
          <w:sz w:val="17"/>
          <w:szCs w:val="17"/>
          <w:color w:val="auto"/>
        </w:rPr>
        <w:t>. At any time during the Employment Period, the Executive shall be entitled to terminate this Agreement and the Executive's employment with the Company without Good Reason by providing prior written notice of at least thirty (30) calendar days to the Company. Upon termination by the Executive of this Agreement and the Executive's employment with the Company without Good Reason, the Company shall have no further obligations or liability to the Executive or his heirs, administrators or executors with respect to compensation and benefits thereafter, except for the obligation to pay the Executive the Accrued Obligations. The Company shall deduct, from all payments made hereunder, all applicable taxes, including income tax, FICA and FUTA, and other appropriate deductions.</w:t>
      </w:r>
    </w:p>
    <w:p>
      <w:pPr>
        <w:spacing w:after="0" w:line="178" w:lineRule="exact"/>
        <w:rPr>
          <w:rFonts w:ascii="Arial" w:cs="Arial" w:eastAsia="Arial" w:hAnsi="Arial"/>
          <w:sz w:val="17"/>
          <w:szCs w:val="17"/>
          <w:color w:val="auto"/>
        </w:rPr>
      </w:pPr>
    </w:p>
    <w:p>
      <w:pPr>
        <w:jc w:val="both"/>
        <w:ind w:left="4" w:firstLine="645"/>
        <w:spacing w:after="0" w:line="255" w:lineRule="auto"/>
        <w:tabs>
          <w:tab w:leader="none" w:pos="1164" w:val="left"/>
        </w:tabs>
        <w:numPr>
          <w:ilvl w:val="1"/>
          <w:numId w:val="16"/>
        </w:numPr>
        <w:rPr>
          <w:rFonts w:ascii="Arial" w:cs="Arial" w:eastAsia="Arial" w:hAnsi="Arial"/>
          <w:sz w:val="18"/>
          <w:szCs w:val="18"/>
          <w:color w:val="auto"/>
        </w:rPr>
      </w:pPr>
      <w:r>
        <w:rPr>
          <w:rFonts w:ascii="Arial" w:cs="Arial" w:eastAsia="Arial" w:hAnsi="Arial"/>
          <w:sz w:val="18"/>
          <w:szCs w:val="18"/>
          <w:u w:val="single" w:color="auto"/>
          <w:color w:val="auto"/>
        </w:rPr>
        <w:t>By the Company</w:t>
      </w:r>
      <w:r>
        <w:rPr>
          <w:rFonts w:ascii="Arial" w:cs="Arial" w:eastAsia="Arial" w:hAnsi="Arial"/>
          <w:sz w:val="18"/>
          <w:szCs w:val="18"/>
          <w:color w:val="auto"/>
        </w:rPr>
        <w:t>. At any time during the Employment Period, the Company shall be entitled to terminate this Agreement and the Executive's employment with the Company without Cause by providing prior written notice of at least thirty (30) calendar days to the Executive. Upon termination by the Company of this Agreement and the Executive's employment with the Company without Cause, the Company shall pay or provide to the Executive (or, following his death, to the Executive's heirs, administrators or executors) the amounts and benefits due upon a resignation for Good Reason, as further described in Section 9(f)(3). The Company shall deduct, from all payments made hereunder, all applicable taxes, including income tax, FICA and FUTA, and other appropriate deductions.</w:t>
      </w:r>
    </w:p>
    <w:p>
      <w:pPr>
        <w:spacing w:after="0" w:line="193" w:lineRule="exact"/>
        <w:rPr>
          <w:rFonts w:ascii="Arial" w:cs="Arial" w:eastAsia="Arial" w:hAnsi="Arial"/>
          <w:sz w:val="18"/>
          <w:szCs w:val="18"/>
          <w:color w:val="auto"/>
        </w:rPr>
      </w:pPr>
    </w:p>
    <w:p>
      <w:pPr>
        <w:jc w:val="both"/>
        <w:ind w:left="4" w:firstLine="645"/>
        <w:spacing w:after="0" w:line="259" w:lineRule="auto"/>
        <w:tabs>
          <w:tab w:leader="none" w:pos="1201" w:val="left"/>
        </w:tabs>
        <w:numPr>
          <w:ilvl w:val="1"/>
          <w:numId w:val="16"/>
        </w:numPr>
        <w:rPr>
          <w:rFonts w:ascii="Arial" w:cs="Arial" w:eastAsia="Arial" w:hAnsi="Arial"/>
          <w:sz w:val="18"/>
          <w:szCs w:val="18"/>
          <w:color w:val="auto"/>
        </w:rPr>
      </w:pPr>
      <w:r>
        <w:rPr>
          <w:rFonts w:ascii="Arial" w:cs="Arial" w:eastAsia="Arial" w:hAnsi="Arial"/>
          <w:sz w:val="18"/>
          <w:szCs w:val="18"/>
          <w:u w:val="single" w:color="auto"/>
          <w:color w:val="auto"/>
        </w:rPr>
        <w:t>Upon Election Not to Renew</w:t>
      </w:r>
      <w:r>
        <w:rPr>
          <w:rFonts w:ascii="Arial" w:cs="Arial" w:eastAsia="Arial" w:hAnsi="Arial"/>
          <w:sz w:val="18"/>
          <w:szCs w:val="18"/>
          <w:color w:val="auto"/>
        </w:rPr>
        <w:t>. If either party provides the other with notice of an election not to renew the Employment Period in accordance with, and subject to the prior notice provision contained in, Section 2 hereof, the Company shall have no further obligations or liability to the Executive or his heirs, administrators or executors with respect to compensation and benefits thereafter, except for the obligation to pay the Executive the Accrued Obligations.</w:t>
      </w:r>
    </w:p>
    <w:p>
      <w:pPr>
        <w:spacing w:after="0" w:line="183" w:lineRule="exact"/>
        <w:rPr>
          <w:sz w:val="20"/>
          <w:szCs w:val="20"/>
          <w:color w:val="auto"/>
        </w:rPr>
      </w:pPr>
    </w:p>
    <w:p>
      <w:pPr>
        <w:ind w:left="484" w:hanging="484"/>
        <w:spacing w:after="0"/>
        <w:tabs>
          <w:tab w:leader="none" w:pos="484"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ADDITIONAL SECTION 409A PROVISIONS.</w:t>
      </w:r>
    </w:p>
    <w:p>
      <w:pPr>
        <w:spacing w:after="0" w:line="229" w:lineRule="exact"/>
        <w:rPr>
          <w:sz w:val="20"/>
          <w:szCs w:val="20"/>
          <w:color w:val="auto"/>
        </w:rPr>
      </w:pPr>
    </w:p>
    <w:p>
      <w:pPr>
        <w:ind w:left="4"/>
        <w:spacing w:after="0"/>
        <w:rPr>
          <w:sz w:val="20"/>
          <w:szCs w:val="20"/>
          <w:color w:val="auto"/>
        </w:rPr>
      </w:pPr>
      <w:r>
        <w:rPr>
          <w:rFonts w:ascii="Arial" w:cs="Arial" w:eastAsia="Arial" w:hAnsi="Arial"/>
          <w:sz w:val="18"/>
          <w:szCs w:val="18"/>
          <w:color w:val="auto"/>
        </w:rPr>
        <w:t>Notwithstanding any provision in this Agreement to the contrary</w:t>
      </w:r>
    </w:p>
    <w:p>
      <w:pPr>
        <w:spacing w:after="0" w:line="225" w:lineRule="exact"/>
        <w:rPr>
          <w:sz w:val="20"/>
          <w:szCs w:val="20"/>
          <w:color w:val="auto"/>
        </w:rPr>
      </w:pPr>
    </w:p>
    <w:p>
      <w:pPr>
        <w:jc w:val="both"/>
        <w:ind w:left="4" w:firstLine="645"/>
        <w:spacing w:after="0" w:line="257" w:lineRule="auto"/>
        <w:tabs>
          <w:tab w:leader="none" w:pos="1202"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Any payment otherwise required to be made hereunder to Executive at any date as a result of the termination of Executive's employment shall be delayed for such period of time as may be necessary to meet the requirements of Section 409A(a)(2)(B)(i) of the Code (the "</w:t>
      </w:r>
      <w:r>
        <w:rPr>
          <w:rFonts w:ascii="Arial" w:cs="Arial" w:eastAsia="Arial" w:hAnsi="Arial"/>
          <w:sz w:val="18"/>
          <w:szCs w:val="18"/>
          <w:u w:val="single" w:color="auto"/>
          <w:color w:val="auto"/>
        </w:rPr>
        <w:t>Delay Period</w:t>
      </w:r>
      <w:r>
        <w:rPr>
          <w:rFonts w:ascii="Arial" w:cs="Arial" w:eastAsia="Arial" w:hAnsi="Arial"/>
          <w:sz w:val="18"/>
          <w:szCs w:val="18"/>
          <w:color w:val="auto"/>
        </w:rPr>
        <w:t>"). On the first business day following the expiration of the Delay Period, Executive shall be paid, in a single cash lump sum, an amount equal to the aggregate amount of all payments delayed pursuant to the preceding sentence, and any remaining payments not so delayed shall continue to be paid pursuant to the payment schedule set forth herein.</w:t>
      </w:r>
    </w:p>
    <w:p>
      <w:pPr>
        <w:spacing w:after="0" w:line="188" w:lineRule="exact"/>
        <w:rPr>
          <w:rFonts w:ascii="Arial" w:cs="Arial" w:eastAsia="Arial" w:hAnsi="Arial"/>
          <w:sz w:val="18"/>
          <w:szCs w:val="18"/>
          <w:color w:val="auto"/>
        </w:rPr>
      </w:pPr>
    </w:p>
    <w:p>
      <w:pPr>
        <w:ind w:left="1084" w:hanging="436"/>
        <w:spacing w:after="0"/>
        <w:tabs>
          <w:tab w:leader="none" w:pos="1084" w:val="left"/>
        </w:tabs>
        <w:numPr>
          <w:ilvl w:val="0"/>
          <w:numId w:val="18"/>
        </w:numPr>
        <w:rPr>
          <w:rFonts w:ascii="Arial" w:cs="Arial" w:eastAsia="Arial" w:hAnsi="Arial"/>
          <w:sz w:val="16"/>
          <w:szCs w:val="16"/>
          <w:color w:val="auto"/>
        </w:rPr>
      </w:pPr>
      <w:r>
        <w:rPr>
          <w:rFonts w:ascii="Arial" w:cs="Arial" w:eastAsia="Arial" w:hAnsi="Arial"/>
          <w:sz w:val="16"/>
          <w:szCs w:val="16"/>
          <w:color w:val="auto"/>
        </w:rPr>
        <w:t>Each payment in a series of payments hereunder shall be deemed to be a separate payment for purposes of Section 409A of the Code.</w:t>
      </w:r>
    </w:p>
    <w:p>
      <w:pPr>
        <w:spacing w:after="0" w:line="200" w:lineRule="exact"/>
        <w:rPr>
          <w:sz w:val="20"/>
          <w:szCs w:val="20"/>
          <w:color w:val="auto"/>
        </w:rPr>
      </w:pPr>
    </w:p>
    <w:p>
      <w:pPr>
        <w:spacing w:after="0" w:line="264" w:lineRule="exact"/>
        <w:rPr>
          <w:sz w:val="20"/>
          <w:szCs w:val="20"/>
          <w:color w:val="auto"/>
        </w:rPr>
      </w:pPr>
    </w:p>
    <w:p>
      <w:pPr>
        <w:ind w:left="5004"/>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4"/>
          </w:cols>
          <w:pgMar w:left="896" w:top="908" w:right="239" w:bottom="1440" w:gutter="0" w:footer="0" w:header="0"/>
        </w:sectPr>
      </w:pPr>
    </w:p>
    <w:bookmarkStart w:id="12" w:name="page13"/>
    <w:bookmarkEnd w:id="12"/>
    <w:p>
      <w:pPr>
        <w:jc w:val="both"/>
        <w:ind w:left="720" w:firstLine="584"/>
        <w:spacing w:after="0" w:line="254" w:lineRule="auto"/>
        <w:tabs>
          <w:tab w:leader="none" w:pos="1912" w:val="left"/>
        </w:tabs>
        <w:numPr>
          <w:ilvl w:val="1"/>
          <w:numId w:val="19"/>
        </w:numPr>
        <w:rPr>
          <w:rFonts w:ascii="Arial" w:cs="Arial" w:eastAsia="Arial" w:hAnsi="Arial"/>
          <w:sz w:val="18"/>
          <w:szCs w:val="18"/>
          <w:color w:val="auto"/>
        </w:rPr>
      </w:pPr>
      <w:r>
        <w:rPr>
          <w:rFonts w:ascii="Arial" w:cs="Arial" w:eastAsia="Arial" w:hAnsi="Arial"/>
          <w:sz w:val="18"/>
          <w:szCs w:val="18"/>
          <w:color w:val="auto"/>
        </w:rPr>
        <w:t>To the extent that any right to reimbursement of expenses or payment of any benefit in-kind under this Agreement constitutes nonqualified deferred compensation (within the meaning of Section 409A of the Code), (i) any such expense reimbursement shall be made by the Company no later than the last day of the taxable year following the taxable year in which such expense was incurred by Executive, (ii) the right to reimbursement or in-kind benefits shall not be subject to liquidation or exchange for another benefit, and (iii) the amount of expenses eligible for reimbursement or in-kind benefits provided during any taxable year shall not affect the expenses eligible for reimbursement or in-kind benefits to be provided in any other taxable year; provided, that the foregoing clause shall not be violated with regard to expenses reimbursed under any arrangement covered by Section 105(b) of the Code solely because such expenses are subject to a limit related to the period the arrangement is in effect.</w:t>
      </w:r>
    </w:p>
    <w:p>
      <w:pPr>
        <w:spacing w:after="0" w:line="192" w:lineRule="exact"/>
        <w:rPr>
          <w:rFonts w:ascii="Arial" w:cs="Arial" w:eastAsia="Arial" w:hAnsi="Arial"/>
          <w:sz w:val="18"/>
          <w:szCs w:val="18"/>
          <w:color w:val="auto"/>
        </w:rPr>
      </w:pPr>
    </w:p>
    <w:p>
      <w:pPr>
        <w:ind w:left="1320" w:hanging="682"/>
        <w:spacing w:after="0"/>
        <w:tabs>
          <w:tab w:leader="none" w:pos="13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Confidential Information.</w:t>
      </w:r>
    </w:p>
    <w:p>
      <w:pPr>
        <w:spacing w:after="0" w:line="225" w:lineRule="exact"/>
        <w:rPr>
          <w:sz w:val="20"/>
          <w:szCs w:val="20"/>
          <w:color w:val="auto"/>
        </w:rPr>
      </w:pPr>
    </w:p>
    <w:p>
      <w:pPr>
        <w:jc w:val="both"/>
        <w:ind w:firstLine="656"/>
        <w:spacing w:after="0" w:line="271" w:lineRule="auto"/>
        <w:tabs>
          <w:tab w:leader="none" w:pos="1100" w:val="left"/>
        </w:tabs>
        <w:numPr>
          <w:ilvl w:val="1"/>
          <w:numId w:val="21"/>
        </w:numPr>
        <w:rPr>
          <w:rFonts w:ascii="Arial" w:cs="Arial" w:eastAsia="Arial" w:hAnsi="Arial"/>
          <w:sz w:val="17"/>
          <w:szCs w:val="17"/>
          <w:color w:val="auto"/>
        </w:rPr>
      </w:pPr>
      <w:r>
        <w:rPr>
          <w:rFonts w:ascii="Arial" w:cs="Arial" w:eastAsia="Arial" w:hAnsi="Arial"/>
          <w:sz w:val="17"/>
          <w:szCs w:val="17"/>
          <w:u w:val="single" w:color="auto"/>
          <w:color w:val="auto"/>
        </w:rPr>
        <w:t>Disclosure of Confidential Information</w:t>
      </w:r>
      <w:r>
        <w:rPr>
          <w:rFonts w:ascii="Arial" w:cs="Arial" w:eastAsia="Arial" w:hAnsi="Arial"/>
          <w:sz w:val="17"/>
          <w:szCs w:val="17"/>
          <w:color w:val="auto"/>
        </w:rPr>
        <w:t>. The Executive recognizes, acknowledges and agrees that he has had and will continue to have access to secret and confidential information regarding the Company, its subsidiaries and their respective businesses ("</w:t>
      </w:r>
      <w:r>
        <w:rPr>
          <w:rFonts w:ascii="Arial" w:cs="Arial" w:eastAsia="Arial" w:hAnsi="Arial"/>
          <w:sz w:val="17"/>
          <w:szCs w:val="17"/>
          <w:u w:val="single" w:color="auto"/>
          <w:color w:val="auto"/>
        </w:rPr>
        <w:t>Confidential Information</w:t>
      </w:r>
      <w:r>
        <w:rPr>
          <w:rFonts w:ascii="Arial" w:cs="Arial" w:eastAsia="Arial" w:hAnsi="Arial"/>
          <w:sz w:val="17"/>
          <w:szCs w:val="17"/>
          <w:color w:val="auto"/>
        </w:rPr>
        <w:t xml:space="preserve">"), including but not limited to, its products, formulae, patents, sources of supply, customer dealings, data, know-how, legal plans, and business plans, provided such information is not in or does not hereafter become part of the public domain. The Executive acknowledges that such information is of great value to the Company, is the sole property of the Company, and has been and will be acquired by him in confidence. In consideration of the obligations undertaken by the Company herein, the Executive will not, at any time during or after his employment hereunder, reveal, divulge or make known to any person, any information acquired by the Executive during the course of his employment, which is treated as confidential by the Company, and not otherwise in the public domain. The provisions of this </w:t>
      </w:r>
      <w:r>
        <w:rPr>
          <w:rFonts w:ascii="Arial" w:cs="Arial" w:eastAsia="Arial" w:hAnsi="Arial"/>
          <w:sz w:val="17"/>
          <w:szCs w:val="17"/>
          <w:u w:val="single" w:color="auto"/>
          <w:color w:val="auto"/>
        </w:rPr>
        <w:t>Section 10</w:t>
      </w:r>
      <w:r>
        <w:rPr>
          <w:rFonts w:ascii="Arial" w:cs="Arial" w:eastAsia="Arial" w:hAnsi="Arial"/>
          <w:sz w:val="17"/>
          <w:szCs w:val="17"/>
          <w:color w:val="auto"/>
        </w:rPr>
        <w:t xml:space="preserve"> shall survive the termination of the Executive's employment hereunder.</w:t>
      </w:r>
    </w:p>
    <w:p>
      <w:pPr>
        <w:spacing w:after="0" w:line="178" w:lineRule="exact"/>
        <w:rPr>
          <w:rFonts w:ascii="Arial" w:cs="Arial" w:eastAsia="Arial" w:hAnsi="Arial"/>
          <w:sz w:val="17"/>
          <w:szCs w:val="17"/>
          <w:color w:val="auto"/>
        </w:rPr>
      </w:pPr>
    </w:p>
    <w:p>
      <w:pPr>
        <w:ind w:left="1140" w:hanging="484"/>
        <w:spacing w:after="0"/>
        <w:tabs>
          <w:tab w:leader="none" w:pos="1140" w:val="left"/>
        </w:tabs>
        <w:numPr>
          <w:ilvl w:val="1"/>
          <w:numId w:val="21"/>
        </w:numPr>
        <w:rPr>
          <w:rFonts w:ascii="Arial" w:cs="Arial" w:eastAsia="Arial" w:hAnsi="Arial"/>
          <w:sz w:val="17"/>
          <w:szCs w:val="17"/>
          <w:color w:val="auto"/>
        </w:rPr>
      </w:pPr>
      <w:r>
        <w:rPr>
          <w:rFonts w:ascii="Arial" w:cs="Arial" w:eastAsia="Arial" w:hAnsi="Arial"/>
          <w:sz w:val="17"/>
          <w:szCs w:val="17"/>
          <w:color w:val="auto"/>
        </w:rPr>
        <w:t>The Executive affirms that he has complied with and will continue to comply with any valid contractual obligations arising out of any prior</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employment.</w:t>
      </w:r>
    </w:p>
    <w:p>
      <w:pPr>
        <w:spacing w:after="0" w:line="210" w:lineRule="exact"/>
        <w:rPr>
          <w:rFonts w:ascii="Arial" w:cs="Arial" w:eastAsia="Arial" w:hAnsi="Arial"/>
          <w:sz w:val="17"/>
          <w:szCs w:val="17"/>
          <w:color w:val="auto"/>
        </w:rPr>
      </w:pPr>
    </w:p>
    <w:p>
      <w:pPr>
        <w:ind w:firstLine="656"/>
        <w:spacing w:after="0" w:line="277" w:lineRule="auto"/>
        <w:tabs>
          <w:tab w:leader="none" w:pos="1208" w:val="left"/>
        </w:tabs>
        <w:numPr>
          <w:ilvl w:val="1"/>
          <w:numId w:val="21"/>
        </w:numPr>
        <w:rPr>
          <w:rFonts w:ascii="Arial" w:cs="Arial" w:eastAsia="Arial" w:hAnsi="Arial"/>
          <w:sz w:val="18"/>
          <w:szCs w:val="18"/>
          <w:color w:val="auto"/>
        </w:rPr>
      </w:pPr>
      <w:r>
        <w:rPr>
          <w:rFonts w:ascii="Arial" w:cs="Arial" w:eastAsia="Arial" w:hAnsi="Arial"/>
          <w:sz w:val="18"/>
          <w:szCs w:val="18"/>
          <w:color w:val="auto"/>
        </w:rPr>
        <w:t>In the event that the Executive's employment with the Company terminates for any reason, the Executive shall deliver forthwith to the Company any and all originals and copies, including those in electronic or digital formats, of Confidential Information.</w:t>
      </w:r>
    </w:p>
    <w:p>
      <w:pPr>
        <w:spacing w:after="0" w:line="170" w:lineRule="exact"/>
        <w:rPr>
          <w:rFonts w:ascii="Arial" w:cs="Arial" w:eastAsia="Arial" w:hAnsi="Arial"/>
          <w:sz w:val="18"/>
          <w:szCs w:val="18"/>
          <w:color w:val="auto"/>
        </w:rPr>
      </w:pPr>
    </w:p>
    <w:p>
      <w:pPr>
        <w:ind w:left="1300" w:hanging="662"/>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t>Covenant Not To Compete or Solicit</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656"/>
        <w:spacing w:after="0" w:line="259" w:lineRule="auto"/>
        <w:tabs>
          <w:tab w:leader="none" w:pos="1088" w:val="left"/>
        </w:tabs>
        <w:numPr>
          <w:ilvl w:val="1"/>
          <w:numId w:val="22"/>
        </w:numPr>
        <w:rPr>
          <w:rFonts w:ascii="Arial" w:cs="Arial" w:eastAsia="Arial" w:hAnsi="Arial"/>
          <w:sz w:val="18"/>
          <w:szCs w:val="18"/>
          <w:color w:val="auto"/>
        </w:rPr>
      </w:pPr>
      <w:r>
        <w:rPr>
          <w:rFonts w:ascii="Arial" w:cs="Arial" w:eastAsia="Arial" w:hAnsi="Arial"/>
          <w:sz w:val="18"/>
          <w:szCs w:val="18"/>
          <w:color w:val="auto"/>
        </w:rPr>
        <w:t xml:space="preserve">The Executive recognizes that the services to be performed by him hereunder are special, unique and extraordinary. The parties confirm that it is reasonably necessary for the protection of the Company that the Executive agree, and accordingly, the Executive does hereby agree, that, subject to Section 11(h) below, he shall not, directly or indirectly, at any time during the "Restricted Period" within the "Restricted Area" (as those terms are defined in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11(e)</w:t>
      </w:r>
      <w:r>
        <w:rPr>
          <w:rFonts w:ascii="Arial" w:cs="Arial" w:eastAsia="Arial" w:hAnsi="Arial"/>
          <w:sz w:val="18"/>
          <w:szCs w:val="18"/>
          <w:color w:val="auto"/>
        </w:rPr>
        <w:t xml:space="preserve"> below):</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3" w:name="page14"/>
    <w:bookmarkEnd w:id="13"/>
    <w:p>
      <w:pPr>
        <w:jc w:val="both"/>
        <w:ind w:left="660" w:firstLine="645"/>
        <w:spacing w:after="0" w:line="312" w:lineRule="auto"/>
        <w:tabs>
          <w:tab w:leader="none" w:pos="1785" w:val="left"/>
        </w:tabs>
        <w:numPr>
          <w:ilvl w:val="2"/>
          <w:numId w:val="23"/>
        </w:numPr>
        <w:rPr>
          <w:rFonts w:ascii="Arial" w:cs="Arial" w:eastAsia="Arial" w:hAnsi="Arial"/>
          <w:sz w:val="16"/>
          <w:szCs w:val="16"/>
          <w:color w:val="auto"/>
        </w:rPr>
      </w:pPr>
      <w:r>
        <w:rPr>
          <w:rFonts w:ascii="Arial" w:cs="Arial" w:eastAsia="Arial" w:hAnsi="Arial"/>
          <w:sz w:val="16"/>
          <w:szCs w:val="16"/>
          <w:color w:val="auto"/>
        </w:rPr>
        <w:t>engage in any line of business in which the Company was engaged or had a formal plan to enter during the period of Executive's employment with the Company, including but not limited to the business of intellectual property licensing, either on his own behalf or as an officer, director, stockholder, partner, consultant, associate, employee, owner, agent, creditor, independent contractor, or co-venturer of any third party;</w:t>
      </w:r>
    </w:p>
    <w:p>
      <w:pPr>
        <w:spacing w:after="0" w:line="146" w:lineRule="exact"/>
        <w:rPr>
          <w:rFonts w:ascii="Arial" w:cs="Arial" w:eastAsia="Arial" w:hAnsi="Arial"/>
          <w:sz w:val="16"/>
          <w:szCs w:val="16"/>
          <w:color w:val="auto"/>
        </w:rPr>
      </w:pPr>
    </w:p>
    <w:p>
      <w:pPr>
        <w:ind w:left="660" w:firstLine="645"/>
        <w:spacing w:after="0" w:line="277" w:lineRule="auto"/>
        <w:tabs>
          <w:tab w:leader="none" w:pos="1787" w:val="left"/>
        </w:tabs>
        <w:numPr>
          <w:ilvl w:val="2"/>
          <w:numId w:val="23"/>
        </w:numPr>
        <w:rPr>
          <w:rFonts w:ascii="Arial" w:cs="Arial" w:eastAsia="Arial" w:hAnsi="Arial"/>
          <w:sz w:val="18"/>
          <w:szCs w:val="18"/>
          <w:color w:val="auto"/>
        </w:rPr>
      </w:pPr>
      <w:r>
        <w:rPr>
          <w:rFonts w:ascii="Arial" w:cs="Arial" w:eastAsia="Arial" w:hAnsi="Arial"/>
          <w:sz w:val="18"/>
          <w:szCs w:val="18"/>
          <w:color w:val="auto"/>
        </w:rPr>
        <w:t>accept any form of consideration from, or enter into any employment, consulting or other relationship with, any company that could reasonably require a license for use of any of the Company's property; or</w:t>
      </w:r>
    </w:p>
    <w:p>
      <w:pPr>
        <w:spacing w:after="0" w:line="170" w:lineRule="exact"/>
        <w:rPr>
          <w:rFonts w:ascii="Arial" w:cs="Arial" w:eastAsia="Arial" w:hAnsi="Arial"/>
          <w:sz w:val="18"/>
          <w:szCs w:val="18"/>
          <w:color w:val="auto"/>
        </w:rPr>
      </w:pPr>
    </w:p>
    <w:p>
      <w:pPr>
        <w:ind w:left="1800" w:hanging="495"/>
        <w:spacing w:after="0"/>
        <w:tabs>
          <w:tab w:leader="none" w:pos="1800" w:val="left"/>
        </w:tabs>
        <w:numPr>
          <w:ilvl w:val="2"/>
          <w:numId w:val="23"/>
        </w:numPr>
        <w:rPr>
          <w:rFonts w:ascii="Arial" w:cs="Arial" w:eastAsia="Arial" w:hAnsi="Arial"/>
          <w:sz w:val="17"/>
          <w:szCs w:val="17"/>
          <w:color w:val="auto"/>
        </w:rPr>
      </w:pPr>
      <w:r>
        <w:rPr>
          <w:rFonts w:ascii="Arial" w:cs="Arial" w:eastAsia="Arial" w:hAnsi="Arial"/>
          <w:sz w:val="17"/>
          <w:szCs w:val="17"/>
          <w:color w:val="auto"/>
        </w:rPr>
        <w:t>solicit to employ or engage, for or on behalf of himself or any third party, any employee, vendor, or agent of the Company.</w:t>
      </w:r>
    </w:p>
    <w:p>
      <w:pPr>
        <w:spacing w:after="0" w:line="236" w:lineRule="exact"/>
        <w:rPr>
          <w:rFonts w:ascii="Arial" w:cs="Arial" w:eastAsia="Arial" w:hAnsi="Arial"/>
          <w:sz w:val="17"/>
          <w:szCs w:val="17"/>
          <w:color w:val="auto"/>
        </w:rPr>
      </w:pPr>
    </w:p>
    <w:p>
      <w:pPr>
        <w:ind w:firstLine="656"/>
        <w:spacing w:after="0" w:line="277" w:lineRule="auto"/>
        <w:tabs>
          <w:tab w:leader="none" w:pos="1181" w:val="left"/>
        </w:tabs>
        <w:numPr>
          <w:ilvl w:val="1"/>
          <w:numId w:val="24"/>
        </w:numPr>
        <w:rPr>
          <w:rFonts w:ascii="Arial" w:cs="Arial" w:eastAsia="Arial" w:hAnsi="Arial"/>
          <w:sz w:val="18"/>
          <w:szCs w:val="18"/>
          <w:color w:val="auto"/>
        </w:rPr>
      </w:pPr>
      <w:r>
        <w:rPr>
          <w:rFonts w:ascii="Arial" w:cs="Arial" w:eastAsia="Arial" w:hAnsi="Arial"/>
          <w:sz w:val="18"/>
          <w:szCs w:val="18"/>
          <w:color w:val="auto"/>
        </w:rPr>
        <w:t>The Executive hereby agrees that he will not, directly or indirectly, for or on behalf of himself or any third party, at any time during the Employment Period and during the Restricted Period, solicit any clients of the Company.</w:t>
      </w:r>
    </w:p>
    <w:p>
      <w:pPr>
        <w:spacing w:after="0" w:line="170" w:lineRule="exact"/>
        <w:rPr>
          <w:rFonts w:ascii="Arial" w:cs="Arial" w:eastAsia="Arial" w:hAnsi="Arial"/>
          <w:sz w:val="18"/>
          <w:szCs w:val="18"/>
          <w:color w:val="auto"/>
        </w:rPr>
      </w:pPr>
    </w:p>
    <w:p>
      <w:pPr>
        <w:jc w:val="both"/>
        <w:ind w:firstLine="656"/>
        <w:spacing w:after="0" w:line="286" w:lineRule="auto"/>
        <w:tabs>
          <w:tab w:leader="none" w:pos="1135" w:val="left"/>
        </w:tabs>
        <w:numPr>
          <w:ilvl w:val="1"/>
          <w:numId w:val="24"/>
        </w:numPr>
        <w:rPr>
          <w:rFonts w:ascii="Arial" w:cs="Arial" w:eastAsia="Arial" w:hAnsi="Arial"/>
          <w:sz w:val="17"/>
          <w:szCs w:val="17"/>
          <w:color w:val="auto"/>
        </w:rPr>
      </w:pPr>
      <w:r>
        <w:rPr>
          <w:rFonts w:ascii="Arial" w:cs="Arial" w:eastAsia="Arial" w:hAnsi="Arial"/>
          <w:sz w:val="17"/>
          <w:szCs w:val="17"/>
          <w:color w:val="auto"/>
        </w:rPr>
        <w:t xml:space="preserve">If any of the restrictions contained in this </w:t>
      </w:r>
      <w:r>
        <w:rPr>
          <w:rFonts w:ascii="Arial" w:cs="Arial" w:eastAsia="Arial" w:hAnsi="Arial"/>
          <w:sz w:val="17"/>
          <w:szCs w:val="17"/>
          <w:u w:val="single" w:color="auto"/>
          <w:color w:val="auto"/>
        </w:rPr>
        <w:t>Section 11</w:t>
      </w:r>
      <w:r>
        <w:rPr>
          <w:rFonts w:ascii="Arial" w:cs="Arial" w:eastAsia="Arial" w:hAnsi="Arial"/>
          <w:sz w:val="17"/>
          <w:szCs w:val="17"/>
          <w:color w:val="auto"/>
        </w:rPr>
        <w:t xml:space="preserve"> shall be deemed to be unenforceable by reason of the extent, duration or geographical scope thereof, or otherwise, then the court making such determination shall have the right to reduce such extent, duration, geographical scope, or other provisions hereof, and in its reduced form this Section shall then be enforceable in the manner contemplated hereby.</w:t>
      </w:r>
    </w:p>
    <w:p>
      <w:pPr>
        <w:spacing w:after="0" w:line="165" w:lineRule="exact"/>
        <w:rPr>
          <w:rFonts w:ascii="Arial" w:cs="Arial" w:eastAsia="Arial" w:hAnsi="Arial"/>
          <w:sz w:val="17"/>
          <w:szCs w:val="17"/>
          <w:color w:val="auto"/>
        </w:rPr>
      </w:pPr>
    </w:p>
    <w:p>
      <w:pPr>
        <w:jc w:val="both"/>
        <w:ind w:firstLine="656"/>
        <w:spacing w:after="0" w:line="264" w:lineRule="auto"/>
        <w:tabs>
          <w:tab w:leader="none" w:pos="1091" w:val="left"/>
        </w:tabs>
        <w:numPr>
          <w:ilvl w:val="1"/>
          <w:numId w:val="24"/>
        </w:numPr>
        <w:rPr>
          <w:rFonts w:ascii="Arial" w:cs="Arial" w:eastAsia="Arial" w:hAnsi="Arial"/>
          <w:sz w:val="18"/>
          <w:szCs w:val="18"/>
          <w:color w:val="auto"/>
        </w:rPr>
      </w:pPr>
      <w:r>
        <w:rPr>
          <w:rFonts w:ascii="Arial" w:cs="Arial" w:eastAsia="Arial" w:hAnsi="Arial"/>
          <w:sz w:val="18"/>
          <w:szCs w:val="18"/>
          <w:color w:val="auto"/>
        </w:rPr>
        <w:t xml:space="preserve">This </w:t>
      </w:r>
      <w:r>
        <w:rPr>
          <w:rFonts w:ascii="Arial" w:cs="Arial" w:eastAsia="Arial" w:hAnsi="Arial"/>
          <w:sz w:val="18"/>
          <w:szCs w:val="18"/>
          <w:u w:val="single" w:color="auto"/>
          <w:color w:val="auto"/>
        </w:rPr>
        <w:t>Section 11</w:t>
      </w:r>
      <w:r>
        <w:rPr>
          <w:rFonts w:ascii="Arial" w:cs="Arial" w:eastAsia="Arial" w:hAnsi="Arial"/>
          <w:sz w:val="18"/>
          <w:szCs w:val="18"/>
          <w:color w:val="auto"/>
        </w:rPr>
        <w:t xml:space="preserve"> shall not be construed to prevent the Executive from owning, directly or indirectly, in the aggregate, an amount not exceeding two percent (2%) of the issued and outstanding voting securities of any class of any company whose voting capital stock is traded or listed on a national securities exchange or in the over-the-counter market.</w:t>
      </w:r>
    </w:p>
    <w:p>
      <w:pPr>
        <w:spacing w:after="0" w:line="181" w:lineRule="exact"/>
        <w:rPr>
          <w:rFonts w:ascii="Arial" w:cs="Arial" w:eastAsia="Arial" w:hAnsi="Arial"/>
          <w:sz w:val="18"/>
          <w:szCs w:val="18"/>
          <w:color w:val="auto"/>
        </w:rPr>
      </w:pPr>
    </w:p>
    <w:p>
      <w:pPr>
        <w:ind w:left="1120" w:hanging="464"/>
        <w:spacing w:after="0"/>
        <w:tabs>
          <w:tab w:leader="none" w:pos="1120" w:val="left"/>
        </w:tabs>
        <w:numPr>
          <w:ilvl w:val="1"/>
          <w:numId w:val="24"/>
        </w:numPr>
        <w:rPr>
          <w:rFonts w:ascii="Arial" w:cs="Arial" w:eastAsia="Arial" w:hAnsi="Arial"/>
          <w:sz w:val="16"/>
          <w:szCs w:val="16"/>
          <w:color w:val="auto"/>
        </w:rPr>
      </w:pPr>
      <w:r>
        <w:rPr>
          <w:rFonts w:ascii="Arial" w:cs="Arial" w:eastAsia="Arial" w:hAnsi="Arial"/>
          <w:sz w:val="16"/>
          <w:szCs w:val="16"/>
          <w:color w:val="auto"/>
        </w:rPr>
        <w:t>The term "</w:t>
      </w:r>
      <w:r>
        <w:rPr>
          <w:rFonts w:ascii="Arial" w:cs="Arial" w:eastAsia="Arial" w:hAnsi="Arial"/>
          <w:sz w:val="16"/>
          <w:szCs w:val="16"/>
          <w:u w:val="single" w:color="auto"/>
          <w:color w:val="auto"/>
        </w:rPr>
        <w:t>Restricted Period</w:t>
      </w:r>
      <w:r>
        <w:rPr>
          <w:rFonts w:ascii="Arial" w:cs="Arial" w:eastAsia="Arial" w:hAnsi="Arial"/>
          <w:sz w:val="16"/>
          <w:szCs w:val="16"/>
          <w:color w:val="auto"/>
        </w:rPr>
        <w:t xml:space="preserve">," as used in this </w:t>
      </w:r>
      <w:r>
        <w:rPr>
          <w:rFonts w:ascii="Arial" w:cs="Arial" w:eastAsia="Arial" w:hAnsi="Arial"/>
          <w:sz w:val="16"/>
          <w:szCs w:val="16"/>
          <w:u w:val="single" w:color="auto"/>
          <w:color w:val="auto"/>
        </w:rPr>
        <w:t>Section 11</w:t>
      </w:r>
      <w:r>
        <w:rPr>
          <w:rFonts w:ascii="Arial" w:cs="Arial" w:eastAsia="Arial" w:hAnsi="Arial"/>
          <w:sz w:val="16"/>
          <w:szCs w:val="16"/>
          <w:color w:val="auto"/>
        </w:rPr>
        <w:t>, shall mean the period of the Executive's actual employment hereunder, plus twelve</w:t>
      </w:r>
    </w:p>
    <w:p>
      <w:pPr>
        <w:spacing w:after="0" w:line="46" w:lineRule="exact"/>
        <w:rPr>
          <w:rFonts w:ascii="Arial" w:cs="Arial" w:eastAsia="Arial" w:hAnsi="Arial"/>
          <w:sz w:val="16"/>
          <w:szCs w:val="16"/>
          <w:color w:val="auto"/>
        </w:rPr>
      </w:pPr>
    </w:p>
    <w:p>
      <w:pPr>
        <w:ind w:firstLine="8"/>
        <w:spacing w:after="0" w:line="261" w:lineRule="auto"/>
        <w:tabs>
          <w:tab w:leader="none" w:pos="356" w:val="left"/>
        </w:tabs>
        <w:numPr>
          <w:ilvl w:val="0"/>
          <w:numId w:val="25"/>
        </w:numPr>
        <w:rPr>
          <w:rFonts w:ascii="Arial" w:cs="Arial" w:eastAsia="Arial" w:hAnsi="Arial"/>
          <w:sz w:val="18"/>
          <w:szCs w:val="18"/>
          <w:color w:val="auto"/>
        </w:rPr>
      </w:pPr>
      <w:r>
        <w:rPr>
          <w:rFonts w:ascii="Arial" w:cs="Arial" w:eastAsia="Arial" w:hAnsi="Arial"/>
          <w:sz w:val="18"/>
          <w:szCs w:val="18"/>
          <w:color w:val="auto"/>
        </w:rPr>
        <w:t>months after the date the Executive is actually no longer employed by the Company. The term "</w:t>
      </w:r>
      <w:r>
        <w:rPr>
          <w:rFonts w:ascii="Arial" w:cs="Arial" w:eastAsia="Arial" w:hAnsi="Arial"/>
          <w:sz w:val="18"/>
          <w:szCs w:val="18"/>
          <w:u w:val="single" w:color="auto"/>
          <w:color w:val="auto"/>
        </w:rPr>
        <w:t>Restricted Area</w:t>
      </w:r>
      <w:r>
        <w:rPr>
          <w:rFonts w:ascii="Arial" w:cs="Arial" w:eastAsia="Arial" w:hAnsi="Arial"/>
          <w:sz w:val="18"/>
          <w:szCs w:val="18"/>
          <w:color w:val="auto"/>
        </w:rPr>
        <w:t xml:space="preserve">" as used in this </w:t>
      </w:r>
      <w:r>
        <w:rPr>
          <w:rFonts w:ascii="Arial" w:cs="Arial" w:eastAsia="Arial" w:hAnsi="Arial"/>
          <w:sz w:val="18"/>
          <w:szCs w:val="18"/>
          <w:u w:val="single" w:color="auto"/>
          <w:color w:val="auto"/>
        </w:rPr>
        <w:t>Section 11</w:t>
      </w:r>
      <w:r>
        <w:rPr>
          <w:rFonts w:ascii="Arial" w:cs="Arial" w:eastAsia="Arial" w:hAnsi="Arial"/>
          <w:sz w:val="18"/>
          <w:szCs w:val="18"/>
          <w:color w:val="auto"/>
        </w:rPr>
        <w:t xml:space="preserve"> shall mean worldwide.</w:t>
      </w:r>
    </w:p>
    <w:p>
      <w:pPr>
        <w:spacing w:after="0" w:line="183" w:lineRule="exact"/>
        <w:rPr>
          <w:rFonts w:ascii="Arial" w:cs="Arial" w:eastAsia="Arial" w:hAnsi="Arial"/>
          <w:sz w:val="18"/>
          <w:szCs w:val="18"/>
          <w:color w:val="auto"/>
        </w:rPr>
      </w:pPr>
    </w:p>
    <w:p>
      <w:pPr>
        <w:ind w:left="1120" w:hanging="464"/>
        <w:spacing w:after="0"/>
        <w:tabs>
          <w:tab w:leader="none" w:pos="1120" w:val="left"/>
        </w:tabs>
        <w:numPr>
          <w:ilvl w:val="1"/>
          <w:numId w:val="25"/>
        </w:numPr>
        <w:rPr>
          <w:rFonts w:ascii="Arial" w:cs="Arial" w:eastAsia="Arial" w:hAnsi="Arial"/>
          <w:sz w:val="16"/>
          <w:szCs w:val="16"/>
          <w:color w:val="auto"/>
        </w:rPr>
      </w:pPr>
      <w:r>
        <w:rPr>
          <w:rFonts w:ascii="Arial" w:cs="Arial" w:eastAsia="Arial" w:hAnsi="Arial"/>
          <w:sz w:val="16"/>
          <w:szCs w:val="16"/>
          <w:color w:val="auto"/>
        </w:rPr>
        <w:t xml:space="preserve">The provisions of this </w:t>
      </w:r>
      <w:r>
        <w:rPr>
          <w:rFonts w:ascii="Arial" w:cs="Arial" w:eastAsia="Arial" w:hAnsi="Arial"/>
          <w:sz w:val="16"/>
          <w:szCs w:val="16"/>
          <w:u w:val="single" w:color="auto"/>
          <w:color w:val="auto"/>
        </w:rPr>
        <w:t>Section 11</w:t>
      </w:r>
      <w:r>
        <w:rPr>
          <w:rFonts w:ascii="Arial" w:cs="Arial" w:eastAsia="Arial" w:hAnsi="Arial"/>
          <w:sz w:val="16"/>
          <w:szCs w:val="16"/>
          <w:color w:val="auto"/>
        </w:rPr>
        <w:t xml:space="preserve"> shall survive the termination of the Executive's employment hereunder and until the end of the Restricted</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Period.</w:t>
      </w:r>
    </w:p>
    <w:p>
      <w:pPr>
        <w:spacing w:after="0" w:line="210" w:lineRule="exact"/>
        <w:rPr>
          <w:rFonts w:ascii="Arial" w:cs="Arial" w:eastAsia="Arial" w:hAnsi="Arial"/>
          <w:sz w:val="16"/>
          <w:szCs w:val="16"/>
          <w:color w:val="auto"/>
        </w:rPr>
      </w:pPr>
    </w:p>
    <w:p>
      <w:pPr>
        <w:ind w:firstLine="656"/>
        <w:spacing w:after="0" w:line="277" w:lineRule="auto"/>
        <w:tabs>
          <w:tab w:leader="none" w:pos="1155" w:val="left"/>
        </w:tabs>
        <w:numPr>
          <w:ilvl w:val="1"/>
          <w:numId w:val="25"/>
        </w:numPr>
        <w:rPr>
          <w:rFonts w:ascii="Arial" w:cs="Arial" w:eastAsia="Arial" w:hAnsi="Arial"/>
          <w:sz w:val="18"/>
          <w:szCs w:val="18"/>
          <w:color w:val="auto"/>
        </w:rPr>
      </w:pPr>
      <w:r>
        <w:rPr>
          <w:rFonts w:ascii="Arial" w:cs="Arial" w:eastAsia="Arial" w:hAnsi="Arial"/>
          <w:sz w:val="18"/>
          <w:szCs w:val="18"/>
          <w:color w:val="auto"/>
        </w:rPr>
        <w:t>The Company may increase the term of the Restricted Period in its sole discretion for up to an additional twelve (12) months provided (a) Executive is notified of the desire in writing 90 days after the Restricted Period has commenced or 180 days prior to its expiration.</w:t>
      </w:r>
    </w:p>
    <w:p>
      <w:pPr>
        <w:spacing w:after="0" w:line="170" w:lineRule="exact"/>
        <w:rPr>
          <w:rFonts w:ascii="Arial" w:cs="Arial" w:eastAsia="Arial" w:hAnsi="Arial"/>
          <w:sz w:val="18"/>
          <w:szCs w:val="18"/>
          <w:color w:val="auto"/>
        </w:rPr>
      </w:pPr>
    </w:p>
    <w:p>
      <w:pPr>
        <w:jc w:val="both"/>
        <w:ind w:firstLine="656"/>
        <w:spacing w:after="0" w:line="293" w:lineRule="auto"/>
        <w:tabs>
          <w:tab w:leader="none" w:pos="1218" w:val="left"/>
        </w:tabs>
        <w:numPr>
          <w:ilvl w:val="1"/>
          <w:numId w:val="25"/>
        </w:numPr>
        <w:rPr>
          <w:rFonts w:ascii="Arial" w:cs="Arial" w:eastAsia="Arial" w:hAnsi="Arial"/>
          <w:sz w:val="16"/>
          <w:szCs w:val="16"/>
          <w:color w:val="auto"/>
        </w:rPr>
      </w:pPr>
      <w:r>
        <w:rPr>
          <w:rFonts w:ascii="Arial" w:cs="Arial" w:eastAsia="Arial" w:hAnsi="Arial"/>
          <w:sz w:val="16"/>
          <w:szCs w:val="16"/>
          <w:color w:val="auto"/>
        </w:rPr>
        <w:t xml:space="preserve">Notwithstanding anything to the contrary contained herein, upon termination of the Employment Period, the Company shall inform the Executive of its decision whether or not to enforce the provisions of this </w:t>
      </w:r>
      <w:r>
        <w:rPr>
          <w:rFonts w:ascii="Arial" w:cs="Arial" w:eastAsia="Arial" w:hAnsi="Arial"/>
          <w:sz w:val="16"/>
          <w:szCs w:val="16"/>
          <w:u w:val="single" w:color="auto"/>
          <w:color w:val="auto"/>
        </w:rPr>
        <w:t>Section 11</w:t>
      </w:r>
      <w:r>
        <w:rPr>
          <w:rFonts w:ascii="Arial" w:cs="Arial" w:eastAsia="Arial" w:hAnsi="Arial"/>
          <w:sz w:val="16"/>
          <w:szCs w:val="16"/>
          <w:color w:val="auto"/>
        </w:rPr>
        <w:t xml:space="preserve">. In the event the Company elects to enforce the provisions of this </w:t>
      </w:r>
      <w:r>
        <w:rPr>
          <w:rFonts w:ascii="Arial" w:cs="Arial" w:eastAsia="Arial" w:hAnsi="Arial"/>
          <w:sz w:val="16"/>
          <w:szCs w:val="16"/>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11</w:t>
      </w:r>
      <w:r>
        <w:rPr>
          <w:rFonts w:ascii="Arial" w:cs="Arial" w:eastAsia="Arial" w:hAnsi="Arial"/>
          <w:sz w:val="16"/>
          <w:szCs w:val="16"/>
          <w:color w:val="auto"/>
        </w:rPr>
        <w:t xml:space="preserve">, then the Company shall pay Executive his monthly Base Salary in effect as of the date of termination during the term of such enforcement; provided, however, that the Company shall have the right to stop the enforcement of this </w:t>
      </w:r>
      <w:r>
        <w:rPr>
          <w:rFonts w:ascii="Arial" w:cs="Arial" w:eastAsia="Arial" w:hAnsi="Arial"/>
          <w:sz w:val="16"/>
          <w:szCs w:val="16"/>
          <w:u w:val="single" w:color="auto"/>
          <w:color w:val="auto"/>
        </w:rPr>
        <w:t>Section 11</w:t>
      </w:r>
      <w:r>
        <w:rPr>
          <w:rFonts w:ascii="Arial" w:cs="Arial" w:eastAsia="Arial" w:hAnsi="Arial"/>
          <w:sz w:val="16"/>
          <w:szCs w:val="16"/>
          <w:color w:val="auto"/>
        </w:rPr>
        <w:t xml:space="preserve"> at any time upon 60 days’ prior notice to the Executive. The Company’s election not to enforce the provisions of </w:t>
      </w:r>
      <w:r>
        <w:rPr>
          <w:rFonts w:ascii="Arial" w:cs="Arial" w:eastAsia="Arial" w:hAnsi="Arial"/>
          <w:sz w:val="16"/>
          <w:szCs w:val="16"/>
          <w:u w:val="single" w:color="auto"/>
          <w:color w:val="auto"/>
        </w:rPr>
        <w:t>Section 11</w:t>
      </w:r>
      <w:r>
        <w:rPr>
          <w:rFonts w:ascii="Arial" w:cs="Arial" w:eastAsia="Arial" w:hAnsi="Arial"/>
          <w:sz w:val="16"/>
          <w:szCs w:val="16"/>
          <w:color w:val="auto"/>
        </w:rPr>
        <w:t xml:space="preserve"> or to truncate the noncompete period in accordance with this </w:t>
      </w:r>
      <w:r>
        <w:rPr>
          <w:rFonts w:ascii="Arial" w:cs="Arial" w:eastAsia="Arial" w:hAnsi="Arial"/>
          <w:sz w:val="16"/>
          <w:szCs w:val="16"/>
          <w:u w:val="single" w:color="auto"/>
          <w:color w:val="auto"/>
        </w:rPr>
        <w:t>Section 11(h)</w:t>
      </w:r>
      <w:r>
        <w:rPr>
          <w:rFonts w:ascii="Arial" w:cs="Arial" w:eastAsia="Arial" w:hAnsi="Arial"/>
          <w:sz w:val="16"/>
          <w:szCs w:val="16"/>
          <w:color w:val="auto"/>
        </w:rPr>
        <w:t xml:space="preserve"> shall not excuse or otherwise adversely effect the Company’s obligation, if any, to pay severance upon a termination of Executive’s employment as provided under </w:t>
      </w:r>
      <w:r>
        <w:rPr>
          <w:rFonts w:ascii="Arial" w:cs="Arial" w:eastAsia="Arial" w:hAnsi="Arial"/>
          <w:sz w:val="16"/>
          <w:szCs w:val="16"/>
          <w:u w:val="single" w:color="auto"/>
          <w:color w:val="auto"/>
        </w:rPr>
        <w:t>Section 9</w:t>
      </w:r>
      <w:r>
        <w:rPr>
          <w:rFonts w:ascii="Arial" w:cs="Arial" w:eastAsia="Arial" w:hAnsi="Arial"/>
          <w:sz w:val="16"/>
          <w:szCs w:val="16"/>
          <w:color w:val="auto"/>
        </w:rPr>
        <w:t>.</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4" w:name="page15"/>
    <w:bookmarkEnd w:id="14"/>
    <w:p>
      <w:pPr>
        <w:ind w:left="1320" w:hanging="682"/>
        <w:spacing w:after="0"/>
        <w:tabs>
          <w:tab w:leader="none" w:pos="1320" w:val="left"/>
        </w:tabs>
        <w:numPr>
          <w:ilvl w:val="0"/>
          <w:numId w:val="26"/>
        </w:numPr>
        <w:rPr>
          <w:rFonts w:ascii="Arial" w:cs="Arial" w:eastAsia="Arial" w:hAnsi="Arial"/>
          <w:sz w:val="18"/>
          <w:szCs w:val="18"/>
          <w:color w:val="auto"/>
        </w:rPr>
      </w:pPr>
      <w:r>
        <w:rPr>
          <w:rFonts w:ascii="Arial" w:cs="Arial" w:eastAsia="Arial" w:hAnsi="Arial"/>
          <w:sz w:val="18"/>
          <w:szCs w:val="18"/>
          <w:u w:val="single" w:color="auto"/>
          <w:color w:val="auto"/>
        </w:rPr>
        <w:t>Intellectual Property</w:t>
      </w:r>
      <w:r>
        <w:rPr>
          <w:rFonts w:ascii="Arial" w:cs="Arial" w:eastAsia="Arial" w:hAnsi="Arial"/>
          <w:sz w:val="18"/>
          <w:szCs w:val="18"/>
          <w:color w:val="auto"/>
        </w:rPr>
        <w:t>.</w:t>
      </w:r>
    </w:p>
    <w:p>
      <w:pPr>
        <w:spacing w:after="0" w:line="225" w:lineRule="exact"/>
        <w:rPr>
          <w:sz w:val="20"/>
          <w:szCs w:val="20"/>
          <w:color w:val="auto"/>
        </w:rPr>
      </w:pPr>
    </w:p>
    <w:p>
      <w:pPr>
        <w:jc w:val="both"/>
        <w:ind w:firstLine="656"/>
        <w:spacing w:after="0" w:line="257" w:lineRule="auto"/>
        <w:tabs>
          <w:tab w:leader="none" w:pos="1198" w:val="left"/>
        </w:tabs>
        <w:numPr>
          <w:ilvl w:val="1"/>
          <w:numId w:val="27"/>
        </w:numPr>
        <w:rPr>
          <w:rFonts w:ascii="Arial" w:cs="Arial" w:eastAsia="Arial" w:hAnsi="Arial"/>
          <w:sz w:val="18"/>
          <w:szCs w:val="18"/>
          <w:color w:val="auto"/>
        </w:rPr>
      </w:pPr>
      <w:r>
        <w:rPr>
          <w:rFonts w:ascii="Arial" w:cs="Arial" w:eastAsia="Arial" w:hAnsi="Arial"/>
          <w:sz w:val="18"/>
          <w:szCs w:val="18"/>
          <w:color w:val="auto"/>
        </w:rPr>
        <w:t>Any improvements, inventions, expressions, information, data, databases, user interfaces, websites, new techniques, processes, programs or products that may be made or developed by Executive during the course of employment with Company or resulting from work Executive performs for Company shall be deemed to have been made or developed solely for the benefit of Company and shall be the sole and exclusive property of Company. Executive shall promptly communicate and disclose to Company any and all such improvements, inventions, new techniques, processes, programs or products, whether or not patentable.</w:t>
      </w:r>
    </w:p>
    <w:p>
      <w:pPr>
        <w:spacing w:after="0" w:line="188" w:lineRule="exact"/>
        <w:rPr>
          <w:rFonts w:ascii="Arial" w:cs="Arial" w:eastAsia="Arial" w:hAnsi="Arial"/>
          <w:sz w:val="18"/>
          <w:szCs w:val="18"/>
          <w:color w:val="auto"/>
        </w:rPr>
      </w:pPr>
    </w:p>
    <w:p>
      <w:pPr>
        <w:jc w:val="both"/>
        <w:ind w:firstLine="656"/>
        <w:spacing w:after="0" w:line="264" w:lineRule="auto"/>
        <w:tabs>
          <w:tab w:leader="none" w:pos="1222" w:val="left"/>
        </w:tabs>
        <w:numPr>
          <w:ilvl w:val="1"/>
          <w:numId w:val="27"/>
        </w:numPr>
        <w:rPr>
          <w:rFonts w:ascii="Arial" w:cs="Arial" w:eastAsia="Arial" w:hAnsi="Arial"/>
          <w:sz w:val="18"/>
          <w:szCs w:val="18"/>
          <w:color w:val="auto"/>
        </w:rPr>
      </w:pPr>
      <w:r>
        <w:rPr>
          <w:rFonts w:ascii="Arial" w:cs="Arial" w:eastAsia="Arial" w:hAnsi="Arial"/>
          <w:sz w:val="18"/>
          <w:szCs w:val="18"/>
          <w:color w:val="auto"/>
        </w:rPr>
        <w:t>Executive acknowledges that all original works of authorship, including without limitation textual materials, graphical works, software, manuals and documentation, that are created by Executive during and within the scope of employment with Company are and shall be "works-for-hire" and the sole property of Company.</w:t>
      </w:r>
    </w:p>
    <w:p>
      <w:pPr>
        <w:spacing w:after="0" w:line="181" w:lineRule="exact"/>
        <w:rPr>
          <w:rFonts w:ascii="Arial" w:cs="Arial" w:eastAsia="Arial" w:hAnsi="Arial"/>
          <w:sz w:val="18"/>
          <w:szCs w:val="18"/>
          <w:color w:val="auto"/>
        </w:rPr>
      </w:pPr>
    </w:p>
    <w:p>
      <w:pPr>
        <w:jc w:val="both"/>
        <w:ind w:firstLine="656"/>
        <w:spacing w:after="0" w:line="259" w:lineRule="auto"/>
        <w:tabs>
          <w:tab w:leader="none" w:pos="1172" w:val="left"/>
        </w:tabs>
        <w:numPr>
          <w:ilvl w:val="1"/>
          <w:numId w:val="27"/>
        </w:numPr>
        <w:rPr>
          <w:rFonts w:ascii="Arial" w:cs="Arial" w:eastAsia="Arial" w:hAnsi="Arial"/>
          <w:sz w:val="18"/>
          <w:szCs w:val="18"/>
          <w:color w:val="auto"/>
        </w:rPr>
      </w:pPr>
      <w:r>
        <w:rPr>
          <w:rFonts w:ascii="Arial" w:cs="Arial" w:eastAsia="Arial" w:hAnsi="Arial"/>
          <w:sz w:val="18"/>
          <w:szCs w:val="18"/>
          <w:color w:val="auto"/>
        </w:rPr>
        <w:t>In order to further effectuate the terms of this Agreement, Executive hereby assigns and agrees to assign in the future to Company all of Executive's right, title and interest in and to patents, copyrights, trademarks and all other proprietary interests in any process, program, expression, technique, product, research item, text, information, invention or other improvement which Executive has developed or may develop during the course of employment by, or which results from work Executive did or does for, Company.</w:t>
      </w:r>
    </w:p>
    <w:p>
      <w:pPr>
        <w:spacing w:after="0" w:line="186" w:lineRule="exact"/>
        <w:rPr>
          <w:rFonts w:ascii="Arial" w:cs="Arial" w:eastAsia="Arial" w:hAnsi="Arial"/>
          <w:sz w:val="18"/>
          <w:szCs w:val="18"/>
          <w:color w:val="auto"/>
        </w:rPr>
      </w:pPr>
    </w:p>
    <w:p>
      <w:pPr>
        <w:ind w:firstLine="656"/>
        <w:spacing w:after="0" w:line="308" w:lineRule="auto"/>
        <w:tabs>
          <w:tab w:leader="none" w:pos="1201" w:val="left"/>
        </w:tabs>
        <w:numPr>
          <w:ilvl w:val="1"/>
          <w:numId w:val="27"/>
        </w:numPr>
        <w:rPr>
          <w:rFonts w:ascii="Arial" w:cs="Arial" w:eastAsia="Arial" w:hAnsi="Arial"/>
          <w:sz w:val="17"/>
          <w:szCs w:val="17"/>
          <w:color w:val="auto"/>
        </w:rPr>
      </w:pPr>
      <w:r>
        <w:rPr>
          <w:rFonts w:ascii="Arial" w:cs="Arial" w:eastAsia="Arial" w:hAnsi="Arial"/>
          <w:sz w:val="17"/>
          <w:szCs w:val="17"/>
          <w:color w:val="auto"/>
        </w:rPr>
        <w:t>Executive shall not, during or after the course of employment with Company, use or disclose to any other person or entity any process, program, expression, technique, product, research item, text, data, database, information, invention or other improvement referenced in this Section.</w:t>
      </w:r>
    </w:p>
    <w:p>
      <w:pPr>
        <w:spacing w:after="0" w:line="146" w:lineRule="exact"/>
        <w:rPr>
          <w:rFonts w:ascii="Arial" w:cs="Arial" w:eastAsia="Arial" w:hAnsi="Arial"/>
          <w:sz w:val="17"/>
          <w:szCs w:val="17"/>
          <w:color w:val="auto"/>
        </w:rPr>
      </w:pPr>
    </w:p>
    <w:p>
      <w:pPr>
        <w:jc w:val="both"/>
        <w:ind w:firstLine="656"/>
        <w:spacing w:after="0" w:line="264" w:lineRule="auto"/>
        <w:tabs>
          <w:tab w:leader="none" w:pos="1257" w:val="left"/>
        </w:tabs>
        <w:numPr>
          <w:ilvl w:val="1"/>
          <w:numId w:val="27"/>
        </w:numPr>
        <w:rPr>
          <w:rFonts w:ascii="Arial" w:cs="Arial" w:eastAsia="Arial" w:hAnsi="Arial"/>
          <w:sz w:val="18"/>
          <w:szCs w:val="18"/>
          <w:color w:val="auto"/>
        </w:rPr>
      </w:pPr>
      <w:r>
        <w:rPr>
          <w:rFonts w:ascii="Arial" w:cs="Arial" w:eastAsia="Arial" w:hAnsi="Arial"/>
          <w:sz w:val="18"/>
          <w:szCs w:val="18"/>
          <w:color w:val="auto"/>
        </w:rPr>
        <w:t xml:space="preserve">The provisions of this </w:t>
      </w:r>
      <w:r>
        <w:rPr>
          <w:rFonts w:ascii="Arial" w:cs="Arial" w:eastAsia="Arial" w:hAnsi="Arial"/>
          <w:sz w:val="18"/>
          <w:szCs w:val="18"/>
          <w:u w:val="single" w:color="auto"/>
          <w:color w:val="auto"/>
        </w:rPr>
        <w:t>Section 12</w:t>
      </w:r>
      <w:r>
        <w:rPr>
          <w:rFonts w:ascii="Arial" w:cs="Arial" w:eastAsia="Arial" w:hAnsi="Arial"/>
          <w:sz w:val="18"/>
          <w:szCs w:val="18"/>
          <w:color w:val="auto"/>
        </w:rPr>
        <w:t xml:space="preserve"> shall not apply to any inventions, developments, works of authorship, improvements, expressions, information, data, databases, user interfaces, websites, techniques, processes, methods, programs or products developed by Executive prior to his employment with the Company (“</w:t>
      </w:r>
      <w:r>
        <w:rPr>
          <w:rFonts w:ascii="Arial" w:cs="Arial" w:eastAsia="Arial" w:hAnsi="Arial"/>
          <w:sz w:val="18"/>
          <w:szCs w:val="18"/>
          <w:u w:val="single" w:color="auto"/>
          <w:color w:val="auto"/>
        </w:rPr>
        <w:t>Prior Inventions</w:t>
      </w:r>
      <w:r>
        <w:rPr>
          <w:rFonts w:ascii="Arial" w:cs="Arial" w:eastAsia="Arial" w:hAnsi="Arial"/>
          <w:sz w:val="18"/>
          <w:szCs w:val="18"/>
          <w:color w:val="auto"/>
        </w:rPr>
        <w:t>”), which shall remain the sole and exclusive property of the Executive.</w:t>
      </w:r>
    </w:p>
    <w:p>
      <w:pPr>
        <w:spacing w:after="0" w:line="181" w:lineRule="exact"/>
        <w:rPr>
          <w:rFonts w:ascii="Arial" w:cs="Arial" w:eastAsia="Arial" w:hAnsi="Arial"/>
          <w:sz w:val="18"/>
          <w:szCs w:val="18"/>
          <w:color w:val="auto"/>
        </w:rPr>
      </w:pPr>
    </w:p>
    <w:p>
      <w:pPr>
        <w:ind w:left="1320" w:hanging="682"/>
        <w:spacing w:after="0"/>
        <w:tabs>
          <w:tab w:leader="none" w:pos="1320"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Non-Disparagement</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During the Employment Period and for three (3) years after the termination of the Employment Period, for any reason, neither Executive nor his agents, on the one hand, nor the Company, or its senior executives or the Board, on the other hand, shall directly or indirectly issue or communicate any public statement, or statement likely to become public, that maligns, denigrates or disparages the other (including, in the case of communications by Executive or his agents, any of the Company's officers, directors, employees or investors). The foregoing shall not be violated by truthful responses to legal process or governmental inquiry or by private statements to any of the Company's officers, directors or employees; provided, that, in the case of Executive, such statements are made in the course of carrying out his duties pursuant to this Agreement.</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5" w:name="page16"/>
    <w:bookmarkEnd w:id="15"/>
    <w:p>
      <w:pPr>
        <w:ind w:left="1340" w:hanging="684"/>
        <w:spacing w:after="0"/>
        <w:tabs>
          <w:tab w:leader="none" w:pos="1340"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225" w:lineRule="exact"/>
        <w:rPr>
          <w:sz w:val="20"/>
          <w:szCs w:val="20"/>
          <w:color w:val="auto"/>
        </w:rPr>
      </w:pPr>
    </w:p>
    <w:p>
      <w:pPr>
        <w:jc w:val="both"/>
        <w:ind w:firstLine="656"/>
        <w:spacing w:after="0" w:line="270" w:lineRule="auto"/>
        <w:tabs>
          <w:tab w:leader="none" w:pos="1167"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Executive acknowledges that the services to be rendered by him under the provisions of this Agreement are of a special, unique and extraordinary character and that it would be difficult or impossible to replace such services. Furthermore, the parties acknowledge that monetary damages alone would not be an adequate remedy for any breach by the Executive of this Agreement. Accordingly, the Executive agrees that any breach or threatened breach by him of this Agreement shall entitle the Company, in addition to all other legal remedies available to it, to apply to any court of competent jurisdiction to seek to enjoin such breach or threatened breach. The parties understand and intend that each restriction agreed to by the Executive hereinabove shall be construed as separable and divisible from every other restriction, that the unenforceability of any restriction shall not limit the enforceability, in whole or in part, of any other restriction, and that one or more or all of such restrictions may be enforced in whole or in part as the circumstances warrant. In the event that any restriction in this Agreement is more restrictive than permitted by law in the jurisdiction in which the Company seeks enforcement thereof, such restriction shall be limited to the extent permitted by law. The remedy of injunctive relief herein set forth shall be in addition to, and not in lieu of, any other rights or remedies that the Company may have at law or in equity.</w:t>
      </w:r>
    </w:p>
    <w:p>
      <w:pPr>
        <w:spacing w:after="0" w:line="177" w:lineRule="exact"/>
        <w:rPr>
          <w:rFonts w:ascii="Arial" w:cs="Arial" w:eastAsia="Arial" w:hAnsi="Arial"/>
          <w:sz w:val="17"/>
          <w:szCs w:val="17"/>
          <w:color w:val="auto"/>
        </w:rPr>
      </w:pPr>
    </w:p>
    <w:p>
      <w:pPr>
        <w:jc w:val="both"/>
        <w:ind w:firstLine="656"/>
        <w:spacing w:after="0" w:line="264" w:lineRule="auto"/>
        <w:tabs>
          <w:tab w:leader="none" w:pos="1113" w:val="left"/>
        </w:tabs>
        <w:numPr>
          <w:ilvl w:val="0"/>
          <w:numId w:val="30"/>
        </w:numPr>
        <w:rPr>
          <w:rFonts w:ascii="Arial" w:cs="Arial" w:eastAsia="Arial" w:hAnsi="Arial"/>
          <w:sz w:val="18"/>
          <w:szCs w:val="18"/>
          <w:color w:val="auto"/>
        </w:rPr>
      </w:pPr>
      <w:r>
        <w:rPr>
          <w:rFonts w:ascii="Arial" w:cs="Arial" w:eastAsia="Arial" w:hAnsi="Arial"/>
          <w:sz w:val="18"/>
          <w:szCs w:val="18"/>
          <w:color w:val="auto"/>
        </w:rPr>
        <w:t>Neither the Executive nor the Company may assign or delegate any of their rights or duties under this Agreement without the express written consent of the other; provided, however, that the Company shall have the right to delegate its obligation of payment of all sums due to the Executive hereunder, provided that such delegation shall not relieve the Company of any of its obligations hereunder.</w:t>
      </w:r>
    </w:p>
    <w:p>
      <w:pPr>
        <w:spacing w:after="0" w:line="181" w:lineRule="exact"/>
        <w:rPr>
          <w:rFonts w:ascii="Arial" w:cs="Arial" w:eastAsia="Arial" w:hAnsi="Arial"/>
          <w:sz w:val="18"/>
          <w:szCs w:val="18"/>
          <w:color w:val="auto"/>
        </w:rPr>
      </w:pPr>
    </w:p>
    <w:p>
      <w:pPr>
        <w:jc w:val="both"/>
        <w:ind w:firstLine="656"/>
        <w:spacing w:after="0" w:line="297" w:lineRule="auto"/>
        <w:tabs>
          <w:tab w:leader="none" w:pos="1146"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This Agreement constitutes and embodies the full and complete understanding and agreement of the parties with respect to the Executive's employment by the Company, supersedes all prior understandings and agreements, whether oral or written, between the Executive and the Company, and shall not be amended, modified or changed except by an instrument in writing executed by the party to be charged. The invalidity or partial invalidity of one or more provisions of this Agreement shall not invalidate any other provision of this Agreement. No waiver by either party of any provision or condition to be performed shall be deemed a waiver of similar or dissimilar provisions or conditions at the same time or any prior or subsequent time.</w:t>
      </w:r>
    </w:p>
    <w:p>
      <w:pPr>
        <w:spacing w:after="0" w:line="158" w:lineRule="exact"/>
        <w:rPr>
          <w:rFonts w:ascii="Arial" w:cs="Arial" w:eastAsia="Arial" w:hAnsi="Arial"/>
          <w:sz w:val="16"/>
          <w:szCs w:val="16"/>
          <w:color w:val="auto"/>
        </w:rPr>
      </w:pPr>
    </w:p>
    <w:p>
      <w:pPr>
        <w:jc w:val="both"/>
        <w:ind w:firstLine="656"/>
        <w:spacing w:after="0" w:line="257" w:lineRule="auto"/>
        <w:tabs>
          <w:tab w:leader="none" w:pos="1252" w:val="left"/>
        </w:tabs>
        <w:numPr>
          <w:ilvl w:val="0"/>
          <w:numId w:val="30"/>
        </w:numPr>
        <w:rPr>
          <w:rFonts w:ascii="Arial" w:cs="Arial" w:eastAsia="Arial" w:hAnsi="Arial"/>
          <w:sz w:val="18"/>
          <w:szCs w:val="18"/>
          <w:color w:val="auto"/>
        </w:rPr>
      </w:pPr>
      <w:r>
        <w:rPr>
          <w:rFonts w:ascii="Arial" w:cs="Arial" w:eastAsia="Arial" w:hAnsi="Arial"/>
          <w:sz w:val="18"/>
          <w:szCs w:val="18"/>
          <w:color w:val="auto"/>
        </w:rPr>
        <w:t>Executive acknowledges that he has had the opportunity to be represented by separate independent counsel in the negotiation of this Agreement, has consulted with his attorney of choice, or voluntarily chose not to do so, concerning the execution and meaning of this Agreement, and has read this Agreement and fully understands the terms hereof, and is executing the same of his own free will. Executive warrants and represents that he has had sufficient time to consider whether to enter into this Agreement and that he is relying solely on his own judgment and the advice of his own counsel, if any, in deciding to execute this Agreement.</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6" w:name="page17"/>
    <w:bookmarkEnd w:id="16"/>
    <w:p>
      <w:pPr>
        <w:ind w:right="20" w:firstLine="656"/>
        <w:spacing w:after="0" w:line="277" w:lineRule="auto"/>
        <w:tabs>
          <w:tab w:leader="none" w:pos="1091"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This Agreement shall inure to the benefit of, be binding upon and enforceable against, the parties hereto and their respective successors, heirs, beneficiaries and permitted assigns.</w:t>
      </w:r>
    </w:p>
    <w:p>
      <w:pPr>
        <w:spacing w:after="0" w:line="170" w:lineRule="exact"/>
        <w:rPr>
          <w:rFonts w:ascii="Arial" w:cs="Arial" w:eastAsia="Arial" w:hAnsi="Arial"/>
          <w:sz w:val="18"/>
          <w:szCs w:val="18"/>
          <w:color w:val="auto"/>
        </w:rPr>
      </w:pPr>
    </w:p>
    <w:p>
      <w:pPr>
        <w:ind w:left="1060" w:hanging="404"/>
        <w:spacing w:after="0"/>
        <w:tabs>
          <w:tab w:leader="none" w:pos="10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If this Agreement is terminated for any reason, Sections 10, 11, 12 and 13 shall survive the termination of this Agreement.</w:t>
      </w:r>
    </w:p>
    <w:p>
      <w:pPr>
        <w:spacing w:after="0" w:line="225" w:lineRule="exact"/>
        <w:rPr>
          <w:rFonts w:ascii="Arial" w:cs="Arial" w:eastAsia="Arial" w:hAnsi="Arial"/>
          <w:sz w:val="18"/>
          <w:szCs w:val="18"/>
          <w:color w:val="auto"/>
        </w:rPr>
      </w:pPr>
    </w:p>
    <w:p>
      <w:pPr>
        <w:ind w:firstLine="656"/>
        <w:spacing w:after="0" w:line="277" w:lineRule="auto"/>
        <w:tabs>
          <w:tab w:leader="none" w:pos="1146"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 the event of litigation between the parties hereto regarding this Agreement, the prevailing party shall be entitled to recover the costs and fees, including reasonable attorney’s fees, incurred by such party in the litigation.</w:t>
      </w:r>
    </w:p>
    <w:p>
      <w:pPr>
        <w:spacing w:after="0" w:line="170" w:lineRule="exact"/>
        <w:rPr>
          <w:rFonts w:ascii="Arial" w:cs="Arial" w:eastAsia="Arial" w:hAnsi="Arial"/>
          <w:sz w:val="18"/>
          <w:szCs w:val="18"/>
          <w:color w:val="auto"/>
        </w:rPr>
      </w:pPr>
    </w:p>
    <w:p>
      <w:pPr>
        <w:ind w:right="20" w:firstLine="656"/>
        <w:spacing w:after="0" w:line="277" w:lineRule="auto"/>
        <w:tabs>
          <w:tab w:leader="none" w:pos="1107"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headings contained in this Agreement are for convenience of reference only and shall not affect in any way the meaning or interpretation of this Agreement.</w:t>
      </w:r>
    </w:p>
    <w:p>
      <w:pPr>
        <w:spacing w:after="0" w:line="170" w:lineRule="exact"/>
        <w:rPr>
          <w:rFonts w:ascii="Arial" w:cs="Arial" w:eastAsia="Arial" w:hAnsi="Arial"/>
          <w:sz w:val="18"/>
          <w:szCs w:val="18"/>
          <w:color w:val="auto"/>
        </w:rPr>
      </w:pPr>
    </w:p>
    <w:p>
      <w:pPr>
        <w:jc w:val="both"/>
        <w:ind w:firstLine="656"/>
        <w:spacing w:after="0" w:line="255" w:lineRule="auto"/>
        <w:tabs>
          <w:tab w:leader="none" w:pos="1033" w:val="left"/>
        </w:tabs>
        <w:numPr>
          <w:ilvl w:val="0"/>
          <w:numId w:val="31"/>
        </w:numPr>
        <w:rPr>
          <w:rFonts w:ascii="Arial" w:cs="Arial" w:eastAsia="Arial" w:hAnsi="Arial"/>
          <w:sz w:val="18"/>
          <w:szCs w:val="18"/>
          <w:color w:val="auto"/>
        </w:rPr>
      </w:pPr>
      <w:r>
        <w:rPr>
          <w:rFonts w:ascii="Arial" w:cs="Arial" w:eastAsia="Arial" w:hAnsi="Arial"/>
          <w:sz w:val="18"/>
          <w:szCs w:val="18"/>
          <w:color w:val="auto"/>
        </w:rPr>
        <w:t>All notices, requests, demands and other communications required or permitted to be given hereunder shall be in writing and shall be deemed to have been duly given when personally delivered, sent by registered or certified mail, return receipt requested, postage prepaid, or by reputable national overnight delivery service (e.g. FedEx) for overnight delivery to the party at the address set forth in the preamble to this Agreement, or to such other address as either party may hereafter give the other party notice of in accordance with the provisions hereof. Notices shall be deemed given on the sooner of the date actually received or the third business day after deposited in the mail or one business day after deposited with an overnight delivery service for overnight delivery.</w:t>
      </w:r>
    </w:p>
    <w:p>
      <w:pPr>
        <w:spacing w:after="0" w:line="193" w:lineRule="exact"/>
        <w:rPr>
          <w:rFonts w:ascii="Arial" w:cs="Arial" w:eastAsia="Arial" w:hAnsi="Arial"/>
          <w:sz w:val="18"/>
          <w:szCs w:val="18"/>
          <w:color w:val="auto"/>
        </w:rPr>
      </w:pPr>
    </w:p>
    <w:p>
      <w:pPr>
        <w:jc w:val="both"/>
        <w:ind w:firstLine="656"/>
        <w:spacing w:after="0" w:line="264" w:lineRule="auto"/>
        <w:tabs>
          <w:tab w:leader="none" w:pos="11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This Agreement shall be governed by and construed in accordance with the internal laws of the State of New York without reference to principles of conflicts of laws and each of the parties hereto irrevocably consents to the exclusive jurisdiction and venue of the federal and state courts located in the County and State of New York.</w:t>
      </w:r>
    </w:p>
    <w:p>
      <w:pPr>
        <w:spacing w:after="0" w:line="181" w:lineRule="exact"/>
        <w:rPr>
          <w:rFonts w:ascii="Arial" w:cs="Arial" w:eastAsia="Arial" w:hAnsi="Arial"/>
          <w:sz w:val="18"/>
          <w:szCs w:val="18"/>
          <w:color w:val="auto"/>
        </w:rPr>
      </w:pPr>
    </w:p>
    <w:p>
      <w:pPr>
        <w:ind w:firstLine="656"/>
        <w:spacing w:after="0" w:line="277" w:lineRule="auto"/>
        <w:tabs>
          <w:tab w:leader="none" w:pos="1152"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This Agreement may be executed simultaneously in two or more counterparts, each of which shall be deemed an original, but all of which together shall constitute one of the same instrument. The parties hereto have executed this Agreement as of the date set forth above.</w:t>
      </w:r>
    </w:p>
    <w:p>
      <w:pPr>
        <w:spacing w:after="0" w:line="170" w:lineRule="exact"/>
        <w:rPr>
          <w:rFonts w:ascii="Arial" w:cs="Arial" w:eastAsia="Arial" w:hAnsi="Arial"/>
          <w:sz w:val="18"/>
          <w:szCs w:val="18"/>
          <w:color w:val="auto"/>
        </w:rPr>
      </w:pPr>
    </w:p>
    <w:p>
      <w:pPr>
        <w:jc w:val="both"/>
        <w:ind w:right="20" w:firstLine="656"/>
        <w:spacing w:after="0" w:line="264" w:lineRule="auto"/>
        <w:tabs>
          <w:tab w:leader="none" w:pos="1047"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Executive represents and warrants to the Company, that he has the full power and authority to enter into this Agreement and to perform his obligations hereunder and that the execution and delivery of this Agreement and the performance of his obligations hereunder will not conflict with any agreement to which Executive is a party.</w:t>
      </w:r>
    </w:p>
    <w:p>
      <w:pPr>
        <w:spacing w:after="0" w:line="181" w:lineRule="exact"/>
        <w:rPr>
          <w:rFonts w:ascii="Arial" w:cs="Arial" w:eastAsia="Arial" w:hAnsi="Arial"/>
          <w:sz w:val="18"/>
          <w:szCs w:val="18"/>
          <w:color w:val="auto"/>
        </w:rPr>
      </w:pPr>
    </w:p>
    <w:p>
      <w:pPr>
        <w:jc w:val="both"/>
        <w:ind w:firstLine="656"/>
        <w:spacing w:after="0" w:line="264" w:lineRule="auto"/>
        <w:tabs>
          <w:tab w:leader="none" w:pos="1198" w:val="left"/>
        </w:tabs>
        <w:numPr>
          <w:ilvl w:val="0"/>
          <w:numId w:val="31"/>
        </w:numPr>
        <w:rPr>
          <w:rFonts w:ascii="Arial" w:cs="Arial" w:eastAsia="Arial" w:hAnsi="Arial"/>
          <w:sz w:val="18"/>
          <w:szCs w:val="18"/>
          <w:color w:val="auto"/>
        </w:rPr>
      </w:pPr>
      <w:r>
        <w:rPr>
          <w:rFonts w:ascii="Arial" w:cs="Arial" w:eastAsia="Arial" w:hAnsi="Arial"/>
          <w:sz w:val="18"/>
          <w:szCs w:val="18"/>
          <w:color w:val="auto"/>
        </w:rPr>
        <w:t>Each Party will pay its own costs and expenses related to the transactions contemplated by this Agreement, except that the Company shall reimburse the Executive for up to $5,000 for his legal fees. The Company shall pay the legal fees directly to the firm retained by Executive, Sanzone &amp; McCarthy, LLP, within fifteen days of receipt of an invoice reflecting the total amount due.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Remainder of Page Intentionally Left Blank</w:t>
      </w:r>
      <w:r>
        <w:rPr>
          <w:rFonts w:ascii="Arial" w:cs="Arial" w:eastAsia="Arial" w:hAnsi="Arial"/>
          <w:sz w:val="18"/>
          <w:szCs w:val="18"/>
          <w:color w:val="auto"/>
        </w:rPr>
        <w:t>]</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Signature Page Follows</w:t>
      </w:r>
      <w:r>
        <w:rPr>
          <w:rFonts w:ascii="Arial" w:cs="Arial" w:eastAsia="Arial" w:hAnsi="Arial"/>
          <w:sz w:val="22"/>
          <w:szCs w:val="22"/>
          <w:color w:val="auto"/>
        </w:rPr>
        <w:t>]</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7" w:name="page18"/>
    <w:bookmarkEnd w:id="17"/>
    <w:p>
      <w:pPr>
        <w:jc w:val="center"/>
        <w:ind w:right="-2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Executive Employment Agreement</w:t>
      </w:r>
      <w:r>
        <w:rPr>
          <w:rFonts w:ascii="Arial" w:cs="Arial" w:eastAsia="Arial" w:hAnsi="Arial"/>
          <w:sz w:val="18"/>
          <w:szCs w:val="18"/>
          <w:color w:val="auto"/>
        </w:rPr>
        <w:t>]</w:t>
      </w:r>
    </w:p>
    <w:p>
      <w:pPr>
        <w:spacing w:after="0" w:line="225" w:lineRule="exact"/>
        <w:rPr>
          <w:sz w:val="20"/>
          <w:szCs w:val="20"/>
          <w:color w:val="auto"/>
        </w:rPr>
      </w:pPr>
    </w:p>
    <w:p>
      <w:pPr>
        <w:ind w:firstLine="627"/>
        <w:spacing w:after="0" w:line="277" w:lineRule="auto"/>
        <w:rPr>
          <w:sz w:val="20"/>
          <w:szCs w:val="20"/>
          <w:color w:val="auto"/>
        </w:rPr>
      </w:pPr>
      <w:r>
        <w:rPr>
          <w:rFonts w:ascii="Arial" w:cs="Arial" w:eastAsia="Arial" w:hAnsi="Arial"/>
          <w:sz w:val="18"/>
          <w:szCs w:val="18"/>
          <w:color w:val="auto"/>
        </w:rPr>
        <w:t>IN WITNESS WHEREOF, the Executive and the Company have caused this Executive Employment Agreement to be executed as of the date first above written.</w:t>
      </w:r>
    </w:p>
    <w:p>
      <w:pPr>
        <w:spacing w:after="0" w:line="38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Andrew Kennedy Lang</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Andrew Kennedy Lang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239268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3926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LABRADOR SEARCH CORPORATION</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/s/ Alexander R. Berger</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 Alexander R. Berger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-130810</wp:posOffset>
            </wp:positionV>
            <wp:extent cx="216979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3" w:lineRule="exact"/>
        <w:rPr>
          <w:sz w:val="20"/>
          <w:szCs w:val="20"/>
          <w:color w:val="auto"/>
        </w:rPr>
      </w:pPr>
    </w:p>
    <w:p>
      <w:pPr>
        <w:ind w:left="6080"/>
        <w:spacing w:after="0"/>
        <w:tabs>
          <w:tab w:leader="none" w:pos="6620" w:val="left"/>
        </w:tabs>
        <w:rPr>
          <w:sz w:val="20"/>
          <w:szCs w:val="20"/>
          <w:color w:val="auto"/>
        </w:rPr>
      </w:pPr>
      <w:r>
        <w:rPr>
          <w:rFonts w:ascii="Arial" w:cs="Arial" w:eastAsia="Arial" w:hAnsi="Arial"/>
          <w:sz w:val="18"/>
          <w:szCs w:val="18"/>
          <w:color w:val="auto"/>
        </w:rPr>
        <w:t>Title:</w:t>
        <w:tab/>
        <w:t>Authorized Signatory</w:t>
      </w:r>
    </w:p>
    <w:p>
      <w:pPr>
        <w:spacing w:after="0" w:line="200" w:lineRule="exact"/>
        <w:rPr>
          <w:sz w:val="20"/>
          <w:szCs w:val="20"/>
          <w:color w:val="auto"/>
        </w:rPr>
      </w:pPr>
    </w:p>
    <w:p>
      <w:pPr>
        <w:spacing w:after="0" w:line="227"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160"/>
          </w:cols>
          <w:pgMar w:left="240" w:top="908" w:right="49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AMENDMENT NO. 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EMPLOYMENT AGREEMENT</w:t>
      </w:r>
    </w:p>
    <w:p>
      <w:pPr>
        <w:spacing w:after="0" w:line="207"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This Amendment No. 1 to Employment Agreement (the "</w:t>
      </w:r>
      <w:r>
        <w:rPr>
          <w:rFonts w:ascii="Arial" w:cs="Arial" w:eastAsia="Arial" w:hAnsi="Arial"/>
          <w:sz w:val="18"/>
          <w:szCs w:val="18"/>
          <w:b w:val="1"/>
          <w:bCs w:val="1"/>
          <w:color w:val="auto"/>
        </w:rPr>
        <w:t>Amendment</w:t>
      </w:r>
      <w:r>
        <w:rPr>
          <w:rFonts w:ascii="Arial" w:cs="Arial" w:eastAsia="Arial" w:hAnsi="Arial"/>
          <w:sz w:val="18"/>
          <w:szCs w:val="18"/>
          <w:color w:val="auto"/>
        </w:rPr>
        <w:t>"), dated as of November 15, 2011, is entered into by and between Innovate/Protect, Inc., a Delaware corporation (the "</w:t>
      </w:r>
      <w:r>
        <w:rPr>
          <w:rFonts w:ascii="Arial" w:cs="Arial" w:eastAsia="Arial" w:hAnsi="Arial"/>
          <w:sz w:val="18"/>
          <w:szCs w:val="18"/>
          <w:b w:val="1"/>
          <w:bCs w:val="1"/>
          <w:color w:val="auto"/>
        </w:rPr>
        <w:t>Company</w:t>
      </w:r>
      <w:r>
        <w:rPr>
          <w:rFonts w:ascii="Arial" w:cs="Arial" w:eastAsia="Arial" w:hAnsi="Arial"/>
          <w:sz w:val="18"/>
          <w:szCs w:val="18"/>
          <w:color w:val="auto"/>
        </w:rPr>
        <w:t>"), and Andrew Kennedy Lang (the "</w:t>
      </w:r>
      <w:r>
        <w:rPr>
          <w:rFonts w:ascii="Arial" w:cs="Arial" w:eastAsia="Arial" w:hAnsi="Arial"/>
          <w:sz w:val="18"/>
          <w:szCs w:val="18"/>
          <w:b w:val="1"/>
          <w:bCs w:val="1"/>
          <w:color w:val="auto"/>
        </w:rPr>
        <w:t>Employee</w:t>
      </w:r>
      <w:r>
        <w:rPr>
          <w:rFonts w:ascii="Arial" w:cs="Arial" w:eastAsia="Arial" w:hAnsi="Arial"/>
          <w:sz w:val="18"/>
          <w:szCs w:val="18"/>
          <w:color w:val="auto"/>
        </w:rPr>
        <w:t>"), for purposes of amending the terms of that certain Employment Agreement, dated June 22, 2011 (the "</w:t>
      </w:r>
      <w:r>
        <w:rPr>
          <w:rFonts w:ascii="Arial" w:cs="Arial" w:eastAsia="Arial" w:hAnsi="Arial"/>
          <w:sz w:val="18"/>
          <w:szCs w:val="18"/>
          <w:b w:val="1"/>
          <w:bCs w:val="1"/>
          <w:color w:val="auto"/>
        </w:rPr>
        <w:t>Agreement</w:t>
      </w:r>
      <w:r>
        <w:rPr>
          <w:rFonts w:ascii="Arial" w:cs="Arial" w:eastAsia="Arial" w:hAnsi="Arial"/>
          <w:sz w:val="18"/>
          <w:szCs w:val="18"/>
          <w:color w:val="auto"/>
        </w:rPr>
        <w:t>").</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Company and Employee desire to amend and clarify certain terms of the Agreement as set forth in this Amendment.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b w:val="1"/>
          <w:bCs w:val="1"/>
          <w:color w:val="auto"/>
        </w:rPr>
        <w:t>NOW, THEREFORE</w:t>
      </w:r>
      <w:r>
        <w:rPr>
          <w:rFonts w:ascii="Arial" w:cs="Arial" w:eastAsia="Arial" w:hAnsi="Arial"/>
          <w:sz w:val="17"/>
          <w:szCs w:val="17"/>
          <w:color w:val="auto"/>
        </w:rPr>
        <w:t>, for good and valuable consideration, the receipt and sufficiency of which is hereby acknowledged, the parties amend the</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Agreement and agree as follows:</w:t>
      </w:r>
    </w:p>
    <w:p>
      <w:pPr>
        <w:spacing w:after="0" w:line="211" w:lineRule="exact"/>
        <w:rPr>
          <w:sz w:val="20"/>
          <w:szCs w:val="20"/>
          <w:color w:val="auto"/>
        </w:rPr>
      </w:pPr>
    </w:p>
    <w:p>
      <w:pPr>
        <w:ind w:left="1360" w:hanging="704"/>
        <w:spacing w:after="0"/>
        <w:tabs>
          <w:tab w:leader="none" w:pos="13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All capitalized terms not defined herein shall have the same meaning ascribed to them in the Agreement.</w:t>
      </w:r>
    </w:p>
    <w:p>
      <w:pPr>
        <w:spacing w:after="0" w:line="225" w:lineRule="exact"/>
        <w:rPr>
          <w:rFonts w:ascii="Arial" w:cs="Arial" w:eastAsia="Arial" w:hAnsi="Arial"/>
          <w:sz w:val="18"/>
          <w:szCs w:val="18"/>
          <w:color w:val="auto"/>
        </w:rPr>
      </w:pPr>
    </w:p>
    <w:p>
      <w:pPr>
        <w:ind w:left="1380" w:hanging="724"/>
        <w:spacing w:after="0"/>
        <w:tabs>
          <w:tab w:leader="none" w:pos="138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first paragraph of Section 4 of the Agreement entitled "Base Salary" is hereby deleted and replaced in its entirety as follows:</w:t>
      </w:r>
    </w:p>
    <w:p>
      <w:pPr>
        <w:spacing w:after="0" w:line="237" w:lineRule="exact"/>
        <w:rPr>
          <w:sz w:val="20"/>
          <w:szCs w:val="20"/>
          <w:color w:val="auto"/>
        </w:rPr>
      </w:pPr>
    </w:p>
    <w:p>
      <w:pPr>
        <w:jc w:val="both"/>
        <w:ind w:left="1300"/>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Base Salary</w:t>
      </w:r>
      <w:r>
        <w:rPr>
          <w:rFonts w:ascii="Arial" w:cs="Arial" w:eastAsia="Arial" w:hAnsi="Arial"/>
          <w:sz w:val="17"/>
          <w:szCs w:val="17"/>
          <w:color w:val="auto"/>
        </w:rPr>
        <w:t>. For all services to be rendered by Executive pursuant to this Agreement, the Company agrees to pay Executive during the Employment Period an initial base salary (the "</w:t>
      </w:r>
      <w:r>
        <w:rPr>
          <w:rFonts w:ascii="Arial" w:cs="Arial" w:eastAsia="Arial" w:hAnsi="Arial"/>
          <w:sz w:val="17"/>
          <w:szCs w:val="17"/>
          <w:b w:val="1"/>
          <w:bCs w:val="1"/>
          <w:color w:val="auto"/>
        </w:rPr>
        <w:t>Base Salary</w:t>
      </w:r>
      <w:r>
        <w:rPr>
          <w:rFonts w:ascii="Arial" w:cs="Arial" w:eastAsia="Arial" w:hAnsi="Arial"/>
          <w:sz w:val="17"/>
          <w:szCs w:val="17"/>
          <w:color w:val="auto"/>
        </w:rPr>
        <w:t>") at an annual rate of $100,000. The Base Salary shall be paid in periodic installments in accordance with the Company's regular payroll practices. The Base Salary shall be increased:</w:t>
      </w:r>
    </w:p>
    <w:p>
      <w:pPr>
        <w:spacing w:after="0" w:line="166" w:lineRule="exact"/>
        <w:rPr>
          <w:sz w:val="20"/>
          <w:szCs w:val="20"/>
          <w:color w:val="auto"/>
        </w:rPr>
      </w:pPr>
    </w:p>
    <w:p>
      <w:pPr>
        <w:jc w:val="both"/>
        <w:ind w:left="1960" w:hanging="7"/>
        <w:spacing w:after="0" w:line="264" w:lineRule="auto"/>
        <w:tabs>
          <w:tab w:leader="none" w:pos="2278" w:val="left"/>
        </w:tabs>
        <w:numPr>
          <w:ilvl w:val="0"/>
          <w:numId w:val="33"/>
        </w:numPr>
        <w:rPr>
          <w:rFonts w:ascii="Arial" w:cs="Arial" w:eastAsia="Arial" w:hAnsi="Arial"/>
          <w:sz w:val="18"/>
          <w:szCs w:val="18"/>
          <w:color w:val="auto"/>
        </w:rPr>
      </w:pPr>
      <w:r>
        <w:rPr>
          <w:rFonts w:ascii="Arial" w:cs="Arial" w:eastAsia="Arial" w:hAnsi="Arial"/>
          <w:sz w:val="18"/>
          <w:szCs w:val="18"/>
          <w:color w:val="auto"/>
        </w:rPr>
        <w:t>to $250,000 in the event the Company successfully completes a private placement of its securities in which the Company realizes net proceeds of at least $2 million (excluding any proceeds from any parties listed in Exhibit "</w:t>
      </w:r>
      <w:r>
        <w:rPr>
          <w:rFonts w:ascii="Arial" w:cs="Arial" w:eastAsia="Arial" w:hAnsi="Arial"/>
          <w:sz w:val="18"/>
          <w:szCs w:val="18"/>
          <w:b w:val="1"/>
          <w:bCs w:val="1"/>
          <w:color w:val="auto"/>
        </w:rPr>
        <w:t>B</w:t>
      </w:r>
      <w:r>
        <w:rPr>
          <w:rFonts w:ascii="Arial" w:cs="Arial" w:eastAsia="Arial" w:hAnsi="Arial"/>
          <w:sz w:val="18"/>
          <w:szCs w:val="18"/>
          <w:color w:val="auto"/>
        </w:rPr>
        <w:t>") (the "</w:t>
      </w:r>
      <w:r>
        <w:rPr>
          <w:rFonts w:ascii="Arial" w:cs="Arial" w:eastAsia="Arial" w:hAnsi="Arial"/>
          <w:sz w:val="18"/>
          <w:szCs w:val="18"/>
          <w:b w:val="1"/>
          <w:bCs w:val="1"/>
          <w:color w:val="auto"/>
        </w:rPr>
        <w:t>Private</w:t>
      </w:r>
      <w:r>
        <w:rPr>
          <w:rFonts w:ascii="Arial" w:cs="Arial" w:eastAsia="Arial" w:hAnsi="Arial"/>
          <w:sz w:val="18"/>
          <w:szCs w:val="18"/>
          <w:color w:val="auto"/>
        </w:rPr>
        <w:t xml:space="preserve"> </w:t>
      </w:r>
      <w:r>
        <w:rPr>
          <w:rFonts w:ascii="Arial" w:cs="Arial" w:eastAsia="Arial" w:hAnsi="Arial"/>
          <w:sz w:val="18"/>
          <w:szCs w:val="18"/>
          <w:b w:val="1"/>
          <w:bCs w:val="1"/>
          <w:color w:val="auto"/>
        </w:rPr>
        <w:t>Placement</w:t>
      </w:r>
      <w:r>
        <w:rPr>
          <w:rFonts w:ascii="Arial" w:cs="Arial" w:eastAsia="Arial" w:hAnsi="Arial"/>
          <w:sz w:val="18"/>
          <w:szCs w:val="18"/>
          <w:color w:val="auto"/>
        </w:rPr>
        <w:t>"), and</w:t>
      </w:r>
    </w:p>
    <w:p>
      <w:pPr>
        <w:spacing w:after="0" w:line="181" w:lineRule="exact"/>
        <w:rPr>
          <w:rFonts w:ascii="Arial" w:cs="Arial" w:eastAsia="Arial" w:hAnsi="Arial"/>
          <w:sz w:val="18"/>
          <w:szCs w:val="18"/>
          <w:color w:val="auto"/>
        </w:rPr>
      </w:pPr>
    </w:p>
    <w:p>
      <w:pPr>
        <w:ind w:left="2240" w:hanging="287"/>
        <w:spacing w:after="0"/>
        <w:tabs>
          <w:tab w:leader="none" w:pos="22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to $385,000 in the event that:</w:t>
      </w:r>
    </w:p>
    <w:p>
      <w:pPr>
        <w:spacing w:after="0" w:line="225"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(X)</w:t>
      </w:r>
    </w:p>
    <w:p>
      <w:pPr>
        <w:spacing w:after="0" w:line="221" w:lineRule="exact"/>
        <w:rPr>
          <w:sz w:val="20"/>
          <w:szCs w:val="20"/>
          <w:color w:val="auto"/>
        </w:rPr>
      </w:pPr>
    </w:p>
    <w:p>
      <w:pPr>
        <w:ind w:left="3480" w:hanging="231"/>
        <w:spacing w:after="0"/>
        <w:tabs>
          <w:tab w:leader="none" w:pos="348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Company successfully completes an initial public offering of the Company's common equity (the "</w:t>
      </w:r>
      <w:r>
        <w:rPr>
          <w:rFonts w:ascii="Arial" w:cs="Arial" w:eastAsia="Arial" w:hAnsi="Arial"/>
          <w:sz w:val="16"/>
          <w:szCs w:val="16"/>
          <w:b w:val="1"/>
          <w:bCs w:val="1"/>
          <w:color w:val="auto"/>
        </w:rPr>
        <w:t>IPO</w:t>
      </w:r>
      <w:r>
        <w:rPr>
          <w:rFonts w:ascii="Arial" w:cs="Arial" w:eastAsia="Arial" w:hAnsi="Arial"/>
          <w:sz w:val="16"/>
          <w:szCs w:val="16"/>
          <w:color w:val="auto"/>
        </w:rPr>
        <w:t>")</w:t>
      </w:r>
    </w:p>
    <w:p>
      <w:pPr>
        <w:spacing w:after="0" w:line="50" w:lineRule="exact"/>
        <w:rPr>
          <w:rFonts w:ascii="Arial" w:cs="Arial" w:eastAsia="Arial" w:hAnsi="Arial"/>
          <w:sz w:val="16"/>
          <w:szCs w:val="16"/>
          <w:color w:val="auto"/>
        </w:rPr>
      </w:pPr>
    </w:p>
    <w:p>
      <w:pPr>
        <w:ind w:left="3240"/>
        <w:spacing w:after="0"/>
        <w:rPr>
          <w:rFonts w:ascii="Arial" w:cs="Arial" w:eastAsia="Arial" w:hAnsi="Arial"/>
          <w:sz w:val="16"/>
          <w:szCs w:val="16"/>
          <w:color w:val="auto"/>
        </w:rPr>
      </w:pPr>
      <w:r>
        <w:rPr>
          <w:rFonts w:ascii="Arial" w:cs="Arial" w:eastAsia="Arial" w:hAnsi="Arial"/>
          <w:sz w:val="18"/>
          <w:szCs w:val="18"/>
          <w:color w:val="auto"/>
        </w:rPr>
        <w:t>or</w:t>
      </w:r>
    </w:p>
    <w:p>
      <w:pPr>
        <w:spacing w:after="0" w:line="210" w:lineRule="exact"/>
        <w:rPr>
          <w:rFonts w:ascii="Arial" w:cs="Arial" w:eastAsia="Arial" w:hAnsi="Arial"/>
          <w:sz w:val="16"/>
          <w:szCs w:val="16"/>
          <w:color w:val="auto"/>
        </w:rPr>
      </w:pPr>
    </w:p>
    <w:p>
      <w:pPr>
        <w:ind w:left="3240" w:firstLine="9"/>
        <w:spacing w:after="0" w:line="308" w:lineRule="auto"/>
        <w:tabs>
          <w:tab w:leader="none" w:pos="3523" w:val="left"/>
        </w:tabs>
        <w:numPr>
          <w:ilvl w:val="0"/>
          <w:numId w:val="34"/>
        </w:numPr>
        <w:rPr>
          <w:rFonts w:ascii="Arial" w:cs="Arial" w:eastAsia="Arial" w:hAnsi="Arial"/>
          <w:sz w:val="17"/>
          <w:szCs w:val="17"/>
          <w:color w:val="auto"/>
        </w:rPr>
      </w:pPr>
      <w:r>
        <w:rPr>
          <w:rFonts w:ascii="Arial" w:cs="Arial" w:eastAsia="Arial" w:hAnsi="Arial"/>
          <w:sz w:val="17"/>
          <w:szCs w:val="17"/>
          <w:color w:val="auto"/>
        </w:rPr>
        <w:t>a registration statement covering the distribution of the Company's common equity by the Company or its stockholders is declared effective by the Securities and Exchange Commission (the "</w:t>
      </w:r>
      <w:r>
        <w:rPr>
          <w:rFonts w:ascii="Arial" w:cs="Arial" w:eastAsia="Arial" w:hAnsi="Arial"/>
          <w:sz w:val="17"/>
          <w:szCs w:val="17"/>
          <w:b w:val="1"/>
          <w:bCs w:val="1"/>
          <w:color w:val="auto"/>
        </w:rPr>
        <w:t>Registration</w:t>
      </w:r>
      <w:r>
        <w:rPr>
          <w:rFonts w:ascii="Arial" w:cs="Arial" w:eastAsia="Arial" w:hAnsi="Arial"/>
          <w:sz w:val="17"/>
          <w:szCs w:val="17"/>
          <w:color w:val="auto"/>
        </w:rPr>
        <w:t>") or</w:t>
      </w:r>
    </w:p>
    <w:p>
      <w:pPr>
        <w:spacing w:after="0" w:line="146" w:lineRule="exact"/>
        <w:rPr>
          <w:rFonts w:ascii="Arial" w:cs="Arial" w:eastAsia="Arial" w:hAnsi="Arial"/>
          <w:sz w:val="17"/>
          <w:szCs w:val="17"/>
          <w:color w:val="auto"/>
        </w:rPr>
      </w:pPr>
    </w:p>
    <w:p>
      <w:pPr>
        <w:jc w:val="both"/>
        <w:ind w:left="3240" w:firstLine="9"/>
        <w:spacing w:after="0" w:line="259" w:lineRule="auto"/>
        <w:tabs>
          <w:tab w:leader="none" w:pos="3568"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Company consummates a "reverse merger" transaction whereby the Company or its outstanding equity securities are acquired by a company that is a reporting company under the Securities Exchange Act of 1934, as amended, and whose securities are listed on a national securities exchange or quoted on a recognized securities quotation system (a "Reverse Merger"),</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9" w:name="page20"/>
    <w:bookmarkEnd w:id="19"/>
    <w:p>
      <w:pPr>
        <w:ind w:left="2600" w:firstLine="1"/>
        <w:spacing w:after="0" w:line="277" w:lineRule="auto"/>
        <w:tabs>
          <w:tab w:leader="none" w:pos="2901" w:val="left"/>
        </w:tabs>
        <w:numPr>
          <w:ilvl w:val="1"/>
          <w:numId w:val="35"/>
        </w:numPr>
        <w:rPr>
          <w:rFonts w:ascii="Arial" w:cs="Arial" w:eastAsia="Arial" w:hAnsi="Arial"/>
          <w:sz w:val="18"/>
          <w:szCs w:val="18"/>
          <w:color w:val="auto"/>
        </w:rPr>
      </w:pPr>
      <w:r>
        <w:rPr>
          <w:rFonts w:ascii="Arial" w:cs="Arial" w:eastAsia="Arial" w:hAnsi="Arial"/>
          <w:sz w:val="18"/>
          <w:szCs w:val="18"/>
          <w:color w:val="auto"/>
        </w:rPr>
        <w:t>the Company's common equity becomes listed on a national securities exchange or quoted on a recognized securities quotation system, and</w:t>
      </w:r>
    </w:p>
    <w:p>
      <w:pPr>
        <w:spacing w:after="0" w:line="170" w:lineRule="exact"/>
        <w:rPr>
          <w:rFonts w:ascii="Arial" w:cs="Arial" w:eastAsia="Arial" w:hAnsi="Arial"/>
          <w:sz w:val="18"/>
          <w:szCs w:val="18"/>
          <w:color w:val="auto"/>
        </w:rPr>
      </w:pPr>
    </w:p>
    <w:p>
      <w:pPr>
        <w:jc w:val="both"/>
        <w:ind w:left="2600" w:firstLine="1"/>
        <w:spacing w:after="0" w:line="293" w:lineRule="auto"/>
        <w:tabs>
          <w:tab w:leader="none" w:pos="2878" w:val="left"/>
        </w:tabs>
        <w:numPr>
          <w:ilvl w:val="1"/>
          <w:numId w:val="35"/>
        </w:numPr>
        <w:rPr>
          <w:rFonts w:ascii="Arial" w:cs="Arial" w:eastAsia="Arial" w:hAnsi="Arial"/>
          <w:sz w:val="16"/>
          <w:szCs w:val="16"/>
          <w:color w:val="auto"/>
        </w:rPr>
      </w:pPr>
      <w:r>
        <w:rPr>
          <w:rFonts w:ascii="Arial" w:cs="Arial" w:eastAsia="Arial" w:hAnsi="Arial"/>
          <w:sz w:val="16"/>
          <w:szCs w:val="16"/>
          <w:color w:val="auto"/>
        </w:rPr>
        <w:t>the Company has realized aggregate net proceeds of at least $7 million from the combination of one or more previous and/or concurrent private placements (including the Private Placement), the Registration and/or the IPO (in each case, excluding any proceeds received from any parties listed in Exhibit "</w:t>
      </w:r>
      <w:r>
        <w:rPr>
          <w:rFonts w:ascii="Arial" w:cs="Arial" w:eastAsia="Arial" w:hAnsi="Arial"/>
          <w:sz w:val="16"/>
          <w:szCs w:val="16"/>
          <w:b w:val="1"/>
          <w:bCs w:val="1"/>
          <w:color w:val="auto"/>
        </w:rPr>
        <w:t>B</w:t>
      </w:r>
      <w:r>
        <w:rPr>
          <w:rFonts w:ascii="Arial" w:cs="Arial" w:eastAsia="Arial" w:hAnsi="Arial"/>
          <w:sz w:val="16"/>
          <w:szCs w:val="16"/>
          <w:color w:val="auto"/>
        </w:rPr>
        <w:t>"). Such increases shall take effect immediately as of the consummation of the event that triggers such increase in accordance with the immediately preceding sentence. For the avoidance of doubt, the defined terms in this Section shall only relate to this Agreement and such definitions shall not be incorporated into or relied upon in any other agreements to which the Company is a party."</w:t>
      </w:r>
    </w:p>
    <w:p>
      <w:pPr>
        <w:spacing w:after="0" w:line="164" w:lineRule="exact"/>
        <w:rPr>
          <w:rFonts w:ascii="Arial" w:cs="Arial" w:eastAsia="Arial" w:hAnsi="Arial"/>
          <w:sz w:val="16"/>
          <w:szCs w:val="16"/>
          <w:color w:val="auto"/>
        </w:rPr>
      </w:pPr>
    </w:p>
    <w:p>
      <w:pPr>
        <w:ind w:firstLine="656"/>
        <w:spacing w:after="0" w:line="277" w:lineRule="auto"/>
        <w:tabs>
          <w:tab w:leader="none" w:pos="1511" w:val="left"/>
        </w:tabs>
        <w:numPr>
          <w:ilvl w:val="0"/>
          <w:numId w:val="36"/>
        </w:numPr>
        <w:rPr>
          <w:rFonts w:ascii="Arial" w:cs="Arial" w:eastAsia="Arial" w:hAnsi="Arial"/>
          <w:sz w:val="18"/>
          <w:szCs w:val="18"/>
          <w:color w:val="auto"/>
        </w:rPr>
      </w:pPr>
      <w:r>
        <w:rPr>
          <w:rFonts w:ascii="Arial" w:cs="Arial" w:eastAsia="Arial" w:hAnsi="Arial"/>
          <w:sz w:val="18"/>
          <w:szCs w:val="18"/>
          <w:color w:val="auto"/>
        </w:rPr>
        <w:t>Except as specifically set forth in this Amendment, there are no other amendments to the Agreement and the Agreement shall remain unmodified and in full force and effect.</w:t>
      </w:r>
    </w:p>
    <w:p>
      <w:pPr>
        <w:spacing w:after="0" w:line="170" w:lineRule="exact"/>
        <w:rPr>
          <w:rFonts w:ascii="Arial" w:cs="Arial" w:eastAsia="Arial" w:hAnsi="Arial"/>
          <w:sz w:val="18"/>
          <w:szCs w:val="18"/>
          <w:color w:val="auto"/>
        </w:rPr>
      </w:pPr>
    </w:p>
    <w:p>
      <w:pPr>
        <w:jc w:val="both"/>
        <w:ind w:firstLine="656"/>
        <w:spacing w:after="0" w:line="302" w:lineRule="auto"/>
        <w:tabs>
          <w:tab w:leader="none" w:pos="1323" w:val="left"/>
        </w:tabs>
        <w:numPr>
          <w:ilvl w:val="0"/>
          <w:numId w:val="36"/>
        </w:numPr>
        <w:rPr>
          <w:rFonts w:ascii="Arial" w:cs="Arial" w:eastAsia="Arial" w:hAnsi="Arial"/>
          <w:sz w:val="16"/>
          <w:szCs w:val="16"/>
          <w:color w:val="auto"/>
        </w:rPr>
      </w:pPr>
      <w:r>
        <w:rPr>
          <w:rFonts w:ascii="Arial" w:cs="Arial" w:eastAsia="Arial" w:hAnsi="Arial"/>
          <w:sz w:val="16"/>
          <w:szCs w:val="16"/>
          <w:color w:val="auto"/>
        </w:rPr>
        <w:t>Employee represents and agrees that he fully understands his right to discuss all aspects of this Amendment with his private attorney, that to the extent, if any that he desired, he availed himself of this right, that he has carefully read and fully understands all provisions of this Amendment, that he is competent to execute this Amendment, that his agreement to execute this Amendment has not been obtained by any duress and that he freely and voluntarily enters into it, and that he has read this document in its entirety and fully understands the meaning, intent and consequences of this Amendment.</w:t>
      </w:r>
    </w:p>
    <w:p>
      <w:pPr>
        <w:spacing w:after="0" w:line="154" w:lineRule="exact"/>
        <w:rPr>
          <w:rFonts w:ascii="Arial" w:cs="Arial" w:eastAsia="Arial" w:hAnsi="Arial"/>
          <w:sz w:val="16"/>
          <w:szCs w:val="16"/>
          <w:color w:val="auto"/>
        </w:rPr>
      </w:pPr>
    </w:p>
    <w:p>
      <w:pPr>
        <w:jc w:val="both"/>
        <w:ind w:firstLine="656"/>
        <w:spacing w:after="0" w:line="259" w:lineRule="auto"/>
        <w:tabs>
          <w:tab w:leader="none" w:pos="1349"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This Amendment shall be governed by and construed in accordance with the domestic laws of the State of New York, without giving effect to any choice of law or conflict of law provision or rule (whether the State of New York or any other jurisdiction) that would cause the application of the laws of any jurisdiction other than the State of New York. This Amendment may be executed in one or more counterparts, any one of which may be by facsimile, and all of which taken together shall constitute one and the same instrument.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0" w:name="page21"/>
    <w:bookmarkEnd w:id="20"/>
    <w:p>
      <w:pPr>
        <w:ind w:left="28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Amendment 1 to Employment Agreement</w:t>
      </w:r>
      <w:r>
        <w:rPr>
          <w:rFonts w:ascii="Arial" w:cs="Arial" w:eastAsia="Arial" w:hAnsi="Arial"/>
          <w:sz w:val="18"/>
          <w:szCs w:val="18"/>
          <w:color w:val="auto"/>
        </w:rPr>
        <w: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parties have executed this Amendment as of the date first above written.</w:t>
      </w:r>
    </w:p>
    <w:p>
      <w:pPr>
        <w:spacing w:after="0" w:line="200" w:lineRule="exact"/>
        <w:rPr>
          <w:sz w:val="20"/>
          <w:szCs w:val="20"/>
          <w:color w:val="auto"/>
        </w:rPr>
      </w:pPr>
    </w:p>
    <w:p>
      <w:pPr>
        <w:spacing w:after="0" w:line="241"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INNOVATE/PROTECT, INC.</w:t>
      </w:r>
    </w:p>
    <w:p>
      <w:pPr>
        <w:spacing w:after="0" w:line="229" w:lineRule="exact"/>
        <w:rPr>
          <w:sz w:val="20"/>
          <w:szCs w:val="20"/>
          <w:color w:val="auto"/>
        </w:rPr>
      </w:pPr>
    </w:p>
    <w:tbl>
      <w:tblPr>
        <w:tblLayout w:type="fixed"/>
        <w:tblInd w:w="506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2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Alexander R. Berger</w:t>
            </w:r>
          </w:p>
        </w:tc>
      </w:tr>
      <w:tr>
        <w:trPr>
          <w:trHeight w:val="224"/>
        </w:trPr>
        <w:tc>
          <w:tcPr>
            <w:tcW w:w="560" w:type="dxa"/>
            <w:vAlign w:val="bottom"/>
          </w:tcPr>
          <w:p>
            <w:pPr>
              <w:spacing w:after="0"/>
              <w:rPr>
                <w:sz w:val="20"/>
                <w:szCs w:val="20"/>
                <w:color w:val="auto"/>
              </w:rPr>
            </w:pPr>
            <w:r>
              <w:rPr>
                <w:rFonts w:ascii="Arial" w:cs="Arial" w:eastAsia="Arial" w:hAnsi="Arial"/>
                <w:sz w:val="18"/>
                <w:szCs w:val="18"/>
                <w:color w:val="auto"/>
              </w:rPr>
              <w:t>Name:</w:t>
            </w:r>
          </w:p>
        </w:tc>
        <w:tc>
          <w:tcPr>
            <w:tcW w:w="2860" w:type="dxa"/>
            <w:vAlign w:val="bottom"/>
          </w:tcPr>
          <w:p>
            <w:pPr>
              <w:spacing w:after="0"/>
              <w:rPr>
                <w:sz w:val="20"/>
                <w:szCs w:val="20"/>
                <w:color w:val="auto"/>
              </w:rPr>
            </w:pPr>
            <w:r>
              <w:rPr>
                <w:rFonts w:ascii="Arial" w:cs="Arial" w:eastAsia="Arial" w:hAnsi="Arial"/>
                <w:sz w:val="18"/>
                <w:szCs w:val="18"/>
                <w:color w:val="auto"/>
              </w:rPr>
              <w:t>Alexander R. Berger</w:t>
            </w:r>
          </w:p>
        </w:tc>
      </w:tr>
      <w:tr>
        <w:trPr>
          <w:trHeight w:val="404"/>
        </w:trPr>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2860" w:type="dxa"/>
            <w:vAlign w:val="bottom"/>
          </w:tcPr>
          <w:p>
            <w:pPr>
              <w:spacing w:after="0"/>
              <w:rPr>
                <w:sz w:val="20"/>
                <w:szCs w:val="20"/>
                <w:color w:val="auto"/>
              </w:rPr>
            </w:pPr>
            <w:r>
              <w:rPr>
                <w:rFonts w:ascii="Arial" w:cs="Arial" w:eastAsia="Arial" w:hAnsi="Arial"/>
                <w:sz w:val="18"/>
                <w:szCs w:val="18"/>
                <w:color w:val="auto"/>
              </w:rPr>
              <w:t>Chief Operating Officer</w:t>
            </w:r>
          </w:p>
        </w:tc>
      </w:tr>
    </w:tbl>
    <w:p>
      <w:pPr>
        <w:spacing w:after="0" w:line="200" w:lineRule="exact"/>
        <w:rPr>
          <w:sz w:val="20"/>
          <w:szCs w:val="20"/>
          <w:color w:val="auto"/>
        </w:rPr>
      </w:pPr>
    </w:p>
    <w:p>
      <w:pPr>
        <w:spacing w:after="0" w:line="218"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/s/ Andrew Kennedy Lang</w:t>
      </w:r>
    </w:p>
    <w:p>
      <w:pPr>
        <w:spacing w:after="0" w:line="23"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ANDREW KENNEDY LANG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3213735</wp:posOffset>
            </wp:positionH>
            <wp:positionV relativeFrom="paragraph">
              <wp:posOffset>-130810</wp:posOffset>
            </wp:positionV>
            <wp:extent cx="216979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559"/>
          </w:cols>
          <w:pgMar w:left="900" w:top="908" w:right="1440" w:bottom="1440" w:gutter="0" w:footer="0" w:header="0"/>
        </w:sectPr>
      </w:pPr>
    </w:p>
    <w:bookmarkStart w:id="21" w:name="page22"/>
    <w:bookmarkEnd w:id="21"/>
    <w:p>
      <w:pPr>
        <w:jc w:val="center"/>
        <w:ind w:right="-79"/>
        <w:spacing w:after="0"/>
        <w:rPr>
          <w:sz w:val="20"/>
          <w:szCs w:val="20"/>
          <w:color w:val="auto"/>
        </w:rPr>
      </w:pPr>
      <w:r>
        <w:rPr>
          <w:rFonts w:ascii="Arial" w:cs="Arial" w:eastAsia="Arial" w:hAnsi="Arial"/>
          <w:sz w:val="18"/>
          <w:szCs w:val="18"/>
          <w:b w:val="1"/>
          <w:bCs w:val="1"/>
          <w:color w:val="auto"/>
        </w:rPr>
        <w:t>AMENDMENT NO. 2</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TO</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EMPLOYMENT AGREEMENT</w:t>
      </w:r>
    </w:p>
    <w:p>
      <w:pPr>
        <w:spacing w:after="0" w:line="207" w:lineRule="exact"/>
        <w:rPr>
          <w:sz w:val="20"/>
          <w:szCs w:val="20"/>
          <w:color w:val="auto"/>
        </w:rPr>
      </w:pPr>
    </w:p>
    <w:p>
      <w:pPr>
        <w:jc w:val="both"/>
        <w:ind w:firstLine="583"/>
        <w:spacing w:after="0" w:line="261" w:lineRule="auto"/>
        <w:rPr>
          <w:sz w:val="20"/>
          <w:szCs w:val="20"/>
          <w:color w:val="auto"/>
        </w:rPr>
      </w:pPr>
      <w:r>
        <w:rPr>
          <w:rFonts w:ascii="Arial" w:cs="Arial" w:eastAsia="Arial" w:hAnsi="Arial"/>
          <w:sz w:val="18"/>
          <w:szCs w:val="18"/>
          <w:color w:val="auto"/>
        </w:rPr>
        <w:t>This Amendment No. 2 to Employment Agreement (the "</w:t>
      </w:r>
      <w:r>
        <w:rPr>
          <w:rFonts w:ascii="Arial" w:cs="Arial" w:eastAsia="Arial" w:hAnsi="Arial"/>
          <w:sz w:val="18"/>
          <w:szCs w:val="18"/>
          <w:b w:val="1"/>
          <w:bCs w:val="1"/>
          <w:color w:val="auto"/>
        </w:rPr>
        <w:t>Amendment</w:t>
      </w:r>
      <w:r>
        <w:rPr>
          <w:rFonts w:ascii="Arial" w:cs="Arial" w:eastAsia="Arial" w:hAnsi="Arial"/>
          <w:sz w:val="18"/>
          <w:szCs w:val="18"/>
          <w:color w:val="auto"/>
        </w:rPr>
        <w:t>"), dated as of March 11, 2012, is entered into by and between Innovate/Protect, Inc., a Delaware corporation (the "</w:t>
      </w:r>
      <w:r>
        <w:rPr>
          <w:rFonts w:ascii="Arial" w:cs="Arial" w:eastAsia="Arial" w:hAnsi="Arial"/>
          <w:sz w:val="18"/>
          <w:szCs w:val="18"/>
          <w:b w:val="1"/>
          <w:bCs w:val="1"/>
          <w:color w:val="auto"/>
        </w:rPr>
        <w:t>Company</w:t>
      </w:r>
      <w:r>
        <w:rPr>
          <w:rFonts w:ascii="Arial" w:cs="Arial" w:eastAsia="Arial" w:hAnsi="Arial"/>
          <w:sz w:val="18"/>
          <w:szCs w:val="18"/>
          <w:color w:val="auto"/>
        </w:rPr>
        <w:t>"), and Andrew Kennedy Lang (the "</w:t>
      </w:r>
      <w:r>
        <w:rPr>
          <w:rFonts w:ascii="Arial" w:cs="Arial" w:eastAsia="Arial" w:hAnsi="Arial"/>
          <w:sz w:val="18"/>
          <w:szCs w:val="18"/>
          <w:b w:val="1"/>
          <w:bCs w:val="1"/>
          <w:color w:val="auto"/>
        </w:rPr>
        <w:t>Executive</w:t>
      </w:r>
      <w:r>
        <w:rPr>
          <w:rFonts w:ascii="Arial" w:cs="Arial" w:eastAsia="Arial" w:hAnsi="Arial"/>
          <w:sz w:val="18"/>
          <w:szCs w:val="18"/>
          <w:color w:val="auto"/>
        </w:rPr>
        <w:t>"), for purposes of amending the terms of that certain Employment Agreement, dated June 22, 2011 and amended by Amendment No. 1 to Employment Agreement dated November 15, 2011 (as amended the "</w:t>
      </w:r>
      <w:r>
        <w:rPr>
          <w:rFonts w:ascii="Arial" w:cs="Arial" w:eastAsia="Arial" w:hAnsi="Arial"/>
          <w:sz w:val="18"/>
          <w:szCs w:val="18"/>
          <w:b w:val="1"/>
          <w:bCs w:val="1"/>
          <w:color w:val="auto"/>
        </w:rPr>
        <w:t>Agreement</w:t>
      </w:r>
      <w:r>
        <w:rPr>
          <w:rFonts w:ascii="Arial" w:cs="Arial" w:eastAsia="Arial" w:hAnsi="Arial"/>
          <w:sz w:val="18"/>
          <w:szCs w:val="18"/>
          <w:color w:val="auto"/>
        </w:rPr>
        <w:t>").</w:t>
      </w:r>
    </w:p>
    <w:p>
      <w:pPr>
        <w:spacing w:after="0" w:line="180" w:lineRule="exact"/>
        <w:rPr>
          <w:sz w:val="20"/>
          <w:szCs w:val="20"/>
          <w:color w:val="auto"/>
        </w:rPr>
      </w:pPr>
    </w:p>
    <w:p>
      <w:pPr>
        <w:ind w:right="320" w:firstLine="583"/>
        <w:spacing w:after="0" w:line="282"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the Company and Executive desire to amend certain terms of the Agreement as set forth in this Amendment to comply with certain</w:t>
      </w:r>
      <w:r>
        <w:rPr>
          <w:rFonts w:ascii="Arial" w:cs="Arial" w:eastAsia="Arial" w:hAnsi="Arial"/>
          <w:sz w:val="18"/>
          <w:szCs w:val="18"/>
          <w:b w:val="1"/>
          <w:bCs w:val="1"/>
          <w:color w:val="auto"/>
        </w:rPr>
        <w:t xml:space="preserve"> </w:t>
      </w:r>
      <w:r>
        <w:rPr>
          <w:rFonts w:ascii="Arial" w:cs="Arial" w:eastAsia="Arial" w:hAnsi="Arial"/>
          <w:sz w:val="18"/>
          <w:szCs w:val="18"/>
          <w:color w:val="auto"/>
        </w:rPr>
        <w:t>rules relating to the payment of performance-based compensation.</w:t>
      </w:r>
    </w:p>
    <w:p>
      <w:pPr>
        <w:spacing w:after="0" w:line="162" w:lineRule="exact"/>
        <w:rPr>
          <w:sz w:val="20"/>
          <w:szCs w:val="20"/>
          <w:color w:val="auto"/>
        </w:rPr>
      </w:pPr>
    </w:p>
    <w:p>
      <w:pPr>
        <w:ind w:left="600"/>
        <w:spacing w:after="0"/>
        <w:rPr>
          <w:sz w:val="20"/>
          <w:szCs w:val="20"/>
          <w:color w:val="auto"/>
        </w:rPr>
      </w:pPr>
      <w:r>
        <w:rPr>
          <w:rFonts w:ascii="Arial" w:cs="Arial" w:eastAsia="Arial" w:hAnsi="Arial"/>
          <w:sz w:val="17"/>
          <w:szCs w:val="17"/>
          <w:b w:val="1"/>
          <w:bCs w:val="1"/>
          <w:color w:val="auto"/>
        </w:rPr>
        <w:t xml:space="preserve">NOW, THEREFORE, </w:t>
      </w:r>
      <w:r>
        <w:rPr>
          <w:rFonts w:ascii="Arial" w:cs="Arial" w:eastAsia="Arial" w:hAnsi="Arial"/>
          <w:sz w:val="17"/>
          <w:szCs w:val="17"/>
          <w:color w:val="auto"/>
        </w:rPr>
        <w:t>for good and valuable consideration, the receipt and sufficiency of which is hereby acknowledged, the parties amend the</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Agreement and agree as follows:</w:t>
      </w:r>
    </w:p>
    <w:p>
      <w:pPr>
        <w:spacing w:after="0" w:line="211" w:lineRule="exact"/>
        <w:rPr>
          <w:sz w:val="20"/>
          <w:szCs w:val="20"/>
          <w:color w:val="auto"/>
        </w:rPr>
      </w:pPr>
    </w:p>
    <w:p>
      <w:pPr>
        <w:ind w:left="1360" w:hanging="704"/>
        <w:spacing w:after="0"/>
        <w:tabs>
          <w:tab w:leader="none" w:pos="13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All capitalized terms not defined herein shall have the same meaning ascribed to them in the Agreement.</w:t>
      </w:r>
    </w:p>
    <w:p>
      <w:pPr>
        <w:spacing w:after="0" w:line="225" w:lineRule="exact"/>
        <w:rPr>
          <w:rFonts w:ascii="Arial" w:cs="Arial" w:eastAsia="Arial" w:hAnsi="Arial"/>
          <w:sz w:val="18"/>
          <w:szCs w:val="18"/>
          <w:color w:val="auto"/>
        </w:rPr>
      </w:pPr>
    </w:p>
    <w:p>
      <w:pPr>
        <w:ind w:left="1380" w:hanging="724"/>
        <w:spacing w:after="0"/>
        <w:tabs>
          <w:tab w:leader="none" w:pos="13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 xml:space="preserve">The following shall be added after the last sentence of </w:t>
      </w:r>
      <w:r>
        <w:rPr>
          <w:rFonts w:ascii="Arial" w:cs="Arial" w:eastAsia="Arial" w:hAnsi="Arial"/>
          <w:sz w:val="18"/>
          <w:szCs w:val="18"/>
          <w:u w:val="single" w:color="auto"/>
          <w:color w:val="auto"/>
        </w:rPr>
        <w:t>Section 5</w:t>
      </w:r>
      <w:r>
        <w:rPr>
          <w:rFonts w:ascii="Arial" w:cs="Arial" w:eastAsia="Arial" w:hAnsi="Arial"/>
          <w:sz w:val="18"/>
          <w:szCs w:val="18"/>
          <w:color w:val="auto"/>
        </w:rPr>
        <w:t>.</w:t>
      </w:r>
    </w:p>
    <w:p>
      <w:pPr>
        <w:spacing w:after="0" w:line="225" w:lineRule="exact"/>
        <w:rPr>
          <w:sz w:val="20"/>
          <w:szCs w:val="20"/>
          <w:color w:val="auto"/>
        </w:rPr>
      </w:pPr>
    </w:p>
    <w:p>
      <w:pPr>
        <w:jc w:val="both"/>
        <w:ind w:left="1300" w:right="560"/>
        <w:spacing w:after="0" w:line="297" w:lineRule="auto"/>
        <w:rPr>
          <w:sz w:val="20"/>
          <w:szCs w:val="20"/>
          <w:color w:val="auto"/>
        </w:rPr>
      </w:pPr>
      <w:r>
        <w:rPr>
          <w:rFonts w:ascii="Arial" w:cs="Arial" w:eastAsia="Arial" w:hAnsi="Arial"/>
          <w:sz w:val="16"/>
          <w:szCs w:val="16"/>
          <w:color w:val="auto"/>
        </w:rPr>
        <w:t>"To the extent that the Company is required pursuant to Section 954 of the Dodd-Frank Wall Street Reform and Consumer Protection Act to develop and implement a policy (the "</w:t>
      </w:r>
      <w:r>
        <w:rPr>
          <w:rFonts w:ascii="Arial" w:cs="Arial" w:eastAsia="Arial" w:hAnsi="Arial"/>
          <w:sz w:val="16"/>
          <w:szCs w:val="16"/>
          <w:u w:val="single" w:color="auto"/>
          <w:color w:val="auto"/>
        </w:rPr>
        <w:t>Policy</w:t>
      </w:r>
      <w:r>
        <w:rPr>
          <w:rFonts w:ascii="Arial" w:cs="Arial" w:eastAsia="Arial" w:hAnsi="Arial"/>
          <w:sz w:val="16"/>
          <w:szCs w:val="16"/>
          <w:color w:val="auto"/>
        </w:rPr>
        <w:t>") providing for the recovery from the Executive of any payment of incentive-based compensation paid to the Executive that was based upon erroneous data contained in an accounting statement, this Agreement shall be deemed amended and the Policy incorporated herein by reference as of the date that the Company takes all necessary corporate action to adopt the Policy, without requiring any further action of the Company or the Executive."</w:t>
      </w:r>
    </w:p>
    <w:p>
      <w:pPr>
        <w:spacing w:after="0" w:line="158" w:lineRule="exact"/>
        <w:rPr>
          <w:sz w:val="20"/>
          <w:szCs w:val="20"/>
          <w:color w:val="auto"/>
        </w:rPr>
      </w:pPr>
    </w:p>
    <w:p>
      <w:pPr>
        <w:ind w:firstLine="721"/>
        <w:spacing w:after="0" w:line="277" w:lineRule="auto"/>
        <w:tabs>
          <w:tab w:leader="none" w:pos="1492" w:val="left"/>
        </w:tabs>
        <w:numPr>
          <w:ilvl w:val="0"/>
          <w:numId w:val="38"/>
        </w:numPr>
        <w:rPr>
          <w:rFonts w:ascii="Arial" w:cs="Arial" w:eastAsia="Arial" w:hAnsi="Arial"/>
          <w:sz w:val="18"/>
          <w:szCs w:val="18"/>
          <w:color w:val="auto"/>
        </w:rPr>
      </w:pPr>
      <w:r>
        <w:rPr>
          <w:rFonts w:ascii="Arial" w:cs="Arial" w:eastAsia="Arial" w:hAnsi="Arial"/>
          <w:sz w:val="18"/>
          <w:szCs w:val="18"/>
          <w:color w:val="auto"/>
        </w:rPr>
        <w:t>Except as specifically set forth in this Amendment, there are no other amendments to the Agreement and the Agreement shall remain unmodified and in full force and effect.</w:t>
      </w:r>
    </w:p>
    <w:p>
      <w:pPr>
        <w:spacing w:after="0" w:line="170" w:lineRule="exact"/>
        <w:rPr>
          <w:rFonts w:ascii="Arial" w:cs="Arial" w:eastAsia="Arial" w:hAnsi="Arial"/>
          <w:sz w:val="18"/>
          <w:szCs w:val="18"/>
          <w:color w:val="auto"/>
        </w:rPr>
      </w:pPr>
    </w:p>
    <w:p>
      <w:pPr>
        <w:jc w:val="both"/>
        <w:ind w:right="20" w:firstLine="721"/>
        <w:spacing w:after="0" w:line="302" w:lineRule="auto"/>
        <w:tabs>
          <w:tab w:leader="none" w:pos="1413" w:val="left"/>
        </w:tabs>
        <w:numPr>
          <w:ilvl w:val="0"/>
          <w:numId w:val="38"/>
        </w:numPr>
        <w:rPr>
          <w:rFonts w:ascii="Arial" w:cs="Arial" w:eastAsia="Arial" w:hAnsi="Arial"/>
          <w:sz w:val="16"/>
          <w:szCs w:val="16"/>
          <w:color w:val="auto"/>
        </w:rPr>
      </w:pPr>
      <w:r>
        <w:rPr>
          <w:rFonts w:ascii="Arial" w:cs="Arial" w:eastAsia="Arial" w:hAnsi="Arial"/>
          <w:sz w:val="16"/>
          <w:szCs w:val="16"/>
          <w:color w:val="auto"/>
        </w:rPr>
        <w:t>Executive represents and agrees that he fully understands his right to discuss all aspects of this Amendment with his private attorney, that to the extent, if any that he desired, he availed himself of this right, that he has carefully read and fully understands all provisions of this Amendment, that he is competent to execute this Amendment, that his agreement to execute this Amendment has not been obtained by any duress and that he freely and voluntarily enters into it, and that he has read this document in its entirety and fully understands the meaning, intent and consequences of this Amendment.</w:t>
      </w:r>
    </w:p>
    <w:p>
      <w:pPr>
        <w:spacing w:after="0" w:line="37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904" w:right="299" w:bottom="1440" w:gutter="0" w:footer="0" w:header="0"/>
        </w:sectPr>
      </w:pPr>
    </w:p>
    <w:bookmarkStart w:id="22" w:name="page23"/>
    <w:bookmarkEnd w:id="22"/>
    <w:p>
      <w:pPr>
        <w:jc w:val="both"/>
        <w:ind w:left="-80" w:firstLine="721"/>
        <w:spacing w:after="0" w:line="259" w:lineRule="auto"/>
        <w:tabs>
          <w:tab w:leader="none" w:pos="1447"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This Amendment shall be governed by and construed in accordance with the domestic laws of the State of New York, without giving effect to any choice of law or conflict of law provision or rule (whether the State of New York or any other jurisdiction) that would cause the application of the laws of any jurisdiction other than the State of New York. This Amendment may be executed in one or more counterparts, any one of which may be by facsimile, and all of which taken together shall constitute one and the same instrument.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 follows.]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14605</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60"/>
          </w:cols>
          <w:pgMar w:left="320" w:top="908" w:right="319" w:bottom="1440" w:gutter="0" w:footer="0" w:header="0"/>
        </w:sectPr>
      </w:pPr>
    </w:p>
    <w:bookmarkStart w:id="23" w:name="page24"/>
    <w:bookmarkEnd w:id="23"/>
    <w:p>
      <w:pPr>
        <w:ind w:left="2700"/>
        <w:spacing w:after="0"/>
        <w:rPr>
          <w:sz w:val="20"/>
          <w:szCs w:val="20"/>
          <w:color w:val="auto"/>
        </w:rPr>
      </w:pPr>
      <w:r>
        <w:rPr>
          <w:rFonts w:ascii="Arial" w:cs="Arial" w:eastAsia="Arial" w:hAnsi="Arial"/>
          <w:sz w:val="18"/>
          <w:szCs w:val="18"/>
          <w:i w:val="1"/>
          <w:iCs w:val="1"/>
          <w:color w:val="auto"/>
        </w:rPr>
        <w:t>[Signature Page to Amendment No. 2 to Employment Agreement]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parties have executed this Amendment as of the date first above written.</w:t>
      </w:r>
    </w:p>
    <w:p>
      <w:pPr>
        <w:spacing w:after="0" w:line="200" w:lineRule="exact"/>
        <w:rPr>
          <w:sz w:val="20"/>
          <w:szCs w:val="20"/>
          <w:color w:val="auto"/>
        </w:rPr>
      </w:pPr>
    </w:p>
    <w:p>
      <w:pPr>
        <w:spacing w:after="0" w:line="241"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INNOVATE/PROTECT, INC.</w:t>
      </w:r>
    </w:p>
    <w:p>
      <w:pPr>
        <w:spacing w:after="0" w:line="229" w:lineRule="exact"/>
        <w:rPr>
          <w:sz w:val="20"/>
          <w:szCs w:val="20"/>
          <w:color w:val="auto"/>
        </w:rPr>
      </w:pPr>
    </w:p>
    <w:tbl>
      <w:tblPr>
        <w:tblLayout w:type="fixed"/>
        <w:tblInd w:w="506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2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Alexander R. Berger</w:t>
            </w:r>
          </w:p>
        </w:tc>
      </w:tr>
      <w:tr>
        <w:trPr>
          <w:trHeight w:val="224"/>
        </w:trPr>
        <w:tc>
          <w:tcPr>
            <w:tcW w:w="560" w:type="dxa"/>
            <w:vAlign w:val="bottom"/>
          </w:tcPr>
          <w:p>
            <w:pPr>
              <w:spacing w:after="0"/>
              <w:rPr>
                <w:sz w:val="20"/>
                <w:szCs w:val="20"/>
                <w:color w:val="auto"/>
              </w:rPr>
            </w:pPr>
            <w:r>
              <w:rPr>
                <w:rFonts w:ascii="Arial" w:cs="Arial" w:eastAsia="Arial" w:hAnsi="Arial"/>
                <w:sz w:val="18"/>
                <w:szCs w:val="18"/>
                <w:color w:val="auto"/>
              </w:rPr>
              <w:t>Name:</w:t>
            </w:r>
          </w:p>
        </w:tc>
        <w:tc>
          <w:tcPr>
            <w:tcW w:w="2860" w:type="dxa"/>
            <w:vAlign w:val="bottom"/>
          </w:tcPr>
          <w:p>
            <w:pPr>
              <w:spacing w:after="0"/>
              <w:rPr>
                <w:sz w:val="20"/>
                <w:szCs w:val="20"/>
                <w:color w:val="auto"/>
              </w:rPr>
            </w:pPr>
            <w:r>
              <w:rPr>
                <w:rFonts w:ascii="Arial" w:cs="Arial" w:eastAsia="Arial" w:hAnsi="Arial"/>
                <w:sz w:val="18"/>
                <w:szCs w:val="18"/>
                <w:color w:val="auto"/>
              </w:rPr>
              <w:t>Alexander R. Berger</w:t>
            </w:r>
          </w:p>
        </w:tc>
      </w:tr>
      <w:tr>
        <w:trPr>
          <w:trHeight w:val="404"/>
        </w:trPr>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2860" w:type="dxa"/>
            <w:vAlign w:val="bottom"/>
          </w:tcPr>
          <w:p>
            <w:pPr>
              <w:spacing w:after="0"/>
              <w:rPr>
                <w:sz w:val="20"/>
                <w:szCs w:val="20"/>
                <w:color w:val="auto"/>
              </w:rPr>
            </w:pPr>
            <w:r>
              <w:rPr>
                <w:rFonts w:ascii="Arial" w:cs="Arial" w:eastAsia="Arial" w:hAnsi="Arial"/>
                <w:sz w:val="18"/>
                <w:szCs w:val="18"/>
                <w:color w:val="auto"/>
              </w:rPr>
              <w:t>Chief Operating Officer</w:t>
            </w:r>
          </w:p>
        </w:tc>
      </w:tr>
    </w:tbl>
    <w:p>
      <w:pPr>
        <w:spacing w:after="0" w:line="200" w:lineRule="exact"/>
        <w:rPr>
          <w:sz w:val="20"/>
          <w:szCs w:val="20"/>
          <w:color w:val="auto"/>
        </w:rPr>
      </w:pPr>
    </w:p>
    <w:p>
      <w:pPr>
        <w:spacing w:after="0" w:line="218"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/s/ Andrew Kennedy Lang</w:t>
      </w:r>
    </w:p>
    <w:p>
      <w:pPr>
        <w:spacing w:after="0" w:line="23"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ANDREW KENNEDY LANG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3213735</wp:posOffset>
            </wp:positionH>
            <wp:positionV relativeFrom="paragraph">
              <wp:posOffset>-130810</wp:posOffset>
            </wp:positionV>
            <wp:extent cx="216979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559"/>
          </w:cols>
          <w:pgMar w:left="900" w:top="908" w:right="1440" w:bottom="1440" w:gutter="0" w:footer="0" w:header="0"/>
        </w:sectPr>
      </w:pPr>
    </w:p>
    <w:bookmarkStart w:id="24" w:name="page25"/>
    <w:bookmarkEnd w:id="24"/>
    <w:p>
      <w:pPr>
        <w:jc w:val="right"/>
        <w:spacing w:after="0"/>
        <w:rPr>
          <w:sz w:val="20"/>
          <w:szCs w:val="20"/>
          <w:color w:val="auto"/>
        </w:rPr>
      </w:pPr>
      <w:r>
        <w:rPr>
          <w:rFonts w:ascii="Arial" w:cs="Arial" w:eastAsia="Arial" w:hAnsi="Arial"/>
          <w:sz w:val="18"/>
          <w:szCs w:val="18"/>
          <w:b w:val="1"/>
          <w:bCs w:val="1"/>
          <w:color w:val="auto"/>
        </w:rPr>
        <w:t>Exhibit 10.2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EMPLOYMENT AGREEMENT</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This EXECUTIVE EMPLOYMENT AGREEMENT (this "</w:t>
      </w:r>
      <w:r>
        <w:rPr>
          <w:rFonts w:ascii="Arial" w:cs="Arial" w:eastAsia="Arial" w:hAnsi="Arial"/>
          <w:sz w:val="17"/>
          <w:szCs w:val="17"/>
          <w:u w:val="single" w:color="auto"/>
          <w:color w:val="auto"/>
        </w:rPr>
        <w:t>Agreement</w:t>
      </w:r>
      <w:r>
        <w:rPr>
          <w:rFonts w:ascii="Arial" w:cs="Arial" w:eastAsia="Arial" w:hAnsi="Arial"/>
          <w:sz w:val="17"/>
          <w:szCs w:val="17"/>
          <w:color w:val="auto"/>
        </w:rPr>
        <w:t>") is made and entered into as of the 10th day of August, 2011 (the "</w:t>
      </w:r>
      <w:r>
        <w:rPr>
          <w:rFonts w:ascii="Arial" w:cs="Arial" w:eastAsia="Arial" w:hAnsi="Arial"/>
          <w:sz w:val="17"/>
          <w:szCs w:val="17"/>
          <w:u w:val="single" w:color="auto"/>
          <w:color w:val="auto"/>
        </w:rPr>
        <w:t>Effective</w:t>
      </w:r>
      <w:r>
        <w:rPr>
          <w:rFonts w:ascii="Arial" w:cs="Arial" w:eastAsia="Arial" w:hAnsi="Arial"/>
          <w:sz w:val="17"/>
          <w:szCs w:val="17"/>
          <w:color w:val="auto"/>
        </w:rPr>
        <w:t xml:space="preserve"> </w:t>
      </w:r>
      <w:r>
        <w:rPr>
          <w:rFonts w:ascii="Arial" w:cs="Arial" w:eastAsia="Arial" w:hAnsi="Arial"/>
          <w:sz w:val="17"/>
          <w:szCs w:val="17"/>
          <w:u w:val="single" w:color="auto"/>
          <w:color w:val="auto"/>
        </w:rPr>
        <w:t>Date</w:t>
      </w:r>
      <w:r>
        <w:rPr>
          <w:rFonts w:ascii="Arial" w:cs="Arial" w:eastAsia="Arial" w:hAnsi="Arial"/>
          <w:sz w:val="17"/>
          <w:szCs w:val="17"/>
          <w:color w:val="auto"/>
        </w:rPr>
        <w:t>"), by and between Alexander R. Berger an individual residing at the address listed in Exhibit "</w:t>
      </w:r>
      <w:r>
        <w:rPr>
          <w:rFonts w:ascii="Arial" w:cs="Arial" w:eastAsia="Arial" w:hAnsi="Arial"/>
          <w:sz w:val="17"/>
          <w:szCs w:val="17"/>
          <w:u w:val="single" w:color="auto"/>
          <w:color w:val="auto"/>
        </w:rPr>
        <w:t>A</w:t>
      </w:r>
      <w:r>
        <w:rPr>
          <w:rFonts w:ascii="Arial" w:cs="Arial" w:eastAsia="Arial" w:hAnsi="Arial"/>
          <w:sz w:val="17"/>
          <w:szCs w:val="17"/>
          <w:color w:val="auto"/>
        </w:rPr>
        <w:t>" ("</w:t>
      </w:r>
      <w:r>
        <w:rPr>
          <w:rFonts w:ascii="Arial" w:cs="Arial" w:eastAsia="Arial" w:hAnsi="Arial"/>
          <w:sz w:val="17"/>
          <w:szCs w:val="17"/>
          <w:u w:val="single" w:color="auto"/>
          <w:color w:val="auto"/>
        </w:rPr>
        <w:t>Executive</w:t>
      </w:r>
      <w:r>
        <w:rPr>
          <w:rFonts w:ascii="Arial" w:cs="Arial" w:eastAsia="Arial" w:hAnsi="Arial"/>
          <w:sz w:val="17"/>
          <w:szCs w:val="17"/>
          <w:color w:val="auto"/>
        </w:rPr>
        <w:t>") and Labrador Search Corporation, a Delaware corporation with principal offices located at 380 Madison Avenue, 22nd Floor, New York, NY 10017 (the "</w:t>
      </w:r>
      <w:r>
        <w:rPr>
          <w:rFonts w:ascii="Arial" w:cs="Arial" w:eastAsia="Arial" w:hAnsi="Arial"/>
          <w:sz w:val="17"/>
          <w:szCs w:val="17"/>
          <w:u w:val="single" w:color="auto"/>
          <w:color w:val="auto"/>
        </w:rPr>
        <w:t>Company</w:t>
      </w:r>
      <w:r>
        <w:rPr>
          <w:rFonts w:ascii="Arial" w:cs="Arial" w:eastAsia="Arial" w:hAnsi="Arial"/>
          <w:sz w:val="17"/>
          <w:szCs w:val="17"/>
          <w:color w:val="auto"/>
        </w:rPr>
        <w:t>").</w:t>
      </w:r>
    </w:p>
    <w:p>
      <w:pPr>
        <w:spacing w:after="0" w:line="162"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WITNESSETH</w:t>
      </w:r>
    </w:p>
    <w:p>
      <w:pPr>
        <w:spacing w:after="0" w:line="225" w:lineRule="exact"/>
        <w:rPr>
          <w:sz w:val="20"/>
          <w:szCs w:val="20"/>
          <w:color w:val="auto"/>
        </w:rPr>
      </w:pPr>
    </w:p>
    <w:p>
      <w:pPr>
        <w:jc w:val="both"/>
        <w:ind w:left="20" w:firstLine="622"/>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Executive desires to be employed by the Company as its Chief Operating Officer ("</w:t>
      </w:r>
      <w:r>
        <w:rPr>
          <w:rFonts w:ascii="Arial" w:cs="Arial" w:eastAsia="Arial" w:hAnsi="Arial"/>
          <w:sz w:val="18"/>
          <w:szCs w:val="18"/>
          <w:u w:val="single" w:color="auto"/>
          <w:color w:val="auto"/>
        </w:rPr>
        <w:t>COO</w:t>
      </w:r>
      <w:r>
        <w:rPr>
          <w:rFonts w:ascii="Arial" w:cs="Arial" w:eastAsia="Arial" w:hAnsi="Arial"/>
          <w:sz w:val="18"/>
          <w:szCs w:val="18"/>
          <w:color w:val="auto"/>
        </w:rPr>
        <w:t>") and Secretary under the terms set forth</w:t>
      </w:r>
      <w:r>
        <w:rPr>
          <w:rFonts w:ascii="Arial" w:cs="Arial" w:eastAsia="Arial" w:hAnsi="Arial"/>
          <w:sz w:val="18"/>
          <w:szCs w:val="18"/>
          <w:b w:val="1"/>
          <w:bCs w:val="1"/>
          <w:color w:val="auto"/>
        </w:rPr>
        <w:t xml:space="preserve"> </w:t>
      </w:r>
      <w:r>
        <w:rPr>
          <w:rFonts w:ascii="Arial" w:cs="Arial" w:eastAsia="Arial" w:hAnsi="Arial"/>
          <w:sz w:val="18"/>
          <w:szCs w:val="18"/>
          <w:color w:val="auto"/>
        </w:rPr>
        <w:t>herein and the Company wishes to employ Executive in such capacity;</w:t>
      </w:r>
    </w:p>
    <w:p>
      <w:pPr>
        <w:spacing w:after="0" w:line="162" w:lineRule="exact"/>
        <w:rPr>
          <w:sz w:val="20"/>
          <w:szCs w:val="20"/>
          <w:color w:val="auto"/>
        </w:rPr>
      </w:pPr>
    </w:p>
    <w:p>
      <w:pPr>
        <w:jc w:val="both"/>
        <w:ind w:left="20" w:firstLine="622"/>
        <w:spacing w:after="0" w:line="282"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foregoing recitals and the respective covenants and agreements of the parties contained in this</w:t>
      </w:r>
      <w:r>
        <w:rPr>
          <w:rFonts w:ascii="Arial" w:cs="Arial" w:eastAsia="Arial" w:hAnsi="Arial"/>
          <w:sz w:val="18"/>
          <w:szCs w:val="18"/>
          <w:b w:val="1"/>
          <w:bCs w:val="1"/>
          <w:color w:val="auto"/>
        </w:rPr>
        <w:t xml:space="preserve"> </w:t>
      </w:r>
      <w:r>
        <w:rPr>
          <w:rFonts w:ascii="Arial" w:cs="Arial" w:eastAsia="Arial" w:hAnsi="Arial"/>
          <w:sz w:val="18"/>
          <w:szCs w:val="18"/>
          <w:color w:val="auto"/>
        </w:rPr>
        <w:t>document, the Company and Executive hereby agree as follows:</w:t>
      </w:r>
    </w:p>
    <w:p>
      <w:pPr>
        <w:spacing w:after="0" w:line="166" w:lineRule="exact"/>
        <w:rPr>
          <w:sz w:val="20"/>
          <w:szCs w:val="20"/>
          <w:color w:val="auto"/>
        </w:rPr>
      </w:pPr>
    </w:p>
    <w:p>
      <w:pPr>
        <w:ind w:left="1100" w:hanging="444"/>
        <w:spacing w:after="0"/>
        <w:tabs>
          <w:tab w:leader="none" w:pos="1100" w:val="left"/>
        </w:tabs>
        <w:numPr>
          <w:ilvl w:val="0"/>
          <w:numId w:val="40"/>
        </w:numPr>
        <w:rPr>
          <w:rFonts w:ascii="Arial" w:cs="Arial" w:eastAsia="Arial" w:hAnsi="Arial"/>
          <w:sz w:val="18"/>
          <w:szCs w:val="18"/>
          <w:color w:val="auto"/>
        </w:rPr>
      </w:pPr>
      <w:r>
        <w:rPr>
          <w:rFonts w:ascii="Arial" w:cs="Arial" w:eastAsia="Arial" w:hAnsi="Arial"/>
          <w:sz w:val="18"/>
          <w:szCs w:val="18"/>
          <w:u w:val="single" w:color="auto"/>
          <w:color w:val="auto"/>
        </w:rPr>
        <w:t>Employment and Duties</w:t>
      </w:r>
      <w:r>
        <w:rPr>
          <w:rFonts w:ascii="Arial" w:cs="Arial" w:eastAsia="Arial" w:hAnsi="Arial"/>
          <w:sz w:val="18"/>
          <w:szCs w:val="18"/>
          <w:color w:val="auto"/>
        </w:rPr>
        <w:t>.</w:t>
      </w:r>
    </w:p>
    <w:p>
      <w:pPr>
        <w:spacing w:after="0" w:line="225" w:lineRule="exact"/>
        <w:rPr>
          <w:sz w:val="20"/>
          <w:szCs w:val="20"/>
          <w:color w:val="auto"/>
        </w:rPr>
      </w:pPr>
    </w:p>
    <w:p>
      <w:pPr>
        <w:jc w:val="both"/>
        <w:ind w:firstLine="656"/>
        <w:spacing w:after="0" w:line="257" w:lineRule="auto"/>
        <w:tabs>
          <w:tab w:leader="none" w:pos="1107" w:val="left"/>
        </w:tabs>
        <w:numPr>
          <w:ilvl w:val="1"/>
          <w:numId w:val="41"/>
        </w:numPr>
        <w:rPr>
          <w:rFonts w:ascii="Arial" w:cs="Arial" w:eastAsia="Arial" w:hAnsi="Arial"/>
          <w:sz w:val="18"/>
          <w:szCs w:val="18"/>
          <w:color w:val="auto"/>
        </w:rPr>
      </w:pPr>
      <w:r>
        <w:rPr>
          <w:rFonts w:ascii="Arial" w:cs="Arial" w:eastAsia="Arial" w:hAnsi="Arial"/>
          <w:sz w:val="18"/>
          <w:szCs w:val="18"/>
          <w:color w:val="auto"/>
        </w:rPr>
        <w:t>The Company agrees to employ and Executive agrees to serve as its COO and Secretary, and also as its Chief Financial Officer ("</w:t>
      </w:r>
      <w:r>
        <w:rPr>
          <w:rFonts w:ascii="Arial" w:cs="Arial" w:eastAsia="Arial" w:hAnsi="Arial"/>
          <w:sz w:val="18"/>
          <w:szCs w:val="18"/>
          <w:u w:val="single" w:color="auto"/>
          <w:color w:val="auto"/>
        </w:rPr>
        <w:t>CFO</w:t>
      </w:r>
      <w:r>
        <w:rPr>
          <w:rFonts w:ascii="Arial" w:cs="Arial" w:eastAsia="Arial" w:hAnsi="Arial"/>
          <w:sz w:val="18"/>
          <w:szCs w:val="18"/>
          <w:color w:val="auto"/>
        </w:rPr>
        <w:t>") and Treasurer until such time as the Company hires a full-time employee to serve as CFO. The duties and responsibilities of Executive shall include the duties and responsibilities normally associated with such positions and such other executive officer duties and responsibilities consistent with such positions as the Company's Board of Directors (the "</w:t>
      </w:r>
      <w:r>
        <w:rPr>
          <w:rFonts w:ascii="Arial" w:cs="Arial" w:eastAsia="Arial" w:hAnsi="Arial"/>
          <w:sz w:val="18"/>
          <w:szCs w:val="18"/>
          <w:u w:val="single" w:color="auto"/>
          <w:color w:val="auto"/>
        </w:rPr>
        <w:t>Board</w:t>
      </w:r>
      <w:r>
        <w:rPr>
          <w:rFonts w:ascii="Arial" w:cs="Arial" w:eastAsia="Arial" w:hAnsi="Arial"/>
          <w:sz w:val="18"/>
          <w:szCs w:val="18"/>
          <w:color w:val="auto"/>
        </w:rPr>
        <w:t>") may from time to time reasonably assign in good faith to Executive. At all times during the Employment Period (as defined below), the Executive shall report directly to the Board.</w:t>
      </w:r>
    </w:p>
    <w:p>
      <w:pPr>
        <w:spacing w:after="0" w:line="188" w:lineRule="exact"/>
        <w:rPr>
          <w:rFonts w:ascii="Arial" w:cs="Arial" w:eastAsia="Arial" w:hAnsi="Arial"/>
          <w:sz w:val="18"/>
          <w:szCs w:val="18"/>
          <w:color w:val="auto"/>
        </w:rPr>
      </w:pPr>
    </w:p>
    <w:p>
      <w:pPr>
        <w:ind w:right="20" w:firstLine="656"/>
        <w:spacing w:after="0" w:line="277" w:lineRule="auto"/>
        <w:tabs>
          <w:tab w:leader="none" w:pos="1232" w:val="left"/>
        </w:tabs>
        <w:numPr>
          <w:ilvl w:val="1"/>
          <w:numId w:val="41"/>
        </w:numPr>
        <w:rPr>
          <w:rFonts w:ascii="Arial" w:cs="Arial" w:eastAsia="Arial" w:hAnsi="Arial"/>
          <w:sz w:val="18"/>
          <w:szCs w:val="18"/>
          <w:color w:val="auto"/>
        </w:rPr>
      </w:pPr>
      <w:r>
        <w:rPr>
          <w:rFonts w:ascii="Arial" w:cs="Arial" w:eastAsia="Arial" w:hAnsi="Arial"/>
          <w:sz w:val="18"/>
          <w:szCs w:val="18"/>
          <w:color w:val="auto"/>
        </w:rPr>
        <w:t>In addition, the Company agrees that Executive shall serve as a member of the Board until such time as he is replaced pursuant to a shareholder vote or otherwise.</w:t>
      </w:r>
    </w:p>
    <w:p>
      <w:pPr>
        <w:spacing w:after="0" w:line="170" w:lineRule="exact"/>
        <w:rPr>
          <w:rFonts w:ascii="Arial" w:cs="Arial" w:eastAsia="Arial" w:hAnsi="Arial"/>
          <w:sz w:val="18"/>
          <w:szCs w:val="18"/>
          <w:color w:val="auto"/>
        </w:rPr>
      </w:pPr>
    </w:p>
    <w:p>
      <w:pPr>
        <w:jc w:val="both"/>
        <w:ind w:left="60" w:right="100" w:firstLine="630"/>
        <w:spacing w:after="0" w:line="284" w:lineRule="auto"/>
        <w:tabs>
          <w:tab w:leader="none" w:pos="1208" w:val="left"/>
        </w:tabs>
        <w:numPr>
          <w:ilvl w:val="2"/>
          <w:numId w:val="41"/>
        </w:numPr>
        <w:rPr>
          <w:rFonts w:ascii="Arial" w:cs="Arial" w:eastAsia="Arial" w:hAnsi="Arial"/>
          <w:sz w:val="16"/>
          <w:szCs w:val="16"/>
          <w:color w:val="auto"/>
        </w:rPr>
      </w:pPr>
      <w:r>
        <w:rPr>
          <w:rFonts w:ascii="Arial" w:cs="Arial" w:eastAsia="Arial" w:hAnsi="Arial"/>
          <w:sz w:val="16"/>
          <w:szCs w:val="16"/>
          <w:color w:val="auto"/>
        </w:rPr>
        <w:t>Executive shall devote substantially all of his working time and efforts during the Company's normal business hours to the business and affairs of the Company and its subsidiaries and to the diligent and faithful performance of the duties and responsibilities duly assigned to him pursuant to this Agreement. Notwithstanding the foregoing, nothing herein shall preclude Executive from (i) performing services for such other company as the Company may designate or permit, (ii) serving, with the prior written consent of the Board, as a member of the boards of directors or advisory boards (or their equivalents in the case of a non-corporate entity) of non-competing businesses and charitable organizations, (iii) engaging in charitable activities and community affairs, and (iv) managing Executive's personal investments and affairs; provided, however, that the activities set out in clauses (i), (ii), (iii) and</w:t>
      </w:r>
    </w:p>
    <w:p>
      <w:pPr>
        <w:spacing w:after="0" w:line="4" w:lineRule="exact"/>
        <w:rPr>
          <w:rFonts w:ascii="Arial" w:cs="Arial" w:eastAsia="Arial" w:hAnsi="Arial"/>
          <w:sz w:val="16"/>
          <w:szCs w:val="16"/>
          <w:color w:val="auto"/>
        </w:rPr>
      </w:pPr>
    </w:p>
    <w:p>
      <w:pPr>
        <w:ind w:left="60" w:right="120" w:hanging="9"/>
        <w:spacing w:after="0" w:line="261" w:lineRule="auto"/>
        <w:tabs>
          <w:tab w:leader="none" w:pos="397" w:val="left"/>
        </w:tabs>
        <w:numPr>
          <w:ilvl w:val="0"/>
          <w:numId w:val="42"/>
        </w:numPr>
        <w:rPr>
          <w:rFonts w:ascii="Arial" w:cs="Arial" w:eastAsia="Arial" w:hAnsi="Arial"/>
          <w:sz w:val="18"/>
          <w:szCs w:val="18"/>
          <w:color w:val="auto"/>
        </w:rPr>
      </w:pPr>
      <w:r>
        <w:rPr>
          <w:rFonts w:ascii="Arial" w:cs="Arial" w:eastAsia="Arial" w:hAnsi="Arial"/>
          <w:sz w:val="18"/>
          <w:szCs w:val="18"/>
          <w:color w:val="auto"/>
        </w:rPr>
        <w:t>shall be limited by Executive so as not to materially interfere, individually or in the aggregate, with the performance of Executive's duties and responsibilities 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400050</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25" w:name="page26"/>
    <w:bookmarkEnd w:id="25"/>
    <w:p>
      <w:pPr>
        <w:jc w:val="both"/>
        <w:ind w:firstLine="656"/>
        <w:spacing w:after="0" w:line="254" w:lineRule="auto"/>
        <w:tabs>
          <w:tab w:leader="none" w:pos="1125"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Term</w:t>
      </w:r>
      <w:r>
        <w:rPr>
          <w:rFonts w:ascii="Arial" w:cs="Arial" w:eastAsia="Arial" w:hAnsi="Arial"/>
          <w:sz w:val="18"/>
          <w:szCs w:val="18"/>
          <w:color w:val="auto"/>
        </w:rPr>
        <w:t>. The term of this Agreement shall commence on the Effective Date and continue for a period of eighteen (18) months. It is the intention of the parties to negotiate and enter into a new employment agreement prior to the expiration of the Employment Period, but to the extent a new agreement is not executed within such time frame, this Agreement shall be automatically renewed for successive one year periods unless either party provides the other party with written notice of his or its intention not to renew this Agreement at least three months prior to the expiration of the initial term or any renewal term of this Agreement; provided, however, that Executive shall notify the Board no later than four months prior to the expiration of the initial term or any renewal term of the Company's right not to renew the Agreement, it being agreed that Executive's failure to so notify the Board shall be grounds for termination of Executive's employment with 30 days notice. As used herein, the term "</w:t>
      </w:r>
      <w:r>
        <w:rPr>
          <w:rFonts w:ascii="Arial" w:cs="Arial" w:eastAsia="Arial" w:hAnsi="Arial"/>
          <w:sz w:val="18"/>
          <w:szCs w:val="18"/>
          <w:u w:val="single" w:color="auto"/>
          <w:color w:val="auto"/>
        </w:rPr>
        <w:t>Employment Period</w:t>
      </w:r>
      <w:r>
        <w:rPr>
          <w:rFonts w:ascii="Arial" w:cs="Arial" w:eastAsia="Arial" w:hAnsi="Arial"/>
          <w:sz w:val="18"/>
          <w:szCs w:val="18"/>
          <w:color w:val="auto"/>
        </w:rPr>
        <w:t>" shall mean the initial eighteen (18) month term plus renewals, if any.</w:t>
      </w:r>
    </w:p>
    <w:p>
      <w:pPr>
        <w:spacing w:after="0" w:line="192" w:lineRule="exact"/>
        <w:rPr>
          <w:rFonts w:ascii="Arial" w:cs="Arial" w:eastAsia="Arial" w:hAnsi="Arial"/>
          <w:sz w:val="18"/>
          <w:szCs w:val="18"/>
          <w:color w:val="auto"/>
        </w:rPr>
      </w:pPr>
    </w:p>
    <w:p>
      <w:pPr>
        <w:jc w:val="both"/>
        <w:ind w:firstLine="656"/>
        <w:spacing w:after="0" w:line="279" w:lineRule="auto"/>
        <w:tabs>
          <w:tab w:leader="none" w:pos="1269" w:val="left"/>
        </w:tabs>
        <w:numPr>
          <w:ilvl w:val="0"/>
          <w:numId w:val="43"/>
        </w:numPr>
        <w:rPr>
          <w:rFonts w:ascii="Arial" w:cs="Arial" w:eastAsia="Arial" w:hAnsi="Arial"/>
          <w:sz w:val="17"/>
          <w:szCs w:val="17"/>
          <w:color w:val="auto"/>
        </w:rPr>
      </w:pPr>
      <w:r>
        <w:rPr>
          <w:rFonts w:ascii="Arial" w:cs="Arial" w:eastAsia="Arial" w:hAnsi="Arial"/>
          <w:sz w:val="17"/>
          <w:szCs w:val="17"/>
          <w:u w:val="single" w:color="auto"/>
          <w:color w:val="auto"/>
        </w:rPr>
        <w:t>Place of Employment</w:t>
      </w:r>
      <w:r>
        <w:rPr>
          <w:rFonts w:ascii="Arial" w:cs="Arial" w:eastAsia="Arial" w:hAnsi="Arial"/>
          <w:sz w:val="17"/>
          <w:szCs w:val="17"/>
          <w:color w:val="auto"/>
        </w:rPr>
        <w:t>. Executive's services shall be performed at the Company's offices located at 380 Madison Avenue, 22nd Floor, New York 10017 and any other locus where the Company and Executive mutually agree is an acceptable location from which Executive's services may be performed. The parties acknowledge that any location in the Borough of Manhattan, City of New York, is an acceptable location. The parties further acknowledge, however, that Executive may be required to travel in connection with the performance of his duties hereunder.</w:t>
      </w:r>
    </w:p>
    <w:p>
      <w:pPr>
        <w:spacing w:after="0" w:line="171" w:lineRule="exact"/>
        <w:rPr>
          <w:rFonts w:ascii="Arial" w:cs="Arial" w:eastAsia="Arial" w:hAnsi="Arial"/>
          <w:sz w:val="17"/>
          <w:szCs w:val="17"/>
          <w:color w:val="auto"/>
        </w:rPr>
      </w:pPr>
    </w:p>
    <w:p>
      <w:pPr>
        <w:ind w:left="1200" w:hanging="544"/>
        <w:spacing w:after="0"/>
        <w:tabs>
          <w:tab w:leader="none" w:pos="1200"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Compensation</w:t>
      </w:r>
      <w:r>
        <w:rPr>
          <w:rFonts w:ascii="Arial" w:cs="Arial" w:eastAsia="Arial" w:hAnsi="Arial"/>
          <w:sz w:val="18"/>
          <w:szCs w:val="18"/>
          <w:color w:val="auto"/>
        </w:rPr>
        <w:t>.</w:t>
      </w:r>
    </w:p>
    <w:p>
      <w:pPr>
        <w:spacing w:after="0" w:line="225" w:lineRule="exact"/>
        <w:rPr>
          <w:sz w:val="20"/>
          <w:szCs w:val="20"/>
          <w:color w:val="auto"/>
        </w:rPr>
      </w:pPr>
    </w:p>
    <w:p>
      <w:pPr>
        <w:jc w:val="both"/>
        <w:ind w:firstLine="656"/>
        <w:spacing w:after="0" w:line="254" w:lineRule="auto"/>
        <w:tabs>
          <w:tab w:leader="none" w:pos="1194" w:val="left"/>
        </w:tabs>
        <w:numPr>
          <w:ilvl w:val="0"/>
          <w:numId w:val="44"/>
        </w:numPr>
        <w:rPr>
          <w:rFonts w:ascii="Arial" w:cs="Arial" w:eastAsia="Arial" w:hAnsi="Arial"/>
          <w:sz w:val="18"/>
          <w:szCs w:val="18"/>
          <w:color w:val="auto"/>
        </w:rPr>
      </w:pPr>
      <w:r>
        <w:rPr>
          <w:rFonts w:ascii="Arial" w:cs="Arial" w:eastAsia="Arial" w:hAnsi="Arial"/>
          <w:sz w:val="18"/>
          <w:szCs w:val="18"/>
          <w:u w:val="single" w:color="auto"/>
          <w:color w:val="auto"/>
        </w:rPr>
        <w:t>Base Salary</w:t>
      </w:r>
      <w:r>
        <w:rPr>
          <w:rFonts w:ascii="Arial" w:cs="Arial" w:eastAsia="Arial" w:hAnsi="Arial"/>
          <w:sz w:val="18"/>
          <w:szCs w:val="18"/>
          <w:color w:val="auto"/>
        </w:rPr>
        <w:t>. For all services to be rendered by Executive pursuant to this Agreement, the Company agrees to pay Executive during the Employment Period an initial base salary (the "</w:t>
      </w:r>
      <w:r>
        <w:rPr>
          <w:rFonts w:ascii="Arial" w:cs="Arial" w:eastAsia="Arial" w:hAnsi="Arial"/>
          <w:sz w:val="18"/>
          <w:szCs w:val="18"/>
          <w:u w:val="single" w:color="auto"/>
          <w:color w:val="auto"/>
        </w:rPr>
        <w:t>Base Salary</w:t>
      </w:r>
      <w:r>
        <w:rPr>
          <w:rFonts w:ascii="Arial" w:cs="Arial" w:eastAsia="Arial" w:hAnsi="Arial"/>
          <w:sz w:val="18"/>
          <w:szCs w:val="18"/>
          <w:color w:val="auto"/>
        </w:rPr>
        <w:t>") at an annual rate of $125,000. The Base Salary shall be paid in periodic installments in accordance with the Company's regular payroll practices. The Base Salary shall be increased (a) to $150,000 in the event the Company successfully completes a private placement of its securities in which the Company realizes net proceeds of at least $2 million (excluding any proceeds from any parties listed in Exhibit "</w:t>
      </w:r>
      <w:r>
        <w:rPr>
          <w:rFonts w:ascii="Arial" w:cs="Arial" w:eastAsia="Arial" w:hAnsi="Arial"/>
          <w:sz w:val="18"/>
          <w:szCs w:val="18"/>
          <w:u w:val="single" w:color="auto"/>
          <w:color w:val="auto"/>
        </w:rPr>
        <w:t>B</w:t>
      </w:r>
      <w:r>
        <w:rPr>
          <w:rFonts w:ascii="Arial" w:cs="Arial" w:eastAsia="Arial" w:hAnsi="Arial"/>
          <w:sz w:val="18"/>
          <w:szCs w:val="18"/>
          <w:color w:val="auto"/>
        </w:rPr>
        <w:t>") (the "</w:t>
      </w:r>
      <w:r>
        <w:rPr>
          <w:rFonts w:ascii="Arial" w:cs="Arial" w:eastAsia="Arial" w:hAnsi="Arial"/>
          <w:sz w:val="18"/>
          <w:szCs w:val="18"/>
          <w:u w:val="single" w:color="auto"/>
          <w:color w:val="auto"/>
        </w:rPr>
        <w:t>Private Placement</w:t>
      </w:r>
      <w:r>
        <w:rPr>
          <w:rFonts w:ascii="Arial" w:cs="Arial" w:eastAsia="Arial" w:hAnsi="Arial"/>
          <w:sz w:val="18"/>
          <w:szCs w:val="18"/>
          <w:color w:val="auto"/>
        </w:rPr>
        <w:t>"), and (b) to $250,000 in the event that (i) the Company successfully completes an initial public offering of its securities (the "</w:t>
      </w:r>
      <w:r>
        <w:rPr>
          <w:rFonts w:ascii="Arial" w:cs="Arial" w:eastAsia="Arial" w:hAnsi="Arial"/>
          <w:sz w:val="18"/>
          <w:szCs w:val="18"/>
          <w:u w:val="single" w:color="auto"/>
          <w:color w:val="auto"/>
        </w:rPr>
        <w:t>IPO</w:t>
      </w:r>
      <w:r>
        <w:rPr>
          <w:rFonts w:ascii="Arial" w:cs="Arial" w:eastAsia="Arial" w:hAnsi="Arial"/>
          <w:sz w:val="18"/>
          <w:szCs w:val="18"/>
          <w:color w:val="auto"/>
        </w:rPr>
        <w:t>") and (ii) the Company realizes net proceeds of at least $7 million from the sum of the Private Placement and the IPO (excluding any proceeds received from any parties listed in Exhibit "</w:t>
      </w:r>
      <w:r>
        <w:rPr>
          <w:rFonts w:ascii="Arial" w:cs="Arial" w:eastAsia="Arial" w:hAnsi="Arial"/>
          <w:sz w:val="18"/>
          <w:szCs w:val="18"/>
          <w:u w:val="single" w:color="auto"/>
          <w:color w:val="auto"/>
        </w:rPr>
        <w:t>B</w:t>
      </w:r>
      <w:r>
        <w:rPr>
          <w:rFonts w:ascii="Arial" w:cs="Arial" w:eastAsia="Arial" w:hAnsi="Arial"/>
          <w:sz w:val="18"/>
          <w:szCs w:val="18"/>
          <w:color w:val="auto"/>
        </w:rPr>
        <w:t>"). Such increases shall take effect immediately as of the consummation of the Private Placement and the IPO, as the case may be.</w:t>
      </w:r>
    </w:p>
    <w:p>
      <w:pPr>
        <w:spacing w:after="0" w:line="192"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The Compensation Committee (the "</w:t>
      </w:r>
      <w:r>
        <w:rPr>
          <w:rFonts w:ascii="Arial" w:cs="Arial" w:eastAsia="Arial" w:hAnsi="Arial"/>
          <w:sz w:val="16"/>
          <w:szCs w:val="16"/>
          <w:u w:val="single" w:color="auto"/>
          <w:color w:val="auto"/>
        </w:rPr>
        <w:t>Compensation Committee</w:t>
      </w:r>
      <w:r>
        <w:rPr>
          <w:rFonts w:ascii="Arial" w:cs="Arial" w:eastAsia="Arial" w:hAnsi="Arial"/>
          <w:sz w:val="16"/>
          <w:szCs w:val="16"/>
          <w:color w:val="auto"/>
        </w:rPr>
        <w:t>") of the Board (or by the independent members of the Board, if there is no Compensation Committee) shall review the Executive's Base Salary annually after the conclusion of the initial eighteen (18) month term and shall make a recommendation to the Board as to whether such Base Salary should be increased. The determination of whether to increase the Base Salary shall be within the Board's sole discretion; provided, however, that prior to the consummation of the Private Placement, any increase in the Base Salary shall be predicated on the Board's receipt of a written letter from Johnson Associates, Inc. opining that the proposed increase is reasonable given all the facts and circumstances.</w:t>
      </w:r>
    </w:p>
    <w:p>
      <w:pPr>
        <w:spacing w:after="0" w:line="158" w:lineRule="exact"/>
        <w:rPr>
          <w:sz w:val="20"/>
          <w:szCs w:val="20"/>
          <w:color w:val="auto"/>
        </w:rPr>
      </w:pPr>
    </w:p>
    <w:p>
      <w:pPr>
        <w:jc w:val="both"/>
        <w:ind w:firstLine="656"/>
        <w:spacing w:after="0" w:line="312" w:lineRule="auto"/>
        <w:tabs>
          <w:tab w:leader="none" w:pos="1137" w:val="left"/>
        </w:tabs>
        <w:numPr>
          <w:ilvl w:val="0"/>
          <w:numId w:val="45"/>
        </w:numPr>
        <w:rPr>
          <w:rFonts w:ascii="Arial" w:cs="Arial" w:eastAsia="Arial" w:hAnsi="Arial"/>
          <w:sz w:val="16"/>
          <w:szCs w:val="16"/>
          <w:color w:val="auto"/>
        </w:rPr>
      </w:pPr>
      <w:r>
        <w:rPr>
          <w:rFonts w:ascii="Arial" w:cs="Arial" w:eastAsia="Arial" w:hAnsi="Arial"/>
          <w:sz w:val="16"/>
          <w:szCs w:val="16"/>
          <w:u w:val="single" w:color="auto"/>
          <w:color w:val="auto"/>
        </w:rPr>
        <w:t>Restricted Stock Award</w:t>
      </w:r>
      <w:r>
        <w:rPr>
          <w:rFonts w:ascii="Arial" w:cs="Arial" w:eastAsia="Arial" w:hAnsi="Arial"/>
          <w:sz w:val="16"/>
          <w:szCs w:val="16"/>
          <w:color w:val="auto"/>
        </w:rPr>
        <w:t>. In consideration for entering into this Agreement, and for all services to be rendered by Executive pursuant to this Agreement, the Company hereby grants to the Executive 625,000 shares of restricted common stock of the Company (the "</w:t>
      </w:r>
      <w:r>
        <w:rPr>
          <w:rFonts w:ascii="Arial" w:cs="Arial" w:eastAsia="Arial" w:hAnsi="Arial"/>
          <w:sz w:val="16"/>
          <w:szCs w:val="16"/>
          <w:u w:val="single" w:color="auto"/>
          <w:color w:val="auto"/>
        </w:rPr>
        <w:t>Restricted Stock</w:t>
      </w:r>
      <w:r>
        <w:rPr>
          <w:rFonts w:ascii="Arial" w:cs="Arial" w:eastAsia="Arial" w:hAnsi="Arial"/>
          <w:sz w:val="16"/>
          <w:szCs w:val="16"/>
          <w:color w:val="auto"/>
        </w:rPr>
        <w:t>"), pursuant to the terms and provisions of the Restricted Stock Award Agreement, a form of which is attached hereto as Exhibit "</w:t>
      </w:r>
      <w:r>
        <w:rPr>
          <w:rFonts w:ascii="Arial" w:cs="Arial" w:eastAsia="Arial" w:hAnsi="Arial"/>
          <w:sz w:val="16"/>
          <w:szCs w:val="16"/>
          <w:u w:val="single" w:color="auto"/>
          <w:color w:val="auto"/>
        </w:rPr>
        <w:t>C</w:t>
      </w:r>
      <w:r>
        <w:rPr>
          <w:rFonts w:ascii="Arial" w:cs="Arial" w:eastAsia="Arial" w:hAnsi="Arial"/>
          <w:sz w:val="16"/>
          <w:szCs w:val="16"/>
          <w:color w:val="auto"/>
        </w:rPr>
        <w:t>" (the "</w:t>
      </w:r>
      <w:r>
        <w:rPr>
          <w:rFonts w:ascii="Arial" w:cs="Arial" w:eastAsia="Arial" w:hAnsi="Arial"/>
          <w:sz w:val="16"/>
          <w:szCs w:val="16"/>
          <w:u w:val="single" w:color="auto"/>
          <w:color w:val="auto"/>
        </w:rPr>
        <w:t>Stock Award Agreement</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376555</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6" w:name="page27"/>
    <w:bookmarkEnd w:id="26"/>
    <w:p>
      <w:pPr>
        <w:jc w:val="both"/>
        <w:ind w:left="-656" w:firstLine="656"/>
        <w:spacing w:after="0" w:line="255" w:lineRule="auto"/>
        <w:tabs>
          <w:tab w:leader="none" w:pos="469" w:val="left"/>
        </w:tabs>
        <w:numPr>
          <w:ilvl w:val="0"/>
          <w:numId w:val="46"/>
        </w:numPr>
        <w:rPr>
          <w:rFonts w:ascii="Arial" w:cs="Arial" w:eastAsia="Arial" w:hAnsi="Arial"/>
          <w:sz w:val="18"/>
          <w:szCs w:val="18"/>
          <w:color w:val="auto"/>
        </w:rPr>
      </w:pPr>
      <w:r>
        <w:rPr>
          <w:rFonts w:ascii="Arial" w:cs="Arial" w:eastAsia="Arial" w:hAnsi="Arial"/>
          <w:sz w:val="18"/>
          <w:szCs w:val="18"/>
          <w:u w:val="single" w:color="auto"/>
          <w:color w:val="auto"/>
        </w:rPr>
        <w:t>Bonuses</w:t>
      </w:r>
      <w:r>
        <w:rPr>
          <w:rFonts w:ascii="Arial" w:cs="Arial" w:eastAsia="Arial" w:hAnsi="Arial"/>
          <w:sz w:val="18"/>
          <w:szCs w:val="18"/>
          <w:color w:val="auto"/>
        </w:rPr>
        <w:t>. During the Employment Period, the Executive shall be eligible to receive an annual performance-based bonus (the "</w:t>
      </w:r>
      <w:r>
        <w:rPr>
          <w:rFonts w:ascii="Arial" w:cs="Arial" w:eastAsia="Arial" w:hAnsi="Arial"/>
          <w:sz w:val="18"/>
          <w:szCs w:val="18"/>
          <w:u w:val="single" w:color="auto"/>
          <w:color w:val="auto"/>
        </w:rPr>
        <w:t>Bonus</w:t>
      </w:r>
      <w:r>
        <w:rPr>
          <w:rFonts w:ascii="Arial" w:cs="Arial" w:eastAsia="Arial" w:hAnsi="Arial"/>
          <w:sz w:val="18"/>
          <w:szCs w:val="18"/>
          <w:color w:val="auto"/>
        </w:rPr>
        <w:t>"), which shall be based upon the achievement of Company and individual objectives established by the Compensation Committee (or the independent members of the Board, if there is no Compensation Committee) after consultation with the Executive; provided, however, that prior to the consummation of the Private Placement, any Bonus award shall be predicated on the Board's receipt of a written letter from Johnson Associates, Inc. opining that the proposed Bonus is reasonable given all the facts and circumstances. Bonus determinations shall be made at the end of each calendar year during the Employment Period and paid on or before March 15 of the following year.</w:t>
      </w:r>
    </w:p>
    <w:p>
      <w:pPr>
        <w:spacing w:after="0" w:line="193" w:lineRule="exact"/>
        <w:rPr>
          <w:rFonts w:ascii="Arial" w:cs="Arial" w:eastAsia="Arial" w:hAnsi="Arial"/>
          <w:sz w:val="18"/>
          <w:szCs w:val="18"/>
          <w:color w:val="auto"/>
        </w:rPr>
      </w:pPr>
    </w:p>
    <w:p>
      <w:pPr>
        <w:jc w:val="both"/>
        <w:ind w:left="-656" w:firstLine="656"/>
        <w:spacing w:after="0" w:line="291" w:lineRule="auto"/>
        <w:tabs>
          <w:tab w:leader="none" w:pos="537" w:val="left"/>
        </w:tabs>
        <w:numPr>
          <w:ilvl w:val="0"/>
          <w:numId w:val="46"/>
        </w:numPr>
        <w:rPr>
          <w:rFonts w:ascii="Arial" w:cs="Arial" w:eastAsia="Arial" w:hAnsi="Arial"/>
          <w:sz w:val="16"/>
          <w:szCs w:val="16"/>
          <w:color w:val="auto"/>
        </w:rPr>
      </w:pPr>
      <w:r>
        <w:rPr>
          <w:rFonts w:ascii="Arial" w:cs="Arial" w:eastAsia="Arial" w:hAnsi="Arial"/>
          <w:sz w:val="16"/>
          <w:szCs w:val="16"/>
          <w:u w:val="single" w:color="auto"/>
          <w:color w:val="auto"/>
        </w:rPr>
        <w:t>Expenses</w:t>
      </w:r>
      <w:r>
        <w:rPr>
          <w:rFonts w:ascii="Arial" w:cs="Arial" w:eastAsia="Arial" w:hAnsi="Arial"/>
          <w:sz w:val="16"/>
          <w:szCs w:val="16"/>
          <w:color w:val="auto"/>
        </w:rPr>
        <w:t>. Executive shall be entitled to reimbursement for all reasonable ordinary and necessary travel, entertainment, and other expenses incurred by Executive while employed (in accordance with the policies and procedures established by the Company for its senior executive officers) in the performance of his duties and responsibilities under this Agreement; provided, that Executive shall properly account for such expenses in accordance with Company policies and procedures. In connection with his duties and responsibilities, the Company shall cause a credit card to be issued to Executive to be used by the Executive solely to pay for travel and entertainment expenditures reasonably necessary for the performance of his duties and Company and otherwise in accordance with written policies and procedures approved by the Board. The Executive shall be responsible for any charges made to the credit card that are deemed by the Board of Directors to be inconsistent with the performance of his duties and Company policies and procedures.</w:t>
      </w:r>
    </w:p>
    <w:p>
      <w:pPr>
        <w:spacing w:after="0" w:line="167" w:lineRule="exact"/>
        <w:rPr>
          <w:rFonts w:ascii="Arial" w:cs="Arial" w:eastAsia="Arial" w:hAnsi="Arial"/>
          <w:sz w:val="16"/>
          <w:szCs w:val="16"/>
          <w:color w:val="auto"/>
        </w:rPr>
      </w:pPr>
    </w:p>
    <w:p>
      <w:pPr>
        <w:ind w:left="444" w:hanging="444"/>
        <w:spacing w:after="0"/>
        <w:tabs>
          <w:tab w:leader="none" w:pos="444" w:val="left"/>
        </w:tabs>
        <w:numPr>
          <w:ilvl w:val="0"/>
          <w:numId w:val="46"/>
        </w:numPr>
        <w:rPr>
          <w:rFonts w:ascii="Arial" w:cs="Arial" w:eastAsia="Arial" w:hAnsi="Arial"/>
          <w:sz w:val="18"/>
          <w:szCs w:val="18"/>
          <w:color w:val="auto"/>
        </w:rPr>
      </w:pPr>
      <w:r>
        <w:rPr>
          <w:rFonts w:ascii="Arial" w:cs="Arial" w:eastAsia="Arial" w:hAnsi="Arial"/>
          <w:sz w:val="18"/>
          <w:szCs w:val="18"/>
          <w:u w:val="single" w:color="auto"/>
          <w:color w:val="auto"/>
        </w:rPr>
        <w:t>Other Benefits and Indemnification</w:t>
      </w:r>
      <w:r>
        <w:rPr>
          <w:rFonts w:ascii="Arial" w:cs="Arial" w:eastAsia="Arial" w:hAnsi="Arial"/>
          <w:sz w:val="18"/>
          <w:szCs w:val="18"/>
          <w:color w:val="auto"/>
        </w:rPr>
        <w:t>.</w:t>
      </w:r>
    </w:p>
    <w:p>
      <w:pPr>
        <w:spacing w:after="0" w:line="225" w:lineRule="exact"/>
        <w:rPr>
          <w:sz w:val="20"/>
          <w:szCs w:val="20"/>
          <w:color w:val="auto"/>
        </w:rPr>
      </w:pPr>
    </w:p>
    <w:p>
      <w:pPr>
        <w:jc w:val="both"/>
        <w:ind w:left="-656" w:firstLine="656"/>
        <w:spacing w:after="0" w:line="259" w:lineRule="auto"/>
        <w:tabs>
          <w:tab w:leader="none" w:pos="503" w:val="left"/>
        </w:tabs>
        <w:numPr>
          <w:ilvl w:val="0"/>
          <w:numId w:val="47"/>
        </w:numPr>
        <w:rPr>
          <w:rFonts w:ascii="Arial" w:cs="Arial" w:eastAsia="Arial" w:hAnsi="Arial"/>
          <w:sz w:val="18"/>
          <w:szCs w:val="18"/>
          <w:color w:val="auto"/>
        </w:rPr>
      </w:pPr>
      <w:r>
        <w:rPr>
          <w:rFonts w:ascii="Arial" w:cs="Arial" w:eastAsia="Arial" w:hAnsi="Arial"/>
          <w:sz w:val="18"/>
          <w:szCs w:val="18"/>
          <w:color w:val="auto"/>
        </w:rPr>
        <w:t>During the term of this Agreement, the Executive shall be eligible to participate in all incentive, savings, retirement (401(k)), and welfare benefit plans, health, medical, dental, vision, life (including accidental death and dismemberment) and disability insurance plans (collectively, to the extent they exist, "</w:t>
      </w:r>
      <w:r>
        <w:rPr>
          <w:rFonts w:ascii="Arial" w:cs="Arial" w:eastAsia="Arial" w:hAnsi="Arial"/>
          <w:sz w:val="18"/>
          <w:szCs w:val="18"/>
          <w:u w:val="single" w:color="auto"/>
          <w:color w:val="auto"/>
        </w:rPr>
        <w:t>Benefit Plans</w:t>
      </w:r>
      <w:r>
        <w:rPr>
          <w:rFonts w:ascii="Arial" w:cs="Arial" w:eastAsia="Arial" w:hAnsi="Arial"/>
          <w:sz w:val="18"/>
          <w:szCs w:val="18"/>
          <w:color w:val="auto"/>
        </w:rPr>
        <w:t>"), in substantially the same manner and at substantially the same levels as the Company makes such opportunities available to the Company's executive employees.</w:t>
      </w:r>
    </w:p>
    <w:p>
      <w:pPr>
        <w:spacing w:after="0" w:line="186" w:lineRule="exact"/>
        <w:rPr>
          <w:rFonts w:ascii="Arial" w:cs="Arial" w:eastAsia="Arial" w:hAnsi="Arial"/>
          <w:sz w:val="18"/>
          <w:szCs w:val="18"/>
          <w:color w:val="auto"/>
        </w:rPr>
      </w:pPr>
    </w:p>
    <w:p>
      <w:pPr>
        <w:jc w:val="both"/>
        <w:ind w:left="-656" w:firstLine="656"/>
        <w:spacing w:after="0" w:line="286" w:lineRule="auto"/>
        <w:tabs>
          <w:tab w:leader="none" w:pos="521"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 Company hereby covenants and agrees to indemnify Executive and hold Executive harmless fully, completely, and absolutely (to the maximum extent allowed by law) against and in respect to any and all threatened or actual actions, suits, proceedings, claims, demands, investigations, judgments, costs, expenses (including settlement and/or reasonable attorney's fees), losses, and damages resulting from (1) the fact that Executive is or was a director, officer, employee, or manager of the Company, or (2) Executive's good faith performance of his duties and obligations under the terms of this Agreement. The indemnification obligations set forth herein apply regardless of the nature of the legal matter (i.e., whether it is civil, criminal, administrative, investigative, appellate or other). Reasonable costs and expenses incurred by Executive in defense of or in relation to any such litigation (including reasonable attorneys' fees) shall be paid by the Company as they are incurred and in advance of the final disposition of such litigation upon receipt by the Company of (i) a written request for payment and (ii) appropriate documentation evidencing the incurrence, amount and nature of the costs and expenses for which payment is being sought In addition to the above, upon the closing of the Private Placement, the Company shall use reasonable efforts to obtain and maintain an insurance policy or policies providing liability insurance for directors, officers, employees, agents or fiduciaries of the Company or of any other corporation, partnership, joint venture, trust, employee benefit plan or other trust or other enterprise which such person serves at the request of the Company. Executive shall be covered by such policy or policies in accordance with its or their terms to the maximum extent of the coverage available for any such director, officer, employee or agent under such policy or policies. Such indemnification set forth herein shall continue as to the Executive even if he has ceased to be a director, member, employee or manager of the Company and shall inure to the benefit of the Executive's heirs, executors and administrators. Executive also shall be entitled to the indemnification protection afforded under the Company's by-laws or articles of organization, as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390525</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4"/>
          </w:cols>
          <w:pgMar w:left="896" w:top="908" w:right="239" w:bottom="1440" w:gutter="0" w:footer="0" w:header="0"/>
        </w:sectPr>
      </w:pPr>
    </w:p>
    <w:bookmarkStart w:id="27" w:name="page28"/>
    <w:bookmarkEnd w:id="27"/>
    <w:p>
      <w:pPr>
        <w:jc w:val="both"/>
        <w:ind w:left="-20" w:firstLine="656"/>
        <w:spacing w:after="0" w:line="264" w:lineRule="auto"/>
        <w:tabs>
          <w:tab w:leader="none" w:pos="1091" w:val="left"/>
        </w:tabs>
        <w:numPr>
          <w:ilvl w:val="0"/>
          <w:numId w:val="48"/>
        </w:numPr>
        <w:rPr>
          <w:rFonts w:ascii="Arial" w:cs="Arial" w:eastAsia="Arial" w:hAnsi="Arial"/>
          <w:sz w:val="18"/>
          <w:szCs w:val="18"/>
          <w:color w:val="auto"/>
        </w:rPr>
      </w:pPr>
      <w:r>
        <w:rPr>
          <w:rFonts w:ascii="Arial" w:cs="Arial" w:eastAsia="Arial" w:hAnsi="Arial"/>
          <w:sz w:val="18"/>
          <w:szCs w:val="18"/>
          <w:u w:val="single" w:color="auto"/>
          <w:color w:val="auto"/>
        </w:rPr>
        <w:t>Vacation</w:t>
      </w:r>
      <w:r>
        <w:rPr>
          <w:rFonts w:ascii="Arial" w:cs="Arial" w:eastAsia="Arial" w:hAnsi="Arial"/>
          <w:sz w:val="18"/>
          <w:szCs w:val="18"/>
          <w:color w:val="auto"/>
        </w:rPr>
        <w:t>. During the term of this Agreement, the Executive shall be entitled to accrue, on a pro rata quarterly basis, twenty (20) paid vacation days per year. Vacation shall be taken at such times as are mutually convenient to the Executive and the Company. The Executive shall be entitled to carry over any accrued, unused vacation days from year to year.</w:t>
      </w:r>
    </w:p>
    <w:p>
      <w:pPr>
        <w:spacing w:after="0" w:line="181" w:lineRule="exact"/>
        <w:rPr>
          <w:rFonts w:ascii="Arial" w:cs="Arial" w:eastAsia="Arial" w:hAnsi="Arial"/>
          <w:sz w:val="18"/>
          <w:szCs w:val="18"/>
          <w:color w:val="auto"/>
        </w:rPr>
      </w:pPr>
    </w:p>
    <w:p>
      <w:pPr>
        <w:ind w:left="1080" w:hanging="444"/>
        <w:spacing w:after="0"/>
        <w:tabs>
          <w:tab w:leader="none" w:pos="1080" w:val="left"/>
        </w:tabs>
        <w:numPr>
          <w:ilvl w:val="0"/>
          <w:numId w:val="48"/>
        </w:numPr>
        <w:rPr>
          <w:rFonts w:ascii="Arial" w:cs="Arial" w:eastAsia="Arial" w:hAnsi="Arial"/>
          <w:sz w:val="18"/>
          <w:szCs w:val="18"/>
          <w:i w:val="1"/>
          <w:iCs w:val="1"/>
          <w:color w:val="auto"/>
        </w:rPr>
      </w:pPr>
      <w:r>
        <w:rPr>
          <w:rFonts w:ascii="Arial" w:cs="Arial" w:eastAsia="Arial" w:hAnsi="Arial"/>
          <w:sz w:val="18"/>
          <w:szCs w:val="18"/>
          <w:i w:val="1"/>
          <w:iCs w:val="1"/>
          <w:u w:val="single" w:color="auto"/>
          <w:color w:val="auto"/>
        </w:rPr>
        <w:t>Termination of Employment</w:t>
      </w:r>
      <w:r>
        <w:rPr>
          <w:rFonts w:ascii="Arial" w:cs="Arial" w:eastAsia="Arial" w:hAnsi="Arial"/>
          <w:sz w:val="18"/>
          <w:szCs w:val="18"/>
          <w:i w:val="1"/>
          <w:iCs w:val="1"/>
          <w:color w:val="auto"/>
        </w:rPr>
        <w:t>.</w:t>
      </w:r>
    </w:p>
    <w:p>
      <w:pPr>
        <w:spacing w:after="0" w:line="225" w:lineRule="exact"/>
        <w:rPr>
          <w:sz w:val="20"/>
          <w:szCs w:val="20"/>
          <w:color w:val="auto"/>
        </w:rPr>
      </w:pPr>
    </w:p>
    <w:p>
      <w:pPr>
        <w:jc w:val="both"/>
        <w:ind w:firstLine="623"/>
        <w:spacing w:after="0" w:line="271" w:lineRule="auto"/>
        <w:tabs>
          <w:tab w:leader="none" w:pos="1060" w:val="left"/>
        </w:tabs>
        <w:numPr>
          <w:ilvl w:val="1"/>
          <w:numId w:val="49"/>
        </w:numPr>
        <w:rPr>
          <w:rFonts w:ascii="Arial" w:cs="Arial" w:eastAsia="Arial" w:hAnsi="Arial"/>
          <w:sz w:val="17"/>
          <w:szCs w:val="17"/>
          <w:color w:val="auto"/>
        </w:rPr>
      </w:pPr>
      <w:r>
        <w:rPr>
          <w:rFonts w:ascii="Arial" w:cs="Arial" w:eastAsia="Arial" w:hAnsi="Arial"/>
          <w:sz w:val="17"/>
          <w:szCs w:val="17"/>
          <w:u w:val="single" w:color="auto"/>
          <w:color w:val="auto"/>
        </w:rPr>
        <w:t>General</w:t>
      </w:r>
      <w:r>
        <w:rPr>
          <w:rFonts w:ascii="Arial" w:cs="Arial" w:eastAsia="Arial" w:hAnsi="Arial"/>
          <w:sz w:val="17"/>
          <w:szCs w:val="17"/>
          <w:color w:val="auto"/>
        </w:rPr>
        <w:t>. The Employment Period shall terminate upon the earliest to occur of: (i) Executive's death, (ii) a termination by reason of Executive's Disability, (iii) a termination by the Company with or without Cause, (iv) a termination by Employee with or without Good Reason, or (v) the Company's or Executive's election not to renew the Employment Period. Notwithstanding anything herein to the contrary, the payment (or commencement of a series of payments) hereunder of any nonqualified deferred compensation (within the meaning of Section 409A of the Internal Revenue Code, (the "</w:t>
      </w:r>
      <w:r>
        <w:rPr>
          <w:rFonts w:ascii="Arial" w:cs="Arial" w:eastAsia="Arial" w:hAnsi="Arial"/>
          <w:sz w:val="17"/>
          <w:szCs w:val="17"/>
          <w:u w:val="single" w:color="auto"/>
          <w:color w:val="auto"/>
        </w:rPr>
        <w:t>Code</w:t>
      </w:r>
      <w:r>
        <w:rPr>
          <w:rFonts w:ascii="Arial" w:cs="Arial" w:eastAsia="Arial" w:hAnsi="Arial"/>
          <w:sz w:val="17"/>
          <w:szCs w:val="17"/>
          <w:color w:val="auto"/>
        </w:rPr>
        <w:t>")) upon a termination of employment shall be delayed until such time as Executive has also undergone a "separation from service" as defined in Treas. Reg. 1.409A-1(h), at which time such nonqualified deferred compensation (calculated as of the date of Executive's termination of employment hereunder) shall be paid (or commence to be paid) to Executive on the schedule set forth in this Section 9 as if Executive had undergone such termination of employment (under the same circumstances) on the date of Executive's ultimate "separation from service."</w:t>
      </w:r>
    </w:p>
    <w:p>
      <w:pPr>
        <w:spacing w:after="0" w:line="178" w:lineRule="exact"/>
        <w:rPr>
          <w:rFonts w:ascii="Arial" w:cs="Arial" w:eastAsia="Arial" w:hAnsi="Arial"/>
          <w:sz w:val="17"/>
          <w:szCs w:val="17"/>
          <w:color w:val="auto"/>
        </w:rPr>
      </w:pPr>
    </w:p>
    <w:p>
      <w:pPr>
        <w:jc w:val="both"/>
        <w:ind w:firstLine="623"/>
        <w:spacing w:after="0" w:line="284" w:lineRule="auto"/>
        <w:tabs>
          <w:tab w:leader="none" w:pos="1273" w:val="left"/>
        </w:tabs>
        <w:numPr>
          <w:ilvl w:val="1"/>
          <w:numId w:val="49"/>
        </w:numPr>
        <w:rPr>
          <w:rFonts w:ascii="Arial" w:cs="Arial" w:eastAsia="Arial" w:hAnsi="Arial"/>
          <w:sz w:val="16"/>
          <w:szCs w:val="16"/>
          <w:color w:val="auto"/>
        </w:rPr>
      </w:pPr>
      <w:r>
        <w:rPr>
          <w:rFonts w:ascii="Arial" w:cs="Arial" w:eastAsia="Arial" w:hAnsi="Arial"/>
          <w:sz w:val="16"/>
          <w:szCs w:val="16"/>
          <w:u w:val="single" w:color="auto"/>
          <w:color w:val="auto"/>
        </w:rPr>
        <w:t>Death</w:t>
      </w:r>
      <w:r>
        <w:rPr>
          <w:rFonts w:ascii="Arial" w:cs="Arial" w:eastAsia="Arial" w:hAnsi="Arial"/>
          <w:sz w:val="16"/>
          <w:szCs w:val="16"/>
          <w:color w:val="auto"/>
        </w:rPr>
        <w:t>. If Executive dies during the Employment Period, this Agreement and the Executive's employment with the Company shall automatically terminate and the Company shall have no further obligations to the Executive or his heirs, administrators or executors with respect to compensation and benefits accruing thereafter, except for the obligation to pay to the Executive's heirs, administrators or executors (i) any earned but unpaid Base Salary up to and through the date of termination, (ii) any accrued but unused vacation pay, (iii) any unpaid declared Bonus, (iv) any vested Restricted Stock (which shall nonetheless remain subject to the terms of the Stock Award Agreement), (v) any and all reasonable expenses paid or incurred by the Executive in connection with and related to the performance of his duties and responsibilities for the Company up to and through the date of termination, and</w:t>
      </w:r>
    </w:p>
    <w:p>
      <w:pPr>
        <w:spacing w:after="0" w:line="4" w:lineRule="exact"/>
        <w:rPr>
          <w:rFonts w:ascii="Arial" w:cs="Arial" w:eastAsia="Arial" w:hAnsi="Arial"/>
          <w:sz w:val="16"/>
          <w:szCs w:val="16"/>
          <w:color w:val="auto"/>
        </w:rPr>
      </w:pPr>
    </w:p>
    <w:p>
      <w:pPr>
        <w:jc w:val="both"/>
        <w:spacing w:after="0" w:line="255" w:lineRule="auto"/>
        <w:tabs>
          <w:tab w:leader="none" w:pos="325" w:val="left"/>
        </w:tabs>
        <w:numPr>
          <w:ilvl w:val="0"/>
          <w:numId w:val="50"/>
        </w:numPr>
        <w:rPr>
          <w:rFonts w:ascii="Arial" w:cs="Arial" w:eastAsia="Arial" w:hAnsi="Arial"/>
          <w:sz w:val="18"/>
          <w:szCs w:val="18"/>
          <w:color w:val="auto"/>
        </w:rPr>
      </w:pPr>
      <w:r>
        <w:rPr>
          <w:rFonts w:ascii="Arial" w:cs="Arial" w:eastAsia="Arial" w:hAnsi="Arial"/>
          <w:sz w:val="18"/>
          <w:szCs w:val="18"/>
          <w:color w:val="auto"/>
        </w:rPr>
        <w:t>any benefits provided under the Company's employee benefit plans pursuant to, and in accordance with, the terms of such plans through the date of termination (collectively, the "</w:t>
      </w:r>
      <w:r>
        <w:rPr>
          <w:rFonts w:ascii="Arial" w:cs="Arial" w:eastAsia="Arial" w:hAnsi="Arial"/>
          <w:sz w:val="18"/>
          <w:szCs w:val="18"/>
          <w:u w:val="single" w:color="auto"/>
          <w:color w:val="auto"/>
        </w:rPr>
        <w:t>Accrued Obligations</w:t>
      </w:r>
      <w:r>
        <w:rPr>
          <w:rFonts w:ascii="Arial" w:cs="Arial" w:eastAsia="Arial" w:hAnsi="Arial"/>
          <w:sz w:val="18"/>
          <w:szCs w:val="18"/>
          <w:color w:val="auto"/>
        </w:rPr>
        <w:t>"). The Company shall deduct, from all payments made hereunder, all applicable taxes, including income tax, FICA and FUTA, and other appropriate deductions.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404495</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8" w:right="239" w:bottom="1440" w:gutter="0" w:footer="0" w:header="0"/>
        </w:sectPr>
      </w:pPr>
    </w:p>
    <w:bookmarkStart w:id="28" w:name="page29"/>
    <w:bookmarkEnd w:id="28"/>
    <w:p>
      <w:pPr>
        <w:jc w:val="both"/>
        <w:ind w:left="-656" w:firstLine="656"/>
        <w:spacing w:after="0" w:line="271" w:lineRule="auto"/>
        <w:tabs>
          <w:tab w:leader="none" w:pos="471" w:val="left"/>
        </w:tabs>
        <w:numPr>
          <w:ilvl w:val="0"/>
          <w:numId w:val="51"/>
        </w:numPr>
        <w:rPr>
          <w:rFonts w:ascii="Arial" w:cs="Arial" w:eastAsia="Arial" w:hAnsi="Arial"/>
          <w:sz w:val="17"/>
          <w:szCs w:val="17"/>
          <w:color w:val="auto"/>
        </w:rPr>
      </w:pPr>
      <w:r>
        <w:rPr>
          <w:rFonts w:ascii="Arial" w:cs="Arial" w:eastAsia="Arial" w:hAnsi="Arial"/>
          <w:sz w:val="17"/>
          <w:szCs w:val="17"/>
          <w:u w:val="single" w:color="auto"/>
          <w:color w:val="auto"/>
        </w:rPr>
        <w:t>Disability</w:t>
      </w:r>
      <w:r>
        <w:rPr>
          <w:rFonts w:ascii="Arial" w:cs="Arial" w:eastAsia="Arial" w:hAnsi="Arial"/>
          <w:sz w:val="17"/>
          <w:szCs w:val="17"/>
          <w:color w:val="auto"/>
        </w:rPr>
        <w:t>. In the event that during the Employment Period a majority of the members of the Board of Directors determine the Executive is unable to perform his essential duties and responsibilities hereunder to the full extent required by the Company by reason of a Disability (as defined below), this Agreement and the Executive's employment with the Company shall terminate and the Company shall have no further obligations or liability to the Executive or his heirs, administrators or executors with respect to compensation and benefits accruing thereafter, except for the obligation to pay the Accrued Obligations. The Company shall deduct, from all payments made hereunder, all applicable taxes, including income tax, FICA and FUTA, and other appropriate deductions. For purposes of this Agreement, "</w:t>
      </w:r>
      <w:r>
        <w:rPr>
          <w:rFonts w:ascii="Arial" w:cs="Arial" w:eastAsia="Arial" w:hAnsi="Arial"/>
          <w:sz w:val="17"/>
          <w:szCs w:val="17"/>
          <w:u w:val="single" w:color="auto"/>
          <w:color w:val="auto"/>
        </w:rPr>
        <w:t>Disability</w:t>
      </w:r>
      <w:r>
        <w:rPr>
          <w:rFonts w:ascii="Arial" w:cs="Arial" w:eastAsia="Arial" w:hAnsi="Arial"/>
          <w:sz w:val="17"/>
          <w:szCs w:val="17"/>
          <w:color w:val="auto"/>
        </w:rPr>
        <w:t>" shall mean a physical or mental disability that prevents the performance by the Executive, with or without reasonable accommodation, of his essential duties and responsibilities hereunder for a period of not less than an aggregate of three months during any twelve consecutive months.</w:t>
      </w:r>
    </w:p>
    <w:p>
      <w:pPr>
        <w:spacing w:after="0" w:line="178" w:lineRule="exact"/>
        <w:rPr>
          <w:rFonts w:ascii="Arial" w:cs="Arial" w:eastAsia="Arial" w:hAnsi="Arial"/>
          <w:sz w:val="17"/>
          <w:szCs w:val="17"/>
          <w:color w:val="auto"/>
        </w:rPr>
      </w:pPr>
    </w:p>
    <w:p>
      <w:pPr>
        <w:ind w:left="444" w:hanging="444"/>
        <w:spacing w:after="0"/>
        <w:tabs>
          <w:tab w:leader="none" w:pos="444" w:val="left"/>
        </w:tabs>
        <w:numPr>
          <w:ilvl w:val="0"/>
          <w:numId w:val="51"/>
        </w:numPr>
        <w:rPr>
          <w:rFonts w:ascii="Arial" w:cs="Arial" w:eastAsia="Arial" w:hAnsi="Arial"/>
          <w:sz w:val="18"/>
          <w:szCs w:val="18"/>
          <w:color w:val="auto"/>
        </w:rPr>
      </w:pPr>
      <w:r>
        <w:rPr>
          <w:rFonts w:ascii="Arial" w:cs="Arial" w:eastAsia="Arial" w:hAnsi="Arial"/>
          <w:sz w:val="18"/>
          <w:szCs w:val="18"/>
          <w:u w:val="single" w:color="auto"/>
          <w:color w:val="auto"/>
        </w:rPr>
        <w:t>Cause</w:t>
      </w:r>
      <w:r>
        <w:rPr>
          <w:rFonts w:ascii="Arial" w:cs="Arial" w:eastAsia="Arial" w:hAnsi="Arial"/>
          <w:sz w:val="18"/>
          <w:szCs w:val="18"/>
          <w:color w:val="auto"/>
        </w:rPr>
        <w:t>.</w:t>
      </w:r>
    </w:p>
    <w:p>
      <w:pPr>
        <w:spacing w:after="0" w:line="225" w:lineRule="exact"/>
        <w:rPr>
          <w:sz w:val="20"/>
          <w:szCs w:val="20"/>
          <w:color w:val="auto"/>
        </w:rPr>
      </w:pPr>
    </w:p>
    <w:p>
      <w:pPr>
        <w:ind w:left="4" w:firstLine="645"/>
        <w:spacing w:after="0" w:line="308" w:lineRule="auto"/>
        <w:tabs>
          <w:tab w:leader="none" w:pos="1108" w:val="left"/>
        </w:tabs>
        <w:numPr>
          <w:ilvl w:val="0"/>
          <w:numId w:val="52"/>
        </w:numPr>
        <w:rPr>
          <w:rFonts w:ascii="Arial" w:cs="Arial" w:eastAsia="Arial" w:hAnsi="Arial"/>
          <w:sz w:val="17"/>
          <w:szCs w:val="17"/>
          <w:color w:val="auto"/>
        </w:rPr>
      </w:pPr>
      <w:r>
        <w:rPr>
          <w:rFonts w:ascii="Arial" w:cs="Arial" w:eastAsia="Arial" w:hAnsi="Arial"/>
          <w:sz w:val="17"/>
          <w:szCs w:val="17"/>
          <w:color w:val="auto"/>
        </w:rPr>
        <w:t>At any time during the Employment Period, the Company may terminate this Agreement and the Executive's employment hereunder for Cause. Such termination shall be effective immediately following the satisfaction of any notice provisions required in this Section.</w:t>
      </w:r>
    </w:p>
    <w:p>
      <w:pPr>
        <w:spacing w:after="0" w:line="147" w:lineRule="exact"/>
        <w:rPr>
          <w:sz w:val="20"/>
          <w:szCs w:val="20"/>
          <w:color w:val="auto"/>
        </w:rPr>
      </w:pPr>
    </w:p>
    <w:p>
      <w:pPr>
        <w:jc w:val="both"/>
        <w:ind w:left="4" w:firstLine="648"/>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Cause</w:t>
      </w:r>
      <w:r>
        <w:rPr>
          <w:rFonts w:ascii="Arial" w:cs="Arial" w:eastAsia="Arial" w:hAnsi="Arial"/>
          <w:sz w:val="16"/>
          <w:szCs w:val="16"/>
          <w:color w:val="auto"/>
        </w:rPr>
        <w:t xml:space="preserve">" as used in this Agreement shall mean: (a) the willful and continued failure of the Executive to perform substantially his duties and responsibilities for the Company (other than any such failure resulting from Executive's death or Disability) after a written demand by the Board for substantial performance is delivered to the Executive by the Company, which specifically identifies the manner in which the Board believes that the Executive has not substantially performed his duties and responsibilities, which willful and continued failure is not cured by the Executive within thirty (30) days of his receipt of such written demand; (b) the conviction of, or plea of guilty or nolo contendere to a felony, (c) intentional breach of </w:t>
      </w:r>
      <w:r>
        <w:rPr>
          <w:rFonts w:ascii="Arial" w:cs="Arial" w:eastAsia="Arial" w:hAnsi="Arial"/>
          <w:sz w:val="16"/>
          <w:szCs w:val="16"/>
          <w:u w:val="single" w:color="auto"/>
          <w:color w:val="auto"/>
        </w:rPr>
        <w:t>Sections 2</w:t>
      </w:r>
      <w:r>
        <w:rPr>
          <w:rFonts w:ascii="Arial" w:cs="Arial" w:eastAsia="Arial" w:hAnsi="Arial"/>
          <w:sz w:val="16"/>
          <w:szCs w:val="16"/>
          <w:color w:val="auto"/>
        </w:rPr>
        <w:t xml:space="preserve">, </w:t>
      </w:r>
      <w:r>
        <w:rPr>
          <w:rFonts w:ascii="Arial" w:cs="Arial" w:eastAsia="Arial" w:hAnsi="Arial"/>
          <w:sz w:val="16"/>
          <w:szCs w:val="16"/>
          <w:u w:val="single" w:color="auto"/>
          <w:color w:val="auto"/>
        </w:rPr>
        <w:t>10, 11</w:t>
      </w:r>
      <w:r>
        <w:rPr>
          <w:rFonts w:ascii="Arial" w:cs="Arial" w:eastAsia="Arial" w:hAnsi="Arial"/>
          <w:sz w:val="16"/>
          <w:szCs w:val="16"/>
          <w:color w:val="auto"/>
        </w:rPr>
        <w:t xml:space="preserve">, </w:t>
      </w:r>
      <w:r>
        <w:rPr>
          <w:rFonts w:ascii="Arial" w:cs="Arial" w:eastAsia="Arial" w:hAnsi="Arial"/>
          <w:sz w:val="16"/>
          <w:szCs w:val="16"/>
          <w:u w:val="single" w:color="auto"/>
          <w:color w:val="auto"/>
        </w:rPr>
        <w:t>12</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13</w:t>
      </w:r>
      <w:r>
        <w:rPr>
          <w:rFonts w:ascii="Arial" w:cs="Arial" w:eastAsia="Arial" w:hAnsi="Arial"/>
          <w:sz w:val="16"/>
          <w:szCs w:val="16"/>
          <w:color w:val="auto"/>
        </w:rPr>
        <w:t xml:space="preserve"> of this Agreement, or (d) conduct which results in direct material economic damage to the Company or any fraud, dishonesty or gross misconduct. Termination under clauses (b), (c) or (d) of this </w:t>
      </w:r>
      <w:r>
        <w:rPr>
          <w:rFonts w:ascii="Arial" w:cs="Arial" w:eastAsia="Arial" w:hAnsi="Arial"/>
          <w:sz w:val="16"/>
          <w:szCs w:val="16"/>
          <w:u w:val="single" w:color="auto"/>
          <w:color w:val="auto"/>
        </w:rPr>
        <w:t>Section 9(d)(1)</w:t>
      </w:r>
      <w:r>
        <w:rPr>
          <w:rFonts w:ascii="Arial" w:cs="Arial" w:eastAsia="Arial" w:hAnsi="Arial"/>
          <w:sz w:val="16"/>
          <w:szCs w:val="16"/>
          <w:color w:val="auto"/>
        </w:rPr>
        <w:t xml:space="preserve"> shall not be subject to cure.</w:t>
      </w:r>
    </w:p>
    <w:p>
      <w:pPr>
        <w:spacing w:after="0" w:line="167" w:lineRule="exact"/>
        <w:rPr>
          <w:sz w:val="20"/>
          <w:szCs w:val="20"/>
          <w:color w:val="auto"/>
        </w:rPr>
      </w:pPr>
    </w:p>
    <w:p>
      <w:pPr>
        <w:jc w:val="both"/>
        <w:ind w:left="4" w:firstLine="645"/>
        <w:spacing w:after="0" w:line="259" w:lineRule="auto"/>
        <w:tabs>
          <w:tab w:leader="none" w:pos="1171" w:val="left"/>
        </w:tabs>
        <w:numPr>
          <w:ilvl w:val="0"/>
          <w:numId w:val="53"/>
        </w:numPr>
        <w:rPr>
          <w:rFonts w:ascii="Arial" w:cs="Arial" w:eastAsia="Arial" w:hAnsi="Arial"/>
          <w:sz w:val="18"/>
          <w:szCs w:val="18"/>
          <w:color w:val="auto"/>
        </w:rPr>
      </w:pPr>
      <w:r>
        <w:rPr>
          <w:rFonts w:ascii="Arial" w:cs="Arial" w:eastAsia="Arial" w:hAnsi="Arial"/>
          <w:sz w:val="18"/>
          <w:szCs w:val="18"/>
          <w:color w:val="auto"/>
        </w:rPr>
        <w:t>Upon termination of this Agreement for Cause, the Company shall have no further obligations or liability to the Executive or his heirs, administrators or executors with respect to compensation and benefits thereafter, except for the obligation to pay the Executive the Accrued Obligations. The Company shall deduct, from all payments made hereunder, all applicable taxes, including income tax, FICA and FUTA, and other appropriate deductions.</w:t>
      </w:r>
    </w:p>
    <w:p>
      <w:pPr>
        <w:spacing w:after="0" w:line="186" w:lineRule="exact"/>
        <w:rPr>
          <w:rFonts w:ascii="Arial" w:cs="Arial" w:eastAsia="Arial" w:hAnsi="Arial"/>
          <w:sz w:val="18"/>
          <w:szCs w:val="18"/>
          <w:color w:val="auto"/>
        </w:rPr>
      </w:pPr>
    </w:p>
    <w:p>
      <w:pPr>
        <w:ind w:left="4" w:firstLine="645"/>
        <w:spacing w:after="0" w:line="342" w:lineRule="auto"/>
        <w:tabs>
          <w:tab w:leader="none" w:pos="1091" w:val="left"/>
        </w:tabs>
        <w:numPr>
          <w:ilvl w:val="0"/>
          <w:numId w:val="53"/>
        </w:numPr>
        <w:rPr>
          <w:rFonts w:ascii="Arial" w:cs="Arial" w:eastAsia="Arial" w:hAnsi="Arial"/>
          <w:sz w:val="16"/>
          <w:szCs w:val="16"/>
          <w:color w:val="auto"/>
        </w:rPr>
      </w:pPr>
      <w:r>
        <w:rPr>
          <w:rFonts w:ascii="Arial" w:cs="Arial" w:eastAsia="Arial" w:hAnsi="Arial"/>
          <w:sz w:val="16"/>
          <w:szCs w:val="16"/>
          <w:color w:val="auto"/>
        </w:rPr>
        <w:t>It is expressly acknowledged and agreed that the decision as to whether "Cause" exists for termination of the employment relationship by the Company and whether and as of what date Executive has become permanently disabled is delegated to the Board for determination.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361950</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4"/>
          </w:cols>
          <w:pgMar w:left="896" w:top="908" w:right="239" w:bottom="1440" w:gutter="0" w:footer="0" w:header="0"/>
        </w:sectPr>
      </w:pPr>
    </w:p>
    <w:bookmarkStart w:id="29" w:name="page30"/>
    <w:bookmarkEnd w:id="29"/>
    <w:p>
      <w:pPr>
        <w:jc w:val="both"/>
        <w:ind w:left="-623" w:firstLine="623"/>
        <w:spacing w:after="0" w:line="270" w:lineRule="auto"/>
        <w:tabs>
          <w:tab w:leader="none" w:pos="465" w:val="left"/>
        </w:tabs>
        <w:numPr>
          <w:ilvl w:val="0"/>
          <w:numId w:val="54"/>
        </w:numPr>
        <w:rPr>
          <w:rFonts w:ascii="Arial" w:cs="Arial" w:eastAsia="Arial" w:hAnsi="Arial"/>
          <w:sz w:val="17"/>
          <w:szCs w:val="17"/>
          <w:color w:val="auto"/>
        </w:rPr>
      </w:pPr>
      <w:r>
        <w:rPr>
          <w:rFonts w:ascii="Arial" w:cs="Arial" w:eastAsia="Arial" w:hAnsi="Arial"/>
          <w:sz w:val="17"/>
          <w:szCs w:val="17"/>
          <w:u w:val="single" w:color="auto"/>
          <w:color w:val="auto"/>
        </w:rPr>
        <w:t>Change of Control</w:t>
      </w:r>
      <w:r>
        <w:rPr>
          <w:rFonts w:ascii="Arial" w:cs="Arial" w:eastAsia="Arial" w:hAnsi="Arial"/>
          <w:sz w:val="17"/>
          <w:szCs w:val="17"/>
          <w:color w:val="auto"/>
        </w:rPr>
        <w:t>. For purposes of this Agreement, "</w:t>
      </w:r>
      <w:r>
        <w:rPr>
          <w:rFonts w:ascii="Arial" w:cs="Arial" w:eastAsia="Arial" w:hAnsi="Arial"/>
          <w:sz w:val="17"/>
          <w:szCs w:val="17"/>
          <w:u w:val="single" w:color="auto"/>
          <w:color w:val="auto"/>
        </w:rPr>
        <w:t>Change of Control</w:t>
      </w:r>
      <w:r>
        <w:rPr>
          <w:rFonts w:ascii="Arial" w:cs="Arial" w:eastAsia="Arial" w:hAnsi="Arial"/>
          <w:sz w:val="17"/>
          <w:szCs w:val="17"/>
          <w:color w:val="auto"/>
        </w:rPr>
        <w:t xml:space="preserve">" shall mean the occurrence of any one or more of the following: (i) the accumulation, whether directly, indirectly, beneficially or of record, by any individual, entity or group (within the meaning of </w:t>
      </w:r>
      <w:r>
        <w:rPr>
          <w:rFonts w:ascii="Arial" w:cs="Arial" w:eastAsia="Arial" w:hAnsi="Arial"/>
          <w:sz w:val="17"/>
          <w:szCs w:val="17"/>
          <w:u w:val="single" w:color="auto"/>
          <w:color w:val="auto"/>
        </w:rPr>
        <w:t>Section 13(d)(3)</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14(d)(2)</w:t>
      </w:r>
      <w:r>
        <w:rPr>
          <w:rFonts w:ascii="Arial" w:cs="Arial" w:eastAsia="Arial" w:hAnsi="Arial"/>
          <w:sz w:val="17"/>
          <w:szCs w:val="17"/>
          <w:color w:val="auto"/>
        </w:rPr>
        <w:t xml:space="preserve"> of the Securities Exchange Act of 1934, as amended) of 50% or more of the shares of the outstanding Common Stock of the Company, whether by merger, consolidation, sale or other transfer of shares of Common Stock (other than a merger or consolidation where the stockholders of the Company prior to the merger or consolidation are the holders of a majority of the voting securities of the entity that survives such merger or consolidation), or (ii) a sale of all or substantially all of the assets of the Company;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following acquisitions shall not constitute a Change of Control for the purposes of this Agreement: (A) any acquisitions of Common Stock or securities convertible into Common Stock directly from the Company, or any conversions of any securities convertible into Common Stock, or (B) any acquisition of Common Stock or securities convertible into Common Stock by any employee benefit plan (or related trust) sponsored by or maintained by the Company.</w:t>
      </w:r>
    </w:p>
    <w:p>
      <w:pPr>
        <w:spacing w:after="0" w:line="181" w:lineRule="exact"/>
        <w:rPr>
          <w:rFonts w:ascii="Arial" w:cs="Arial" w:eastAsia="Arial" w:hAnsi="Arial"/>
          <w:sz w:val="17"/>
          <w:szCs w:val="17"/>
          <w:color w:val="auto"/>
        </w:rPr>
      </w:pPr>
    </w:p>
    <w:p>
      <w:pPr>
        <w:ind w:left="417" w:hanging="404"/>
        <w:spacing w:after="0"/>
        <w:tabs>
          <w:tab w:leader="none" w:pos="417" w:val="left"/>
        </w:tabs>
        <w:numPr>
          <w:ilvl w:val="0"/>
          <w:numId w:val="54"/>
        </w:numPr>
        <w:rPr>
          <w:rFonts w:ascii="Arial" w:cs="Arial" w:eastAsia="Arial" w:hAnsi="Arial"/>
          <w:sz w:val="18"/>
          <w:szCs w:val="18"/>
          <w:color w:val="auto"/>
        </w:rPr>
      </w:pPr>
      <w:r>
        <w:rPr>
          <w:rFonts w:ascii="Arial" w:cs="Arial" w:eastAsia="Arial" w:hAnsi="Arial"/>
          <w:sz w:val="18"/>
          <w:szCs w:val="18"/>
          <w:u w:val="single" w:color="auto"/>
          <w:color w:val="auto"/>
        </w:rPr>
        <w:t>Good Reason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17" w:firstLine="645"/>
        <w:spacing w:after="0" w:line="270" w:lineRule="auto"/>
        <w:tabs>
          <w:tab w:leader="none" w:pos="1123" w:val="left"/>
        </w:tabs>
        <w:numPr>
          <w:ilvl w:val="1"/>
          <w:numId w:val="54"/>
        </w:numPr>
        <w:rPr>
          <w:rFonts w:ascii="Arial" w:cs="Arial" w:eastAsia="Arial" w:hAnsi="Arial"/>
          <w:sz w:val="17"/>
          <w:szCs w:val="17"/>
          <w:color w:val="auto"/>
        </w:rPr>
      </w:pPr>
      <w:r>
        <w:rPr>
          <w:rFonts w:ascii="Arial" w:cs="Arial" w:eastAsia="Arial" w:hAnsi="Arial"/>
          <w:sz w:val="17"/>
          <w:szCs w:val="17"/>
          <w:color w:val="auto"/>
        </w:rPr>
        <w:t xml:space="preserve">At any time during the Employment Period, subject to the conditions set forth in </w:t>
      </w:r>
      <w:r>
        <w:rPr>
          <w:rFonts w:ascii="Arial" w:cs="Arial" w:eastAsia="Arial" w:hAnsi="Arial"/>
          <w:sz w:val="17"/>
          <w:szCs w:val="17"/>
          <w:u w:val="single" w:color="auto"/>
          <w:color w:val="auto"/>
        </w:rPr>
        <w:t>Section 9(f)(2</w:t>
      </w:r>
      <w:r>
        <w:rPr>
          <w:rFonts w:ascii="Arial" w:cs="Arial" w:eastAsia="Arial" w:hAnsi="Arial"/>
          <w:sz w:val="17"/>
          <w:szCs w:val="17"/>
          <w:color w:val="auto"/>
        </w:rPr>
        <w:t>) below, the Executive may terminate this Agreement and the Executive's employment with the Company for Good Reason. "</w:t>
      </w:r>
      <w:r>
        <w:rPr>
          <w:rFonts w:ascii="Arial" w:cs="Arial" w:eastAsia="Arial" w:hAnsi="Arial"/>
          <w:sz w:val="17"/>
          <w:szCs w:val="17"/>
          <w:u w:val="single" w:color="auto"/>
          <w:color w:val="auto"/>
        </w:rPr>
        <w:t>Good Reason</w:t>
      </w:r>
      <w:r>
        <w:rPr>
          <w:rFonts w:ascii="Arial" w:cs="Arial" w:eastAsia="Arial" w:hAnsi="Arial"/>
          <w:sz w:val="17"/>
          <w:szCs w:val="17"/>
          <w:color w:val="auto"/>
        </w:rPr>
        <w:t>" as used in this Agreement shall mean the occurrence of any of the following events: (A) the assignment, without the Executive's consent, to the Executive of duties that are significantly different from, or that result in a substantial diminution of, the duties that he assumed on the Effective Date; provided, however, the failure of the Executive to be reappointed to the Board or to act as the Company's Chief Financial Officer and/or Treasurer shall not be deemed to be a diminution of duties; (B) the assignment, without the Executive's consent, to the Executive of a title that is different from and subordinate to the title Chief Operating Officer; (C) a reduction in Executive's Base Salary; (D) the Company's requirement that Executive regularly report to work in a location that is more than thirty miles from the Company's current New York office as of the date of this Agreement, without the Executive's consent; or (E) a material breach by the Company of this Agreement.</w:t>
      </w:r>
    </w:p>
    <w:p>
      <w:pPr>
        <w:spacing w:after="0" w:line="181" w:lineRule="exact"/>
        <w:rPr>
          <w:rFonts w:ascii="Arial" w:cs="Arial" w:eastAsia="Arial" w:hAnsi="Arial"/>
          <w:sz w:val="17"/>
          <w:szCs w:val="17"/>
          <w:color w:val="auto"/>
        </w:rPr>
      </w:pPr>
    </w:p>
    <w:p>
      <w:pPr>
        <w:jc w:val="both"/>
        <w:ind w:left="17" w:firstLine="645"/>
        <w:spacing w:after="0" w:line="302" w:lineRule="auto"/>
        <w:tabs>
          <w:tab w:leader="none" w:pos="1178" w:val="left"/>
        </w:tabs>
        <w:numPr>
          <w:ilvl w:val="1"/>
          <w:numId w:val="54"/>
        </w:numPr>
        <w:rPr>
          <w:rFonts w:ascii="Arial" w:cs="Arial" w:eastAsia="Arial" w:hAnsi="Arial"/>
          <w:sz w:val="16"/>
          <w:szCs w:val="16"/>
          <w:color w:val="auto"/>
        </w:rPr>
      </w:pPr>
      <w:r>
        <w:rPr>
          <w:rFonts w:ascii="Arial" w:cs="Arial" w:eastAsia="Arial" w:hAnsi="Arial"/>
          <w:sz w:val="16"/>
          <w:szCs w:val="16"/>
          <w:color w:val="auto"/>
        </w:rPr>
        <w:t>The Executive shall not be entitled to terminate this Agreement for Good Reason unless and until he shall have delivered written notice to the Company of his intention to terminate this Agreement and his employment with the Company for Good Reason, which notice specifies in reasonable detail the circumstances claimed to provide the basis for such termination for Good Reason, and the Company shall not have eliminated the circumstances constituting Good Reason within thirty (30) days of its receipt from the Executive of such written notice.</w:t>
      </w:r>
    </w:p>
    <w:p>
      <w:pPr>
        <w:spacing w:after="0" w:line="154" w:lineRule="exact"/>
        <w:rPr>
          <w:rFonts w:ascii="Arial" w:cs="Arial" w:eastAsia="Arial" w:hAnsi="Arial"/>
          <w:sz w:val="16"/>
          <w:szCs w:val="16"/>
          <w:color w:val="auto"/>
        </w:rPr>
      </w:pPr>
    </w:p>
    <w:p>
      <w:pPr>
        <w:ind w:left="17" w:firstLine="645"/>
        <w:spacing w:after="0" w:line="277" w:lineRule="auto"/>
        <w:tabs>
          <w:tab w:leader="none" w:pos="1168" w:val="left"/>
        </w:tabs>
        <w:numPr>
          <w:ilvl w:val="1"/>
          <w:numId w:val="54"/>
        </w:numPr>
        <w:rPr>
          <w:rFonts w:ascii="Arial" w:cs="Arial" w:eastAsia="Arial" w:hAnsi="Arial"/>
          <w:sz w:val="18"/>
          <w:szCs w:val="18"/>
          <w:color w:val="auto"/>
        </w:rPr>
      </w:pPr>
      <w:r>
        <w:rPr>
          <w:rFonts w:ascii="Arial" w:cs="Arial" w:eastAsia="Arial" w:hAnsi="Arial"/>
          <w:sz w:val="18"/>
          <w:szCs w:val="18"/>
          <w:color w:val="auto"/>
        </w:rPr>
        <w:t>In the event that the Executive terminates this Agreement and his employment with the Company for Good Reason, the Company shall pay or provide to the Executive (or, following his death, to the Executive's heirs, administrators or executors):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-402590</wp:posOffset>
            </wp:positionH>
            <wp:positionV relativeFrom="paragraph">
              <wp:posOffset>391795</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77"/>
          </w:cols>
          <w:pgMar w:left="883" w:top="908" w:right="239" w:bottom="1440" w:gutter="0" w:footer="0" w:header="0"/>
        </w:sectPr>
      </w:pPr>
    </w:p>
    <w:bookmarkStart w:id="30" w:name="page31"/>
    <w:bookmarkEnd w:id="30"/>
    <w:p>
      <w:pPr>
        <w:ind w:left="1124" w:hanging="475"/>
        <w:spacing w:after="0"/>
        <w:tabs>
          <w:tab w:leader="none" w:pos="1124"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Accrued Obligations;</w:t>
      </w:r>
    </w:p>
    <w:p>
      <w:pPr>
        <w:spacing w:after="0" w:line="225" w:lineRule="exact"/>
        <w:rPr>
          <w:rFonts w:ascii="Arial" w:cs="Arial" w:eastAsia="Arial" w:hAnsi="Arial"/>
          <w:sz w:val="18"/>
          <w:szCs w:val="18"/>
          <w:color w:val="auto"/>
        </w:rPr>
      </w:pPr>
    </w:p>
    <w:p>
      <w:pPr>
        <w:jc w:val="both"/>
        <w:ind w:left="4" w:firstLine="645"/>
        <w:spacing w:after="0" w:line="255" w:lineRule="auto"/>
        <w:tabs>
          <w:tab w:leader="none" w:pos="1217" w:val="left"/>
        </w:tabs>
        <w:numPr>
          <w:ilvl w:val="0"/>
          <w:numId w:val="55"/>
        </w:numPr>
        <w:rPr>
          <w:rFonts w:ascii="Arial" w:cs="Arial" w:eastAsia="Arial" w:hAnsi="Arial"/>
          <w:sz w:val="18"/>
          <w:szCs w:val="18"/>
          <w:color w:val="auto"/>
        </w:rPr>
      </w:pPr>
      <w:r>
        <w:rPr>
          <w:rFonts w:ascii="Arial" w:cs="Arial" w:eastAsia="Arial" w:hAnsi="Arial"/>
          <w:sz w:val="18"/>
          <w:szCs w:val="18"/>
          <w:color w:val="auto"/>
        </w:rPr>
        <w:t>continued coverage, at the Company's expense, under all benefit plans provided by the Company ("</w:t>
      </w:r>
      <w:r>
        <w:rPr>
          <w:rFonts w:ascii="Arial" w:cs="Arial" w:eastAsia="Arial" w:hAnsi="Arial"/>
          <w:sz w:val="18"/>
          <w:szCs w:val="18"/>
          <w:u w:val="single" w:color="auto"/>
          <w:color w:val="auto"/>
        </w:rPr>
        <w:t>Benefit Plans</w:t>
      </w:r>
      <w:r>
        <w:rPr>
          <w:rFonts w:ascii="Arial" w:cs="Arial" w:eastAsia="Arial" w:hAnsi="Arial"/>
          <w:sz w:val="18"/>
          <w:szCs w:val="18"/>
          <w:color w:val="auto"/>
        </w:rPr>
        <w:t>") in which the Executive was a participant immediately prior to his last date of employment with the Company, or, in the event that any such Benefit Plans do not permit coverage of the Executive following his last date of employment with the Company, under benefit plans that provide no less coverage than such Benefit Plans, for a period following the termination of employment equal to the number of days the Executive was employed by the Company hereunder; provided, however, that the period for which the Company shall be obligated under this Section 9(f)(3)(B) shall not exceed one (1) year from the last date of employment;</w:t>
      </w:r>
    </w:p>
    <w:p>
      <w:pPr>
        <w:spacing w:after="0" w:line="193" w:lineRule="exact"/>
        <w:rPr>
          <w:rFonts w:ascii="Arial" w:cs="Arial" w:eastAsia="Arial" w:hAnsi="Arial"/>
          <w:sz w:val="18"/>
          <w:szCs w:val="18"/>
          <w:color w:val="auto"/>
        </w:rPr>
      </w:pPr>
    </w:p>
    <w:p>
      <w:pPr>
        <w:jc w:val="both"/>
        <w:ind w:left="4" w:firstLine="645"/>
        <w:spacing w:after="0" w:line="259" w:lineRule="auto"/>
        <w:tabs>
          <w:tab w:leader="none" w:pos="11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an amount of Base Salary (at the rate of Base Salary in effect immediately prior to the Executive's termination hereunder) equal to the Base Salary payable for the number of days the Executive was employed by the Company hereunder, provided, however, that the amount due to Executive pursuant to this Section 9(f)(3)(C) shall not exceed an amount equal to the Executive's Base Salary for a one (1) year period, regardless of the Executive's actual period of the Executive's employment with the Company; and</w:t>
      </w:r>
    </w:p>
    <w:p>
      <w:pPr>
        <w:spacing w:after="0" w:line="186" w:lineRule="exact"/>
        <w:rPr>
          <w:rFonts w:ascii="Arial" w:cs="Arial" w:eastAsia="Arial" w:hAnsi="Arial"/>
          <w:sz w:val="18"/>
          <w:szCs w:val="18"/>
          <w:color w:val="auto"/>
        </w:rPr>
      </w:pPr>
    </w:p>
    <w:p>
      <w:pPr>
        <w:jc w:val="both"/>
        <w:ind w:left="4" w:firstLine="645"/>
        <w:spacing w:after="0" w:line="257" w:lineRule="auto"/>
        <w:tabs>
          <w:tab w:leader="none" w:pos="1177" w:val="left"/>
        </w:tabs>
        <w:numPr>
          <w:ilvl w:val="0"/>
          <w:numId w:val="55"/>
        </w:numPr>
        <w:rPr>
          <w:rFonts w:ascii="Arial" w:cs="Arial" w:eastAsia="Arial" w:hAnsi="Arial"/>
          <w:sz w:val="18"/>
          <w:szCs w:val="18"/>
          <w:color w:val="auto"/>
        </w:rPr>
      </w:pPr>
      <w:r>
        <w:rPr>
          <w:rFonts w:ascii="Arial" w:cs="Arial" w:eastAsia="Arial" w:hAnsi="Arial"/>
          <w:sz w:val="18"/>
          <w:szCs w:val="18"/>
          <w:color w:val="auto"/>
        </w:rPr>
        <w:t>a pro rata Bonus payment, payable in a lump sum, for the year in which Executive's employment is terminated, which shall be pro rated based upon the number of full weeks worked by Executive in such year and calculated as the greater of (i) the Bonus paid to Executive in the calendar year immediately prior to the year in which his employment is terminated and (ii) the Bonus payable to Executive in the year in which his employment is terminated based upon the achievement of Company and/or individual objectives established for the achievement of a Bonus in such year.</w:t>
      </w:r>
    </w:p>
    <w:p>
      <w:pPr>
        <w:spacing w:after="0" w:line="188" w:lineRule="exact"/>
        <w:rPr>
          <w:sz w:val="20"/>
          <w:szCs w:val="20"/>
          <w:color w:val="auto"/>
        </w:rPr>
      </w:pPr>
    </w:p>
    <w:p>
      <w:pPr>
        <w:ind w:left="4" w:firstLine="648"/>
        <w:spacing w:after="0" w:line="308" w:lineRule="auto"/>
        <w:rPr>
          <w:sz w:val="20"/>
          <w:szCs w:val="20"/>
          <w:color w:val="auto"/>
        </w:rPr>
      </w:pPr>
      <w:r>
        <w:rPr>
          <w:rFonts w:ascii="Arial" w:cs="Arial" w:eastAsia="Arial" w:hAnsi="Arial"/>
          <w:sz w:val="17"/>
          <w:szCs w:val="17"/>
          <w:color w:val="auto"/>
        </w:rPr>
        <w:t>All payments due hereunder shall be payable according to the Company's standard payroll procedures. The Company shall deduct, from all payments made hereunder, all applicable taxes, including income tax, FICA and FUTA, and other appropriate deductions.</w:t>
      </w:r>
    </w:p>
    <w:p>
      <w:pPr>
        <w:spacing w:after="0" w:line="147" w:lineRule="exact"/>
        <w:rPr>
          <w:sz w:val="20"/>
          <w:szCs w:val="20"/>
          <w:color w:val="auto"/>
        </w:rPr>
      </w:pPr>
    </w:p>
    <w:p>
      <w:pPr>
        <w:ind w:left="444" w:hanging="444"/>
        <w:spacing w:after="0"/>
        <w:tabs>
          <w:tab w:leader="none" w:pos="444" w:val="left"/>
        </w:tabs>
        <w:numPr>
          <w:ilvl w:val="0"/>
          <w:numId w:val="56"/>
        </w:numPr>
        <w:rPr>
          <w:rFonts w:ascii="Arial" w:cs="Arial" w:eastAsia="Arial" w:hAnsi="Arial"/>
          <w:sz w:val="18"/>
          <w:szCs w:val="18"/>
          <w:color w:val="auto"/>
        </w:rPr>
      </w:pPr>
      <w:r>
        <w:rPr>
          <w:rFonts w:ascii="Arial" w:cs="Arial" w:eastAsia="Arial" w:hAnsi="Arial"/>
          <w:sz w:val="18"/>
          <w:szCs w:val="18"/>
          <w:u w:val="single" w:color="auto"/>
          <w:color w:val="auto"/>
        </w:rPr>
        <w:t>Without "Good Reason" by Executive or Without "Cause" by the Company and Upon Election Not to Renew</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4" w:firstLine="645"/>
        <w:spacing w:after="0" w:line="273" w:lineRule="auto"/>
        <w:tabs>
          <w:tab w:leader="none" w:pos="1114" w:val="left"/>
        </w:tabs>
        <w:numPr>
          <w:ilvl w:val="1"/>
          <w:numId w:val="56"/>
        </w:numPr>
        <w:rPr>
          <w:rFonts w:ascii="Arial" w:cs="Arial" w:eastAsia="Arial" w:hAnsi="Arial"/>
          <w:sz w:val="17"/>
          <w:szCs w:val="17"/>
          <w:color w:val="auto"/>
        </w:rPr>
      </w:pPr>
      <w:r>
        <w:rPr>
          <w:rFonts w:ascii="Arial" w:cs="Arial" w:eastAsia="Arial" w:hAnsi="Arial"/>
          <w:sz w:val="17"/>
          <w:szCs w:val="17"/>
          <w:u w:val="single" w:color="auto"/>
          <w:color w:val="auto"/>
        </w:rPr>
        <w:t>By the Executive</w:t>
      </w:r>
      <w:r>
        <w:rPr>
          <w:rFonts w:ascii="Arial" w:cs="Arial" w:eastAsia="Arial" w:hAnsi="Arial"/>
          <w:sz w:val="17"/>
          <w:szCs w:val="17"/>
          <w:color w:val="auto"/>
        </w:rPr>
        <w:t>. At any time during the Employment Period, the Executive shall be entitled to terminate this Agreement and the Executive's employment with the Company without Good Reason by providing prior written notice of at least thirty (30) calendar days to the Company. Upon termination by the Executive of this Agreement and the Executive's employment with the Company without Good Reason, the Company shall have no further obligations or liability to the Executive or his heirs, administrators or executors with respect to compensation and benefits thereafter, except for the obligation to pay the Executive the Accrued Obligations. The Company shall deduct, from all payments made hereunder, all applicable taxes, including income tax, FICA and FUTA, and other appropriate deductions.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396875</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4"/>
          </w:cols>
          <w:pgMar w:left="896" w:top="908" w:right="239" w:bottom="1440" w:gutter="0" w:footer="0" w:header="0"/>
        </w:sectPr>
      </w:pPr>
    </w:p>
    <w:bookmarkStart w:id="31" w:name="page32"/>
    <w:bookmarkEnd w:id="31"/>
    <w:p>
      <w:pPr>
        <w:jc w:val="both"/>
        <w:ind w:left="17" w:firstLine="645"/>
        <w:spacing w:after="0" w:line="255" w:lineRule="auto"/>
        <w:tabs>
          <w:tab w:leader="none" w:pos="1178" w:val="left"/>
        </w:tabs>
        <w:numPr>
          <w:ilvl w:val="1"/>
          <w:numId w:val="57"/>
        </w:numPr>
        <w:rPr>
          <w:rFonts w:ascii="Arial" w:cs="Arial" w:eastAsia="Arial" w:hAnsi="Arial"/>
          <w:sz w:val="18"/>
          <w:szCs w:val="18"/>
          <w:color w:val="auto"/>
        </w:rPr>
      </w:pPr>
      <w:r>
        <w:rPr>
          <w:rFonts w:ascii="Arial" w:cs="Arial" w:eastAsia="Arial" w:hAnsi="Arial"/>
          <w:sz w:val="18"/>
          <w:szCs w:val="18"/>
          <w:u w:val="single" w:color="auto"/>
          <w:color w:val="auto"/>
        </w:rPr>
        <w:t>By the Company</w:t>
      </w:r>
      <w:r>
        <w:rPr>
          <w:rFonts w:ascii="Arial" w:cs="Arial" w:eastAsia="Arial" w:hAnsi="Arial"/>
          <w:sz w:val="18"/>
          <w:szCs w:val="18"/>
          <w:color w:val="auto"/>
        </w:rPr>
        <w:t>. At any time during the Employment Period, the Company shall be entitled to terminate this Agreement and the Executive's employment with the Company without Cause by providing prior written notice of at least thirty (30) calendar days to the Executive. Upon termination by the Company of this Agreement and the Executive's employment with the Company without Cause, the Company shall pay or provide to the Executive (or, following his death, to the Executive's heirs, administrators or executors) the amounts and benefits due upon a resignation for Good Reason, as further described in Section 9(f)(3). The Company shall deduct, from all payments made hereunder, all applicable taxes, including income tax, FICA and FUTA, and other appropriate deductions.</w:t>
      </w:r>
    </w:p>
    <w:p>
      <w:pPr>
        <w:spacing w:after="0" w:line="193" w:lineRule="exact"/>
        <w:rPr>
          <w:rFonts w:ascii="Arial" w:cs="Arial" w:eastAsia="Arial" w:hAnsi="Arial"/>
          <w:sz w:val="18"/>
          <w:szCs w:val="18"/>
          <w:color w:val="auto"/>
        </w:rPr>
      </w:pPr>
    </w:p>
    <w:p>
      <w:pPr>
        <w:jc w:val="both"/>
        <w:ind w:left="17" w:firstLine="645"/>
        <w:spacing w:after="0" w:line="259" w:lineRule="auto"/>
        <w:tabs>
          <w:tab w:leader="none" w:pos="1215" w:val="left"/>
        </w:tabs>
        <w:numPr>
          <w:ilvl w:val="1"/>
          <w:numId w:val="57"/>
        </w:numPr>
        <w:rPr>
          <w:rFonts w:ascii="Arial" w:cs="Arial" w:eastAsia="Arial" w:hAnsi="Arial"/>
          <w:sz w:val="18"/>
          <w:szCs w:val="18"/>
          <w:color w:val="auto"/>
        </w:rPr>
      </w:pPr>
      <w:r>
        <w:rPr>
          <w:rFonts w:ascii="Arial" w:cs="Arial" w:eastAsia="Arial" w:hAnsi="Arial"/>
          <w:sz w:val="18"/>
          <w:szCs w:val="18"/>
          <w:u w:val="single" w:color="auto"/>
          <w:color w:val="auto"/>
        </w:rPr>
        <w:t>Upon Election Not to Renew</w:t>
      </w:r>
      <w:r>
        <w:rPr>
          <w:rFonts w:ascii="Arial" w:cs="Arial" w:eastAsia="Arial" w:hAnsi="Arial"/>
          <w:sz w:val="18"/>
          <w:szCs w:val="18"/>
          <w:color w:val="auto"/>
        </w:rPr>
        <w:t>. If either party provides the other with notice of an election not to renew the Employment Period in accordance with, and subject to the prior notice provision contained in, Section 2 hereof, the Company shall have no further obligations or liability to the Executive or his heirs, administrators or executors with respect to compensation and benefits thereafter, except for the obligation to pay the Executive the Accrued Obligations.</w:t>
      </w:r>
    </w:p>
    <w:p>
      <w:pPr>
        <w:spacing w:after="0" w:line="186" w:lineRule="exact"/>
        <w:rPr>
          <w:rFonts w:ascii="Arial" w:cs="Arial" w:eastAsia="Arial" w:hAnsi="Arial"/>
          <w:sz w:val="18"/>
          <w:szCs w:val="18"/>
          <w:color w:val="auto"/>
        </w:rPr>
      </w:pPr>
    </w:p>
    <w:p>
      <w:pPr>
        <w:jc w:val="both"/>
        <w:ind w:left="-623" w:firstLine="623"/>
        <w:spacing w:after="0" w:line="264" w:lineRule="auto"/>
        <w:tabs>
          <w:tab w:leader="none" w:pos="448" w:val="left"/>
        </w:tabs>
        <w:numPr>
          <w:ilvl w:val="0"/>
          <w:numId w:val="58"/>
        </w:numPr>
        <w:rPr>
          <w:rFonts w:ascii="Arial" w:cs="Arial" w:eastAsia="Arial" w:hAnsi="Arial"/>
          <w:sz w:val="18"/>
          <w:szCs w:val="18"/>
          <w:color w:val="auto"/>
        </w:rPr>
      </w:pPr>
      <w:r>
        <w:rPr>
          <w:rFonts w:ascii="Arial" w:cs="Arial" w:eastAsia="Arial" w:hAnsi="Arial"/>
          <w:sz w:val="18"/>
          <w:szCs w:val="18"/>
          <w:u w:val="single" w:color="auto"/>
          <w:color w:val="auto"/>
        </w:rPr>
        <w:t>Release of Claims</w:t>
      </w:r>
      <w:r>
        <w:rPr>
          <w:rFonts w:ascii="Arial" w:cs="Arial" w:eastAsia="Arial" w:hAnsi="Arial"/>
          <w:sz w:val="18"/>
          <w:szCs w:val="18"/>
          <w:color w:val="auto"/>
        </w:rPr>
        <w:t>. It is agreed that a condition to the payment by the Company of any severance amount or post-termination benefit called for under this Agreement or otherwise shall be subject to the Company's concurrent receipt of a general release of all claims against the Company and its affiliates by Executive in the form reasonably acceptable to the Company and Executive.</w:t>
      </w:r>
    </w:p>
    <w:p>
      <w:pPr>
        <w:spacing w:after="0" w:line="181" w:lineRule="exact"/>
        <w:rPr>
          <w:rFonts w:ascii="Arial" w:cs="Arial" w:eastAsia="Arial" w:hAnsi="Arial"/>
          <w:sz w:val="18"/>
          <w:szCs w:val="18"/>
          <w:color w:val="auto"/>
        </w:rPr>
      </w:pPr>
    </w:p>
    <w:p>
      <w:pPr>
        <w:ind w:left="397" w:hanging="397"/>
        <w:spacing w:after="0"/>
        <w:tabs>
          <w:tab w:leader="none" w:pos="397" w:val="left"/>
        </w:tabs>
        <w:numPr>
          <w:ilvl w:val="0"/>
          <w:numId w:val="58"/>
        </w:numPr>
        <w:rPr>
          <w:rFonts w:ascii="Arial" w:cs="Arial" w:eastAsia="Arial" w:hAnsi="Arial"/>
          <w:sz w:val="18"/>
          <w:szCs w:val="18"/>
          <w:color w:val="auto"/>
        </w:rPr>
      </w:pPr>
      <w:r>
        <w:rPr>
          <w:rFonts w:ascii="Arial" w:cs="Arial" w:eastAsia="Arial" w:hAnsi="Arial"/>
          <w:sz w:val="18"/>
          <w:szCs w:val="18"/>
          <w:u w:val="single" w:color="auto"/>
          <w:color w:val="auto"/>
        </w:rPr>
        <w:t>Additional Section 409A Provisions</w:t>
      </w:r>
      <w:r>
        <w:rPr>
          <w:rFonts w:ascii="Arial" w:cs="Arial" w:eastAsia="Arial" w:hAnsi="Arial"/>
          <w:sz w:val="18"/>
          <w:szCs w:val="18"/>
          <w:color w:val="auto"/>
        </w:rPr>
        <w:t>.</w:t>
      </w:r>
    </w:p>
    <w:p>
      <w:pPr>
        <w:spacing w:after="0" w:line="225" w:lineRule="exact"/>
        <w:rPr>
          <w:sz w:val="20"/>
          <w:szCs w:val="20"/>
          <w:color w:val="auto"/>
        </w:rPr>
      </w:pPr>
    </w:p>
    <w:p>
      <w:pPr>
        <w:ind w:left="17"/>
        <w:spacing w:after="0"/>
        <w:rPr>
          <w:sz w:val="20"/>
          <w:szCs w:val="20"/>
          <w:color w:val="auto"/>
        </w:rPr>
      </w:pPr>
      <w:r>
        <w:rPr>
          <w:rFonts w:ascii="Arial" w:cs="Arial" w:eastAsia="Arial" w:hAnsi="Arial"/>
          <w:sz w:val="18"/>
          <w:szCs w:val="18"/>
          <w:color w:val="auto"/>
        </w:rPr>
        <w:t>Notwithstanding any provision in this Agreement to the contrary:</w:t>
      </w:r>
    </w:p>
    <w:p>
      <w:pPr>
        <w:spacing w:after="0" w:line="225" w:lineRule="exact"/>
        <w:rPr>
          <w:sz w:val="20"/>
          <w:szCs w:val="20"/>
          <w:color w:val="auto"/>
        </w:rPr>
      </w:pPr>
    </w:p>
    <w:p>
      <w:pPr>
        <w:jc w:val="both"/>
        <w:ind w:left="17" w:firstLine="645"/>
        <w:spacing w:after="0" w:line="257" w:lineRule="auto"/>
        <w:tabs>
          <w:tab w:leader="none" w:pos="1215" w:val="left"/>
        </w:tabs>
        <w:numPr>
          <w:ilvl w:val="0"/>
          <w:numId w:val="59"/>
        </w:numPr>
        <w:rPr>
          <w:rFonts w:ascii="Arial" w:cs="Arial" w:eastAsia="Arial" w:hAnsi="Arial"/>
          <w:sz w:val="18"/>
          <w:szCs w:val="18"/>
          <w:color w:val="auto"/>
        </w:rPr>
      </w:pPr>
      <w:r>
        <w:rPr>
          <w:rFonts w:ascii="Arial" w:cs="Arial" w:eastAsia="Arial" w:hAnsi="Arial"/>
          <w:sz w:val="18"/>
          <w:szCs w:val="18"/>
          <w:color w:val="auto"/>
        </w:rPr>
        <w:t>Any payment otherwise required to be made hereunder to Executive at any date as a result of the termination of Executive's employment shall be delayed for such period of time as may be necessary to meet the requirements of Section 409A(a)(2)(B)(i) of the Code (the "</w:t>
      </w:r>
      <w:r>
        <w:rPr>
          <w:rFonts w:ascii="Arial" w:cs="Arial" w:eastAsia="Arial" w:hAnsi="Arial"/>
          <w:sz w:val="18"/>
          <w:szCs w:val="18"/>
          <w:u w:val="single" w:color="auto"/>
          <w:color w:val="auto"/>
        </w:rPr>
        <w:t>Delay Period</w:t>
      </w:r>
      <w:r>
        <w:rPr>
          <w:rFonts w:ascii="Arial" w:cs="Arial" w:eastAsia="Arial" w:hAnsi="Arial"/>
          <w:sz w:val="18"/>
          <w:szCs w:val="18"/>
          <w:color w:val="auto"/>
        </w:rPr>
        <w:t>"). On the first business day following the expiration of the Delay Period, Executive shall be paid, in a single cash lump sum, an amount equal to the aggregate amount of all payments delayed pursuant to the preceding sentence, and any remaining payments not so delayed shall continue to be paid pursuant to the payment schedule set forth herein.</w:t>
      </w:r>
    </w:p>
    <w:p>
      <w:pPr>
        <w:spacing w:after="0" w:line="188" w:lineRule="exact"/>
        <w:rPr>
          <w:rFonts w:ascii="Arial" w:cs="Arial" w:eastAsia="Arial" w:hAnsi="Arial"/>
          <w:sz w:val="18"/>
          <w:szCs w:val="18"/>
          <w:color w:val="auto"/>
        </w:rPr>
      </w:pPr>
    </w:p>
    <w:p>
      <w:pPr>
        <w:ind w:left="1097" w:hanging="436"/>
        <w:spacing w:after="0"/>
        <w:tabs>
          <w:tab w:leader="none" w:pos="1097" w:val="left"/>
        </w:tabs>
        <w:numPr>
          <w:ilvl w:val="0"/>
          <w:numId w:val="59"/>
        </w:numPr>
        <w:rPr>
          <w:rFonts w:ascii="Arial" w:cs="Arial" w:eastAsia="Arial" w:hAnsi="Arial"/>
          <w:sz w:val="16"/>
          <w:szCs w:val="16"/>
          <w:color w:val="auto"/>
        </w:rPr>
      </w:pPr>
      <w:r>
        <w:rPr>
          <w:rFonts w:ascii="Arial" w:cs="Arial" w:eastAsia="Arial" w:hAnsi="Arial"/>
          <w:sz w:val="16"/>
          <w:szCs w:val="16"/>
          <w:color w:val="auto"/>
        </w:rPr>
        <w:t>Each payment in a series of payments hereunder shall be deemed to be a separate payment for purposes of Section 409A of the Code.</w:t>
      </w:r>
    </w:p>
    <w:p>
      <w:pPr>
        <w:spacing w:after="0" w:line="248" w:lineRule="exact"/>
        <w:rPr>
          <w:rFonts w:ascii="Arial" w:cs="Arial" w:eastAsia="Arial" w:hAnsi="Arial"/>
          <w:sz w:val="16"/>
          <w:szCs w:val="16"/>
          <w:color w:val="auto"/>
        </w:rPr>
      </w:pPr>
    </w:p>
    <w:p>
      <w:pPr>
        <w:jc w:val="both"/>
        <w:ind w:left="97" w:firstLine="564"/>
        <w:spacing w:after="0" w:line="254" w:lineRule="auto"/>
        <w:tabs>
          <w:tab w:leader="none" w:pos="1284" w:val="left"/>
        </w:tabs>
        <w:numPr>
          <w:ilvl w:val="0"/>
          <w:numId w:val="59"/>
        </w:numPr>
        <w:rPr>
          <w:rFonts w:ascii="Arial" w:cs="Arial" w:eastAsia="Arial" w:hAnsi="Arial"/>
          <w:sz w:val="18"/>
          <w:szCs w:val="18"/>
          <w:color w:val="auto"/>
        </w:rPr>
      </w:pPr>
      <w:r>
        <w:rPr>
          <w:rFonts w:ascii="Arial" w:cs="Arial" w:eastAsia="Arial" w:hAnsi="Arial"/>
          <w:sz w:val="18"/>
          <w:szCs w:val="18"/>
          <w:color w:val="auto"/>
        </w:rPr>
        <w:t>To the extent that any right to reimbursement of expenses or payment of any benefit in-kind under this Agreement constitutes nonqualified deferred compensation (within the meaning of Section 409A of the Code), (i) any such expense reimbursement shall be made by the Company no later than the last day of the taxable year following the taxable year in which such expense was incurred by Executive, (ii) the right to reimbursement or in-kind benefits shall not be subject to liquidation or exchange for another benefit, and (iii) the amount of expenses eligible for reimbursement or in-kind benefits provided during any taxable year shall not affect the expenses eligible for reimbursement or in-kind benefits to be provided in any other taxable year; provided, that the foregoing clause shall not be violated with regard to expenses reimbursed under any arrangement covered by Section 105(b) of the Code solely because such expenses are subject to a limit related to the period the arrangement is in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-402590</wp:posOffset>
            </wp:positionH>
            <wp:positionV relativeFrom="paragraph">
              <wp:posOffset>405765</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77"/>
          </w:cols>
          <w:pgMar w:left="883" w:top="908" w:right="239" w:bottom="1440" w:gutter="0" w:footer="0" w:header="0"/>
        </w:sectPr>
      </w:pPr>
    </w:p>
    <w:bookmarkStart w:id="32" w:name="page33"/>
    <w:bookmarkEnd w:id="32"/>
    <w:p>
      <w:pPr>
        <w:ind w:left="1080" w:hanging="442"/>
        <w:spacing w:after="0"/>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u w:val="single" w:color="auto"/>
          <w:color w:val="auto"/>
        </w:rPr>
        <w:t>Confidential Information</w:t>
      </w:r>
      <w:r>
        <w:rPr>
          <w:rFonts w:ascii="Arial" w:cs="Arial" w:eastAsia="Arial" w:hAnsi="Arial"/>
          <w:sz w:val="18"/>
          <w:szCs w:val="18"/>
          <w:color w:val="auto"/>
        </w:rPr>
        <w:t>.</w:t>
      </w:r>
    </w:p>
    <w:p>
      <w:pPr>
        <w:spacing w:after="0" w:line="225" w:lineRule="exact"/>
        <w:rPr>
          <w:sz w:val="20"/>
          <w:szCs w:val="20"/>
          <w:color w:val="auto"/>
        </w:rPr>
      </w:pPr>
    </w:p>
    <w:p>
      <w:pPr>
        <w:jc w:val="both"/>
        <w:ind w:firstLine="656"/>
        <w:spacing w:after="0" w:line="271" w:lineRule="auto"/>
        <w:tabs>
          <w:tab w:leader="none" w:pos="1132" w:val="left"/>
        </w:tabs>
        <w:numPr>
          <w:ilvl w:val="0"/>
          <w:numId w:val="61"/>
        </w:numPr>
        <w:rPr>
          <w:rFonts w:ascii="Arial" w:cs="Arial" w:eastAsia="Arial" w:hAnsi="Arial"/>
          <w:sz w:val="17"/>
          <w:szCs w:val="17"/>
          <w:color w:val="auto"/>
        </w:rPr>
      </w:pPr>
      <w:r>
        <w:rPr>
          <w:rFonts w:ascii="Arial" w:cs="Arial" w:eastAsia="Arial" w:hAnsi="Arial"/>
          <w:sz w:val="17"/>
          <w:szCs w:val="17"/>
          <w:color w:val="auto"/>
        </w:rPr>
        <w:t>The Executive recognizes, acknowledges and agrees that he has had and will continue to have access to secret and confidential information regarding the Company, its subsidiaries and their respective businesses ("</w:t>
      </w:r>
      <w:r>
        <w:rPr>
          <w:rFonts w:ascii="Arial" w:cs="Arial" w:eastAsia="Arial" w:hAnsi="Arial"/>
          <w:sz w:val="17"/>
          <w:szCs w:val="17"/>
          <w:u w:val="single" w:color="auto"/>
          <w:color w:val="auto"/>
        </w:rPr>
        <w:t>Confidential Information</w:t>
      </w:r>
      <w:r>
        <w:rPr>
          <w:rFonts w:ascii="Arial" w:cs="Arial" w:eastAsia="Arial" w:hAnsi="Arial"/>
          <w:sz w:val="17"/>
          <w:szCs w:val="17"/>
          <w:color w:val="auto"/>
        </w:rPr>
        <w:t xml:space="preserve">"), including but not limited to, its products, formulae, patents, sources of supply, customer dealings, data, know-how, legal plans, and business plans, provided such information is not in or does not hereafter become part of the public domain. The Executive acknowledges that such information is of great value to the Company, is the sole property of the Company, and has been and will be acquired by him in confidence. In consideration of the obligations undertaken by the Company herein, the Executive will not, at any time during or after his employment hereunder, reveal, divulge or make known to any person, any information acquired by the Executive during the course of his employment, which is treated as confidential by the Company, and not otherwise in the public domain. The provisions of this </w:t>
      </w:r>
      <w:r>
        <w:rPr>
          <w:rFonts w:ascii="Arial" w:cs="Arial" w:eastAsia="Arial" w:hAnsi="Arial"/>
          <w:sz w:val="17"/>
          <w:szCs w:val="17"/>
          <w:u w:val="single" w:color="auto"/>
          <w:color w:val="auto"/>
        </w:rPr>
        <w:t>Section 10</w:t>
      </w:r>
      <w:r>
        <w:rPr>
          <w:rFonts w:ascii="Arial" w:cs="Arial" w:eastAsia="Arial" w:hAnsi="Arial"/>
          <w:sz w:val="17"/>
          <w:szCs w:val="17"/>
          <w:color w:val="auto"/>
        </w:rPr>
        <w:t xml:space="preserve"> shall survive the termination of the Executive's employment hereunder.</w:t>
      </w:r>
    </w:p>
    <w:p>
      <w:pPr>
        <w:spacing w:after="0" w:line="178" w:lineRule="exact"/>
        <w:rPr>
          <w:rFonts w:ascii="Arial" w:cs="Arial" w:eastAsia="Arial" w:hAnsi="Arial"/>
          <w:sz w:val="17"/>
          <w:szCs w:val="17"/>
          <w:color w:val="auto"/>
        </w:rPr>
      </w:pPr>
    </w:p>
    <w:p>
      <w:pPr>
        <w:jc w:val="both"/>
        <w:ind w:firstLine="656"/>
        <w:spacing w:after="0" w:line="254" w:lineRule="auto"/>
        <w:tabs>
          <w:tab w:leader="none" w:pos="11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Notwithstanding the provisions of Section 10(a) above, the term "Confidential Information" shall not include information which Executive is specifically required (on the advice of legal counsel) to disclose by a court or governmental body pursuant to any applicable law, rule, regulation, court order or subpoena. In the event that the Executive is required to make disclosure pursuant to this Section 10(b), the Executive shall (i) provide the Company with prompt written notice of such request or requirement prior to such disclosure, unless such notice is prohibited by law, (ii) provide the Company with reasonable opportunity to object to the disclosure of the Confidential Information or obtain a protective order covering the use and extent of the disclosure of the Confidential Information, (iii) reasonably cooperate with the Company under (ii) above, as reasonably requested by the Company, and (iv) take all reasonable efforts to minimize the extent of any such disclosure, including by disclosing only such Confidential Information as legal counsel advises is absolutely necessary to disclose.</w:t>
      </w:r>
    </w:p>
    <w:p>
      <w:pPr>
        <w:spacing w:after="0" w:line="192" w:lineRule="exact"/>
        <w:rPr>
          <w:rFonts w:ascii="Arial" w:cs="Arial" w:eastAsia="Arial" w:hAnsi="Arial"/>
          <w:sz w:val="18"/>
          <w:szCs w:val="18"/>
          <w:color w:val="auto"/>
        </w:rPr>
      </w:pPr>
    </w:p>
    <w:p>
      <w:pPr>
        <w:ind w:left="1140" w:hanging="484"/>
        <w:spacing w:after="0"/>
        <w:tabs>
          <w:tab w:leader="none" w:pos="1140" w:val="left"/>
        </w:tabs>
        <w:numPr>
          <w:ilvl w:val="0"/>
          <w:numId w:val="61"/>
        </w:numPr>
        <w:rPr>
          <w:rFonts w:ascii="Arial" w:cs="Arial" w:eastAsia="Arial" w:hAnsi="Arial"/>
          <w:sz w:val="17"/>
          <w:szCs w:val="17"/>
          <w:color w:val="auto"/>
        </w:rPr>
      </w:pPr>
      <w:r>
        <w:rPr>
          <w:rFonts w:ascii="Arial" w:cs="Arial" w:eastAsia="Arial" w:hAnsi="Arial"/>
          <w:sz w:val="17"/>
          <w:szCs w:val="17"/>
          <w:color w:val="auto"/>
        </w:rPr>
        <w:t>The Executive affirms that he has complied with and will continue to comply with any valid contractual obligations arising out of any prior</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employment.</w:t>
      </w:r>
    </w:p>
    <w:p>
      <w:pPr>
        <w:spacing w:after="0" w:line="210" w:lineRule="exact"/>
        <w:rPr>
          <w:rFonts w:ascii="Arial" w:cs="Arial" w:eastAsia="Arial" w:hAnsi="Arial"/>
          <w:sz w:val="17"/>
          <w:szCs w:val="17"/>
          <w:color w:val="auto"/>
        </w:rPr>
      </w:pPr>
    </w:p>
    <w:p>
      <w:pPr>
        <w:ind w:right="20" w:firstLine="656"/>
        <w:spacing w:after="0" w:line="277" w:lineRule="auto"/>
        <w:tabs>
          <w:tab w:leader="none" w:pos="1216" w:val="left"/>
        </w:tabs>
        <w:numPr>
          <w:ilvl w:val="0"/>
          <w:numId w:val="61"/>
        </w:numPr>
        <w:rPr>
          <w:rFonts w:ascii="Arial" w:cs="Arial" w:eastAsia="Arial" w:hAnsi="Arial"/>
          <w:sz w:val="18"/>
          <w:szCs w:val="18"/>
          <w:color w:val="auto"/>
        </w:rPr>
      </w:pPr>
      <w:r>
        <w:rPr>
          <w:rFonts w:ascii="Arial" w:cs="Arial" w:eastAsia="Arial" w:hAnsi="Arial"/>
          <w:sz w:val="18"/>
          <w:szCs w:val="18"/>
          <w:color w:val="auto"/>
        </w:rPr>
        <w:t>In the event that the Executive's employment with the Company terminates for any reason, the Executive shall deliver forthwith to the Company any and all originals and copies, including those in electronic or digital formats, of Confidential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3" w:name="page34"/>
    <w:bookmarkEnd w:id="33"/>
    <w:p>
      <w:pPr>
        <w:ind w:left="1080" w:hanging="442"/>
        <w:spacing w:after="0"/>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u w:val="single" w:color="auto"/>
          <w:color w:val="auto"/>
        </w:rPr>
        <w:t>Covenant Not To Compete or Solicit</w:t>
      </w:r>
      <w:r>
        <w:rPr>
          <w:rFonts w:ascii="Arial" w:cs="Arial" w:eastAsia="Arial" w:hAnsi="Arial"/>
          <w:sz w:val="18"/>
          <w:szCs w:val="18"/>
          <w:color w:val="auto"/>
        </w:rPr>
        <w:t>.</w:t>
      </w:r>
    </w:p>
    <w:p>
      <w:pPr>
        <w:spacing w:after="0" w:line="225" w:lineRule="exact"/>
        <w:rPr>
          <w:sz w:val="20"/>
          <w:szCs w:val="20"/>
          <w:color w:val="auto"/>
        </w:rPr>
      </w:pPr>
    </w:p>
    <w:p>
      <w:pPr>
        <w:jc w:val="both"/>
        <w:ind w:firstLine="656"/>
        <w:spacing w:after="0" w:line="259" w:lineRule="auto"/>
        <w:tabs>
          <w:tab w:leader="none" w:pos="1088" w:val="left"/>
        </w:tabs>
        <w:numPr>
          <w:ilvl w:val="1"/>
          <w:numId w:val="63"/>
        </w:numPr>
        <w:rPr>
          <w:rFonts w:ascii="Arial" w:cs="Arial" w:eastAsia="Arial" w:hAnsi="Arial"/>
          <w:sz w:val="18"/>
          <w:szCs w:val="18"/>
          <w:color w:val="auto"/>
        </w:rPr>
      </w:pPr>
      <w:r>
        <w:rPr>
          <w:rFonts w:ascii="Arial" w:cs="Arial" w:eastAsia="Arial" w:hAnsi="Arial"/>
          <w:sz w:val="18"/>
          <w:szCs w:val="18"/>
          <w:color w:val="auto"/>
        </w:rPr>
        <w:t xml:space="preserve">The Executive recognizes that the services to be performed by him hereunder are special, unique and extraordinary. The parties confirm that it is reasonably necessary for the protection of the Company that the Executive agree, and accordingly, the Executive does hereby agree, that, subject to Section 11(h) below, he shall not, directly or indirectly, at any time during the "Restricted Period" within the "Restricted Area" (as those terms are defined in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11(e)</w:t>
      </w:r>
      <w:r>
        <w:rPr>
          <w:rFonts w:ascii="Arial" w:cs="Arial" w:eastAsia="Arial" w:hAnsi="Arial"/>
          <w:sz w:val="18"/>
          <w:szCs w:val="18"/>
          <w:color w:val="auto"/>
        </w:rPr>
        <w:t xml:space="preserve"> below):</w:t>
      </w:r>
    </w:p>
    <w:p>
      <w:pPr>
        <w:spacing w:after="0" w:line="186" w:lineRule="exact"/>
        <w:rPr>
          <w:rFonts w:ascii="Arial" w:cs="Arial" w:eastAsia="Arial" w:hAnsi="Arial"/>
          <w:sz w:val="18"/>
          <w:szCs w:val="18"/>
          <w:color w:val="auto"/>
        </w:rPr>
      </w:pPr>
    </w:p>
    <w:p>
      <w:pPr>
        <w:jc w:val="both"/>
        <w:ind w:left="660" w:firstLine="645"/>
        <w:spacing w:after="0" w:line="312" w:lineRule="auto"/>
        <w:tabs>
          <w:tab w:leader="none" w:pos="1785" w:val="left"/>
        </w:tabs>
        <w:numPr>
          <w:ilvl w:val="2"/>
          <w:numId w:val="63"/>
        </w:numPr>
        <w:rPr>
          <w:rFonts w:ascii="Arial" w:cs="Arial" w:eastAsia="Arial" w:hAnsi="Arial"/>
          <w:sz w:val="16"/>
          <w:szCs w:val="16"/>
          <w:color w:val="auto"/>
        </w:rPr>
      </w:pPr>
      <w:r>
        <w:rPr>
          <w:rFonts w:ascii="Arial" w:cs="Arial" w:eastAsia="Arial" w:hAnsi="Arial"/>
          <w:sz w:val="16"/>
          <w:szCs w:val="16"/>
          <w:color w:val="auto"/>
        </w:rPr>
        <w:t>engage in any line of business in which the Company was engaged or had a formal plan to enter during the period of Executive's employment with the Company, including but not limited to the business of intellectual property licensing, either on his own behalf or as an officer, director, stockholder, partner, consultant, associate, employee, owner, agent, creditor, independent contractor, or co-venturer of any third party;</w:t>
      </w:r>
    </w:p>
    <w:p>
      <w:pPr>
        <w:spacing w:after="0" w:line="146" w:lineRule="exact"/>
        <w:rPr>
          <w:rFonts w:ascii="Arial" w:cs="Arial" w:eastAsia="Arial" w:hAnsi="Arial"/>
          <w:sz w:val="16"/>
          <w:szCs w:val="16"/>
          <w:color w:val="auto"/>
        </w:rPr>
      </w:pPr>
    </w:p>
    <w:p>
      <w:pPr>
        <w:ind w:left="660" w:firstLine="645"/>
        <w:spacing w:after="0" w:line="277" w:lineRule="auto"/>
        <w:tabs>
          <w:tab w:leader="none" w:pos="1787" w:val="left"/>
        </w:tabs>
        <w:numPr>
          <w:ilvl w:val="2"/>
          <w:numId w:val="63"/>
        </w:numPr>
        <w:rPr>
          <w:rFonts w:ascii="Arial" w:cs="Arial" w:eastAsia="Arial" w:hAnsi="Arial"/>
          <w:sz w:val="18"/>
          <w:szCs w:val="18"/>
          <w:color w:val="auto"/>
        </w:rPr>
      </w:pPr>
      <w:r>
        <w:rPr>
          <w:rFonts w:ascii="Arial" w:cs="Arial" w:eastAsia="Arial" w:hAnsi="Arial"/>
          <w:sz w:val="18"/>
          <w:szCs w:val="18"/>
          <w:color w:val="auto"/>
        </w:rPr>
        <w:t>accept any form of consideration from, or enter into any employment, consulting or other relationship with, any company that could reasonably require a license for use of any of the Company's property; or</w:t>
      </w:r>
    </w:p>
    <w:p>
      <w:pPr>
        <w:spacing w:after="0" w:line="170" w:lineRule="exact"/>
        <w:rPr>
          <w:rFonts w:ascii="Arial" w:cs="Arial" w:eastAsia="Arial" w:hAnsi="Arial"/>
          <w:sz w:val="18"/>
          <w:szCs w:val="18"/>
          <w:color w:val="auto"/>
        </w:rPr>
      </w:pPr>
    </w:p>
    <w:p>
      <w:pPr>
        <w:jc w:val="both"/>
        <w:ind w:left="660" w:right="440" w:firstLine="645"/>
        <w:spacing w:after="0" w:line="264" w:lineRule="auto"/>
        <w:tabs>
          <w:tab w:leader="none" w:pos="1803" w:val="left"/>
        </w:tabs>
        <w:numPr>
          <w:ilvl w:val="2"/>
          <w:numId w:val="63"/>
        </w:numPr>
        <w:rPr>
          <w:rFonts w:ascii="Arial" w:cs="Arial" w:eastAsia="Arial" w:hAnsi="Arial"/>
          <w:sz w:val="18"/>
          <w:szCs w:val="18"/>
          <w:color w:val="auto"/>
        </w:rPr>
      </w:pPr>
      <w:r>
        <w:rPr>
          <w:rFonts w:ascii="Arial" w:cs="Arial" w:eastAsia="Arial" w:hAnsi="Arial"/>
          <w:sz w:val="18"/>
          <w:szCs w:val="18"/>
          <w:color w:val="auto"/>
        </w:rPr>
        <w:t>hire, solicit to employ or engage, for or on behalf of himself or any third party, any employee, vendor or agent of the Company. Notwithstanding the foregoing, the Executive will be allowed to engage third party vendors or agents with whom the Company does not have a material economic relationship.</w:t>
      </w:r>
    </w:p>
    <w:p>
      <w:pPr>
        <w:spacing w:after="0" w:line="181" w:lineRule="exact"/>
        <w:rPr>
          <w:rFonts w:ascii="Arial" w:cs="Arial" w:eastAsia="Arial" w:hAnsi="Arial"/>
          <w:sz w:val="18"/>
          <w:szCs w:val="18"/>
          <w:color w:val="auto"/>
        </w:rPr>
      </w:pPr>
    </w:p>
    <w:p>
      <w:pPr>
        <w:jc w:val="both"/>
        <w:ind w:firstLine="656"/>
        <w:spacing w:after="0" w:line="264" w:lineRule="auto"/>
        <w:tabs>
          <w:tab w:leader="none" w:pos="1181" w:val="left"/>
        </w:tabs>
        <w:numPr>
          <w:ilvl w:val="1"/>
          <w:numId w:val="63"/>
        </w:numPr>
        <w:rPr>
          <w:rFonts w:ascii="Arial" w:cs="Arial" w:eastAsia="Arial" w:hAnsi="Arial"/>
          <w:sz w:val="18"/>
          <w:szCs w:val="18"/>
          <w:color w:val="auto"/>
        </w:rPr>
      </w:pPr>
      <w:r>
        <w:rPr>
          <w:rFonts w:ascii="Arial" w:cs="Arial" w:eastAsia="Arial" w:hAnsi="Arial"/>
          <w:sz w:val="18"/>
          <w:szCs w:val="18"/>
          <w:color w:val="auto"/>
        </w:rPr>
        <w:t>The Executive hereby agrees that he will not, directly or indirectly, for or on behalf of himself or any third party, at any time during the Employment Period and during the Restricted Period, solicit any material commercial relationships of the Company, other than in the further of the business of the Company during the Employment Period.</w:t>
      </w:r>
    </w:p>
    <w:p>
      <w:pPr>
        <w:spacing w:after="0" w:line="181" w:lineRule="exact"/>
        <w:rPr>
          <w:rFonts w:ascii="Arial" w:cs="Arial" w:eastAsia="Arial" w:hAnsi="Arial"/>
          <w:sz w:val="18"/>
          <w:szCs w:val="18"/>
          <w:color w:val="auto"/>
        </w:rPr>
      </w:pPr>
    </w:p>
    <w:p>
      <w:pPr>
        <w:jc w:val="both"/>
        <w:ind w:firstLine="656"/>
        <w:spacing w:after="0" w:line="286" w:lineRule="auto"/>
        <w:tabs>
          <w:tab w:leader="none" w:pos="1135" w:val="left"/>
        </w:tabs>
        <w:numPr>
          <w:ilvl w:val="1"/>
          <w:numId w:val="63"/>
        </w:numPr>
        <w:rPr>
          <w:rFonts w:ascii="Arial" w:cs="Arial" w:eastAsia="Arial" w:hAnsi="Arial"/>
          <w:sz w:val="17"/>
          <w:szCs w:val="17"/>
          <w:color w:val="auto"/>
        </w:rPr>
      </w:pPr>
      <w:r>
        <w:rPr>
          <w:rFonts w:ascii="Arial" w:cs="Arial" w:eastAsia="Arial" w:hAnsi="Arial"/>
          <w:sz w:val="17"/>
          <w:szCs w:val="17"/>
          <w:color w:val="auto"/>
        </w:rPr>
        <w:t xml:space="preserve">If any of the restrictions contained in this </w:t>
      </w:r>
      <w:r>
        <w:rPr>
          <w:rFonts w:ascii="Arial" w:cs="Arial" w:eastAsia="Arial" w:hAnsi="Arial"/>
          <w:sz w:val="17"/>
          <w:szCs w:val="17"/>
          <w:u w:val="single" w:color="auto"/>
          <w:color w:val="auto"/>
        </w:rPr>
        <w:t>Section 11</w:t>
      </w:r>
      <w:r>
        <w:rPr>
          <w:rFonts w:ascii="Arial" w:cs="Arial" w:eastAsia="Arial" w:hAnsi="Arial"/>
          <w:sz w:val="17"/>
          <w:szCs w:val="17"/>
          <w:color w:val="auto"/>
        </w:rPr>
        <w:t xml:space="preserve"> shall be deemed to be unenforceable by reason of the extent, duration or geographical scope thereof, or otherwise, then the court making such determination shall have the right to reduce such extent, duration, geographical scope, or other provisions hereof, and in its reduced form this Section shall then be enforceable in the manner contemplated hereby.</w:t>
      </w:r>
    </w:p>
    <w:p>
      <w:pPr>
        <w:spacing w:after="0" w:line="165" w:lineRule="exact"/>
        <w:rPr>
          <w:rFonts w:ascii="Arial" w:cs="Arial" w:eastAsia="Arial" w:hAnsi="Arial"/>
          <w:sz w:val="17"/>
          <w:szCs w:val="17"/>
          <w:color w:val="auto"/>
        </w:rPr>
      </w:pPr>
    </w:p>
    <w:p>
      <w:pPr>
        <w:jc w:val="both"/>
        <w:ind w:firstLine="656"/>
        <w:spacing w:after="0" w:line="264" w:lineRule="auto"/>
        <w:tabs>
          <w:tab w:leader="none" w:pos="1091" w:val="left"/>
        </w:tabs>
        <w:numPr>
          <w:ilvl w:val="1"/>
          <w:numId w:val="63"/>
        </w:numPr>
        <w:rPr>
          <w:rFonts w:ascii="Arial" w:cs="Arial" w:eastAsia="Arial" w:hAnsi="Arial"/>
          <w:sz w:val="18"/>
          <w:szCs w:val="18"/>
          <w:color w:val="auto"/>
        </w:rPr>
      </w:pPr>
      <w:r>
        <w:rPr>
          <w:rFonts w:ascii="Arial" w:cs="Arial" w:eastAsia="Arial" w:hAnsi="Arial"/>
          <w:sz w:val="18"/>
          <w:szCs w:val="18"/>
          <w:color w:val="auto"/>
        </w:rPr>
        <w:t xml:space="preserve">This </w:t>
      </w:r>
      <w:r>
        <w:rPr>
          <w:rFonts w:ascii="Arial" w:cs="Arial" w:eastAsia="Arial" w:hAnsi="Arial"/>
          <w:sz w:val="18"/>
          <w:szCs w:val="18"/>
          <w:u w:val="single" w:color="auto"/>
          <w:color w:val="auto"/>
        </w:rPr>
        <w:t>Section 11</w:t>
      </w:r>
      <w:r>
        <w:rPr>
          <w:rFonts w:ascii="Arial" w:cs="Arial" w:eastAsia="Arial" w:hAnsi="Arial"/>
          <w:sz w:val="18"/>
          <w:szCs w:val="18"/>
          <w:color w:val="auto"/>
        </w:rPr>
        <w:t xml:space="preserve"> shall not be construed to prevent the Executive from owning, directly or indirectly, in the aggregate, an amount not exceeding two percent (2%) of the issued and outstanding voting securities of any class of any company whose voting capital stock is traded or listed on a national securities exchange or in the over-the-counter market.</w:t>
      </w:r>
    </w:p>
    <w:p>
      <w:pPr>
        <w:spacing w:after="0" w:line="181" w:lineRule="exact"/>
        <w:rPr>
          <w:rFonts w:ascii="Arial" w:cs="Arial" w:eastAsia="Arial" w:hAnsi="Arial"/>
          <w:sz w:val="18"/>
          <w:szCs w:val="18"/>
          <w:color w:val="auto"/>
        </w:rPr>
      </w:pPr>
    </w:p>
    <w:p>
      <w:pPr>
        <w:ind w:left="1120" w:hanging="464"/>
        <w:spacing w:after="0"/>
        <w:tabs>
          <w:tab w:leader="none" w:pos="1120" w:val="left"/>
        </w:tabs>
        <w:numPr>
          <w:ilvl w:val="1"/>
          <w:numId w:val="63"/>
        </w:numPr>
        <w:rPr>
          <w:rFonts w:ascii="Arial" w:cs="Arial" w:eastAsia="Arial" w:hAnsi="Arial"/>
          <w:sz w:val="16"/>
          <w:szCs w:val="16"/>
          <w:color w:val="auto"/>
        </w:rPr>
      </w:pPr>
      <w:r>
        <w:rPr>
          <w:rFonts w:ascii="Arial" w:cs="Arial" w:eastAsia="Arial" w:hAnsi="Arial"/>
          <w:sz w:val="16"/>
          <w:szCs w:val="16"/>
          <w:color w:val="auto"/>
        </w:rPr>
        <w:t>The term "</w:t>
      </w:r>
      <w:r>
        <w:rPr>
          <w:rFonts w:ascii="Arial" w:cs="Arial" w:eastAsia="Arial" w:hAnsi="Arial"/>
          <w:sz w:val="16"/>
          <w:szCs w:val="16"/>
          <w:u w:val="single" w:color="auto"/>
          <w:color w:val="auto"/>
        </w:rPr>
        <w:t>Restricted Period</w:t>
      </w:r>
      <w:r>
        <w:rPr>
          <w:rFonts w:ascii="Arial" w:cs="Arial" w:eastAsia="Arial" w:hAnsi="Arial"/>
          <w:sz w:val="16"/>
          <w:szCs w:val="16"/>
          <w:color w:val="auto"/>
        </w:rPr>
        <w:t xml:space="preserve">," as used in this </w:t>
      </w:r>
      <w:r>
        <w:rPr>
          <w:rFonts w:ascii="Arial" w:cs="Arial" w:eastAsia="Arial" w:hAnsi="Arial"/>
          <w:sz w:val="16"/>
          <w:szCs w:val="16"/>
          <w:u w:val="single" w:color="auto"/>
          <w:color w:val="auto"/>
        </w:rPr>
        <w:t>Section 11</w:t>
      </w:r>
      <w:r>
        <w:rPr>
          <w:rFonts w:ascii="Arial" w:cs="Arial" w:eastAsia="Arial" w:hAnsi="Arial"/>
          <w:sz w:val="16"/>
          <w:szCs w:val="16"/>
          <w:color w:val="auto"/>
        </w:rPr>
        <w:t>, shall mean the period of the Executive's actual employment hereunder, plus twelve</w:t>
      </w:r>
    </w:p>
    <w:p>
      <w:pPr>
        <w:spacing w:after="0" w:line="46" w:lineRule="exact"/>
        <w:rPr>
          <w:rFonts w:ascii="Arial" w:cs="Arial" w:eastAsia="Arial" w:hAnsi="Arial"/>
          <w:sz w:val="16"/>
          <w:szCs w:val="16"/>
          <w:color w:val="auto"/>
        </w:rPr>
      </w:pPr>
    </w:p>
    <w:p>
      <w:pPr>
        <w:ind w:firstLine="8"/>
        <w:spacing w:after="0" w:line="261" w:lineRule="auto"/>
        <w:tabs>
          <w:tab w:leader="none" w:pos="356" w:val="left"/>
        </w:tabs>
        <w:numPr>
          <w:ilvl w:val="0"/>
          <w:numId w:val="64"/>
        </w:numPr>
        <w:rPr>
          <w:rFonts w:ascii="Arial" w:cs="Arial" w:eastAsia="Arial" w:hAnsi="Arial"/>
          <w:sz w:val="18"/>
          <w:szCs w:val="18"/>
          <w:color w:val="auto"/>
        </w:rPr>
      </w:pPr>
      <w:r>
        <w:rPr>
          <w:rFonts w:ascii="Arial" w:cs="Arial" w:eastAsia="Arial" w:hAnsi="Arial"/>
          <w:sz w:val="18"/>
          <w:szCs w:val="18"/>
          <w:color w:val="auto"/>
        </w:rPr>
        <w:t>months after the date the Executive is actually no longer employed by the Company. The term "</w:t>
      </w:r>
      <w:r>
        <w:rPr>
          <w:rFonts w:ascii="Arial" w:cs="Arial" w:eastAsia="Arial" w:hAnsi="Arial"/>
          <w:sz w:val="18"/>
          <w:szCs w:val="18"/>
          <w:u w:val="single" w:color="auto"/>
          <w:color w:val="auto"/>
        </w:rPr>
        <w:t>Restricted Area</w:t>
      </w:r>
      <w:r>
        <w:rPr>
          <w:rFonts w:ascii="Arial" w:cs="Arial" w:eastAsia="Arial" w:hAnsi="Arial"/>
          <w:sz w:val="18"/>
          <w:szCs w:val="18"/>
          <w:color w:val="auto"/>
        </w:rPr>
        <w:t xml:space="preserve">" as used in this </w:t>
      </w:r>
      <w:r>
        <w:rPr>
          <w:rFonts w:ascii="Arial" w:cs="Arial" w:eastAsia="Arial" w:hAnsi="Arial"/>
          <w:sz w:val="18"/>
          <w:szCs w:val="18"/>
          <w:u w:val="single" w:color="auto"/>
          <w:color w:val="auto"/>
        </w:rPr>
        <w:t>Section 11</w:t>
      </w:r>
      <w:r>
        <w:rPr>
          <w:rFonts w:ascii="Arial" w:cs="Arial" w:eastAsia="Arial" w:hAnsi="Arial"/>
          <w:sz w:val="18"/>
          <w:szCs w:val="18"/>
          <w:color w:val="auto"/>
        </w:rPr>
        <w:t xml:space="preserve"> shall mean worldwide.</w:t>
      </w:r>
    </w:p>
    <w:p>
      <w:pPr>
        <w:spacing w:after="0" w:line="183" w:lineRule="exact"/>
        <w:rPr>
          <w:rFonts w:ascii="Arial" w:cs="Arial" w:eastAsia="Arial" w:hAnsi="Arial"/>
          <w:sz w:val="18"/>
          <w:szCs w:val="18"/>
          <w:color w:val="auto"/>
        </w:rPr>
      </w:pPr>
    </w:p>
    <w:p>
      <w:pPr>
        <w:ind w:left="1120" w:hanging="464"/>
        <w:spacing w:after="0"/>
        <w:tabs>
          <w:tab w:leader="none" w:pos="1120" w:val="left"/>
        </w:tabs>
        <w:numPr>
          <w:ilvl w:val="1"/>
          <w:numId w:val="64"/>
        </w:numPr>
        <w:rPr>
          <w:rFonts w:ascii="Arial" w:cs="Arial" w:eastAsia="Arial" w:hAnsi="Arial"/>
          <w:sz w:val="16"/>
          <w:szCs w:val="16"/>
          <w:color w:val="auto"/>
        </w:rPr>
      </w:pPr>
      <w:r>
        <w:rPr>
          <w:rFonts w:ascii="Arial" w:cs="Arial" w:eastAsia="Arial" w:hAnsi="Arial"/>
          <w:sz w:val="16"/>
          <w:szCs w:val="16"/>
          <w:color w:val="auto"/>
        </w:rPr>
        <w:t xml:space="preserve">The provisions of this </w:t>
      </w:r>
      <w:r>
        <w:rPr>
          <w:rFonts w:ascii="Arial" w:cs="Arial" w:eastAsia="Arial" w:hAnsi="Arial"/>
          <w:sz w:val="16"/>
          <w:szCs w:val="16"/>
          <w:u w:val="single" w:color="auto"/>
          <w:color w:val="auto"/>
        </w:rPr>
        <w:t>Section 11</w:t>
      </w:r>
      <w:r>
        <w:rPr>
          <w:rFonts w:ascii="Arial" w:cs="Arial" w:eastAsia="Arial" w:hAnsi="Arial"/>
          <w:sz w:val="16"/>
          <w:szCs w:val="16"/>
          <w:color w:val="auto"/>
        </w:rPr>
        <w:t xml:space="preserve"> shall survive the termination of the Executive's employment hereunder and until the end of the Restricted</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Period.</w:t>
      </w:r>
    </w:p>
    <w:p>
      <w:pPr>
        <w:spacing w:after="0" w:line="210" w:lineRule="exact"/>
        <w:rPr>
          <w:rFonts w:ascii="Arial" w:cs="Arial" w:eastAsia="Arial" w:hAnsi="Arial"/>
          <w:sz w:val="16"/>
          <w:szCs w:val="16"/>
          <w:color w:val="auto"/>
        </w:rPr>
      </w:pPr>
    </w:p>
    <w:p>
      <w:pPr>
        <w:jc w:val="both"/>
        <w:ind w:firstLine="656"/>
        <w:spacing w:after="0" w:line="270" w:lineRule="auto"/>
        <w:tabs>
          <w:tab w:leader="none" w:pos="1104" w:val="left"/>
        </w:tabs>
        <w:numPr>
          <w:ilvl w:val="1"/>
          <w:numId w:val="64"/>
        </w:numPr>
        <w:rPr>
          <w:rFonts w:ascii="Arial" w:cs="Arial" w:eastAsia="Arial" w:hAnsi="Arial"/>
          <w:sz w:val="17"/>
          <w:szCs w:val="17"/>
          <w:color w:val="auto"/>
        </w:rPr>
      </w:pPr>
      <w:r>
        <w:rPr>
          <w:rFonts w:ascii="Arial" w:cs="Arial" w:eastAsia="Arial" w:hAnsi="Arial"/>
          <w:sz w:val="17"/>
          <w:szCs w:val="17"/>
          <w:color w:val="auto"/>
        </w:rPr>
        <w:t>The Company may increase the term of the Restricted period in its sole discretion for up to an additional twelve (12) months (the "</w:t>
      </w:r>
      <w:r>
        <w:rPr>
          <w:rFonts w:ascii="Arial" w:cs="Arial" w:eastAsia="Arial" w:hAnsi="Arial"/>
          <w:sz w:val="17"/>
          <w:szCs w:val="17"/>
          <w:u w:val="single" w:color="auto"/>
          <w:color w:val="auto"/>
        </w:rPr>
        <w:t>Additional</w:t>
      </w:r>
      <w:r>
        <w:rPr>
          <w:rFonts w:ascii="Arial" w:cs="Arial" w:eastAsia="Arial" w:hAnsi="Arial"/>
          <w:sz w:val="17"/>
          <w:szCs w:val="17"/>
          <w:color w:val="auto"/>
        </w:rPr>
        <w:t xml:space="preserve"> </w:t>
      </w:r>
      <w:r>
        <w:rPr>
          <w:rFonts w:ascii="Arial" w:cs="Arial" w:eastAsia="Arial" w:hAnsi="Arial"/>
          <w:sz w:val="17"/>
          <w:szCs w:val="17"/>
          <w:u w:val="single" w:color="auto"/>
          <w:color w:val="auto"/>
        </w:rPr>
        <w:t>Restricted Period</w:t>
      </w:r>
      <w:r>
        <w:rPr>
          <w:rFonts w:ascii="Arial" w:cs="Arial" w:eastAsia="Arial" w:hAnsi="Arial"/>
          <w:sz w:val="17"/>
          <w:szCs w:val="17"/>
          <w:color w:val="auto"/>
        </w:rPr>
        <w:t xml:space="preserve">") provided that Executive is notified of the Company's election in writing 90 days after the Restricted Period has commenced or 180 days prior to its expiration. Notwithstanding anything to the contrary contained herein, upon termination of the Employment Period, the Company shall inform the Executive of its decision whether or not to enforce the provisions of this </w:t>
      </w:r>
      <w:r>
        <w:rPr>
          <w:rFonts w:ascii="Arial" w:cs="Arial" w:eastAsia="Arial" w:hAnsi="Arial"/>
          <w:sz w:val="17"/>
          <w:szCs w:val="17"/>
          <w:u w:val="single" w:color="auto"/>
          <w:color w:val="auto"/>
        </w:rPr>
        <w:t>Section 11</w:t>
      </w:r>
      <w:r>
        <w:rPr>
          <w:rFonts w:ascii="Arial" w:cs="Arial" w:eastAsia="Arial" w:hAnsi="Arial"/>
          <w:sz w:val="17"/>
          <w:szCs w:val="17"/>
          <w:color w:val="auto"/>
        </w:rPr>
        <w:t xml:space="preserve">. In the event the Company elects to enforce the provisions of this </w:t>
      </w:r>
      <w:r>
        <w:rPr>
          <w:rFonts w:ascii="Arial" w:cs="Arial" w:eastAsia="Arial" w:hAnsi="Arial"/>
          <w:sz w:val="17"/>
          <w:szCs w:val="17"/>
          <w:u w:val="single" w:color="auto"/>
          <w:color w:val="auto"/>
        </w:rPr>
        <w:t>Section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11</w:t>
      </w:r>
      <w:r>
        <w:rPr>
          <w:rFonts w:ascii="Arial" w:cs="Arial" w:eastAsia="Arial" w:hAnsi="Arial"/>
          <w:sz w:val="17"/>
          <w:szCs w:val="17"/>
          <w:color w:val="auto"/>
        </w:rPr>
        <w:t xml:space="preserve"> (including, without limitation, the Additional Restricted Period), then the Company shall pay Executive his monthly Base Salary in effect as of the date of termination during the term of such enforcement;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the Company shall have the right to stop the enforcement of this </w:t>
      </w:r>
      <w:r>
        <w:rPr>
          <w:rFonts w:ascii="Arial" w:cs="Arial" w:eastAsia="Arial" w:hAnsi="Arial"/>
          <w:sz w:val="17"/>
          <w:szCs w:val="17"/>
          <w:u w:val="single" w:color="auto"/>
          <w:color w:val="auto"/>
        </w:rPr>
        <w:t>Section 11</w:t>
      </w:r>
      <w:r>
        <w:rPr>
          <w:rFonts w:ascii="Arial" w:cs="Arial" w:eastAsia="Arial" w:hAnsi="Arial"/>
          <w:sz w:val="17"/>
          <w:szCs w:val="17"/>
          <w:color w:val="auto"/>
        </w:rPr>
        <w:t xml:space="preserve"> at any time upon 60 days' prior notice to the Executive. The Company's election not to enforce the provisions of </w:t>
      </w:r>
      <w:r>
        <w:rPr>
          <w:rFonts w:ascii="Arial" w:cs="Arial" w:eastAsia="Arial" w:hAnsi="Arial"/>
          <w:sz w:val="17"/>
          <w:szCs w:val="17"/>
          <w:u w:val="single" w:color="auto"/>
          <w:color w:val="auto"/>
        </w:rPr>
        <w:t>Section 11</w:t>
      </w:r>
      <w:r>
        <w:rPr>
          <w:rFonts w:ascii="Arial" w:cs="Arial" w:eastAsia="Arial" w:hAnsi="Arial"/>
          <w:sz w:val="17"/>
          <w:szCs w:val="17"/>
          <w:color w:val="auto"/>
        </w:rPr>
        <w:t xml:space="preserve"> or to truncate the noncompete period in accordance with this </w:t>
      </w:r>
      <w:r>
        <w:rPr>
          <w:rFonts w:ascii="Arial" w:cs="Arial" w:eastAsia="Arial" w:hAnsi="Arial"/>
          <w:sz w:val="17"/>
          <w:szCs w:val="17"/>
          <w:u w:val="single" w:color="auto"/>
          <w:color w:val="auto"/>
        </w:rPr>
        <w:t>Section 11(g)</w:t>
      </w:r>
      <w:r>
        <w:rPr>
          <w:rFonts w:ascii="Arial" w:cs="Arial" w:eastAsia="Arial" w:hAnsi="Arial"/>
          <w:sz w:val="17"/>
          <w:szCs w:val="17"/>
          <w:color w:val="auto"/>
        </w:rPr>
        <w:t xml:space="preserve"> shall not excuse or otherwise adversely effect the Company's obligation, if any, to pay severance upon a termination of Executive's employment as provided under </w:t>
      </w:r>
      <w:r>
        <w:rPr>
          <w:rFonts w:ascii="Arial" w:cs="Arial" w:eastAsia="Arial" w:hAnsi="Arial"/>
          <w:sz w:val="17"/>
          <w:szCs w:val="17"/>
          <w:u w:val="single" w:color="auto"/>
          <w:color w:val="auto"/>
        </w:rPr>
        <w:t>Section 9</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398780</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4" w:name="page35"/>
    <w:bookmarkEnd w:id="34"/>
    <w:p>
      <w:pPr>
        <w:ind w:left="1100" w:hanging="444"/>
        <w:spacing w:after="0"/>
        <w:tabs>
          <w:tab w:leader="none" w:pos="1100" w:val="left"/>
        </w:tabs>
        <w:numPr>
          <w:ilvl w:val="0"/>
          <w:numId w:val="65"/>
        </w:numPr>
        <w:rPr>
          <w:rFonts w:ascii="Arial" w:cs="Arial" w:eastAsia="Arial" w:hAnsi="Arial"/>
          <w:sz w:val="18"/>
          <w:szCs w:val="18"/>
          <w:color w:val="auto"/>
        </w:rPr>
      </w:pPr>
      <w:r>
        <w:rPr>
          <w:rFonts w:ascii="Arial" w:cs="Arial" w:eastAsia="Arial" w:hAnsi="Arial"/>
          <w:sz w:val="18"/>
          <w:szCs w:val="18"/>
          <w:u w:val="single" w:color="auto"/>
          <w:color w:val="auto"/>
        </w:rPr>
        <w:t>Intellectual Property</w:t>
      </w:r>
      <w:r>
        <w:rPr>
          <w:rFonts w:ascii="Arial" w:cs="Arial" w:eastAsia="Arial" w:hAnsi="Arial"/>
          <w:sz w:val="18"/>
          <w:szCs w:val="18"/>
          <w:color w:val="auto"/>
        </w:rPr>
        <w:t>.</w:t>
      </w:r>
    </w:p>
    <w:p>
      <w:pPr>
        <w:spacing w:after="0" w:line="225" w:lineRule="exact"/>
        <w:rPr>
          <w:sz w:val="20"/>
          <w:szCs w:val="20"/>
          <w:color w:val="auto"/>
        </w:rPr>
      </w:pPr>
    </w:p>
    <w:p>
      <w:pPr>
        <w:jc w:val="both"/>
        <w:ind w:firstLine="656"/>
        <w:spacing w:after="0" w:line="257" w:lineRule="auto"/>
        <w:tabs>
          <w:tab w:leader="none" w:pos="1138" w:val="left"/>
        </w:tabs>
        <w:numPr>
          <w:ilvl w:val="0"/>
          <w:numId w:val="66"/>
        </w:numPr>
        <w:rPr>
          <w:rFonts w:ascii="Arial" w:cs="Arial" w:eastAsia="Arial" w:hAnsi="Arial"/>
          <w:sz w:val="18"/>
          <w:szCs w:val="18"/>
          <w:color w:val="auto"/>
        </w:rPr>
      </w:pPr>
      <w:r>
        <w:rPr>
          <w:rFonts w:ascii="Arial" w:cs="Arial" w:eastAsia="Arial" w:hAnsi="Arial"/>
          <w:sz w:val="18"/>
          <w:szCs w:val="18"/>
          <w:color w:val="auto"/>
        </w:rPr>
        <w:t>Any improvements, inventions, expressions, information, data, databases, user interfaces, websites, new techniques, processes, programs or products that may be made or developed by Executive during the course of employment with Company or resulting from work Executive performs for Company shall be deemed to have been made or developed solely for the benefit of Company and shall be the sole and exclusive property of Company. Executive shall promptly communicate and disclose to Company any and all such improvements, inventions, new techniques, processes, programs or products, whether or not patentable.</w:t>
      </w:r>
    </w:p>
    <w:p>
      <w:pPr>
        <w:spacing w:after="0" w:line="188" w:lineRule="exact"/>
        <w:rPr>
          <w:rFonts w:ascii="Arial" w:cs="Arial" w:eastAsia="Arial" w:hAnsi="Arial"/>
          <w:sz w:val="18"/>
          <w:szCs w:val="18"/>
          <w:color w:val="auto"/>
        </w:rPr>
      </w:pPr>
    </w:p>
    <w:p>
      <w:pPr>
        <w:jc w:val="both"/>
        <w:ind w:firstLine="656"/>
        <w:spacing w:after="0" w:line="264" w:lineRule="auto"/>
        <w:tabs>
          <w:tab w:leader="none" w:pos="1222" w:val="left"/>
        </w:tabs>
        <w:numPr>
          <w:ilvl w:val="0"/>
          <w:numId w:val="66"/>
        </w:numPr>
        <w:rPr>
          <w:rFonts w:ascii="Arial" w:cs="Arial" w:eastAsia="Arial" w:hAnsi="Arial"/>
          <w:sz w:val="18"/>
          <w:szCs w:val="18"/>
          <w:color w:val="auto"/>
        </w:rPr>
      </w:pPr>
      <w:r>
        <w:rPr>
          <w:rFonts w:ascii="Arial" w:cs="Arial" w:eastAsia="Arial" w:hAnsi="Arial"/>
          <w:sz w:val="18"/>
          <w:szCs w:val="18"/>
          <w:color w:val="auto"/>
        </w:rPr>
        <w:t>Executive acknowledges that all original works of authorship, including without limitation textual materials, graphical works, software, manuals and documentation, that are created by Executive during and within the scope of employment with Company are and shall be "works-for-hire" and the sole property of Company.</w:t>
      </w:r>
    </w:p>
    <w:p>
      <w:pPr>
        <w:spacing w:after="0" w:line="181" w:lineRule="exact"/>
        <w:rPr>
          <w:rFonts w:ascii="Arial" w:cs="Arial" w:eastAsia="Arial" w:hAnsi="Arial"/>
          <w:sz w:val="18"/>
          <w:szCs w:val="18"/>
          <w:color w:val="auto"/>
        </w:rPr>
      </w:pPr>
    </w:p>
    <w:p>
      <w:pPr>
        <w:jc w:val="both"/>
        <w:ind w:firstLine="656"/>
        <w:spacing w:after="0" w:line="259" w:lineRule="auto"/>
        <w:tabs>
          <w:tab w:leader="none" w:pos="1172" w:val="left"/>
        </w:tabs>
        <w:numPr>
          <w:ilvl w:val="0"/>
          <w:numId w:val="66"/>
        </w:numPr>
        <w:rPr>
          <w:rFonts w:ascii="Arial" w:cs="Arial" w:eastAsia="Arial" w:hAnsi="Arial"/>
          <w:sz w:val="18"/>
          <w:szCs w:val="18"/>
          <w:color w:val="auto"/>
        </w:rPr>
      </w:pPr>
      <w:r>
        <w:rPr>
          <w:rFonts w:ascii="Arial" w:cs="Arial" w:eastAsia="Arial" w:hAnsi="Arial"/>
          <w:sz w:val="18"/>
          <w:szCs w:val="18"/>
          <w:color w:val="auto"/>
        </w:rPr>
        <w:t>In order to further effectuate the terms of this Agreement, Executive hereby assigns and agrees to assign in the future to Company all of Executive's right, title and interest in and to patents, copyrights, trademarks and all other proprietary interests in any process, program, expression, technique, product, research item, text, information, invention or other improvement which Executive has developed or may develop during the course of employment by, or which results from work Executive did or does for, Company.</w:t>
      </w:r>
    </w:p>
    <w:p>
      <w:pPr>
        <w:spacing w:after="0" w:line="186" w:lineRule="exact"/>
        <w:rPr>
          <w:rFonts w:ascii="Arial" w:cs="Arial" w:eastAsia="Arial" w:hAnsi="Arial"/>
          <w:sz w:val="18"/>
          <w:szCs w:val="18"/>
          <w:color w:val="auto"/>
        </w:rPr>
      </w:pPr>
    </w:p>
    <w:p>
      <w:pPr>
        <w:ind w:firstLine="656"/>
        <w:spacing w:after="0" w:line="308" w:lineRule="auto"/>
        <w:tabs>
          <w:tab w:leader="none" w:pos="1201" w:val="left"/>
        </w:tabs>
        <w:numPr>
          <w:ilvl w:val="0"/>
          <w:numId w:val="66"/>
        </w:numPr>
        <w:rPr>
          <w:rFonts w:ascii="Arial" w:cs="Arial" w:eastAsia="Arial" w:hAnsi="Arial"/>
          <w:sz w:val="17"/>
          <w:szCs w:val="17"/>
          <w:color w:val="auto"/>
        </w:rPr>
      </w:pPr>
      <w:r>
        <w:rPr>
          <w:rFonts w:ascii="Arial" w:cs="Arial" w:eastAsia="Arial" w:hAnsi="Arial"/>
          <w:sz w:val="17"/>
          <w:szCs w:val="17"/>
          <w:color w:val="auto"/>
        </w:rPr>
        <w:t>Executive shall not, during or after the course of employment with Company, use or disclose to any other person or entity any process, program, expression, technique, product, research item, text, data, database, information, invention or other improvement referenced in this Section.</w:t>
      </w:r>
    </w:p>
    <w:p>
      <w:pPr>
        <w:spacing w:after="0" w:line="146" w:lineRule="exact"/>
        <w:rPr>
          <w:rFonts w:ascii="Arial" w:cs="Arial" w:eastAsia="Arial" w:hAnsi="Arial"/>
          <w:sz w:val="17"/>
          <w:szCs w:val="17"/>
          <w:color w:val="auto"/>
        </w:rPr>
      </w:pPr>
    </w:p>
    <w:p>
      <w:pPr>
        <w:jc w:val="both"/>
        <w:ind w:firstLine="656"/>
        <w:spacing w:after="0" w:line="264" w:lineRule="auto"/>
        <w:tabs>
          <w:tab w:leader="none" w:pos="1257" w:val="left"/>
        </w:tabs>
        <w:numPr>
          <w:ilvl w:val="0"/>
          <w:numId w:val="66"/>
        </w:numPr>
        <w:rPr>
          <w:rFonts w:ascii="Arial" w:cs="Arial" w:eastAsia="Arial" w:hAnsi="Arial"/>
          <w:sz w:val="18"/>
          <w:szCs w:val="18"/>
          <w:color w:val="auto"/>
        </w:rPr>
      </w:pPr>
      <w:r>
        <w:rPr>
          <w:rFonts w:ascii="Arial" w:cs="Arial" w:eastAsia="Arial" w:hAnsi="Arial"/>
          <w:sz w:val="18"/>
          <w:szCs w:val="18"/>
          <w:color w:val="auto"/>
        </w:rPr>
        <w:t xml:space="preserve">The provisions of this </w:t>
      </w:r>
      <w:r>
        <w:rPr>
          <w:rFonts w:ascii="Arial" w:cs="Arial" w:eastAsia="Arial" w:hAnsi="Arial"/>
          <w:sz w:val="18"/>
          <w:szCs w:val="18"/>
          <w:u w:val="single" w:color="auto"/>
          <w:color w:val="auto"/>
        </w:rPr>
        <w:t>Section 12</w:t>
      </w:r>
      <w:r>
        <w:rPr>
          <w:rFonts w:ascii="Arial" w:cs="Arial" w:eastAsia="Arial" w:hAnsi="Arial"/>
          <w:sz w:val="18"/>
          <w:szCs w:val="18"/>
          <w:color w:val="auto"/>
        </w:rPr>
        <w:t xml:space="preserve"> shall not apply to any inventions, developments, works of authorship, improvements, expressions, information, data, databases, user interfaces, websites, techniques, processes, methods, programs or products developed by Executive prior to his employment with the Company ("</w:t>
      </w:r>
      <w:r>
        <w:rPr>
          <w:rFonts w:ascii="Arial" w:cs="Arial" w:eastAsia="Arial" w:hAnsi="Arial"/>
          <w:sz w:val="18"/>
          <w:szCs w:val="18"/>
          <w:u w:val="single" w:color="auto"/>
          <w:color w:val="auto"/>
        </w:rPr>
        <w:t>Prior Inventions</w:t>
      </w:r>
      <w:r>
        <w:rPr>
          <w:rFonts w:ascii="Arial" w:cs="Arial" w:eastAsia="Arial" w:hAnsi="Arial"/>
          <w:sz w:val="18"/>
          <w:szCs w:val="18"/>
          <w:color w:val="auto"/>
        </w:rPr>
        <w:t>"), which shall remain the sole and exclusive property of the Executive.</w:t>
      </w:r>
    </w:p>
    <w:p>
      <w:pPr>
        <w:spacing w:after="0" w:line="181" w:lineRule="exact"/>
        <w:rPr>
          <w:sz w:val="20"/>
          <w:szCs w:val="20"/>
          <w:color w:val="auto"/>
        </w:rPr>
      </w:pPr>
    </w:p>
    <w:p>
      <w:pPr>
        <w:ind w:left="1100" w:hanging="444"/>
        <w:spacing w:after="0"/>
        <w:tabs>
          <w:tab w:leader="none" w:pos="1100" w:val="left"/>
        </w:tabs>
        <w:numPr>
          <w:ilvl w:val="0"/>
          <w:numId w:val="67"/>
        </w:numPr>
        <w:rPr>
          <w:rFonts w:ascii="Arial" w:cs="Arial" w:eastAsia="Arial" w:hAnsi="Arial"/>
          <w:sz w:val="18"/>
          <w:szCs w:val="18"/>
          <w:color w:val="auto"/>
        </w:rPr>
      </w:pPr>
      <w:r>
        <w:rPr>
          <w:rFonts w:ascii="Arial" w:cs="Arial" w:eastAsia="Arial" w:hAnsi="Arial"/>
          <w:sz w:val="18"/>
          <w:szCs w:val="18"/>
          <w:u w:val="single" w:color="auto"/>
          <w:color w:val="auto"/>
        </w:rPr>
        <w:t>Non-Disparagement</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During the Employment Period and for three (3) years after the termination of the Employment Period, for any reason, neither Executive nor his agents, on the one hand, nor the Company, or its senior executives or the Board, on the other hand, shall directly or indirectly issue or communicate any public statement, or statement likely to become public, that maligns, denigrates or disparages the other (including, in the case of communications by Executive or his agents, any of the Company's officers, directors, employees or investors). The foregoing shall not be violated by truthful responses to legal process or governmental inquiry or by private statements to any of the Company's officers, directors or employees; provided, that, in the case of Executive, such statements are made in the course of carrying out his duties pursuant to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396875</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5" w:name="page36"/>
    <w:bookmarkEnd w:id="35"/>
    <w:p>
      <w:pPr>
        <w:ind w:left="444" w:hanging="444"/>
        <w:spacing w:after="0"/>
        <w:tabs>
          <w:tab w:leader="none" w:pos="444" w:val="left"/>
        </w:tabs>
        <w:numPr>
          <w:ilvl w:val="0"/>
          <w:numId w:val="68"/>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225" w:lineRule="exact"/>
        <w:rPr>
          <w:sz w:val="20"/>
          <w:szCs w:val="20"/>
          <w:color w:val="auto"/>
        </w:rPr>
      </w:pPr>
    </w:p>
    <w:p>
      <w:pPr>
        <w:jc w:val="both"/>
        <w:ind w:left="-656" w:firstLine="656"/>
        <w:spacing w:after="0" w:line="270" w:lineRule="auto"/>
        <w:tabs>
          <w:tab w:leader="none" w:pos="511" w:val="left"/>
        </w:tabs>
        <w:numPr>
          <w:ilvl w:val="0"/>
          <w:numId w:val="69"/>
        </w:numPr>
        <w:rPr>
          <w:rFonts w:ascii="Arial" w:cs="Arial" w:eastAsia="Arial" w:hAnsi="Arial"/>
          <w:sz w:val="17"/>
          <w:szCs w:val="17"/>
          <w:color w:val="auto"/>
        </w:rPr>
      </w:pPr>
      <w:r>
        <w:rPr>
          <w:rFonts w:ascii="Arial" w:cs="Arial" w:eastAsia="Arial" w:hAnsi="Arial"/>
          <w:sz w:val="17"/>
          <w:szCs w:val="17"/>
          <w:color w:val="auto"/>
        </w:rPr>
        <w:t>The Executive acknowledges that the services to be rendered by him under the provisions of this Agreement are of a special, unique and extraordinary character and that it would be difficult or impossible to replace such services. Furthermore, the parties acknowledge that monetary damages alone would not be an adequate remedy for any breach by the Executive of this Agreement. Accordingly, the Executive agrees that any breach or threatened breach by him of this Agreement shall entitle the Company, in addition to all other legal remedies available to it, to apply to any court of competent jurisdiction to seek to enjoin such breach or threatened breach. The parties understand and intend that each restriction agreed to by the Executive hereinabove shall be construed as separable and divisible from every other restriction, that the unenforceability of any restriction shall not limit the enforceability, in whole or in part, of any other restriction, and that one or more or all of such restrictions may be enforced in whole or in part as the circumstances warrant. In the event that any restriction in this Agreement is more restrictive than permitted by law in the jurisdiction in which the Company seeks enforcement thereof, such restriction shall be limited to the extent permitted by law. The remedy of injunctive relief herein set forth shall be in addition to, and not in lieu of, any other rights or remedies that the Company may have at law or in equity.</w:t>
      </w:r>
    </w:p>
    <w:p>
      <w:pPr>
        <w:spacing w:after="0" w:line="177" w:lineRule="exact"/>
        <w:rPr>
          <w:rFonts w:ascii="Arial" w:cs="Arial" w:eastAsia="Arial" w:hAnsi="Arial"/>
          <w:sz w:val="17"/>
          <w:szCs w:val="17"/>
          <w:color w:val="auto"/>
        </w:rPr>
      </w:pPr>
    </w:p>
    <w:p>
      <w:pPr>
        <w:jc w:val="both"/>
        <w:ind w:left="-656" w:firstLine="656"/>
        <w:spacing w:after="0" w:line="273" w:lineRule="auto"/>
        <w:tabs>
          <w:tab w:leader="none" w:pos="424" w:val="left"/>
        </w:tabs>
        <w:numPr>
          <w:ilvl w:val="0"/>
          <w:numId w:val="69"/>
        </w:numPr>
        <w:rPr>
          <w:rFonts w:ascii="Arial" w:cs="Arial" w:eastAsia="Arial" w:hAnsi="Arial"/>
          <w:sz w:val="17"/>
          <w:szCs w:val="17"/>
          <w:color w:val="auto"/>
        </w:rPr>
      </w:pPr>
      <w:r>
        <w:rPr>
          <w:rFonts w:ascii="Arial" w:cs="Arial" w:eastAsia="Arial" w:hAnsi="Arial"/>
          <w:sz w:val="17"/>
          <w:szCs w:val="17"/>
          <w:color w:val="auto"/>
        </w:rPr>
        <w:t>The Executive may not assign or delegate any of his rights or duties under this Agreement without the express written consent of the Company. The Company will require any successor (whether direct or indirect by purchase, merger, consolidation or otherwise) to all or substantially all of the business and/or assets of the Company to expressly assume and agree to perform this Agreement in the same manner and to the same extent that the Company would be required to perform it if no such succession had taken place. As used in this Agreement, the "Company" shall mean the Company as hereinbefore defined and any successor to its business and/or assets as aforesaid which executes and delivers the agreement provided for in this subsection (b) or which otherwise becomes bound by all of the terms and provisions of this Agreement by operation of law.</w:t>
      </w:r>
    </w:p>
    <w:p>
      <w:pPr>
        <w:spacing w:after="0" w:line="178" w:lineRule="exact"/>
        <w:rPr>
          <w:rFonts w:ascii="Arial" w:cs="Arial" w:eastAsia="Arial" w:hAnsi="Arial"/>
          <w:sz w:val="17"/>
          <w:szCs w:val="17"/>
          <w:color w:val="auto"/>
        </w:rPr>
      </w:pPr>
    </w:p>
    <w:p>
      <w:pPr>
        <w:jc w:val="both"/>
        <w:ind w:left="-656" w:firstLine="656"/>
        <w:spacing w:after="0" w:line="297" w:lineRule="auto"/>
        <w:tabs>
          <w:tab w:leader="none" w:pos="490" w:val="left"/>
        </w:tabs>
        <w:numPr>
          <w:ilvl w:val="0"/>
          <w:numId w:val="69"/>
        </w:numPr>
        <w:rPr>
          <w:rFonts w:ascii="Arial" w:cs="Arial" w:eastAsia="Arial" w:hAnsi="Arial"/>
          <w:sz w:val="16"/>
          <w:szCs w:val="16"/>
          <w:color w:val="auto"/>
        </w:rPr>
      </w:pPr>
      <w:r>
        <w:rPr>
          <w:rFonts w:ascii="Arial" w:cs="Arial" w:eastAsia="Arial" w:hAnsi="Arial"/>
          <w:sz w:val="16"/>
          <w:szCs w:val="16"/>
          <w:color w:val="auto"/>
        </w:rPr>
        <w:t>This Agreement constitutes and embodies the full and complete understanding and agreement of the parties with respect to the Executive's employment by the Company, supersedes all prior understandings and agreements, whether oral or written, between the Executive and the Company, and shall not be amended, modified or changed except by an instrument in writing executed by the party to be charged. The invalidity or partial invalidity of one or more provisions of this Agreement shall not invalidate any other provision of this Agreement. No waiver by either party of any provision or condition to be performed shall be deemed a waiver of similar or dissimilar provisions or conditions at the same time or any prior or subsequent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384175</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4"/>
          </w:cols>
          <w:pgMar w:left="896" w:top="908" w:right="239" w:bottom="1440" w:gutter="0" w:footer="0" w:header="0"/>
        </w:sectPr>
      </w:pPr>
    </w:p>
    <w:bookmarkStart w:id="36" w:name="page37"/>
    <w:bookmarkEnd w:id="36"/>
    <w:p>
      <w:pPr>
        <w:jc w:val="both"/>
        <w:ind w:firstLine="656"/>
        <w:spacing w:after="0" w:line="257" w:lineRule="auto"/>
        <w:tabs>
          <w:tab w:leader="none" w:pos="1252" w:val="left"/>
        </w:tabs>
        <w:numPr>
          <w:ilvl w:val="0"/>
          <w:numId w:val="70"/>
        </w:numPr>
        <w:rPr>
          <w:rFonts w:ascii="Arial" w:cs="Arial" w:eastAsia="Arial" w:hAnsi="Arial"/>
          <w:sz w:val="18"/>
          <w:szCs w:val="18"/>
          <w:color w:val="auto"/>
        </w:rPr>
      </w:pPr>
      <w:r>
        <w:rPr>
          <w:rFonts w:ascii="Arial" w:cs="Arial" w:eastAsia="Arial" w:hAnsi="Arial"/>
          <w:sz w:val="18"/>
          <w:szCs w:val="18"/>
          <w:color w:val="auto"/>
        </w:rPr>
        <w:t>Executive acknowledges that he has had the opportunity to be represented by separate independent counsel in the negotiation of this Agreement, has consulted with his attorney of choice, or voluntarily chose not to do so, concerning the execution and meaning of this Agreement, and has read this Agreement and fully understands the terms hereof, and is executing the same of his own free will. Executive warrants and represents that he has had sufficient time to consider whether to enter into this Agreement and that he is relying solely on his own judgment and the advice of his own counsel, if any, in deciding to execute this Agreement.</w:t>
      </w:r>
    </w:p>
    <w:p>
      <w:pPr>
        <w:spacing w:after="0" w:line="188" w:lineRule="exact"/>
        <w:rPr>
          <w:rFonts w:ascii="Arial" w:cs="Arial" w:eastAsia="Arial" w:hAnsi="Arial"/>
          <w:sz w:val="18"/>
          <w:szCs w:val="18"/>
          <w:color w:val="auto"/>
        </w:rPr>
      </w:pPr>
    </w:p>
    <w:p>
      <w:pPr>
        <w:ind w:right="20" w:firstLine="656"/>
        <w:spacing w:after="0" w:line="277" w:lineRule="auto"/>
        <w:tabs>
          <w:tab w:leader="none" w:pos="1091"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This Agreement shall inure to the benefit of, be binding upon and enforceable against, the parties hereto and their respective successors, heirs, beneficiaries and permitted assigns.</w:t>
      </w:r>
    </w:p>
    <w:p>
      <w:pPr>
        <w:spacing w:after="0" w:line="170" w:lineRule="exact"/>
        <w:rPr>
          <w:rFonts w:ascii="Arial" w:cs="Arial" w:eastAsia="Arial" w:hAnsi="Arial"/>
          <w:sz w:val="18"/>
          <w:szCs w:val="18"/>
          <w:color w:val="auto"/>
        </w:rPr>
      </w:pPr>
    </w:p>
    <w:p>
      <w:pPr>
        <w:ind w:left="1060" w:hanging="404"/>
        <w:spacing w:after="0"/>
        <w:tabs>
          <w:tab w:leader="none" w:pos="10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If this Agreement is terminated for any reason, Sections 10, 11, 12 and 13 shall survive the termination of this Agreement.</w:t>
      </w:r>
    </w:p>
    <w:p>
      <w:pPr>
        <w:spacing w:after="0" w:line="225" w:lineRule="exact"/>
        <w:rPr>
          <w:rFonts w:ascii="Arial" w:cs="Arial" w:eastAsia="Arial" w:hAnsi="Arial"/>
          <w:sz w:val="18"/>
          <w:szCs w:val="18"/>
          <w:color w:val="auto"/>
        </w:rPr>
      </w:pPr>
    </w:p>
    <w:p>
      <w:pPr>
        <w:ind w:firstLine="656"/>
        <w:spacing w:after="0" w:line="277" w:lineRule="auto"/>
        <w:tabs>
          <w:tab w:leader="none" w:pos="1146" w:val="left"/>
        </w:tabs>
        <w:numPr>
          <w:ilvl w:val="0"/>
          <w:numId w:val="70"/>
        </w:numPr>
        <w:rPr>
          <w:rFonts w:ascii="Arial" w:cs="Arial" w:eastAsia="Arial" w:hAnsi="Arial"/>
          <w:sz w:val="18"/>
          <w:szCs w:val="18"/>
          <w:color w:val="auto"/>
        </w:rPr>
      </w:pPr>
      <w:r>
        <w:rPr>
          <w:rFonts w:ascii="Arial" w:cs="Arial" w:eastAsia="Arial" w:hAnsi="Arial"/>
          <w:sz w:val="18"/>
          <w:szCs w:val="18"/>
          <w:color w:val="auto"/>
        </w:rPr>
        <w:t>In the event of litigation between the parties hereto regarding this Agreement, the prevailing party shall be entitled to recover the costs and fees, including reasonable attorney's fees, incurred by such party in the litigation.</w:t>
      </w:r>
    </w:p>
    <w:p>
      <w:pPr>
        <w:spacing w:after="0" w:line="170" w:lineRule="exact"/>
        <w:rPr>
          <w:rFonts w:ascii="Arial" w:cs="Arial" w:eastAsia="Arial" w:hAnsi="Arial"/>
          <w:sz w:val="18"/>
          <w:szCs w:val="18"/>
          <w:color w:val="auto"/>
        </w:rPr>
      </w:pPr>
    </w:p>
    <w:p>
      <w:pPr>
        <w:ind w:right="20" w:firstLine="656"/>
        <w:spacing w:after="0" w:line="277" w:lineRule="auto"/>
        <w:tabs>
          <w:tab w:leader="none" w:pos="1107"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headings contained in this Agreement are for convenience of reference only and shall not affect in any way the meaning or interpretation of this Agreement.</w:t>
      </w:r>
    </w:p>
    <w:p>
      <w:pPr>
        <w:spacing w:after="0" w:line="170" w:lineRule="exact"/>
        <w:rPr>
          <w:rFonts w:ascii="Arial" w:cs="Arial" w:eastAsia="Arial" w:hAnsi="Arial"/>
          <w:sz w:val="18"/>
          <w:szCs w:val="18"/>
          <w:color w:val="auto"/>
        </w:rPr>
      </w:pPr>
    </w:p>
    <w:p>
      <w:pPr>
        <w:jc w:val="both"/>
        <w:ind w:firstLine="656"/>
        <w:spacing w:after="0" w:line="255" w:lineRule="auto"/>
        <w:tabs>
          <w:tab w:leader="none" w:pos="1033" w:val="left"/>
        </w:tabs>
        <w:numPr>
          <w:ilvl w:val="0"/>
          <w:numId w:val="70"/>
        </w:numPr>
        <w:rPr>
          <w:rFonts w:ascii="Arial" w:cs="Arial" w:eastAsia="Arial" w:hAnsi="Arial"/>
          <w:sz w:val="18"/>
          <w:szCs w:val="18"/>
          <w:color w:val="auto"/>
        </w:rPr>
      </w:pPr>
      <w:r>
        <w:rPr>
          <w:rFonts w:ascii="Arial" w:cs="Arial" w:eastAsia="Arial" w:hAnsi="Arial"/>
          <w:sz w:val="18"/>
          <w:szCs w:val="18"/>
          <w:color w:val="auto"/>
        </w:rPr>
        <w:t>All notices, requests, demands and other communications required or permitted to be given hereunder shall be in writing and shall be deemed to have been duly given when personally delivered, sent by registered or certified mail, return receipt requested, postage prepaid, or by reputable national overnight delivery service (e.g. FedEx) for overnight delivery to the party at the address set forth in the preamble to this Agreement, or to such other address as either party may hereafter give the other party notice of in accordance with the provisions hereof. Notices shall be deemed given on the sooner of the date actually received or the third business day after deposited in the mail or one business day after deposited with an overnight delivery service for overnight delivery.</w:t>
      </w:r>
    </w:p>
    <w:p>
      <w:pPr>
        <w:spacing w:after="0" w:line="193" w:lineRule="exact"/>
        <w:rPr>
          <w:rFonts w:ascii="Arial" w:cs="Arial" w:eastAsia="Arial" w:hAnsi="Arial"/>
          <w:sz w:val="18"/>
          <w:szCs w:val="18"/>
          <w:color w:val="auto"/>
        </w:rPr>
      </w:pPr>
    </w:p>
    <w:p>
      <w:pPr>
        <w:jc w:val="both"/>
        <w:ind w:firstLine="656"/>
        <w:spacing w:after="0" w:line="264" w:lineRule="auto"/>
        <w:tabs>
          <w:tab w:leader="none" w:pos="11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This Agreement shall be governed by and construed in accordance with the internal laws of the State of New York without reference to principles of conflicts of laws and each of the parties hereto irrevocably consents to the exclusive jurisdiction and venue of the federal and state courts located in the County and State of New York.</w:t>
      </w:r>
    </w:p>
    <w:p>
      <w:pPr>
        <w:spacing w:after="0" w:line="181" w:lineRule="exact"/>
        <w:rPr>
          <w:rFonts w:ascii="Arial" w:cs="Arial" w:eastAsia="Arial" w:hAnsi="Arial"/>
          <w:sz w:val="18"/>
          <w:szCs w:val="18"/>
          <w:color w:val="auto"/>
        </w:rPr>
      </w:pPr>
    </w:p>
    <w:p>
      <w:pPr>
        <w:ind w:firstLine="656"/>
        <w:spacing w:after="0" w:line="277" w:lineRule="auto"/>
        <w:tabs>
          <w:tab w:leader="none" w:pos="1152"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This Agreement may be executed simultaneously in two or more counterparts, each of which shall be deemed an original, but all of which together shall constitute one of the same instrument. The parties hereto have executed this Agreement as of the date set forth above.</w:t>
      </w:r>
    </w:p>
    <w:p>
      <w:pPr>
        <w:spacing w:after="0" w:line="170" w:lineRule="exact"/>
        <w:rPr>
          <w:rFonts w:ascii="Arial" w:cs="Arial" w:eastAsia="Arial" w:hAnsi="Arial"/>
          <w:sz w:val="18"/>
          <w:szCs w:val="18"/>
          <w:color w:val="auto"/>
        </w:rPr>
      </w:pPr>
    </w:p>
    <w:p>
      <w:pPr>
        <w:jc w:val="both"/>
        <w:ind w:right="20" w:firstLine="656"/>
        <w:spacing w:after="0" w:line="264" w:lineRule="auto"/>
        <w:tabs>
          <w:tab w:leader="none" w:pos="1047"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Executive represents and warrants to the Company, that he has the full power and authority to enter into this Agreement and to perform his obligations hereunder and that the execution and delivery of this Agreement and the performance of his obligations hereunder will not conflict with any agreement to which Executive is a party.</w:t>
      </w:r>
    </w:p>
    <w:p>
      <w:pPr>
        <w:spacing w:after="0" w:line="181" w:lineRule="exact"/>
        <w:rPr>
          <w:rFonts w:ascii="Arial" w:cs="Arial" w:eastAsia="Arial" w:hAnsi="Arial"/>
          <w:sz w:val="18"/>
          <w:szCs w:val="18"/>
          <w:color w:val="auto"/>
        </w:rPr>
      </w:pPr>
    </w:p>
    <w:p>
      <w:pPr>
        <w:ind w:firstLine="656"/>
        <w:spacing w:after="0" w:line="277" w:lineRule="auto"/>
        <w:tabs>
          <w:tab w:leader="none" w:pos="1198" w:val="left"/>
        </w:tabs>
        <w:numPr>
          <w:ilvl w:val="0"/>
          <w:numId w:val="70"/>
        </w:numPr>
        <w:rPr>
          <w:rFonts w:ascii="Arial" w:cs="Arial" w:eastAsia="Arial" w:hAnsi="Arial"/>
          <w:sz w:val="18"/>
          <w:szCs w:val="18"/>
          <w:color w:val="auto"/>
        </w:rPr>
      </w:pPr>
      <w:r>
        <w:rPr>
          <w:rFonts w:ascii="Arial" w:cs="Arial" w:eastAsia="Arial" w:hAnsi="Arial"/>
          <w:sz w:val="18"/>
          <w:szCs w:val="18"/>
          <w:color w:val="auto"/>
        </w:rPr>
        <w:t>Each Party will pay its own costs and expenses related to the transactions contemplated by this Agreement, except that the Company shall reimburse the Executive for up to $5,380 for his legal fees.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Remainder of Page Intentionally Left Blank</w:t>
      </w:r>
      <w:r>
        <w:rPr>
          <w:rFonts w:ascii="Arial" w:cs="Arial" w:eastAsia="Arial" w:hAnsi="Arial"/>
          <w:sz w:val="18"/>
          <w:szCs w:val="18"/>
          <w:color w:val="auto"/>
        </w:rPr>
        <w: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7" w:name="page38"/>
    <w:bookmarkEnd w:id="37"/>
    <w:p>
      <w:pPr>
        <w:jc w:val="center"/>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Executive Employment Agreement</w:t>
      </w:r>
      <w:r>
        <w:rPr>
          <w:rFonts w:ascii="Arial" w:cs="Arial" w:eastAsia="Arial" w:hAnsi="Arial"/>
          <w:sz w:val="18"/>
          <w:szCs w:val="18"/>
          <w:color w:val="auto"/>
        </w:rPr>
        <w:t>]</w:t>
      </w:r>
    </w:p>
    <w:p>
      <w:pPr>
        <w:spacing w:after="0" w:line="225" w:lineRule="exact"/>
        <w:rPr>
          <w:sz w:val="20"/>
          <w:szCs w:val="20"/>
          <w:color w:val="auto"/>
        </w:rPr>
      </w:pPr>
    </w:p>
    <w:p>
      <w:pPr>
        <w:ind w:firstLine="627"/>
        <w:spacing w:after="0" w:line="277" w:lineRule="auto"/>
        <w:rPr>
          <w:sz w:val="20"/>
          <w:szCs w:val="20"/>
          <w:color w:val="auto"/>
        </w:rPr>
      </w:pPr>
      <w:r>
        <w:rPr>
          <w:rFonts w:ascii="Arial" w:cs="Arial" w:eastAsia="Arial" w:hAnsi="Arial"/>
          <w:sz w:val="18"/>
          <w:szCs w:val="18"/>
          <w:color w:val="auto"/>
        </w:rPr>
        <w:t>IN WITNESS WHEREOF, the Executive and the Company have caused this Executive Employment Agreement to be executed as of the date first above written.</w:t>
      </w:r>
    </w:p>
    <w:p>
      <w:pPr>
        <w:spacing w:after="0" w:line="38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Alexander R. Berger</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Alexander R. Berger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203263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03263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LABRADOR SEARCH CORPORATION</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/s/ Yoau Roth</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 Yoau Roth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-130810</wp:posOffset>
            </wp:positionV>
            <wp:extent cx="180975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Title: Chairman of the Board of</w:t>
      </w:r>
    </w:p>
    <w:p>
      <w:pPr>
        <w:spacing w:after="0" w:line="9"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38" w:name="page39"/>
    <w:bookmarkEnd w:id="38"/>
    <w:p>
      <w:pPr>
        <w:jc w:val="center"/>
        <w:spacing w:after="0"/>
        <w:rPr>
          <w:sz w:val="20"/>
          <w:szCs w:val="20"/>
          <w:color w:val="auto"/>
        </w:rPr>
      </w:pPr>
      <w:r>
        <w:rPr>
          <w:rFonts w:ascii="Arial" w:cs="Arial" w:eastAsia="Arial" w:hAnsi="Arial"/>
          <w:sz w:val="18"/>
          <w:szCs w:val="18"/>
          <w:b w:val="1"/>
          <w:bCs w:val="1"/>
          <w:color w:val="auto"/>
        </w:rPr>
        <w:t>AMENDMENT NO. 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EMPLOYMENT AGREEMENT</w:t>
      </w:r>
    </w:p>
    <w:p>
      <w:pPr>
        <w:spacing w:after="0" w:line="207"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This Amendment No. 1 to Employment Agreement (the "</w:t>
      </w:r>
      <w:r>
        <w:rPr>
          <w:rFonts w:ascii="Arial" w:cs="Arial" w:eastAsia="Arial" w:hAnsi="Arial"/>
          <w:sz w:val="18"/>
          <w:szCs w:val="18"/>
          <w:b w:val="1"/>
          <w:bCs w:val="1"/>
          <w:color w:val="auto"/>
        </w:rPr>
        <w:t>Amendment</w:t>
      </w:r>
      <w:r>
        <w:rPr>
          <w:rFonts w:ascii="Arial" w:cs="Arial" w:eastAsia="Arial" w:hAnsi="Arial"/>
          <w:sz w:val="18"/>
          <w:szCs w:val="18"/>
          <w:color w:val="auto"/>
        </w:rPr>
        <w:t>"), dated as of November 15, 2011, is entered into by and between Innovate/Protect, Inc., a Delaware corporation (the "</w:t>
      </w:r>
      <w:r>
        <w:rPr>
          <w:rFonts w:ascii="Arial" w:cs="Arial" w:eastAsia="Arial" w:hAnsi="Arial"/>
          <w:sz w:val="18"/>
          <w:szCs w:val="18"/>
          <w:b w:val="1"/>
          <w:bCs w:val="1"/>
          <w:color w:val="auto"/>
        </w:rPr>
        <w:t>Company</w:t>
      </w:r>
      <w:r>
        <w:rPr>
          <w:rFonts w:ascii="Arial" w:cs="Arial" w:eastAsia="Arial" w:hAnsi="Arial"/>
          <w:sz w:val="18"/>
          <w:szCs w:val="18"/>
          <w:color w:val="auto"/>
        </w:rPr>
        <w:t>"), and Alexander R. Berger (the "</w:t>
      </w:r>
      <w:r>
        <w:rPr>
          <w:rFonts w:ascii="Arial" w:cs="Arial" w:eastAsia="Arial" w:hAnsi="Arial"/>
          <w:sz w:val="18"/>
          <w:szCs w:val="18"/>
          <w:b w:val="1"/>
          <w:bCs w:val="1"/>
          <w:color w:val="auto"/>
        </w:rPr>
        <w:t>Employee</w:t>
      </w:r>
      <w:r>
        <w:rPr>
          <w:rFonts w:ascii="Arial" w:cs="Arial" w:eastAsia="Arial" w:hAnsi="Arial"/>
          <w:sz w:val="18"/>
          <w:szCs w:val="18"/>
          <w:color w:val="auto"/>
        </w:rPr>
        <w:t>"), for purposes of amending the terms of that certain Employment Agreement, dated August 10, 2011 (the "</w:t>
      </w:r>
      <w:r>
        <w:rPr>
          <w:rFonts w:ascii="Arial" w:cs="Arial" w:eastAsia="Arial" w:hAnsi="Arial"/>
          <w:sz w:val="18"/>
          <w:szCs w:val="18"/>
          <w:b w:val="1"/>
          <w:bCs w:val="1"/>
          <w:color w:val="auto"/>
        </w:rPr>
        <w:t>Agreement</w:t>
      </w:r>
      <w:r>
        <w:rPr>
          <w:rFonts w:ascii="Arial" w:cs="Arial" w:eastAsia="Arial" w:hAnsi="Arial"/>
          <w:sz w:val="18"/>
          <w:szCs w:val="18"/>
          <w:color w:val="auto"/>
        </w:rPr>
        <w:t>").</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Company and Employee desire to amend and clarify certain terms of the Agreement as set forth in this Amendment.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b w:val="1"/>
          <w:bCs w:val="1"/>
          <w:color w:val="auto"/>
        </w:rPr>
        <w:t>NOW, THEREFORE</w:t>
      </w:r>
      <w:r>
        <w:rPr>
          <w:rFonts w:ascii="Arial" w:cs="Arial" w:eastAsia="Arial" w:hAnsi="Arial"/>
          <w:sz w:val="17"/>
          <w:szCs w:val="17"/>
          <w:color w:val="auto"/>
        </w:rPr>
        <w:t>, for good and valuable consideration, the receipt and sufficiency of which is hereby acknowledged, the parties amend the</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Agreement and agree as follows:</w:t>
      </w:r>
    </w:p>
    <w:p>
      <w:pPr>
        <w:spacing w:after="0" w:line="211" w:lineRule="exact"/>
        <w:rPr>
          <w:sz w:val="20"/>
          <w:szCs w:val="20"/>
          <w:color w:val="auto"/>
        </w:rPr>
      </w:pPr>
    </w:p>
    <w:p>
      <w:pPr>
        <w:ind w:left="1360" w:hanging="704"/>
        <w:spacing w:after="0"/>
        <w:tabs>
          <w:tab w:leader="none" w:pos="13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All capitalized terms not defined herein shall have the same meaning ascribed to them in the Agreement.</w:t>
      </w:r>
    </w:p>
    <w:p>
      <w:pPr>
        <w:spacing w:after="0" w:line="225" w:lineRule="exact"/>
        <w:rPr>
          <w:rFonts w:ascii="Arial" w:cs="Arial" w:eastAsia="Arial" w:hAnsi="Arial"/>
          <w:sz w:val="18"/>
          <w:szCs w:val="18"/>
          <w:color w:val="auto"/>
        </w:rPr>
      </w:pPr>
    </w:p>
    <w:p>
      <w:pPr>
        <w:ind w:left="1380" w:hanging="724"/>
        <w:spacing w:after="0"/>
        <w:tabs>
          <w:tab w:leader="none" w:pos="1380" w:val="left"/>
        </w:tabs>
        <w:numPr>
          <w:ilvl w:val="0"/>
          <w:numId w:val="71"/>
        </w:numPr>
        <w:rPr>
          <w:rFonts w:ascii="Arial" w:cs="Arial" w:eastAsia="Arial" w:hAnsi="Arial"/>
          <w:sz w:val="17"/>
          <w:szCs w:val="17"/>
          <w:color w:val="auto"/>
        </w:rPr>
      </w:pPr>
      <w:r>
        <w:rPr>
          <w:rFonts w:ascii="Arial" w:cs="Arial" w:eastAsia="Arial" w:hAnsi="Arial"/>
          <w:sz w:val="17"/>
          <w:szCs w:val="17"/>
          <w:color w:val="auto"/>
        </w:rPr>
        <w:t>The first paragraph of Section 4(a) of the Agreement entitled "Base Salary" is hereby deleted and replaced in its entirety as follows:</w:t>
      </w:r>
    </w:p>
    <w:p>
      <w:pPr>
        <w:spacing w:after="0" w:line="237" w:lineRule="exact"/>
        <w:rPr>
          <w:sz w:val="20"/>
          <w:szCs w:val="20"/>
          <w:color w:val="auto"/>
        </w:rPr>
      </w:pPr>
    </w:p>
    <w:p>
      <w:pPr>
        <w:jc w:val="both"/>
        <w:ind w:left="1300"/>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Base Salary</w:t>
      </w:r>
      <w:r>
        <w:rPr>
          <w:rFonts w:ascii="Arial" w:cs="Arial" w:eastAsia="Arial" w:hAnsi="Arial"/>
          <w:sz w:val="17"/>
          <w:szCs w:val="17"/>
          <w:color w:val="auto"/>
        </w:rPr>
        <w:t>. For all services to be rendered by Executive pursuant to this Agreement, the Company agrees to pay Executive during the Employment Period an initial base salary (the "</w:t>
      </w:r>
      <w:r>
        <w:rPr>
          <w:rFonts w:ascii="Arial" w:cs="Arial" w:eastAsia="Arial" w:hAnsi="Arial"/>
          <w:sz w:val="17"/>
          <w:szCs w:val="17"/>
          <w:b w:val="1"/>
          <w:bCs w:val="1"/>
          <w:color w:val="auto"/>
        </w:rPr>
        <w:t>Base Salary</w:t>
      </w:r>
      <w:r>
        <w:rPr>
          <w:rFonts w:ascii="Arial" w:cs="Arial" w:eastAsia="Arial" w:hAnsi="Arial"/>
          <w:sz w:val="17"/>
          <w:szCs w:val="17"/>
          <w:color w:val="auto"/>
        </w:rPr>
        <w:t>") at an annual rate of $125,000. The Base Salary shall be paid in periodic installments in accordance with the Company's regular payroll practices. The Base Salary shall be increased:</w:t>
      </w:r>
    </w:p>
    <w:p>
      <w:pPr>
        <w:spacing w:after="0" w:line="166" w:lineRule="exact"/>
        <w:rPr>
          <w:sz w:val="20"/>
          <w:szCs w:val="20"/>
          <w:color w:val="auto"/>
        </w:rPr>
      </w:pPr>
    </w:p>
    <w:p>
      <w:pPr>
        <w:jc w:val="both"/>
        <w:ind w:left="1960" w:hanging="7"/>
        <w:spacing w:after="0" w:line="264" w:lineRule="auto"/>
        <w:tabs>
          <w:tab w:leader="none" w:pos="2278" w:val="left"/>
        </w:tabs>
        <w:numPr>
          <w:ilvl w:val="0"/>
          <w:numId w:val="72"/>
        </w:numPr>
        <w:rPr>
          <w:rFonts w:ascii="Arial" w:cs="Arial" w:eastAsia="Arial" w:hAnsi="Arial"/>
          <w:sz w:val="18"/>
          <w:szCs w:val="18"/>
          <w:color w:val="auto"/>
        </w:rPr>
      </w:pPr>
      <w:r>
        <w:rPr>
          <w:rFonts w:ascii="Arial" w:cs="Arial" w:eastAsia="Arial" w:hAnsi="Arial"/>
          <w:sz w:val="18"/>
          <w:szCs w:val="18"/>
          <w:color w:val="auto"/>
        </w:rPr>
        <w:t>to $150,000 in the event the Company successfully completes a private placement of its securities in which the Company realizes net proceeds of at least $2 million (excluding any proceeds from any parties listed in Exhibit "</w:t>
      </w:r>
      <w:r>
        <w:rPr>
          <w:rFonts w:ascii="Arial" w:cs="Arial" w:eastAsia="Arial" w:hAnsi="Arial"/>
          <w:sz w:val="18"/>
          <w:szCs w:val="18"/>
          <w:b w:val="1"/>
          <w:bCs w:val="1"/>
          <w:color w:val="auto"/>
        </w:rPr>
        <w:t>B</w:t>
      </w:r>
      <w:r>
        <w:rPr>
          <w:rFonts w:ascii="Arial" w:cs="Arial" w:eastAsia="Arial" w:hAnsi="Arial"/>
          <w:sz w:val="18"/>
          <w:szCs w:val="18"/>
          <w:color w:val="auto"/>
        </w:rPr>
        <w:t>") (the "</w:t>
      </w:r>
      <w:r>
        <w:rPr>
          <w:rFonts w:ascii="Arial" w:cs="Arial" w:eastAsia="Arial" w:hAnsi="Arial"/>
          <w:sz w:val="18"/>
          <w:szCs w:val="18"/>
          <w:b w:val="1"/>
          <w:bCs w:val="1"/>
          <w:color w:val="auto"/>
        </w:rPr>
        <w:t>Private</w:t>
      </w:r>
      <w:r>
        <w:rPr>
          <w:rFonts w:ascii="Arial" w:cs="Arial" w:eastAsia="Arial" w:hAnsi="Arial"/>
          <w:sz w:val="18"/>
          <w:szCs w:val="18"/>
          <w:color w:val="auto"/>
        </w:rPr>
        <w:t xml:space="preserve"> </w:t>
      </w:r>
      <w:r>
        <w:rPr>
          <w:rFonts w:ascii="Arial" w:cs="Arial" w:eastAsia="Arial" w:hAnsi="Arial"/>
          <w:sz w:val="18"/>
          <w:szCs w:val="18"/>
          <w:b w:val="1"/>
          <w:bCs w:val="1"/>
          <w:color w:val="auto"/>
        </w:rPr>
        <w:t>Placement</w:t>
      </w:r>
      <w:r>
        <w:rPr>
          <w:rFonts w:ascii="Arial" w:cs="Arial" w:eastAsia="Arial" w:hAnsi="Arial"/>
          <w:sz w:val="18"/>
          <w:szCs w:val="18"/>
          <w:color w:val="auto"/>
        </w:rPr>
        <w:t>"), and</w:t>
      </w:r>
    </w:p>
    <w:p>
      <w:pPr>
        <w:spacing w:after="0" w:line="181" w:lineRule="exact"/>
        <w:rPr>
          <w:rFonts w:ascii="Arial" w:cs="Arial" w:eastAsia="Arial" w:hAnsi="Arial"/>
          <w:sz w:val="18"/>
          <w:szCs w:val="18"/>
          <w:color w:val="auto"/>
        </w:rPr>
      </w:pPr>
    </w:p>
    <w:p>
      <w:pPr>
        <w:ind w:left="2240" w:hanging="287"/>
        <w:spacing w:after="0"/>
        <w:tabs>
          <w:tab w:leader="none" w:pos="22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to $250,000 in the event that:</w:t>
      </w:r>
    </w:p>
    <w:p>
      <w:pPr>
        <w:spacing w:after="0" w:line="225"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(X)</w:t>
      </w:r>
    </w:p>
    <w:p>
      <w:pPr>
        <w:spacing w:after="0" w:line="221" w:lineRule="exact"/>
        <w:rPr>
          <w:sz w:val="20"/>
          <w:szCs w:val="20"/>
          <w:color w:val="auto"/>
        </w:rPr>
      </w:pPr>
    </w:p>
    <w:p>
      <w:pPr>
        <w:ind w:left="3480" w:hanging="231"/>
        <w:spacing w:after="0"/>
        <w:tabs>
          <w:tab w:leader="none" w:pos="3480" w:val="left"/>
        </w:tabs>
        <w:numPr>
          <w:ilvl w:val="0"/>
          <w:numId w:val="73"/>
        </w:numPr>
        <w:rPr>
          <w:rFonts w:ascii="Arial" w:cs="Arial" w:eastAsia="Arial" w:hAnsi="Arial"/>
          <w:sz w:val="16"/>
          <w:szCs w:val="16"/>
          <w:color w:val="auto"/>
        </w:rPr>
      </w:pPr>
      <w:r>
        <w:rPr>
          <w:rFonts w:ascii="Arial" w:cs="Arial" w:eastAsia="Arial" w:hAnsi="Arial"/>
          <w:sz w:val="16"/>
          <w:szCs w:val="16"/>
          <w:color w:val="auto"/>
        </w:rPr>
        <w:t>the Company successfully completes an initial public offering of the Company's common equity (the "</w:t>
      </w:r>
      <w:r>
        <w:rPr>
          <w:rFonts w:ascii="Arial" w:cs="Arial" w:eastAsia="Arial" w:hAnsi="Arial"/>
          <w:sz w:val="16"/>
          <w:szCs w:val="16"/>
          <w:b w:val="1"/>
          <w:bCs w:val="1"/>
          <w:color w:val="auto"/>
        </w:rPr>
        <w:t>IPO</w:t>
      </w:r>
      <w:r>
        <w:rPr>
          <w:rFonts w:ascii="Arial" w:cs="Arial" w:eastAsia="Arial" w:hAnsi="Arial"/>
          <w:sz w:val="16"/>
          <w:szCs w:val="16"/>
          <w:color w:val="auto"/>
        </w:rPr>
        <w:t>")</w:t>
      </w:r>
    </w:p>
    <w:p>
      <w:pPr>
        <w:spacing w:after="0" w:line="50" w:lineRule="exact"/>
        <w:rPr>
          <w:rFonts w:ascii="Arial" w:cs="Arial" w:eastAsia="Arial" w:hAnsi="Arial"/>
          <w:sz w:val="16"/>
          <w:szCs w:val="16"/>
          <w:color w:val="auto"/>
        </w:rPr>
      </w:pPr>
    </w:p>
    <w:p>
      <w:pPr>
        <w:ind w:left="3240"/>
        <w:spacing w:after="0"/>
        <w:rPr>
          <w:rFonts w:ascii="Arial" w:cs="Arial" w:eastAsia="Arial" w:hAnsi="Arial"/>
          <w:sz w:val="16"/>
          <w:szCs w:val="16"/>
          <w:color w:val="auto"/>
        </w:rPr>
      </w:pPr>
      <w:r>
        <w:rPr>
          <w:rFonts w:ascii="Arial" w:cs="Arial" w:eastAsia="Arial" w:hAnsi="Arial"/>
          <w:sz w:val="18"/>
          <w:szCs w:val="18"/>
          <w:color w:val="auto"/>
        </w:rPr>
        <w:t>or</w:t>
      </w:r>
    </w:p>
    <w:p>
      <w:pPr>
        <w:spacing w:after="0" w:line="210" w:lineRule="exact"/>
        <w:rPr>
          <w:rFonts w:ascii="Arial" w:cs="Arial" w:eastAsia="Arial" w:hAnsi="Arial"/>
          <w:sz w:val="16"/>
          <w:szCs w:val="16"/>
          <w:color w:val="auto"/>
        </w:rPr>
      </w:pPr>
    </w:p>
    <w:p>
      <w:pPr>
        <w:ind w:left="3240" w:firstLine="9"/>
        <w:spacing w:after="0" w:line="308" w:lineRule="auto"/>
        <w:tabs>
          <w:tab w:leader="none" w:pos="3523" w:val="left"/>
        </w:tabs>
        <w:numPr>
          <w:ilvl w:val="0"/>
          <w:numId w:val="73"/>
        </w:numPr>
        <w:rPr>
          <w:rFonts w:ascii="Arial" w:cs="Arial" w:eastAsia="Arial" w:hAnsi="Arial"/>
          <w:sz w:val="17"/>
          <w:szCs w:val="17"/>
          <w:color w:val="auto"/>
        </w:rPr>
      </w:pPr>
      <w:r>
        <w:rPr>
          <w:rFonts w:ascii="Arial" w:cs="Arial" w:eastAsia="Arial" w:hAnsi="Arial"/>
          <w:sz w:val="17"/>
          <w:szCs w:val="17"/>
          <w:color w:val="auto"/>
        </w:rPr>
        <w:t>a registration statement covering the distribution of the Company's common equity by the Company or its stockholders is declared effective by the Securities and Exchange Commission (the "</w:t>
      </w:r>
      <w:r>
        <w:rPr>
          <w:rFonts w:ascii="Arial" w:cs="Arial" w:eastAsia="Arial" w:hAnsi="Arial"/>
          <w:sz w:val="17"/>
          <w:szCs w:val="17"/>
          <w:b w:val="1"/>
          <w:bCs w:val="1"/>
          <w:color w:val="auto"/>
        </w:rPr>
        <w:t>Registration</w:t>
      </w:r>
      <w:r>
        <w:rPr>
          <w:rFonts w:ascii="Arial" w:cs="Arial" w:eastAsia="Arial" w:hAnsi="Arial"/>
          <w:sz w:val="17"/>
          <w:szCs w:val="17"/>
          <w:color w:val="auto"/>
        </w:rPr>
        <w:t>") or</w:t>
      </w:r>
    </w:p>
    <w:p>
      <w:pPr>
        <w:spacing w:after="0" w:line="146" w:lineRule="exact"/>
        <w:rPr>
          <w:rFonts w:ascii="Arial" w:cs="Arial" w:eastAsia="Arial" w:hAnsi="Arial"/>
          <w:sz w:val="17"/>
          <w:szCs w:val="17"/>
          <w:color w:val="auto"/>
        </w:rPr>
      </w:pPr>
    </w:p>
    <w:p>
      <w:pPr>
        <w:jc w:val="both"/>
        <w:ind w:left="3240" w:firstLine="9"/>
        <w:spacing w:after="0" w:line="259" w:lineRule="auto"/>
        <w:tabs>
          <w:tab w:leader="none" w:pos="3568"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Company consummates a "reverse merger" transaction whereby the Company or its outstanding equity securities are acquired by a company that is a reporting company under the Securities Exchange Act of 1934, as amended, and whose securities are listed on a national securities exchange or quoted on a recognized securities quotation system (a "Reverse Merger"),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401955</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9" w:name="page40"/>
    <w:bookmarkEnd w:id="39"/>
    <w:p>
      <w:pPr>
        <w:ind w:left="2600" w:firstLine="1"/>
        <w:spacing w:after="0" w:line="277" w:lineRule="auto"/>
        <w:tabs>
          <w:tab w:leader="none" w:pos="2901" w:val="left"/>
        </w:tabs>
        <w:numPr>
          <w:ilvl w:val="2"/>
          <w:numId w:val="74"/>
        </w:numPr>
        <w:rPr>
          <w:rFonts w:ascii="Arial" w:cs="Arial" w:eastAsia="Arial" w:hAnsi="Arial"/>
          <w:sz w:val="18"/>
          <w:szCs w:val="18"/>
          <w:color w:val="auto"/>
        </w:rPr>
      </w:pPr>
      <w:r>
        <w:rPr>
          <w:rFonts w:ascii="Arial" w:cs="Arial" w:eastAsia="Arial" w:hAnsi="Arial"/>
          <w:sz w:val="18"/>
          <w:szCs w:val="18"/>
          <w:color w:val="auto"/>
        </w:rPr>
        <w:t>the Company's common equity becomes listed on a national securities exchange or quoted on a recognized securities quotation system, and</w:t>
      </w:r>
    </w:p>
    <w:p>
      <w:pPr>
        <w:spacing w:after="0" w:line="170" w:lineRule="exact"/>
        <w:rPr>
          <w:rFonts w:ascii="Arial" w:cs="Arial" w:eastAsia="Arial" w:hAnsi="Arial"/>
          <w:sz w:val="18"/>
          <w:szCs w:val="18"/>
          <w:color w:val="auto"/>
        </w:rPr>
      </w:pPr>
    </w:p>
    <w:p>
      <w:pPr>
        <w:jc w:val="both"/>
        <w:ind w:left="1300" w:firstLine="5"/>
        <w:spacing w:after="0" w:line="255" w:lineRule="auto"/>
        <w:tabs>
          <w:tab w:leader="none" w:pos="1577" w:val="left"/>
        </w:tabs>
        <w:numPr>
          <w:ilvl w:val="1"/>
          <w:numId w:val="75"/>
        </w:numPr>
        <w:rPr>
          <w:rFonts w:ascii="Arial" w:cs="Arial" w:eastAsia="Arial" w:hAnsi="Arial"/>
          <w:sz w:val="18"/>
          <w:szCs w:val="18"/>
          <w:color w:val="auto"/>
        </w:rPr>
      </w:pPr>
      <w:r>
        <w:rPr>
          <w:rFonts w:ascii="Arial" w:cs="Arial" w:eastAsia="Arial" w:hAnsi="Arial"/>
          <w:sz w:val="18"/>
          <w:szCs w:val="18"/>
          <w:color w:val="auto"/>
        </w:rPr>
        <w:t>the Company has realized aggregate net proceeds of at least $7 million from the combination of one or more previous and/or concurrent private placements (including the Private Placement), the Registration and/or the IPO (in each case, excluding any proceeds received from any parties listed in Exhibit "</w:t>
      </w:r>
      <w:r>
        <w:rPr>
          <w:rFonts w:ascii="Arial" w:cs="Arial" w:eastAsia="Arial" w:hAnsi="Arial"/>
          <w:sz w:val="18"/>
          <w:szCs w:val="18"/>
          <w:b w:val="1"/>
          <w:bCs w:val="1"/>
          <w:color w:val="auto"/>
        </w:rPr>
        <w:t>B</w:t>
      </w:r>
      <w:r>
        <w:rPr>
          <w:rFonts w:ascii="Arial" w:cs="Arial" w:eastAsia="Arial" w:hAnsi="Arial"/>
          <w:sz w:val="18"/>
          <w:szCs w:val="18"/>
          <w:color w:val="auto"/>
        </w:rPr>
        <w:t>"). Such increases shall take effect immediately as of the consummation of the event that triggers such increase in accordance with the immediately preceding sentence. For the avoidance of doubt, the defined terms in this Section shall only relate to this Agreement and such definitions shall not be incorporated into or relied upon in any other agreements to which the Company is a party."</w:t>
      </w:r>
    </w:p>
    <w:p>
      <w:pPr>
        <w:spacing w:after="0" w:line="193" w:lineRule="exact"/>
        <w:rPr>
          <w:rFonts w:ascii="Arial" w:cs="Arial" w:eastAsia="Arial" w:hAnsi="Arial"/>
          <w:sz w:val="18"/>
          <w:szCs w:val="18"/>
          <w:color w:val="auto"/>
        </w:rPr>
      </w:pPr>
    </w:p>
    <w:p>
      <w:pPr>
        <w:ind w:firstLine="656"/>
        <w:spacing w:after="0" w:line="277" w:lineRule="auto"/>
        <w:tabs>
          <w:tab w:leader="none" w:pos="1549" w:val="left"/>
        </w:tabs>
        <w:numPr>
          <w:ilvl w:val="0"/>
          <w:numId w:val="76"/>
        </w:numPr>
        <w:rPr>
          <w:rFonts w:ascii="Arial" w:cs="Arial" w:eastAsia="Arial" w:hAnsi="Arial"/>
          <w:sz w:val="18"/>
          <w:szCs w:val="18"/>
          <w:color w:val="auto"/>
        </w:rPr>
      </w:pPr>
      <w:r>
        <w:rPr>
          <w:rFonts w:ascii="Arial" w:cs="Arial" w:eastAsia="Arial" w:hAnsi="Arial"/>
          <w:sz w:val="18"/>
          <w:szCs w:val="18"/>
          <w:color w:val="auto"/>
        </w:rPr>
        <w:t>Except as specifically set forth in this Amendment, there are no other amendments to the Agreement and the Agreement shall remain unmodified and in full force and effect.</w:t>
      </w:r>
    </w:p>
    <w:p>
      <w:pPr>
        <w:spacing w:after="0" w:line="170" w:lineRule="exact"/>
        <w:rPr>
          <w:rFonts w:ascii="Arial" w:cs="Arial" w:eastAsia="Arial" w:hAnsi="Arial"/>
          <w:sz w:val="18"/>
          <w:szCs w:val="18"/>
          <w:color w:val="auto"/>
        </w:rPr>
      </w:pPr>
    </w:p>
    <w:p>
      <w:pPr>
        <w:jc w:val="both"/>
        <w:ind w:firstLine="656"/>
        <w:spacing w:after="0" w:line="302" w:lineRule="auto"/>
        <w:tabs>
          <w:tab w:leader="none" w:pos="1420" w:val="left"/>
        </w:tabs>
        <w:numPr>
          <w:ilvl w:val="0"/>
          <w:numId w:val="76"/>
        </w:numPr>
        <w:rPr>
          <w:rFonts w:ascii="Arial" w:cs="Arial" w:eastAsia="Arial" w:hAnsi="Arial"/>
          <w:sz w:val="16"/>
          <w:szCs w:val="16"/>
          <w:color w:val="auto"/>
        </w:rPr>
      </w:pPr>
      <w:r>
        <w:rPr>
          <w:rFonts w:ascii="Arial" w:cs="Arial" w:eastAsia="Arial" w:hAnsi="Arial"/>
          <w:sz w:val="16"/>
          <w:szCs w:val="16"/>
          <w:color w:val="auto"/>
        </w:rPr>
        <w:t>Employee represents and agrees that he fully understands his right to discuss all aspects of this Amendment with his private attorney, that to the extent, if any that he desired, he availed himself of this right, that he has carefully read and fully understands all provisions of this Amendment, that he is competent to execute this Amendment, that his agreement to execute this Amendment has not been obtained by any duress and that he freely and voluntarily enters into it, and that he has read this document in its entirety and fully understands the meaning, intent and consequences of this Amendment.</w:t>
      </w:r>
    </w:p>
    <w:p>
      <w:pPr>
        <w:spacing w:after="0" w:line="154" w:lineRule="exact"/>
        <w:rPr>
          <w:rFonts w:ascii="Arial" w:cs="Arial" w:eastAsia="Arial" w:hAnsi="Arial"/>
          <w:sz w:val="16"/>
          <w:szCs w:val="16"/>
          <w:color w:val="auto"/>
        </w:rPr>
      </w:pPr>
    </w:p>
    <w:p>
      <w:pPr>
        <w:jc w:val="both"/>
        <w:ind w:firstLine="656"/>
        <w:spacing w:after="0" w:line="259" w:lineRule="auto"/>
        <w:tabs>
          <w:tab w:leader="none" w:pos="1375"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This Amendment shall be governed by and construed in accordance with the domestic laws of the State of New York, without giving effect to any choice of law or conflict of law provision or rule (whether the State of New York or any other jurisdiction) that would cause the application of the laws of any jurisdiction other than the State of New York. This Amendment may be executed in one or more counterparts, any one of which may be by facsimile, and all of which taken together shall constitute one and the same instrument.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40" w:name="page41"/>
    <w:bookmarkEnd w:id="40"/>
    <w:p>
      <w:pPr>
        <w:ind w:left="28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Amendment 1 to Employment Agreement</w:t>
      </w:r>
      <w:r>
        <w:rPr>
          <w:rFonts w:ascii="Arial" w:cs="Arial" w:eastAsia="Arial" w:hAnsi="Arial"/>
          <w:sz w:val="18"/>
          <w:szCs w:val="18"/>
          <w:color w:val="auto"/>
        </w:rPr>
        <w: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parties have executed this Amendment as of the date first above written.</w:t>
      </w:r>
    </w:p>
    <w:p>
      <w:pPr>
        <w:spacing w:after="0" w:line="225"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INNOVATE/PROTECT, INC.</w:t>
      </w:r>
    </w:p>
    <w:p>
      <w:pPr>
        <w:spacing w:after="0" w:line="229" w:lineRule="exact"/>
        <w:rPr>
          <w:sz w:val="20"/>
          <w:szCs w:val="20"/>
          <w:color w:val="auto"/>
        </w:rPr>
      </w:pPr>
    </w:p>
    <w:tbl>
      <w:tblPr>
        <w:tblLayout w:type="fixed"/>
        <w:tblInd w:w="506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2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Andrew Kennedy Lang</w:t>
            </w:r>
          </w:p>
        </w:tc>
      </w:tr>
      <w:tr>
        <w:trPr>
          <w:trHeight w:val="224"/>
        </w:trPr>
        <w:tc>
          <w:tcPr>
            <w:tcW w:w="560" w:type="dxa"/>
            <w:vAlign w:val="bottom"/>
          </w:tcPr>
          <w:p>
            <w:pPr>
              <w:spacing w:after="0"/>
              <w:rPr>
                <w:sz w:val="20"/>
                <w:szCs w:val="20"/>
                <w:color w:val="auto"/>
              </w:rPr>
            </w:pPr>
            <w:r>
              <w:rPr>
                <w:rFonts w:ascii="Arial" w:cs="Arial" w:eastAsia="Arial" w:hAnsi="Arial"/>
                <w:sz w:val="18"/>
                <w:szCs w:val="18"/>
                <w:color w:val="auto"/>
              </w:rPr>
              <w:t>Name:</w:t>
            </w:r>
          </w:p>
        </w:tc>
        <w:tc>
          <w:tcPr>
            <w:tcW w:w="2860" w:type="dxa"/>
            <w:vAlign w:val="bottom"/>
          </w:tcPr>
          <w:p>
            <w:pPr>
              <w:spacing w:after="0"/>
              <w:rPr>
                <w:sz w:val="20"/>
                <w:szCs w:val="20"/>
                <w:color w:val="auto"/>
              </w:rPr>
            </w:pPr>
            <w:r>
              <w:rPr>
                <w:rFonts w:ascii="Arial" w:cs="Arial" w:eastAsia="Arial" w:hAnsi="Arial"/>
                <w:sz w:val="18"/>
                <w:szCs w:val="18"/>
                <w:color w:val="auto"/>
              </w:rPr>
              <w:t>Andrew Kennedy Lang</w:t>
            </w:r>
          </w:p>
        </w:tc>
      </w:tr>
      <w:tr>
        <w:trPr>
          <w:trHeight w:val="404"/>
        </w:trPr>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2860" w:type="dxa"/>
            <w:vAlign w:val="bottom"/>
          </w:tcPr>
          <w:p>
            <w:pPr>
              <w:spacing w:after="0"/>
              <w:rPr>
                <w:sz w:val="20"/>
                <w:szCs w:val="20"/>
                <w:color w:val="auto"/>
              </w:rPr>
            </w:pPr>
            <w:r>
              <w:rPr>
                <w:rFonts w:ascii="Arial" w:cs="Arial" w:eastAsia="Arial" w:hAnsi="Arial"/>
                <w:sz w:val="18"/>
                <w:szCs w:val="18"/>
                <w:color w:val="auto"/>
              </w:rPr>
              <w:t>Chief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/s/ Alexander R. Berger</w:t>
      </w:r>
    </w:p>
    <w:p>
      <w:pPr>
        <w:spacing w:after="0" w:line="23"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ALEXANDER R. BERGER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3213735</wp:posOffset>
            </wp:positionH>
            <wp:positionV relativeFrom="paragraph">
              <wp:posOffset>-130810</wp:posOffset>
            </wp:positionV>
            <wp:extent cx="216979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169795" cy="8890"/>
                    </a:xfrm>
                    <a:prstGeom prst="rect">
                      <a:avLst/>
                    </a:prstGeom>
                    <a:noFill/>
                  </pic:spPr>
                </pic:pic>
              </a:graphicData>
            </a:graphic>
          </wp:anchor>
        </w:drawing>
        <w:drawing>
          <wp:anchor simplePos="0" relativeHeight="251657728" behindDoc="1" locked="0" layoutInCell="0" allowOverlap="1">
            <wp:simplePos x="0" y="0"/>
            <wp:positionH relativeFrom="column">
              <wp:posOffset>-413385</wp:posOffset>
            </wp:positionH>
            <wp:positionV relativeFrom="paragraph">
              <wp:posOffset>426085</wp:posOffset>
            </wp:positionV>
            <wp:extent cx="72466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559"/>
          </w:cols>
          <w:pgMar w:left="900" w:top="909" w:right="1440" w:bottom="1440" w:gutter="0" w:footer="0" w:header="0"/>
        </w:sectPr>
      </w:pPr>
    </w:p>
    <w:bookmarkStart w:id="41" w:name="page42"/>
    <w:bookmarkEnd w:id="41"/>
    <w:p>
      <w:pPr>
        <w:jc w:val="center"/>
        <w:ind w:right="-79"/>
        <w:spacing w:after="0"/>
        <w:rPr>
          <w:sz w:val="20"/>
          <w:szCs w:val="20"/>
          <w:color w:val="auto"/>
        </w:rPr>
      </w:pPr>
      <w:r>
        <w:rPr>
          <w:rFonts w:ascii="Arial" w:cs="Arial" w:eastAsia="Arial" w:hAnsi="Arial"/>
          <w:sz w:val="18"/>
          <w:szCs w:val="18"/>
          <w:b w:val="1"/>
          <w:bCs w:val="1"/>
          <w:color w:val="auto"/>
        </w:rPr>
        <w:t>AMENDMENT NO. 2</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TO</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EMPLOYMENT AGREEMENT</w:t>
      </w:r>
    </w:p>
    <w:p>
      <w:pPr>
        <w:spacing w:after="0" w:line="207" w:lineRule="exact"/>
        <w:rPr>
          <w:sz w:val="20"/>
          <w:szCs w:val="20"/>
          <w:color w:val="auto"/>
        </w:rPr>
      </w:pPr>
    </w:p>
    <w:p>
      <w:pPr>
        <w:jc w:val="both"/>
        <w:ind w:firstLine="583"/>
        <w:spacing w:after="0" w:line="261" w:lineRule="auto"/>
        <w:rPr>
          <w:sz w:val="20"/>
          <w:szCs w:val="20"/>
          <w:color w:val="auto"/>
        </w:rPr>
      </w:pPr>
      <w:r>
        <w:rPr>
          <w:rFonts w:ascii="Arial" w:cs="Arial" w:eastAsia="Arial" w:hAnsi="Arial"/>
          <w:sz w:val="18"/>
          <w:szCs w:val="18"/>
          <w:color w:val="auto"/>
        </w:rPr>
        <w:t>This Amendment No. 2 to Employment Agreement (the "</w:t>
      </w:r>
      <w:r>
        <w:rPr>
          <w:rFonts w:ascii="Arial" w:cs="Arial" w:eastAsia="Arial" w:hAnsi="Arial"/>
          <w:sz w:val="18"/>
          <w:szCs w:val="18"/>
          <w:b w:val="1"/>
          <w:bCs w:val="1"/>
          <w:color w:val="auto"/>
        </w:rPr>
        <w:t>Amendment</w:t>
      </w:r>
      <w:r>
        <w:rPr>
          <w:rFonts w:ascii="Arial" w:cs="Arial" w:eastAsia="Arial" w:hAnsi="Arial"/>
          <w:sz w:val="18"/>
          <w:szCs w:val="18"/>
          <w:color w:val="auto"/>
        </w:rPr>
        <w:t>"), dated as of March 11, 2012, is entered into by and between Innovate/Protect, Inc., a Delaware corporation (the "</w:t>
      </w:r>
      <w:r>
        <w:rPr>
          <w:rFonts w:ascii="Arial" w:cs="Arial" w:eastAsia="Arial" w:hAnsi="Arial"/>
          <w:sz w:val="18"/>
          <w:szCs w:val="18"/>
          <w:b w:val="1"/>
          <w:bCs w:val="1"/>
          <w:color w:val="auto"/>
        </w:rPr>
        <w:t>Company</w:t>
      </w:r>
      <w:r>
        <w:rPr>
          <w:rFonts w:ascii="Arial" w:cs="Arial" w:eastAsia="Arial" w:hAnsi="Arial"/>
          <w:sz w:val="18"/>
          <w:szCs w:val="18"/>
          <w:color w:val="auto"/>
        </w:rPr>
        <w:t>"), and Alexander R. Berger (the "</w:t>
      </w:r>
      <w:r>
        <w:rPr>
          <w:rFonts w:ascii="Arial" w:cs="Arial" w:eastAsia="Arial" w:hAnsi="Arial"/>
          <w:sz w:val="18"/>
          <w:szCs w:val="18"/>
          <w:b w:val="1"/>
          <w:bCs w:val="1"/>
          <w:color w:val="auto"/>
        </w:rPr>
        <w:t>Executive</w:t>
      </w:r>
      <w:r>
        <w:rPr>
          <w:rFonts w:ascii="Arial" w:cs="Arial" w:eastAsia="Arial" w:hAnsi="Arial"/>
          <w:sz w:val="18"/>
          <w:szCs w:val="18"/>
          <w:color w:val="auto"/>
        </w:rPr>
        <w:t>"), for purposes of amending the terms of that certain Employment Agreement, dated August 10, 2011 and amended by Amendment No. 1 to Employment Agreement dated November 15, 2011 (as amended the "</w:t>
      </w:r>
      <w:r>
        <w:rPr>
          <w:rFonts w:ascii="Arial" w:cs="Arial" w:eastAsia="Arial" w:hAnsi="Arial"/>
          <w:sz w:val="18"/>
          <w:szCs w:val="18"/>
          <w:b w:val="1"/>
          <w:bCs w:val="1"/>
          <w:color w:val="auto"/>
        </w:rPr>
        <w:t>Agreement</w:t>
      </w:r>
      <w:r>
        <w:rPr>
          <w:rFonts w:ascii="Arial" w:cs="Arial" w:eastAsia="Arial" w:hAnsi="Arial"/>
          <w:sz w:val="18"/>
          <w:szCs w:val="18"/>
          <w:color w:val="auto"/>
        </w:rPr>
        <w:t>").</w:t>
      </w:r>
    </w:p>
    <w:p>
      <w:pPr>
        <w:spacing w:after="0" w:line="180" w:lineRule="exact"/>
        <w:rPr>
          <w:sz w:val="20"/>
          <w:szCs w:val="20"/>
          <w:color w:val="auto"/>
        </w:rPr>
      </w:pPr>
    </w:p>
    <w:p>
      <w:pPr>
        <w:ind w:right="60" w:firstLine="583"/>
        <w:spacing w:after="0" w:line="313" w:lineRule="auto"/>
        <w:rPr>
          <w:sz w:val="20"/>
          <w:szCs w:val="20"/>
          <w:color w:val="auto"/>
        </w:rPr>
      </w:pPr>
      <w:r>
        <w:rPr>
          <w:rFonts w:ascii="Arial" w:cs="Arial" w:eastAsia="Arial" w:hAnsi="Arial"/>
          <w:sz w:val="17"/>
          <w:szCs w:val="17"/>
          <w:b w:val="1"/>
          <w:bCs w:val="1"/>
          <w:color w:val="auto"/>
        </w:rPr>
        <w:t xml:space="preserve">WHEREAS, </w:t>
      </w:r>
      <w:r>
        <w:rPr>
          <w:rFonts w:ascii="Arial" w:cs="Arial" w:eastAsia="Arial" w:hAnsi="Arial"/>
          <w:sz w:val="17"/>
          <w:szCs w:val="17"/>
          <w:color w:val="auto"/>
        </w:rPr>
        <w:t>the Company and Executive desire to amend certain terms of the Agreement as set forth in this Amendment to comply with Section</w:t>
      </w:r>
      <w:r>
        <w:rPr>
          <w:rFonts w:ascii="Arial" w:cs="Arial" w:eastAsia="Arial" w:hAnsi="Arial"/>
          <w:sz w:val="17"/>
          <w:szCs w:val="17"/>
          <w:b w:val="1"/>
          <w:bCs w:val="1"/>
          <w:color w:val="auto"/>
        </w:rPr>
        <w:t xml:space="preserve"> </w:t>
      </w:r>
      <w:r>
        <w:rPr>
          <w:rFonts w:ascii="Arial" w:cs="Arial" w:eastAsia="Arial" w:hAnsi="Arial"/>
          <w:sz w:val="17"/>
          <w:szCs w:val="17"/>
          <w:color w:val="auto"/>
        </w:rPr>
        <w:t>409A of the Internal Revenue Code of 1986, as amended, and certain rules relating to the payment of performance-based compensation.</w:t>
      </w:r>
    </w:p>
    <w:p>
      <w:pPr>
        <w:spacing w:after="0" w:line="138" w:lineRule="exact"/>
        <w:rPr>
          <w:sz w:val="20"/>
          <w:szCs w:val="20"/>
          <w:color w:val="auto"/>
        </w:rPr>
      </w:pPr>
    </w:p>
    <w:p>
      <w:pPr>
        <w:ind w:left="600"/>
        <w:spacing w:after="0"/>
        <w:rPr>
          <w:sz w:val="20"/>
          <w:szCs w:val="20"/>
          <w:color w:val="auto"/>
        </w:rPr>
      </w:pPr>
      <w:r>
        <w:rPr>
          <w:rFonts w:ascii="Arial" w:cs="Arial" w:eastAsia="Arial" w:hAnsi="Arial"/>
          <w:sz w:val="17"/>
          <w:szCs w:val="17"/>
          <w:b w:val="1"/>
          <w:bCs w:val="1"/>
          <w:color w:val="auto"/>
        </w:rPr>
        <w:t xml:space="preserve">NOW, THEREFORE, </w:t>
      </w:r>
      <w:r>
        <w:rPr>
          <w:rFonts w:ascii="Arial" w:cs="Arial" w:eastAsia="Arial" w:hAnsi="Arial"/>
          <w:sz w:val="17"/>
          <w:szCs w:val="17"/>
          <w:color w:val="auto"/>
        </w:rPr>
        <w:t>for good and valuable consideration, the receipt and sufficiency of which is hereby acknowledged, the parties amend the</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Agreement and agree as follows:</w:t>
      </w:r>
    </w:p>
    <w:p>
      <w:pPr>
        <w:spacing w:after="0" w:line="211" w:lineRule="exact"/>
        <w:rPr>
          <w:sz w:val="20"/>
          <w:szCs w:val="20"/>
          <w:color w:val="auto"/>
        </w:rPr>
      </w:pPr>
    </w:p>
    <w:p>
      <w:pPr>
        <w:ind w:left="1320" w:hanging="664"/>
        <w:spacing w:after="0"/>
        <w:tabs>
          <w:tab w:leader="none" w:pos="132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All capitalized terms not defined herein shall have the same meaning ascribed to them in the Agreement.</w:t>
      </w:r>
    </w:p>
    <w:p>
      <w:pPr>
        <w:spacing w:after="0" w:line="225" w:lineRule="exact"/>
        <w:rPr>
          <w:rFonts w:ascii="Arial" w:cs="Arial" w:eastAsia="Arial" w:hAnsi="Arial"/>
          <w:sz w:val="18"/>
          <w:szCs w:val="18"/>
          <w:color w:val="auto"/>
        </w:rPr>
      </w:pPr>
    </w:p>
    <w:p>
      <w:pPr>
        <w:ind w:left="1320" w:hanging="664"/>
        <w:spacing w:after="0"/>
        <w:tabs>
          <w:tab w:leader="none" w:pos="1320" w:val="left"/>
        </w:tabs>
        <w:numPr>
          <w:ilvl w:val="0"/>
          <w:numId w:val="77"/>
        </w:numPr>
        <w:rPr>
          <w:rFonts w:ascii="Arial" w:cs="Arial" w:eastAsia="Arial" w:hAnsi="Arial"/>
          <w:sz w:val="18"/>
          <w:szCs w:val="18"/>
          <w:color w:val="auto"/>
        </w:rPr>
      </w:pPr>
      <w:r>
        <w:rPr>
          <w:rFonts w:ascii="Arial" w:cs="Arial" w:eastAsia="Arial" w:hAnsi="Arial"/>
          <w:sz w:val="18"/>
          <w:szCs w:val="18"/>
          <w:color w:val="auto"/>
        </w:rPr>
        <w:t xml:space="preserve">The following shall be added after the last sentence of </w:t>
      </w:r>
      <w:r>
        <w:rPr>
          <w:rFonts w:ascii="Arial" w:cs="Arial" w:eastAsia="Arial" w:hAnsi="Arial"/>
          <w:sz w:val="18"/>
          <w:szCs w:val="18"/>
          <w:u w:val="single" w:color="auto"/>
          <w:color w:val="auto"/>
        </w:rPr>
        <w:t>Section 5</w:t>
      </w:r>
      <w:r>
        <w:rPr>
          <w:rFonts w:ascii="Arial" w:cs="Arial" w:eastAsia="Arial" w:hAnsi="Arial"/>
          <w:sz w:val="18"/>
          <w:szCs w:val="18"/>
          <w:color w:val="auto"/>
        </w:rPr>
        <w:t>.</w:t>
      </w:r>
    </w:p>
    <w:p>
      <w:pPr>
        <w:spacing w:after="0" w:line="225" w:lineRule="exact"/>
        <w:rPr>
          <w:sz w:val="20"/>
          <w:szCs w:val="20"/>
          <w:color w:val="auto"/>
        </w:rPr>
      </w:pPr>
    </w:p>
    <w:p>
      <w:pPr>
        <w:jc w:val="both"/>
        <w:ind w:left="1300" w:right="540"/>
        <w:spacing w:after="0" w:line="297" w:lineRule="auto"/>
        <w:rPr>
          <w:sz w:val="20"/>
          <w:szCs w:val="20"/>
          <w:color w:val="auto"/>
        </w:rPr>
      </w:pPr>
      <w:r>
        <w:rPr>
          <w:rFonts w:ascii="Arial" w:cs="Arial" w:eastAsia="Arial" w:hAnsi="Arial"/>
          <w:sz w:val="16"/>
          <w:szCs w:val="16"/>
          <w:color w:val="auto"/>
        </w:rPr>
        <w:t>"To the extent that the Company is required pursuant to Section 954 of the Dodd-Frank Wall Street Reform and Consumer Protection Act to develop and implement a policy (the "</w:t>
      </w:r>
      <w:r>
        <w:rPr>
          <w:rFonts w:ascii="Arial" w:cs="Arial" w:eastAsia="Arial" w:hAnsi="Arial"/>
          <w:sz w:val="16"/>
          <w:szCs w:val="16"/>
          <w:u w:val="single" w:color="auto"/>
          <w:color w:val="auto"/>
        </w:rPr>
        <w:t>Policy</w:t>
      </w:r>
      <w:r>
        <w:rPr>
          <w:rFonts w:ascii="Arial" w:cs="Arial" w:eastAsia="Arial" w:hAnsi="Arial"/>
          <w:sz w:val="16"/>
          <w:szCs w:val="16"/>
          <w:color w:val="auto"/>
        </w:rPr>
        <w:t>") providing for the recovery from the Executive of any payment of incentive-based compensation paid to the Executive that was based upon erroneous data contained in an accounting statement, this Agreement shall be deemed amended and the Policy incorporated herein by reference as of the date that the Company takes all necessary corporate action to adopt the Policy, without requiring any further action of the Company or the Executive."</w:t>
      </w:r>
    </w:p>
    <w:p>
      <w:pPr>
        <w:spacing w:after="0" w:line="158" w:lineRule="exact"/>
        <w:rPr>
          <w:sz w:val="20"/>
          <w:szCs w:val="20"/>
          <w:color w:val="auto"/>
        </w:rPr>
      </w:pPr>
    </w:p>
    <w:p>
      <w:pPr>
        <w:ind w:left="1320" w:hanging="664"/>
        <w:spacing w:after="0"/>
        <w:tabs>
          <w:tab w:leader="none" w:pos="1320" w:val="left"/>
        </w:tabs>
        <w:numPr>
          <w:ilvl w:val="0"/>
          <w:numId w:val="78"/>
        </w:numPr>
        <w:rPr>
          <w:rFonts w:ascii="Arial" w:cs="Arial" w:eastAsia="Arial" w:hAnsi="Arial"/>
          <w:sz w:val="18"/>
          <w:szCs w:val="18"/>
          <w:color w:val="auto"/>
        </w:rPr>
      </w:pPr>
      <w:r>
        <w:rPr>
          <w:rFonts w:ascii="Arial" w:cs="Arial" w:eastAsia="Arial" w:hAnsi="Arial"/>
          <w:sz w:val="18"/>
          <w:szCs w:val="18"/>
          <w:color w:val="auto"/>
        </w:rPr>
        <w:t xml:space="preserve">The complete paragraph following </w:t>
      </w:r>
      <w:r>
        <w:rPr>
          <w:rFonts w:ascii="Arial" w:cs="Arial" w:eastAsia="Arial" w:hAnsi="Arial"/>
          <w:sz w:val="18"/>
          <w:szCs w:val="18"/>
          <w:u w:val="single" w:color="auto"/>
          <w:color w:val="auto"/>
        </w:rPr>
        <w:t>Section 9(f)(3)(D)</w:t>
      </w:r>
      <w:r>
        <w:rPr>
          <w:rFonts w:ascii="Arial" w:cs="Arial" w:eastAsia="Arial" w:hAnsi="Arial"/>
          <w:sz w:val="18"/>
          <w:szCs w:val="18"/>
          <w:color w:val="auto"/>
        </w:rPr>
        <w:t xml:space="preserve"> shall be deleted in its entirety and replaced with the following:</w:t>
      </w:r>
    </w:p>
    <w:p>
      <w:pPr>
        <w:spacing w:after="0" w:line="225" w:lineRule="exact"/>
        <w:rPr>
          <w:sz w:val="20"/>
          <w:szCs w:val="20"/>
          <w:color w:val="auto"/>
        </w:rPr>
      </w:pPr>
    </w:p>
    <w:p>
      <w:pPr>
        <w:jc w:val="both"/>
        <w:ind w:left="1300" w:right="580"/>
        <w:spacing w:after="0" w:line="286" w:lineRule="auto"/>
        <w:rPr>
          <w:sz w:val="20"/>
          <w:szCs w:val="20"/>
          <w:color w:val="auto"/>
        </w:rPr>
      </w:pPr>
      <w:r>
        <w:rPr>
          <w:rFonts w:ascii="Arial" w:cs="Arial" w:eastAsia="Arial" w:hAnsi="Arial"/>
          <w:sz w:val="16"/>
          <w:szCs w:val="16"/>
          <w:color w:val="auto"/>
        </w:rPr>
        <w:t xml:space="preserve">"The amounts payable pursuant to </w:t>
      </w:r>
      <w:r>
        <w:rPr>
          <w:rFonts w:ascii="Arial" w:cs="Arial" w:eastAsia="Arial" w:hAnsi="Arial"/>
          <w:sz w:val="16"/>
          <w:szCs w:val="16"/>
          <w:u w:val="single" w:color="auto"/>
          <w:color w:val="auto"/>
        </w:rPr>
        <w:t>Section 9(f)(3)(C)</w:t>
      </w:r>
      <w:r>
        <w:rPr>
          <w:rFonts w:ascii="Arial" w:cs="Arial" w:eastAsia="Arial" w:hAnsi="Arial"/>
          <w:sz w:val="16"/>
          <w:szCs w:val="16"/>
          <w:color w:val="auto"/>
        </w:rPr>
        <w:t xml:space="preserve"> shall be paid in substantially equal installments pursuant to the Company's standard payroll procedures commencing on or before the ninetieth (90th) day following the effective date of the termination of the Executive's employment, provided, that, in the event that such ninety (90) day period begins in one taxable year of the Executive and ends in a later taxable year, the payments will commence on the first payroll date of the second taxable year. The amounts payable pursuant to </w:t>
      </w:r>
      <w:r>
        <w:rPr>
          <w:rFonts w:ascii="Arial" w:cs="Arial" w:eastAsia="Arial" w:hAnsi="Arial"/>
          <w:sz w:val="16"/>
          <w:szCs w:val="16"/>
          <w:u w:val="single" w:color="auto"/>
          <w:color w:val="auto"/>
        </w:rPr>
        <w:t>Section 9(f)(3)(D)</w:t>
      </w:r>
      <w:r>
        <w:rPr>
          <w:rFonts w:ascii="Arial" w:cs="Arial" w:eastAsia="Arial" w:hAnsi="Arial"/>
          <w:sz w:val="16"/>
          <w:szCs w:val="16"/>
          <w:color w:val="auto"/>
        </w:rPr>
        <w:t xml:space="preserve"> shall be paid when such amounts would have been paid had the Executive remained employed by the Company on the payment date, but in no event will such amounts be paid later than March 15 of the year following the year in which the Executive's employment was terminated. The Company shall deduct, from all payments made hereunder, all applicable taxes, including income tax, FICA and FUTA, and other appropriate deductions. If the payment by the Company of any health insurance premiums pursuant to </w:t>
      </w:r>
      <w:r>
        <w:rPr>
          <w:rFonts w:ascii="Arial" w:cs="Arial" w:eastAsia="Arial" w:hAnsi="Arial"/>
          <w:sz w:val="16"/>
          <w:szCs w:val="16"/>
          <w:u w:val="single" w:color="auto"/>
          <w:color w:val="auto"/>
        </w:rPr>
        <w:t>Section 9(f)(3)(B)</w:t>
      </w:r>
      <w:r>
        <w:rPr>
          <w:rFonts w:ascii="Arial" w:cs="Arial" w:eastAsia="Arial" w:hAnsi="Arial"/>
          <w:sz w:val="16"/>
          <w:szCs w:val="16"/>
          <w:color w:val="auto"/>
        </w:rPr>
        <w:t xml:space="preserve"> would otherwise violate the nondiscrimination rules or cause the reimbursement of claims to be taxable under the Patient Protection and Affordable Care Act of 2010, together with the Health Care and Education Reconciliation Act of 2010 (collectively, the "Act") or Section 105(h) of the Code, the Company paid premiums shall be treated as taxable payments and be subject to imputed income tax treatment to the extent necessary to eliminate any discriminatory treatment or taxation under the Act or Section 105(h) of the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394335</wp:posOffset>
            </wp:positionV>
            <wp:extent cx="72466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40" w:top="904" w:right="319" w:bottom="1440" w:gutter="0" w:footer="0" w:header="0"/>
        </w:sectPr>
      </w:pPr>
    </w:p>
    <w:bookmarkStart w:id="42" w:name="page43"/>
    <w:bookmarkEnd w:id="42"/>
    <w:p>
      <w:pPr>
        <w:ind w:left="1260" w:hanging="684"/>
        <w:spacing w:after="0"/>
        <w:tabs>
          <w:tab w:leader="none" w:pos="1260" w:val="left"/>
        </w:tabs>
        <w:numPr>
          <w:ilvl w:val="0"/>
          <w:numId w:val="79"/>
        </w:numPr>
        <w:rPr>
          <w:rFonts w:ascii="Arial" w:cs="Arial" w:eastAsia="Arial" w:hAnsi="Arial"/>
          <w:sz w:val="18"/>
          <w:szCs w:val="18"/>
          <w:color w:val="auto"/>
        </w:rPr>
      </w:pPr>
      <w:r>
        <w:rPr>
          <w:rFonts w:ascii="Arial" w:cs="Arial" w:eastAsia="Arial" w:hAnsi="Arial"/>
          <w:sz w:val="18"/>
          <w:szCs w:val="18"/>
          <w:u w:val="single" w:color="auto"/>
          <w:color w:val="auto"/>
        </w:rPr>
        <w:t>Section 9(h)</w:t>
      </w:r>
      <w:r>
        <w:rPr>
          <w:rFonts w:ascii="Arial" w:cs="Arial" w:eastAsia="Arial" w:hAnsi="Arial"/>
          <w:sz w:val="18"/>
          <w:szCs w:val="18"/>
          <w:color w:val="auto"/>
        </w:rPr>
        <w:t xml:space="preserve"> is deleted in its entirety and replaced with the following:</w:t>
      </w:r>
    </w:p>
    <w:p>
      <w:pPr>
        <w:spacing w:after="0" w:line="225" w:lineRule="exact"/>
        <w:rPr>
          <w:sz w:val="20"/>
          <w:szCs w:val="20"/>
          <w:color w:val="auto"/>
        </w:rPr>
      </w:pPr>
    </w:p>
    <w:p>
      <w:pPr>
        <w:jc w:val="both"/>
        <w:ind w:left="1220" w:right="580" w:firstLine="648"/>
        <w:spacing w:after="0" w:line="288" w:lineRule="auto"/>
        <w:rPr>
          <w:sz w:val="20"/>
          <w:szCs w:val="20"/>
          <w:color w:val="auto"/>
        </w:rPr>
      </w:pPr>
      <w:r>
        <w:rPr>
          <w:rFonts w:ascii="Arial" w:cs="Arial" w:eastAsia="Arial" w:hAnsi="Arial"/>
          <w:sz w:val="16"/>
          <w:szCs w:val="16"/>
          <w:color w:val="auto"/>
        </w:rPr>
        <w:t xml:space="preserve">"(h) </w:t>
      </w:r>
      <w:r>
        <w:rPr>
          <w:rFonts w:ascii="Arial" w:cs="Arial" w:eastAsia="Arial" w:hAnsi="Arial"/>
          <w:sz w:val="16"/>
          <w:szCs w:val="16"/>
          <w:u w:val="single" w:color="auto"/>
          <w:color w:val="auto"/>
        </w:rPr>
        <w:t>Release of Claims</w:t>
      </w:r>
      <w:r>
        <w:rPr>
          <w:rFonts w:ascii="Arial" w:cs="Arial" w:eastAsia="Arial" w:hAnsi="Arial"/>
          <w:sz w:val="16"/>
          <w:szCs w:val="16"/>
          <w:color w:val="auto"/>
        </w:rPr>
        <w:t>. It is agreed that a condition of the payment by the Company of any severance amount or post-termination benefit called for under this Agreement or otherwise shall be subject to the Company's concurrent receipt of a general release of all claims against the Company and its affiliates by Executive in the form reasonably acceptable to the Company and</w:t>
      </w:r>
    </w:p>
    <w:p>
      <w:pPr>
        <w:jc w:val="both"/>
        <w:ind w:left="1220" w:right="580"/>
        <w:spacing w:after="0" w:line="205" w:lineRule="auto"/>
        <w:rPr>
          <w:sz w:val="20"/>
          <w:szCs w:val="20"/>
          <w:color w:val="auto"/>
        </w:rPr>
      </w:pPr>
      <w:r>
        <w:rPr>
          <w:rFonts w:ascii="Arial" w:cs="Arial" w:eastAsia="Arial" w:hAnsi="Arial"/>
          <w:sz w:val="18"/>
          <w:szCs w:val="18"/>
          <w:color w:val="auto"/>
        </w:rPr>
        <w:t>Executive (the "</w:t>
      </w:r>
      <w:r>
        <w:rPr>
          <w:rFonts w:ascii="Arial" w:cs="Arial" w:eastAsia="Arial" w:hAnsi="Arial"/>
          <w:sz w:val="18"/>
          <w:szCs w:val="18"/>
          <w:u w:val="single" w:color="auto"/>
          <w:color w:val="auto"/>
        </w:rPr>
        <w:t>Release</w:t>
      </w:r>
      <w:r>
        <w:rPr>
          <w:rFonts w:ascii="Arial" w:cs="Arial" w:eastAsia="Arial" w:hAnsi="Arial"/>
          <w:sz w:val="18"/>
          <w:szCs w:val="18"/>
          <w:color w:val="auto"/>
        </w:rPr>
        <w:t>"). The Release must be effective and irrevocable prior to the ninetieth (90</w:t>
      </w:r>
      <w:r>
        <w:rPr>
          <w:rFonts w:ascii="Arial" w:cs="Arial" w:eastAsia="Arial" w:hAnsi="Arial"/>
          <w:sz w:val="30"/>
          <w:szCs w:val="30"/>
          <w:color w:val="auto"/>
          <w:vertAlign w:val="superscript"/>
        </w:rPr>
        <w:t>th</w:t>
      </w:r>
      <w:r>
        <w:rPr>
          <w:rFonts w:ascii="Arial" w:cs="Arial" w:eastAsia="Arial" w:hAnsi="Arial"/>
          <w:sz w:val="18"/>
          <w:szCs w:val="18"/>
          <w:color w:val="auto"/>
        </w:rPr>
        <w:t>) day following the termination of the Executive's employment."</w:t>
      </w:r>
    </w:p>
    <w:p>
      <w:pPr>
        <w:spacing w:after="0" w:line="203" w:lineRule="exact"/>
        <w:rPr>
          <w:sz w:val="20"/>
          <w:szCs w:val="20"/>
          <w:color w:val="auto"/>
        </w:rPr>
      </w:pPr>
    </w:p>
    <w:p>
      <w:pPr>
        <w:ind w:left="-80" w:firstLine="721"/>
        <w:spacing w:after="0" w:line="277" w:lineRule="auto"/>
        <w:tabs>
          <w:tab w:leader="none" w:pos="1412" w:val="left"/>
        </w:tabs>
        <w:numPr>
          <w:ilvl w:val="0"/>
          <w:numId w:val="80"/>
        </w:numPr>
        <w:rPr>
          <w:rFonts w:ascii="Arial" w:cs="Arial" w:eastAsia="Arial" w:hAnsi="Arial"/>
          <w:sz w:val="18"/>
          <w:szCs w:val="18"/>
          <w:color w:val="auto"/>
        </w:rPr>
      </w:pPr>
      <w:r>
        <w:rPr>
          <w:rFonts w:ascii="Arial" w:cs="Arial" w:eastAsia="Arial" w:hAnsi="Arial"/>
          <w:sz w:val="18"/>
          <w:szCs w:val="18"/>
          <w:color w:val="auto"/>
        </w:rPr>
        <w:t>Except as specifically set forth in this Amendment, there are no other amendments to the Agreement and the Agreement shall remain unmodified and in full force and effect.</w:t>
      </w:r>
    </w:p>
    <w:p>
      <w:pPr>
        <w:spacing w:after="0" w:line="170" w:lineRule="exact"/>
        <w:rPr>
          <w:rFonts w:ascii="Arial" w:cs="Arial" w:eastAsia="Arial" w:hAnsi="Arial"/>
          <w:sz w:val="18"/>
          <w:szCs w:val="18"/>
          <w:color w:val="auto"/>
        </w:rPr>
      </w:pPr>
    </w:p>
    <w:p>
      <w:pPr>
        <w:jc w:val="both"/>
        <w:ind w:left="-80" w:right="20" w:firstLine="721"/>
        <w:spacing w:after="0" w:line="302" w:lineRule="auto"/>
        <w:tabs>
          <w:tab w:leader="none" w:pos="1300" w:val="left"/>
        </w:tabs>
        <w:numPr>
          <w:ilvl w:val="0"/>
          <w:numId w:val="80"/>
        </w:numPr>
        <w:rPr>
          <w:rFonts w:ascii="Arial" w:cs="Arial" w:eastAsia="Arial" w:hAnsi="Arial"/>
          <w:sz w:val="16"/>
          <w:szCs w:val="16"/>
          <w:color w:val="auto"/>
        </w:rPr>
      </w:pPr>
      <w:r>
        <w:rPr>
          <w:rFonts w:ascii="Arial" w:cs="Arial" w:eastAsia="Arial" w:hAnsi="Arial"/>
          <w:sz w:val="16"/>
          <w:szCs w:val="16"/>
          <w:color w:val="auto"/>
        </w:rPr>
        <w:t>Executive represents and agrees that he fully understands his right to discuss all aspects of this Amendment with his private attorney, that to the extent, if any that he desired, he availed himself of this right, that he has carefully read and fully understands all provisions of this Amendment, that he is competent to execute this Amendment, that his agreement to execute this Amendment has not been obtained by any duress and that he freely and voluntarily enters into it, and that he has read this document in its entirety and fully understands the meaning, intent and consequences of this Amendment.</w:t>
      </w:r>
    </w:p>
    <w:p>
      <w:pPr>
        <w:spacing w:after="0" w:line="154" w:lineRule="exact"/>
        <w:rPr>
          <w:rFonts w:ascii="Arial" w:cs="Arial" w:eastAsia="Arial" w:hAnsi="Arial"/>
          <w:sz w:val="16"/>
          <w:szCs w:val="16"/>
          <w:color w:val="auto"/>
        </w:rPr>
      </w:pPr>
    </w:p>
    <w:p>
      <w:pPr>
        <w:jc w:val="both"/>
        <w:ind w:left="-80" w:firstLine="721"/>
        <w:spacing w:after="0" w:line="259" w:lineRule="auto"/>
        <w:tabs>
          <w:tab w:leader="none" w:pos="1413"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This Amendment shall be governed by and construed in accordance with the domestic laws of the State of New York, without giving effect to any choice of law or conflict of law provision or rule (whether the State of New York or any other jurisdiction) that would cause the application of the laws of any jurisdiction other than the State of New York. This Amendment may be executed in one or more counterparts, any one of which may be by facsimile, and all of which taken together shall constitute one and the same instrument.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426720</wp:posOffset>
            </wp:positionV>
            <wp:extent cx="72466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80"/>
          </w:cols>
          <w:pgMar w:left="320" w:top="909" w:right="299" w:bottom="1440" w:gutter="0" w:footer="0" w:header="0"/>
        </w:sectPr>
      </w:pPr>
    </w:p>
    <w:bookmarkStart w:id="43" w:name="page44"/>
    <w:bookmarkEnd w:id="43"/>
    <w:p>
      <w:pPr>
        <w:ind w:left="2700"/>
        <w:spacing w:after="0"/>
        <w:rPr>
          <w:sz w:val="20"/>
          <w:szCs w:val="20"/>
          <w:color w:val="auto"/>
        </w:rPr>
      </w:pPr>
      <w:r>
        <w:rPr>
          <w:rFonts w:ascii="Arial" w:cs="Arial" w:eastAsia="Arial" w:hAnsi="Arial"/>
          <w:sz w:val="18"/>
          <w:szCs w:val="18"/>
          <w:i w:val="1"/>
          <w:iCs w:val="1"/>
          <w:color w:val="auto"/>
        </w:rPr>
        <w:t>[Signature Page to Amendment No. 2 to Employment Agreement]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parties have executed this Amendment as of the date first above written.</w:t>
      </w:r>
    </w:p>
    <w:p>
      <w:pPr>
        <w:spacing w:after="0" w:line="200" w:lineRule="exact"/>
        <w:rPr>
          <w:sz w:val="20"/>
          <w:szCs w:val="20"/>
          <w:color w:val="auto"/>
        </w:rPr>
      </w:pPr>
    </w:p>
    <w:p>
      <w:pPr>
        <w:spacing w:after="0" w:line="241"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INNOVATE/PROTECT, INC.</w:t>
      </w:r>
    </w:p>
    <w:p>
      <w:pPr>
        <w:spacing w:after="0" w:line="229" w:lineRule="exact"/>
        <w:rPr>
          <w:sz w:val="20"/>
          <w:szCs w:val="20"/>
          <w:color w:val="auto"/>
        </w:rPr>
      </w:pPr>
    </w:p>
    <w:tbl>
      <w:tblPr>
        <w:tblLayout w:type="fixed"/>
        <w:tblInd w:w="506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2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Andrew Kennedy Lang</w:t>
            </w:r>
          </w:p>
        </w:tc>
      </w:tr>
      <w:tr>
        <w:trPr>
          <w:trHeight w:val="224"/>
        </w:trPr>
        <w:tc>
          <w:tcPr>
            <w:tcW w:w="560" w:type="dxa"/>
            <w:vAlign w:val="bottom"/>
          </w:tcPr>
          <w:p>
            <w:pPr>
              <w:spacing w:after="0"/>
              <w:rPr>
                <w:sz w:val="20"/>
                <w:szCs w:val="20"/>
                <w:color w:val="auto"/>
              </w:rPr>
            </w:pPr>
            <w:r>
              <w:rPr>
                <w:rFonts w:ascii="Arial" w:cs="Arial" w:eastAsia="Arial" w:hAnsi="Arial"/>
                <w:sz w:val="18"/>
                <w:szCs w:val="18"/>
                <w:color w:val="auto"/>
              </w:rPr>
              <w:t>Name:</w:t>
            </w:r>
          </w:p>
        </w:tc>
        <w:tc>
          <w:tcPr>
            <w:tcW w:w="2860" w:type="dxa"/>
            <w:vAlign w:val="bottom"/>
          </w:tcPr>
          <w:p>
            <w:pPr>
              <w:spacing w:after="0"/>
              <w:rPr>
                <w:sz w:val="20"/>
                <w:szCs w:val="20"/>
                <w:color w:val="auto"/>
              </w:rPr>
            </w:pPr>
            <w:r>
              <w:rPr>
                <w:rFonts w:ascii="Arial" w:cs="Arial" w:eastAsia="Arial" w:hAnsi="Arial"/>
                <w:sz w:val="18"/>
                <w:szCs w:val="18"/>
                <w:color w:val="auto"/>
              </w:rPr>
              <w:t>Andrew Kennedy Lang</w:t>
            </w:r>
          </w:p>
        </w:tc>
      </w:tr>
      <w:tr>
        <w:trPr>
          <w:trHeight w:val="404"/>
        </w:trPr>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2860" w:type="dxa"/>
            <w:vAlign w:val="bottom"/>
          </w:tcPr>
          <w:p>
            <w:pPr>
              <w:spacing w:after="0"/>
              <w:rPr>
                <w:sz w:val="20"/>
                <w:szCs w:val="20"/>
                <w:color w:val="auto"/>
              </w:rPr>
            </w:pPr>
            <w:r>
              <w:rPr>
                <w:rFonts w:ascii="Arial" w:cs="Arial" w:eastAsia="Arial" w:hAnsi="Arial"/>
                <w:sz w:val="18"/>
                <w:szCs w:val="18"/>
                <w:color w:val="auto"/>
              </w:rPr>
              <w:t>Chief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/s/ Alexander R. Berger</w:t>
      </w:r>
    </w:p>
    <w:p>
      <w:pPr>
        <w:spacing w:after="0" w:line="23"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ALEXANDER R. BERGER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3213735</wp:posOffset>
            </wp:positionH>
            <wp:positionV relativeFrom="paragraph">
              <wp:posOffset>-130810</wp:posOffset>
            </wp:positionV>
            <wp:extent cx="216979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169795" cy="8890"/>
                    </a:xfrm>
                    <a:prstGeom prst="rect">
                      <a:avLst/>
                    </a:prstGeom>
                    <a:noFill/>
                  </pic:spPr>
                </pic:pic>
              </a:graphicData>
            </a:graphic>
          </wp:anchor>
        </w:drawing>
        <w:drawing>
          <wp:anchor simplePos="0" relativeHeight="251657728" behindDoc="1" locked="0" layoutInCell="0" allowOverlap="1">
            <wp:simplePos x="0" y="0"/>
            <wp:positionH relativeFrom="column">
              <wp:posOffset>-413385</wp:posOffset>
            </wp:positionH>
            <wp:positionV relativeFrom="paragraph">
              <wp:posOffset>426085</wp:posOffset>
            </wp:positionV>
            <wp:extent cx="72466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559"/>
          </w:cols>
          <w:pgMar w:left="900" w:top="909" w:right="1440" w:bottom="1440" w:gutter="0" w:footer="0" w:header="0"/>
        </w:sectPr>
      </w:pPr>
    </w:p>
    <w:bookmarkStart w:id="44" w:name="page45"/>
    <w:bookmarkEnd w:id="44"/>
    <w:p>
      <w:pPr>
        <w:ind w:left="9280"/>
        <w:spacing w:after="0"/>
        <w:rPr>
          <w:sz w:val="20"/>
          <w:szCs w:val="20"/>
          <w:color w:val="auto"/>
        </w:rPr>
      </w:pPr>
      <w:r>
        <w:rPr>
          <w:rFonts w:ascii="Arial" w:cs="Arial" w:eastAsia="Arial" w:hAnsi="Arial"/>
          <w:sz w:val="16"/>
          <w:szCs w:val="16"/>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31750</wp:posOffset>
            </wp:positionV>
            <wp:extent cx="7246620" cy="69380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6938010"/>
                    </a:xfrm>
                    <a:prstGeom prst="rect">
                      <a:avLst/>
                    </a:prstGeom>
                    <a:noFill/>
                  </pic:spPr>
                </pic:pic>
              </a:graphicData>
            </a:graphic>
          </wp:anchor>
        </w:drawing>
      </w:r>
    </w:p>
    <w:p>
      <w:pPr>
        <w:sectPr>
          <w:pgSz w:w="11900" w:h="16838" w:orient="portrait"/>
          <w:cols w:equalWidth="0" w:num="1">
            <w:col w:w="10220"/>
          </w:cols>
          <w:pgMar w:left="1440" w:top="364" w:right="239" w:bottom="1440" w:gutter="0" w:footer="0" w:header="0"/>
        </w:sectPr>
      </w:pPr>
    </w:p>
    <w:bookmarkStart w:id="45" w:name="page46"/>
    <w:bookmarkEnd w:id="4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603250</wp:posOffset>
            </wp:positionV>
            <wp:extent cx="7246620" cy="68008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680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63765" cy="70319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3765" cy="70319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603250</wp:posOffset>
            </wp:positionV>
            <wp:extent cx="7263765" cy="704088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3765" cy="70408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69634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69634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603250</wp:posOffset>
            </wp:positionV>
            <wp:extent cx="7246620" cy="7023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70237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7014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70148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603250</wp:posOffset>
            </wp:positionV>
            <wp:extent cx="7246620" cy="710057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71005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7014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70148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603250</wp:posOffset>
            </wp:positionV>
            <wp:extent cx="7246620" cy="711771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71177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 w:name="page55"/>
    <w:bookmarkEnd w:id="5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7558405</wp:posOffset>
            </wp:positionV>
            <wp:extent cx="72466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5" w:name="page56"/>
    <w:bookmarkEnd w:id="5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603250</wp:posOffset>
            </wp:positionV>
            <wp:extent cx="7246620" cy="706628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706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6" w:name="page57"/>
    <w:bookmarkEnd w:id="5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689483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68948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7" w:name="page58"/>
    <w:bookmarkEnd w:id="5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603250</wp:posOffset>
            </wp:positionV>
            <wp:extent cx="7246620" cy="69634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696341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80BD78F"/>
    <w:multiLevelType w:val="hybridMultilevel"/>
    <w:lvl w:ilvl="0">
      <w:lvlJc w:val="left"/>
      <w:lvlText w:val="☐"/>
      <w:numFmt w:val="bullet"/>
      <w:start w:val="1"/>
    </w:lvl>
  </w:abstractNum>
  <w:abstractNum w:abstractNumId="1">
    <w:nsid w:val="153EA438"/>
    <w:multiLevelType w:val="hybridMultilevel"/>
    <w:lvl w:ilvl="0">
      <w:lvlJc w:val="left"/>
      <w:lvlText w:val="(%1)"/>
      <w:numFmt w:val="lowerLetter"/>
      <w:start w:val="2"/>
    </w:lvl>
  </w:abstractNum>
  <w:abstractNum w:abstractNumId="2">
    <w:nsid w:val="3855585C"/>
    <w:multiLevelType w:val="hybridMultilevel"/>
    <w:lvl w:ilvl="0">
      <w:lvlJc w:val="left"/>
      <w:lvlText w:val="(%1)"/>
      <w:numFmt w:val="lowerLetter"/>
      <w:start w:val="5"/>
    </w:lvl>
  </w:abstractNum>
  <w:abstractNum w:abstractNumId="3">
    <w:nsid w:val="70A64E2A"/>
    <w:multiLevelType w:val="hybridMultilevel"/>
    <w:lvl w:ilvl="0">
      <w:lvlJc w:val="left"/>
      <w:lvlText w:val="(%1)"/>
      <w:numFmt w:val="lowerLetter"/>
      <w:start w:val="4"/>
    </w:lvl>
  </w:abstractNum>
  <w:abstractNum w:abstractNumId="4">
    <w:nsid w:val="6A2342EC"/>
    <w:multiLevelType w:val="hybridMultilevel"/>
    <w:lvl w:ilvl="0">
      <w:lvlJc w:val="left"/>
      <w:lvlText w:val="%1."/>
      <w:numFmt w:val="decimal"/>
      <w:start w:val="1"/>
    </w:lvl>
  </w:abstractNum>
  <w:abstractNum w:abstractNumId="5">
    <w:nsid w:val="2A487CB0"/>
    <w:multiLevelType w:val="hybridMultilevel"/>
    <w:lvl w:ilvl="0">
      <w:lvlJc w:val="left"/>
      <w:lvlText w:val="(%1)"/>
      <w:numFmt w:val="lowerRoman"/>
      <w:start w:val="4"/>
    </w:lvl>
    <w:lvl w:ilvl="1">
      <w:lvlJc w:val="left"/>
      <w:lvlText w:val="%2."/>
      <w:numFmt w:val="decimal"/>
      <w:start w:val="2"/>
    </w:lvl>
  </w:abstractNum>
  <w:abstractNum w:abstractNumId="6">
    <w:nsid w:val="1D4ED43B"/>
    <w:multiLevelType w:val="hybridMultilevel"/>
    <w:lvl w:ilvl="0">
      <w:lvlJc w:val="left"/>
      <w:lvlText w:val="%1."/>
      <w:numFmt w:val="decimal"/>
      <w:start w:val="3"/>
    </w:lvl>
  </w:abstractNum>
  <w:abstractNum w:abstractNumId="7">
    <w:nsid w:val="725A06FB"/>
    <w:multiLevelType w:val="hybridMultilevel"/>
    <w:lvl w:ilvl="0">
      <w:lvlJc w:val="left"/>
      <w:lvlText w:val="%1."/>
      <w:numFmt w:val="decimal"/>
      <w:start w:val="5"/>
    </w:lvl>
  </w:abstractNum>
  <w:abstractNum w:abstractNumId="8">
    <w:nsid w:val="2CD89A32"/>
    <w:multiLevelType w:val="hybridMultilevel"/>
    <w:lvl w:ilvl="0">
      <w:lvlJc w:val="left"/>
      <w:lvlText w:val="%1."/>
      <w:numFmt w:val="decimal"/>
      <w:start w:val="7"/>
    </w:lvl>
    <w:lvl w:ilvl="1">
      <w:lvlJc w:val="left"/>
      <w:lvlText w:val="(%2)"/>
      <w:numFmt w:val="lowerLetter"/>
      <w:start w:val="1"/>
    </w:lvl>
  </w:abstractNum>
  <w:abstractNum w:abstractNumId="9">
    <w:nsid w:val="57E4CCAF"/>
    <w:multiLevelType w:val="hybridMultilevel"/>
    <w:lvl w:ilvl="0">
      <w:lvlJc w:val="left"/>
      <w:lvlText w:val="%1."/>
      <w:numFmt w:val="decimal"/>
      <w:start w:val="8"/>
    </w:lvl>
  </w:abstractNum>
  <w:abstractNum w:abstractNumId="10">
    <w:nsid w:val="7A6D8D3C"/>
    <w:multiLevelType w:val="hybridMultilevel"/>
    <w:lvl w:ilvl="0">
      <w:lvlJc w:val="left"/>
      <w:lvlText w:val="(%1)"/>
      <w:numFmt w:val="lowerLetter"/>
      <w:start w:val="1"/>
    </w:lvl>
    <w:lvl w:ilvl="1">
      <w:lvlJc w:val="left"/>
      <w:lvlText w:val="(%2)"/>
      <w:numFmt w:val="lowerLetter"/>
      <w:start w:val="3"/>
    </w:lvl>
  </w:abstractNum>
  <w:abstractNum w:abstractNumId="11">
    <w:nsid w:val="4B588F54"/>
    <w:multiLevelType w:val="hybridMultilevel"/>
    <w:lvl w:ilvl="0">
      <w:lvlJc w:val="left"/>
      <w:lvlText w:val="(%1)"/>
      <w:numFmt w:val="lowerLetter"/>
      <w:start w:val="4"/>
    </w:lvl>
    <w:lvl w:ilvl="1">
      <w:lvlJc w:val="left"/>
      <w:lvlText w:val="(%2)"/>
      <w:numFmt w:val="decimal"/>
      <w:start w:val="1"/>
    </w:lvl>
  </w:abstractNum>
  <w:abstractNum w:abstractNumId="12">
    <w:nsid w:val="542289EC"/>
    <w:multiLevelType w:val="hybridMultilevel"/>
    <w:lvl w:ilvl="0">
      <w:lvlJc w:val="left"/>
      <w:lvlText w:val="%1"/>
      <w:numFmt w:val="lowerLetter"/>
      <w:start w:val="1"/>
    </w:lvl>
    <w:lvl w:ilvl="1">
      <w:lvlJc w:val="left"/>
      <w:lvlText w:val="(%2)"/>
      <w:numFmt w:val="decimal"/>
      <w:start w:val="2"/>
    </w:lvl>
  </w:abstractNum>
  <w:abstractNum w:abstractNumId="13">
    <w:nsid w:val="6DE91B18"/>
    <w:multiLevelType w:val="hybridMultilevel"/>
    <w:lvl w:ilvl="0">
      <w:lvlJc w:val="left"/>
      <w:lvlText w:val="(%1)"/>
      <w:numFmt w:val="lowerLetter"/>
      <w:start w:val="5"/>
    </w:lvl>
    <w:lvl w:ilvl="1">
      <w:lvlJc w:val="left"/>
      <w:lvlText w:val="(%2)"/>
      <w:numFmt w:val="decimal"/>
      <w:start w:val="1"/>
    </w:lvl>
  </w:abstractNum>
  <w:abstractNum w:abstractNumId="14">
    <w:nsid w:val="38437FDB"/>
    <w:multiLevelType w:val="hybridMultilevel"/>
    <w:lvl w:ilvl="0">
      <w:lvlJc w:val="left"/>
      <w:lvlText w:val="(%1)"/>
      <w:numFmt w:val="decimal"/>
      <w:start w:val="2"/>
    </w:lvl>
  </w:abstractNum>
  <w:abstractNum w:abstractNumId="15">
    <w:nsid w:val="7644A45C"/>
    <w:multiLevelType w:val="hybridMultilevel"/>
    <w:lvl w:ilvl="0">
      <w:lvlJc w:val="left"/>
      <w:lvlText w:val="(%1)"/>
      <w:numFmt w:val="lowerLetter"/>
      <w:start w:val="7"/>
    </w:lvl>
    <w:lvl w:ilvl="1">
      <w:lvlJc w:val="left"/>
      <w:lvlText w:val="(%2)"/>
      <w:numFmt w:val="lowerRoman"/>
      <w:start w:val="1"/>
    </w:lvl>
  </w:abstractNum>
  <w:abstractNum w:abstractNumId="16">
    <w:nsid w:val="32FFF902"/>
    <w:multiLevelType w:val="hybridMultilevel"/>
    <w:lvl w:ilvl="0">
      <w:lvlJc w:val="left"/>
      <w:lvlText w:val="(%1)"/>
      <w:numFmt w:val="upperLetter"/>
      <w:start w:val="8"/>
    </w:lvl>
  </w:abstractNum>
  <w:abstractNum w:abstractNumId="17">
    <w:nsid w:val="684A481A"/>
    <w:multiLevelType w:val="hybridMultilevel"/>
    <w:lvl w:ilvl="0">
      <w:lvlJc w:val="left"/>
      <w:lvlText w:val="(%1)"/>
      <w:numFmt w:val="lowerRoman"/>
      <w:start w:val="1"/>
    </w:lvl>
  </w:abstractNum>
  <w:abstractNum w:abstractNumId="18">
    <w:nsid w:val="579478FE"/>
    <w:multiLevelType w:val="hybridMultilevel"/>
    <w:lvl w:ilvl="0">
      <w:lvlJc w:val="left"/>
      <w:lvlText w:val="%1"/>
      <w:numFmt w:val="decimal"/>
      <w:start w:val="1"/>
    </w:lvl>
    <w:lvl w:ilvl="1">
      <w:lvlJc w:val="left"/>
      <w:lvlText w:val="(%2)"/>
      <w:numFmt w:val="lowerRoman"/>
      <w:start w:val="3"/>
    </w:lvl>
  </w:abstractNum>
  <w:abstractNum w:abstractNumId="19">
    <w:nsid w:val="749ABB43"/>
    <w:multiLevelType w:val="hybridMultilevel"/>
    <w:lvl w:ilvl="0">
      <w:lvlJc w:val="left"/>
      <w:lvlText w:val="%1."/>
      <w:numFmt w:val="decimal"/>
      <w:start w:val="10"/>
    </w:lvl>
    <w:lvl w:ilvl="1">
      <w:lvlJc w:val="left"/>
      <w:lvlText w:val="%2"/>
      <w:numFmt w:val="lowerRoman"/>
      <w:start w:val="1"/>
    </w:lvl>
  </w:abstractNum>
  <w:abstractNum w:abstractNumId="20">
    <w:nsid w:val="3DC240FB"/>
    <w:multiLevelType w:val="hybridMultilevel"/>
    <w:lvl w:ilvl="0">
      <w:lvlJc w:val="left"/>
      <w:lvlText w:val="%1"/>
      <w:numFmt w:val="decimal"/>
      <w:start w:val="1"/>
    </w:lvl>
    <w:lvl w:ilvl="1">
      <w:lvlJc w:val="left"/>
      <w:lvlText w:val="(%2)"/>
      <w:numFmt w:val="lowerLetter"/>
      <w:start w:val="1"/>
    </w:lvl>
  </w:abstractNum>
  <w:abstractNum w:abstractNumId="21">
    <w:nsid w:val="1BA026FA"/>
    <w:multiLevelType w:val="hybridMultilevel"/>
    <w:lvl w:ilvl="0">
      <w:lvlJc w:val="left"/>
      <w:lvlText w:val="%1."/>
      <w:numFmt w:val="decimal"/>
      <w:start w:val="11"/>
    </w:lvl>
    <w:lvl w:ilvl="1">
      <w:lvlJc w:val="left"/>
      <w:lvlText w:val="(%2)"/>
      <w:numFmt w:val="lowerLetter"/>
      <w:start w:val="1"/>
    </w:lvl>
  </w:abstractNum>
  <w:abstractNum w:abstractNumId="22">
    <w:nsid w:val="79A1DEAA"/>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23">
    <w:nsid w:val="75C6C33A"/>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24">
    <w:nsid w:val="12E685FB"/>
    <w:multiLevelType w:val="hybridMultilevel"/>
    <w:lvl w:ilvl="0">
      <w:lvlJc w:val="left"/>
      <w:lvlText w:val="(%1)"/>
      <w:numFmt w:val="decimal"/>
      <w:start w:val="12"/>
    </w:lvl>
    <w:lvl w:ilvl="1">
      <w:lvlJc w:val="left"/>
      <w:lvlText w:val="(%2)"/>
      <w:numFmt w:val="lowerLetter"/>
      <w:start w:val="6"/>
    </w:lvl>
    <w:lvl w:ilvl="2">
      <w:lvlJc w:val="left"/>
      <w:lvlText w:val="%3"/>
      <w:numFmt w:val="lowerRoman"/>
      <w:start w:val="1"/>
    </w:lvl>
  </w:abstractNum>
  <w:abstractNum w:abstractNumId="25">
    <w:nsid w:val="70C6A529"/>
    <w:multiLevelType w:val="hybridMultilevel"/>
    <w:lvl w:ilvl="0">
      <w:lvlJc w:val="left"/>
      <w:lvlText w:val="%1."/>
      <w:numFmt w:val="decimal"/>
      <w:start w:val="12"/>
    </w:lvl>
  </w:abstractNum>
  <w:abstractNum w:abstractNumId="26">
    <w:nsid w:val="520EEDD1"/>
    <w:multiLevelType w:val="hybridMultilevel"/>
    <w:lvl w:ilvl="0">
      <w:lvlJc w:val="left"/>
      <w:lvlText w:val="%1"/>
      <w:numFmt w:val="decimal"/>
      <w:start w:val="1"/>
    </w:lvl>
    <w:lvl w:ilvl="1">
      <w:lvlJc w:val="left"/>
      <w:lvlText w:val="(%2)"/>
      <w:numFmt w:val="lowerLetter"/>
      <w:start w:val="1"/>
    </w:lvl>
  </w:abstractNum>
  <w:abstractNum w:abstractNumId="27">
    <w:nsid w:val="374A3FE6"/>
    <w:multiLevelType w:val="hybridMultilevel"/>
    <w:lvl w:ilvl="0">
      <w:lvlJc w:val="left"/>
      <w:lvlText w:val="%1."/>
      <w:numFmt w:val="decimal"/>
      <w:start w:val="13"/>
    </w:lvl>
    <w:lvl w:ilvl="1">
      <w:lvlJc w:val="left"/>
      <w:lvlText w:val="%2"/>
      <w:numFmt w:val="lowerLetter"/>
      <w:start w:val="1"/>
    </w:lvl>
  </w:abstractNum>
  <w:abstractNum w:abstractNumId="28">
    <w:nsid w:val="4F4EF005"/>
    <w:multiLevelType w:val="hybridMultilevel"/>
    <w:lvl w:ilvl="0">
      <w:lvlJc w:val="left"/>
      <w:lvlText w:val="%1."/>
      <w:numFmt w:val="decimal"/>
      <w:start w:val="14"/>
    </w:lvl>
  </w:abstractNum>
  <w:abstractNum w:abstractNumId="29">
    <w:nsid w:val="23F9C13C"/>
    <w:multiLevelType w:val="hybridMultilevel"/>
    <w:lvl w:ilvl="0">
      <w:lvlJc w:val="left"/>
      <w:lvlText w:val="(%1)"/>
      <w:numFmt w:val="lowerLetter"/>
      <w:start w:val="1"/>
    </w:lvl>
  </w:abstractNum>
  <w:abstractNum w:abstractNumId="30">
    <w:nsid w:val="649BB77C"/>
    <w:multiLevelType w:val="hybridMultilevel"/>
    <w:lvl w:ilvl="0">
      <w:lvlJc w:val="left"/>
      <w:lvlText w:val="(%1)"/>
      <w:numFmt w:val="lowerLetter"/>
      <w:start w:val="5"/>
    </w:lvl>
  </w:abstractNum>
  <w:abstractNum w:abstractNumId="31">
    <w:nsid w:val="275AC794"/>
    <w:multiLevelType w:val="hybridMultilevel"/>
    <w:lvl w:ilvl="0">
      <w:lvlJc w:val="left"/>
      <w:lvlText w:val="%1."/>
      <w:numFmt w:val="decimal"/>
      <w:start w:val="1"/>
    </w:lvl>
  </w:abstractNum>
  <w:abstractNum w:abstractNumId="32">
    <w:nsid w:val="39386575"/>
    <w:multiLevelType w:val="hybridMultilevel"/>
    <w:lvl w:ilvl="0">
      <w:lvlJc w:val="left"/>
      <w:lvlText w:val="(%1)"/>
      <w:numFmt w:val="upperLetter"/>
      <w:start w:val="1"/>
    </w:lvl>
  </w:abstractNum>
  <w:abstractNum w:abstractNumId="33">
    <w:nsid w:val="1CF10FD8"/>
    <w:multiLevelType w:val="hybridMultilevel"/>
    <w:lvl w:ilvl="0">
      <w:lvlJc w:val="left"/>
      <w:lvlText w:val="(%1)"/>
      <w:numFmt w:val="lowerRoman"/>
      <w:start w:val="1"/>
    </w:lvl>
  </w:abstractNum>
  <w:abstractNum w:abstractNumId="34">
    <w:nsid w:val="180115BE"/>
    <w:multiLevelType w:val="hybridMultilevel"/>
    <w:lvl w:ilvl="0">
      <w:lvlJc w:val="left"/>
      <w:lvlText w:val="%1"/>
      <w:numFmt w:val="decimal"/>
      <w:start w:val="1"/>
    </w:lvl>
    <w:lvl w:ilvl="1">
      <w:lvlJc w:val="left"/>
      <w:lvlText w:val="(%2)"/>
      <w:numFmt w:val="upperLetter"/>
      <w:start w:val="25"/>
    </w:lvl>
  </w:abstractNum>
  <w:abstractNum w:abstractNumId="35">
    <w:nsid w:val="235BA861"/>
    <w:multiLevelType w:val="hybridMultilevel"/>
    <w:lvl w:ilvl="0">
      <w:lvlJc w:val="left"/>
      <w:lvlText w:val="%1."/>
      <w:numFmt w:val="decimal"/>
      <w:start w:val="3"/>
    </w:lvl>
    <w:lvl w:ilvl="1">
      <w:lvlJc w:val="left"/>
      <w:lvlText w:val="%2"/>
      <w:numFmt w:val="upperLetter"/>
      <w:start w:val="1"/>
    </w:lvl>
  </w:abstractNum>
  <w:abstractNum w:abstractNumId="36">
    <w:nsid w:val="47398C89"/>
    <w:multiLevelType w:val="hybridMultilevel"/>
    <w:lvl w:ilvl="0">
      <w:lvlJc w:val="left"/>
      <w:lvlText w:val="%1."/>
      <w:numFmt w:val="decimal"/>
      <w:start w:val="1"/>
    </w:lvl>
  </w:abstractNum>
  <w:abstractNum w:abstractNumId="37">
    <w:nsid w:val="354FE9F9"/>
    <w:multiLevelType w:val="hybridMultilevel"/>
    <w:lvl w:ilvl="0">
      <w:lvlJc w:val="left"/>
      <w:lvlText w:val="%1."/>
      <w:numFmt w:val="decimal"/>
      <w:start w:val="3"/>
    </w:lvl>
  </w:abstractNum>
  <w:abstractNum w:abstractNumId="38">
    <w:nsid w:val="15B5AF5C"/>
    <w:multiLevelType w:val="hybridMultilevel"/>
    <w:lvl w:ilvl="0">
      <w:lvlJc w:val="left"/>
      <w:lvlText w:val="%1."/>
      <w:numFmt w:val="decimal"/>
      <w:start w:val="5"/>
    </w:lvl>
  </w:abstractNum>
  <w:abstractNum w:abstractNumId="39">
    <w:nsid w:val="741226BB"/>
    <w:multiLevelType w:val="hybridMultilevel"/>
    <w:lvl w:ilvl="0">
      <w:lvlJc w:val="left"/>
      <w:lvlText w:val="%1."/>
      <w:numFmt w:val="decimal"/>
      <w:start w:val="1"/>
    </w:lvl>
  </w:abstractNum>
  <w:abstractNum w:abstractNumId="40">
    <w:nsid w:val="D34B6A8"/>
    <w:multiLevelType w:val="hybridMultilevel"/>
    <w:lvl w:ilvl="0">
      <w:lvlJc w:val="left"/>
      <w:lvlText w:val="%1"/>
      <w:numFmt w:val="lowerRoman"/>
      <w:start w:val="1"/>
    </w:lvl>
    <w:lvl w:ilvl="1">
      <w:lvlJc w:val="left"/>
      <w:lvlText w:val="(%2)"/>
      <w:numFmt w:val="lowerLetter"/>
      <w:start w:val="1"/>
    </w:lvl>
    <w:lvl w:ilvl="2">
      <w:lvlJc w:val="left"/>
      <w:lvlText w:val="(%3)"/>
      <w:numFmt w:val="lowerLetter"/>
      <w:start w:val="3"/>
    </w:lvl>
  </w:abstractNum>
  <w:abstractNum w:abstractNumId="41">
    <w:nsid w:val="10233C99"/>
    <w:multiLevelType w:val="hybridMultilevel"/>
    <w:lvl w:ilvl="0">
      <w:lvlJc w:val="left"/>
      <w:lvlText w:val="(%1)"/>
      <w:numFmt w:val="lowerRoman"/>
      <w:start w:val="4"/>
    </w:lvl>
    <w:lvl w:ilvl="1">
      <w:lvlJc w:val="left"/>
      <w:lvlText w:val="%2"/>
      <w:numFmt w:val="lowerLetter"/>
      <w:start w:val="1"/>
    </w:lvl>
    <w:lvl w:ilvl="2">
      <w:lvlJc w:val="left"/>
      <w:lvlText w:val="%3"/>
      <w:numFmt w:val="lowerLetter"/>
      <w:start w:val="1"/>
    </w:lvl>
  </w:abstractNum>
  <w:abstractNum w:abstractNumId="42">
    <w:nsid w:val="3F6AB60F"/>
    <w:multiLevelType w:val="hybridMultilevel"/>
    <w:lvl w:ilvl="0">
      <w:lvlJc w:val="left"/>
      <w:lvlText w:val="%1."/>
      <w:numFmt w:val="decimal"/>
      <w:start w:val="2"/>
    </w:lvl>
  </w:abstractNum>
  <w:abstractNum w:abstractNumId="43">
    <w:nsid w:val="61574095"/>
    <w:multiLevelType w:val="hybridMultilevel"/>
    <w:lvl w:ilvl="0">
      <w:lvlJc w:val="left"/>
      <w:lvlText w:val="(%1)"/>
      <w:numFmt w:val="lowerLetter"/>
      <w:start w:val="1"/>
    </w:lvl>
  </w:abstractNum>
  <w:abstractNum w:abstractNumId="44">
    <w:nsid w:val="7E0C57B1"/>
    <w:multiLevelType w:val="hybridMultilevel"/>
    <w:lvl w:ilvl="0">
      <w:lvlJc w:val="left"/>
      <w:lvlText w:val="(%1)"/>
      <w:numFmt w:val="lowerLetter"/>
      <w:start w:val="2"/>
    </w:lvl>
  </w:abstractNum>
  <w:abstractNum w:abstractNumId="45">
    <w:nsid w:val="77AE35EB"/>
    <w:multiLevelType w:val="hybridMultilevel"/>
    <w:lvl w:ilvl="0">
      <w:lvlJc w:val="left"/>
      <w:lvlText w:val="%1."/>
      <w:numFmt w:val="decimal"/>
      <w:start w:val="5"/>
    </w:lvl>
  </w:abstractNum>
  <w:abstractNum w:abstractNumId="46">
    <w:nsid w:val="579BE4F1"/>
    <w:multiLevelType w:val="hybridMultilevel"/>
    <w:lvl w:ilvl="0">
      <w:lvlJc w:val="left"/>
      <w:lvlText w:val="(%1)"/>
      <w:numFmt w:val="lowerLetter"/>
      <w:start w:val="1"/>
    </w:lvl>
  </w:abstractNum>
  <w:abstractNum w:abstractNumId="47">
    <w:nsid w:val="310C50B3"/>
    <w:multiLevelType w:val="hybridMultilevel"/>
    <w:lvl w:ilvl="0">
      <w:lvlJc w:val="left"/>
      <w:lvlText w:val="%1."/>
      <w:numFmt w:val="decimal"/>
      <w:start w:val="8"/>
    </w:lvl>
  </w:abstractNum>
  <w:abstractNum w:abstractNumId="48">
    <w:nsid w:val="5FF87E05"/>
    <w:multiLevelType w:val="hybridMultilevel"/>
    <w:lvl w:ilvl="0">
      <w:lvlJc w:val="left"/>
      <w:lvlText w:val="%1"/>
      <w:numFmt w:val="lowerRoman"/>
      <w:start w:val="1"/>
    </w:lvl>
    <w:lvl w:ilvl="1">
      <w:lvlJc w:val="left"/>
      <w:lvlText w:val="(%2)"/>
      <w:numFmt w:val="lowerLetter"/>
      <w:start w:val="1"/>
    </w:lvl>
  </w:abstractNum>
  <w:abstractNum w:abstractNumId="49">
    <w:nsid w:val="2F305DEF"/>
    <w:multiLevelType w:val="hybridMultilevel"/>
    <w:lvl w:ilvl="0">
      <w:lvlJc w:val="left"/>
      <w:lvlText w:val="(%1)"/>
      <w:numFmt w:val="lowerRoman"/>
      <w:start w:val="6"/>
    </w:lvl>
    <w:lvl w:ilvl="1">
      <w:lvlJc w:val="left"/>
      <w:lvlText w:val="%2"/>
      <w:numFmt w:val="lowerLetter"/>
      <w:start w:val="1"/>
    </w:lvl>
  </w:abstractNum>
  <w:abstractNum w:abstractNumId="50">
    <w:nsid w:val="25A70BF7"/>
    <w:multiLevelType w:val="hybridMultilevel"/>
    <w:lvl w:ilvl="0">
      <w:lvlJc w:val="left"/>
      <w:lvlText w:val="(%1)"/>
      <w:numFmt w:val="lowerLetter"/>
      <w:start w:val="3"/>
    </w:lvl>
  </w:abstractNum>
  <w:abstractNum w:abstractNumId="51">
    <w:nsid w:val="1DBABF00"/>
    <w:multiLevelType w:val="hybridMultilevel"/>
    <w:lvl w:ilvl="0">
      <w:lvlJc w:val="left"/>
      <w:lvlText w:val="(%1)"/>
      <w:numFmt w:val="decimal"/>
      <w:start w:val="1"/>
    </w:lvl>
  </w:abstractNum>
  <w:abstractNum w:abstractNumId="52">
    <w:nsid w:val="4AD084E9"/>
    <w:multiLevelType w:val="hybridMultilevel"/>
    <w:lvl w:ilvl="0">
      <w:lvlJc w:val="left"/>
      <w:lvlText w:val="(%1)"/>
      <w:numFmt w:val="decimal"/>
      <w:start w:val="2"/>
    </w:lvl>
  </w:abstractNum>
  <w:abstractNum w:abstractNumId="53">
    <w:nsid w:val="1F48EAA1"/>
    <w:multiLevelType w:val="hybridMultilevel"/>
    <w:lvl w:ilvl="0">
      <w:lvlJc w:val="left"/>
      <w:lvlText w:val="(%1)"/>
      <w:numFmt w:val="lowerLetter"/>
      <w:start w:val="5"/>
    </w:lvl>
    <w:lvl w:ilvl="1">
      <w:lvlJc w:val="left"/>
      <w:lvlText w:val="(%2)"/>
      <w:numFmt w:val="decimal"/>
      <w:start w:val="1"/>
    </w:lvl>
  </w:abstractNum>
  <w:abstractNum w:abstractNumId="54">
    <w:nsid w:val="1381823A"/>
    <w:multiLevelType w:val="hybridMultilevel"/>
    <w:lvl w:ilvl="0">
      <w:lvlJc w:val="left"/>
      <w:lvlText w:val="(%1)"/>
      <w:numFmt w:val="upperLetter"/>
      <w:start w:val="1"/>
    </w:lvl>
  </w:abstractNum>
  <w:abstractNum w:abstractNumId="55">
    <w:nsid w:val="5DB70AE5"/>
    <w:multiLevelType w:val="hybridMultilevel"/>
    <w:lvl w:ilvl="0">
      <w:lvlJc w:val="left"/>
      <w:lvlText w:val="(%1)"/>
      <w:numFmt w:val="lowerLetter"/>
      <w:start w:val="7"/>
    </w:lvl>
    <w:lvl w:ilvl="1">
      <w:lvlJc w:val="left"/>
      <w:lvlText w:val="(%2)"/>
      <w:numFmt w:val="lowerLetter"/>
      <w:start w:val="9"/>
    </w:lvl>
  </w:abstractNum>
  <w:abstractNum w:abstractNumId="56">
    <w:nsid w:val="100F8FCA"/>
    <w:multiLevelType w:val="hybridMultilevel"/>
    <w:lvl w:ilvl="0">
      <w:lvlJc w:val="left"/>
      <w:lvlText w:val="%1"/>
      <w:numFmt w:val="lowerLetter"/>
      <w:start w:val="1"/>
    </w:lvl>
    <w:lvl w:ilvl="1">
      <w:lvlJc w:val="left"/>
      <w:lvlText w:val="(%2)"/>
      <w:numFmt w:val="lowerRoman"/>
      <w:start w:val="2"/>
    </w:lvl>
  </w:abstractNum>
  <w:abstractNum w:abstractNumId="57">
    <w:nsid w:val="6590700B"/>
    <w:multiLevelType w:val="hybridMultilevel"/>
    <w:lvl w:ilvl="0">
      <w:lvlJc w:val="left"/>
      <w:lvlText w:val="(%1)"/>
      <w:numFmt w:val="lowerLetter"/>
      <w:start w:val="8"/>
    </w:lvl>
    <w:lvl w:ilvl="1">
      <w:lvlJc w:val="left"/>
      <w:lvlText w:val="%2"/>
      <w:numFmt w:val="lowerRoman"/>
      <w:start w:val="1"/>
    </w:lvl>
  </w:abstractNum>
  <w:abstractNum w:abstractNumId="58">
    <w:nsid w:val="15014ACB"/>
    <w:multiLevelType w:val="hybridMultilevel"/>
    <w:lvl w:ilvl="0">
      <w:lvlJc w:val="left"/>
      <w:lvlText w:val="(%1)"/>
      <w:numFmt w:val="lowerRoman"/>
      <w:start w:val="1"/>
    </w:lvl>
  </w:abstractNum>
  <w:abstractNum w:abstractNumId="59">
    <w:nsid w:val="5F5E7FD0"/>
    <w:multiLevelType w:val="hybridMultilevel"/>
    <w:lvl w:ilvl="0">
      <w:lvlJc w:val="left"/>
      <w:lvlText w:val="%1."/>
      <w:numFmt w:val="decimal"/>
      <w:start w:val="10"/>
    </w:lvl>
  </w:abstractNum>
  <w:abstractNum w:abstractNumId="60">
    <w:nsid w:val="98A3148"/>
    <w:multiLevelType w:val="hybridMultilevel"/>
    <w:lvl w:ilvl="0">
      <w:lvlJc w:val="left"/>
      <w:lvlText w:val="(%1)"/>
      <w:numFmt w:val="lowerLetter"/>
      <w:start w:val="1"/>
    </w:lvl>
  </w:abstractNum>
  <w:abstractNum w:abstractNumId="61">
    <w:nsid w:val="799D0247"/>
    <w:multiLevelType w:val="hybridMultilevel"/>
    <w:lvl w:ilvl="0">
      <w:lvlJc w:val="left"/>
      <w:lvlText w:val="%1."/>
      <w:numFmt w:val="decimal"/>
      <w:start w:val="11"/>
    </w:lvl>
  </w:abstractNum>
  <w:abstractNum w:abstractNumId="62">
    <w:nsid w:val="6B94764"/>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63">
    <w:nsid w:val="42C296BD"/>
    <w:multiLevelType w:val="hybridMultilevel"/>
    <w:lvl w:ilvl="0">
      <w:lvlJc w:val="left"/>
      <w:lvlText w:val="(%1)"/>
      <w:numFmt w:val="decimal"/>
      <w:start w:val="12"/>
    </w:lvl>
    <w:lvl w:ilvl="1">
      <w:lvlJc w:val="left"/>
      <w:lvlText w:val="(%2)"/>
      <w:numFmt w:val="lowerLetter"/>
      <w:start w:val="6"/>
    </w:lvl>
    <w:lvl w:ilvl="2">
      <w:lvlJc w:val="left"/>
      <w:lvlText w:val="%3"/>
      <w:numFmt w:val="lowerRoman"/>
      <w:start w:val="1"/>
    </w:lvl>
  </w:abstractNum>
  <w:abstractNum w:abstractNumId="64">
    <w:nsid w:val="168E121F"/>
    <w:multiLevelType w:val="hybridMultilevel"/>
    <w:lvl w:ilvl="0">
      <w:lvlJc w:val="left"/>
      <w:lvlText w:val="%1."/>
      <w:numFmt w:val="decimal"/>
      <w:start w:val="12"/>
    </w:lvl>
  </w:abstractNum>
  <w:abstractNum w:abstractNumId="65">
    <w:nsid w:val="1EBA5D23"/>
    <w:multiLevelType w:val="hybridMultilevel"/>
    <w:lvl w:ilvl="0">
      <w:lvlJc w:val="left"/>
      <w:lvlText w:val="(%1)"/>
      <w:numFmt w:val="lowerLetter"/>
      <w:start w:val="1"/>
    </w:lvl>
  </w:abstractNum>
  <w:abstractNum w:abstractNumId="66">
    <w:nsid w:val="661E3F1E"/>
    <w:multiLevelType w:val="hybridMultilevel"/>
    <w:lvl w:ilvl="0">
      <w:lvlJc w:val="left"/>
      <w:lvlText w:val="%1."/>
      <w:numFmt w:val="decimal"/>
      <w:start w:val="13"/>
    </w:lvl>
  </w:abstractNum>
  <w:abstractNum w:abstractNumId="67">
    <w:nsid w:val="5DC79EA8"/>
    <w:multiLevelType w:val="hybridMultilevel"/>
    <w:lvl w:ilvl="0">
      <w:lvlJc w:val="left"/>
      <w:lvlText w:val="%1."/>
      <w:numFmt w:val="decimal"/>
      <w:start w:val="14"/>
    </w:lvl>
  </w:abstractNum>
  <w:abstractNum w:abstractNumId="68">
    <w:nsid w:val="540A471C"/>
    <w:multiLevelType w:val="hybridMultilevel"/>
    <w:lvl w:ilvl="0">
      <w:lvlJc w:val="left"/>
      <w:lvlText w:val="(%1)"/>
      <w:numFmt w:val="lowerLetter"/>
      <w:start w:val="1"/>
    </w:lvl>
  </w:abstractNum>
  <w:abstractNum w:abstractNumId="69">
    <w:nsid w:val="7BD3EE7B"/>
    <w:multiLevelType w:val="hybridMultilevel"/>
    <w:lvl w:ilvl="0">
      <w:lvlJc w:val="left"/>
      <w:lvlText w:val="(%1)"/>
      <w:numFmt w:val="lowerLetter"/>
      <w:start w:val="4"/>
    </w:lvl>
  </w:abstractNum>
  <w:abstractNum w:abstractNumId="70">
    <w:nsid w:val="51D9C564"/>
    <w:multiLevelType w:val="hybridMultilevel"/>
    <w:lvl w:ilvl="0">
      <w:lvlJc w:val="left"/>
      <w:lvlText w:val="%1."/>
      <w:numFmt w:val="decimal"/>
      <w:start w:val="1"/>
    </w:lvl>
  </w:abstractNum>
  <w:abstractNum w:abstractNumId="71">
    <w:nsid w:val="613EFDC5"/>
    <w:multiLevelType w:val="hybridMultilevel"/>
    <w:lvl w:ilvl="0">
      <w:lvlJc w:val="left"/>
      <w:lvlText w:val="(%1)"/>
      <w:numFmt w:val="upperLetter"/>
      <w:start w:val="1"/>
    </w:lvl>
  </w:abstractNum>
  <w:abstractNum w:abstractNumId="72">
    <w:nsid w:val="BF72B14"/>
    <w:multiLevelType w:val="hybridMultilevel"/>
    <w:lvl w:ilvl="0">
      <w:lvlJc w:val="left"/>
      <w:lvlText w:val="(%1)"/>
      <w:numFmt w:val="lowerRoman"/>
      <w:start w:val="1"/>
    </w:lvl>
  </w:abstractNum>
  <w:abstractNum w:abstractNumId="73">
    <w:nsid w:val="11447B73"/>
    <w:multiLevelType w:val="hybridMultilevel"/>
    <w:lvl w:ilvl="0">
      <w:lvlJc w:val="left"/>
      <w:lvlText w:val="%1"/>
      <w:numFmt w:val="decimal"/>
      <w:start w:val="1"/>
    </w:lvl>
    <w:lvl w:ilvl="1">
      <w:lvlJc w:val="left"/>
      <w:lvlText w:val="%2"/>
      <w:numFmt w:val="upperLetter"/>
      <w:start w:val="1"/>
    </w:lvl>
    <w:lvl w:ilvl="2">
      <w:lvlJc w:val="left"/>
      <w:lvlText w:val="(%3)"/>
      <w:numFmt w:val="upperLetter"/>
      <w:start w:val="25"/>
    </w:lvl>
  </w:abstractNum>
  <w:abstractNum w:abstractNumId="74">
    <w:nsid w:val="42963E5A"/>
    <w:multiLevelType w:val="hybridMultilevel"/>
    <w:lvl w:ilvl="0">
      <w:lvlJc w:val="left"/>
      <w:lvlText w:val="%1"/>
      <w:numFmt w:val="decimal"/>
      <w:start w:val="1"/>
    </w:lvl>
    <w:lvl w:ilvl="1">
      <w:lvlJc w:val="left"/>
      <w:lvlText w:val="(%2)"/>
      <w:numFmt w:val="upperLetter"/>
      <w:start w:val="26"/>
    </w:lvl>
    <w:lvl w:ilvl="2">
      <w:lvlJc w:val="left"/>
      <w:lvlText w:val="%3"/>
      <w:numFmt w:val="upperLetter"/>
      <w:start w:val="1"/>
    </w:lvl>
  </w:abstractNum>
  <w:abstractNum w:abstractNumId="75">
    <w:nsid w:val="A0382C5"/>
    <w:multiLevelType w:val="hybridMultilevel"/>
    <w:lvl w:ilvl="0">
      <w:lvlJc w:val="left"/>
      <w:lvlText w:val="%1."/>
      <w:numFmt w:val="decimal"/>
      <w:start w:val="3"/>
    </w:lvl>
    <w:lvl w:ilvl="1">
      <w:lvlJc w:val="left"/>
      <w:lvlText w:val="%2"/>
      <w:numFmt w:val="upperLetter"/>
      <w:start w:val="1"/>
    </w:lvl>
    <w:lvl w:ilvl="2">
      <w:lvlJc w:val="left"/>
      <w:lvlText w:val="%3"/>
      <w:numFmt w:val="upperLetter"/>
      <w:start w:val="1"/>
    </w:lvl>
  </w:abstractNum>
  <w:abstractNum w:abstractNumId="76">
    <w:nsid w:val="8F2B15E"/>
    <w:multiLevelType w:val="hybridMultilevel"/>
    <w:lvl w:ilvl="0">
      <w:lvlJc w:val="left"/>
      <w:lvlText w:val="%1."/>
      <w:numFmt w:val="decimal"/>
      <w:start w:val="1"/>
    </w:lvl>
  </w:abstractNum>
  <w:abstractNum w:abstractNumId="77">
    <w:nsid w:val="1A32234B"/>
    <w:multiLevelType w:val="hybridMultilevel"/>
    <w:lvl w:ilvl="0">
      <w:lvlJc w:val="left"/>
      <w:lvlText w:val="%1."/>
      <w:numFmt w:val="decimal"/>
      <w:start w:val="3"/>
    </w:lvl>
  </w:abstractNum>
  <w:abstractNum w:abstractNumId="78">
    <w:nsid w:val="3B0FD379"/>
    <w:multiLevelType w:val="hybridMultilevel"/>
    <w:lvl w:ilvl="0">
      <w:lvlJc w:val="left"/>
      <w:lvlText w:val="%1."/>
      <w:numFmt w:val="decimal"/>
      <w:start w:val="4"/>
    </w:lvl>
  </w:abstractNum>
  <w:abstractNum w:abstractNumId="79">
    <w:nsid w:val="68EB2F63"/>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2019-12-09T19:19:56Z</dcterms:created>
  <dcterms:modified xsi:type="dcterms:W3CDTF">2019-12-09T19:19:56Z</dcterms:modified>
</cp:coreProperties>
</file>