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24, 2012</w:t>
      </w:r>
    </w:p>
    <w:p>
      <w:pPr>
        <w:spacing w:after="0" w:line="225" w:lineRule="exact"/>
        <w:rPr>
          <w:sz w:val="24"/>
          <w:szCs w:val="24"/>
          <w:color w:val="auto"/>
        </w:rPr>
      </w:pPr>
    </w:p>
    <w:p>
      <w:pPr>
        <w:ind w:left="9660"/>
        <w:spacing w:after="0"/>
        <w:rPr>
          <w:sz w:val="20"/>
          <w:szCs w:val="20"/>
          <w:color w:val="auto"/>
        </w:rPr>
      </w:pPr>
      <w:r>
        <w:rPr>
          <w:rFonts w:ascii="Arial" w:cs="Arial" w:eastAsia="Arial" w:hAnsi="Arial"/>
          <w:sz w:val="16"/>
          <w:szCs w:val="16"/>
          <w:b w:val="1"/>
          <w:bCs w:val="1"/>
          <w:color w:val="auto"/>
        </w:rPr>
        <w:t>Registration No. 333—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VRINGO,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9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(State or other jurisdiction of</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W. 28th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(Address, including zip code, and telephone number, including area</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D. Perlman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W. 28th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(Name, address, including zip code, and telephone number, including area</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Kenneth R. Koch,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Jeffrey P. Schultz,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935-3000</w:t>
      </w:r>
    </w:p>
    <w:p>
      <w:pPr>
        <w:spacing w:after="0" w:line="207" w:lineRule="exact"/>
        <w:rPr>
          <w:sz w:val="24"/>
          <w:szCs w:val="24"/>
          <w:color w:val="auto"/>
        </w:rPr>
      </w:pPr>
    </w:p>
    <w:p>
      <w:pPr>
        <w:ind w:right="180" w:firstLine="405"/>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 From time to time after the effective date of this registration statement as determined by the registrant.</w:t>
      </w:r>
    </w:p>
    <w:p>
      <w:pPr>
        <w:spacing w:after="0" w:line="166"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w:t>
      </w:r>
    </w:p>
    <w:p>
      <w:pPr>
        <w:spacing w:after="0" w:line="4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ind w:right="240" w:firstLine="252"/>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ind w:right="240" w:firstLine="252"/>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460" w:firstLine="252"/>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200" w:firstLine="252"/>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360" w:firstLine="252"/>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6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4"/>
          </w:tcPr>
          <w:p>
            <w:pPr>
              <w:ind w:left="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8"/>
        </w:trPr>
        <w:tc>
          <w:tcPr>
            <w:tcW w:w="36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60" w:type="dxa"/>
            <w:vAlign w:val="bottom"/>
            <w:gridSpan w:val="6"/>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0"/>
        </w:trPr>
        <w:tc>
          <w:tcPr>
            <w:tcW w:w="3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93"/>
        </w:trPr>
        <w:tc>
          <w:tcPr>
            <w:tcW w:w="3680" w:type="dxa"/>
            <w:vAlign w:val="bottom"/>
          </w:tcPr>
          <w:p>
            <w:pPr>
              <w:spacing w:after="0"/>
              <w:rPr>
                <w:sz w:val="24"/>
                <w:szCs w:val="24"/>
                <w:color w:val="auto"/>
              </w:rPr>
            </w:pPr>
          </w:p>
        </w:tc>
        <w:tc>
          <w:tcPr>
            <w:tcW w:w="4180" w:type="dxa"/>
            <w:vAlign w:val="bottom"/>
            <w:gridSpan w:val="8"/>
          </w:tcPr>
          <w:p>
            <w:pPr>
              <w:jc w:val="right"/>
              <w:ind w:right="330"/>
              <w:spacing w:after="0"/>
              <w:rPr>
                <w:sz w:val="20"/>
                <w:szCs w:val="20"/>
                <w:color w:val="auto"/>
              </w:rPr>
            </w:pPr>
            <w:r>
              <w:rPr>
                <w:rFonts w:ascii="Arial" w:cs="Arial" w:eastAsia="Arial" w:hAnsi="Arial"/>
                <w:sz w:val="18"/>
                <w:szCs w:val="18"/>
                <w:b w:val="1"/>
                <w:bCs w:val="1"/>
                <w:color w:val="auto"/>
              </w:rPr>
              <w:t>CALCULATION OF REGISTRATION FEE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6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198"/>
        </w:trPr>
        <w:tc>
          <w:tcPr>
            <w:tcW w:w="3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right="170"/>
              <w:spacing w:after="0" w:line="198" w:lineRule="exact"/>
              <w:rPr>
                <w:sz w:val="20"/>
                <w:szCs w:val="20"/>
                <w:color w:val="auto"/>
              </w:rPr>
            </w:pPr>
            <w:r>
              <w:rPr>
                <w:rFonts w:ascii="Arial" w:cs="Arial" w:eastAsia="Arial" w:hAnsi="Arial"/>
                <w:sz w:val="18"/>
                <w:szCs w:val="18"/>
                <w:b w:val="1"/>
                <w:bCs w:val="1"/>
                <w:color w:val="auto"/>
                <w:w w:val="84"/>
              </w:rPr>
              <w:t>Proposed</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6"/>
              </w:rPr>
              <w:t>Maximum</w:t>
            </w:r>
          </w:p>
        </w:tc>
        <w:tc>
          <w:tcPr>
            <w:tcW w:w="6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Proposed Maximum</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80" w:type="dxa"/>
            <w:vAlign w:val="bottom"/>
          </w:tcPr>
          <w:p>
            <w:pPr>
              <w:ind w:left="1560"/>
              <w:spacing w:after="0"/>
              <w:rPr>
                <w:sz w:val="20"/>
                <w:szCs w:val="20"/>
                <w:color w:val="auto"/>
              </w:rPr>
            </w:pPr>
            <w:r>
              <w:rPr>
                <w:rFonts w:ascii="Arial" w:cs="Arial" w:eastAsia="Arial" w:hAnsi="Arial"/>
                <w:sz w:val="18"/>
                <w:szCs w:val="18"/>
                <w:b w:val="1"/>
                <w:bCs w:val="1"/>
                <w:color w:val="auto"/>
              </w:rPr>
              <w:t>Title of Each Class of</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Amount to</w:t>
            </w:r>
          </w:p>
        </w:tc>
        <w:tc>
          <w:tcPr>
            <w:tcW w:w="148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2"/>
              </w:rPr>
              <w:t>Offering Price</w:t>
            </w:r>
          </w:p>
        </w:tc>
        <w:tc>
          <w:tcPr>
            <w:tcW w:w="60" w:type="dxa"/>
            <w:vAlign w:val="bottom"/>
          </w:tcPr>
          <w:p>
            <w:pPr>
              <w:spacing w:after="0"/>
              <w:rPr>
                <w:sz w:val="18"/>
                <w:szCs w:val="18"/>
                <w:color w:val="auto"/>
              </w:rPr>
            </w:pPr>
          </w:p>
        </w:tc>
        <w:tc>
          <w:tcPr>
            <w:tcW w:w="18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1"/>
              </w:rPr>
              <w:t>Aggregate Offering</w:t>
            </w:r>
          </w:p>
        </w:tc>
        <w:tc>
          <w:tcPr>
            <w:tcW w:w="220" w:type="dxa"/>
            <w:vAlign w:val="bottom"/>
          </w:tcPr>
          <w:p>
            <w:pPr>
              <w:spacing w:after="0"/>
              <w:rPr>
                <w:sz w:val="18"/>
                <w:szCs w:val="18"/>
                <w:color w:val="auto"/>
              </w:rPr>
            </w:pPr>
          </w:p>
        </w:tc>
        <w:tc>
          <w:tcPr>
            <w:tcW w:w="140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3680" w:type="dxa"/>
            <w:vAlign w:val="bottom"/>
          </w:tcPr>
          <w:p>
            <w:pPr>
              <w:ind w:left="1360"/>
              <w:spacing w:after="0"/>
              <w:rPr>
                <w:sz w:val="20"/>
                <w:szCs w:val="20"/>
                <w:color w:val="auto"/>
              </w:rPr>
            </w:pPr>
            <w:r>
              <w:rPr>
                <w:rFonts w:ascii="Arial" w:cs="Arial" w:eastAsia="Arial" w:hAnsi="Arial"/>
                <w:sz w:val="18"/>
                <w:szCs w:val="18"/>
                <w:b w:val="1"/>
                <w:bCs w:val="1"/>
                <w:color w:val="auto"/>
                <w:w w:val="99"/>
              </w:rPr>
              <w:t>Securities to be Registered</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4"/>
              </w:rPr>
              <w:t>be Registered</w:t>
            </w:r>
          </w:p>
        </w:tc>
        <w:tc>
          <w:tcPr>
            <w:tcW w:w="148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6"/>
              </w:rPr>
              <w:t>per Unit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Price</w:t>
            </w:r>
          </w:p>
        </w:tc>
        <w:tc>
          <w:tcPr>
            <w:tcW w:w="1620" w:type="dxa"/>
            <w:vAlign w:val="bottom"/>
            <w:gridSpan w:val="4"/>
          </w:tcPr>
          <w:p>
            <w:pPr>
              <w:spacing w:after="0"/>
              <w:rPr>
                <w:sz w:val="20"/>
                <w:szCs w:val="20"/>
                <w:color w:val="auto"/>
              </w:rPr>
            </w:pPr>
            <w:r>
              <w:rPr>
                <w:rFonts w:ascii="Arial" w:cs="Arial" w:eastAsia="Arial" w:hAnsi="Arial"/>
                <w:sz w:val="18"/>
                <w:szCs w:val="18"/>
                <w:b w:val="1"/>
                <w:bCs w:val="1"/>
                <w:color w:val="auto"/>
                <w:w w:val="95"/>
              </w:rPr>
              <w:t>Registration Fee (1)</w:t>
            </w:r>
          </w:p>
        </w:tc>
      </w:tr>
      <w:tr>
        <w:trPr>
          <w:trHeight w:val="223"/>
        </w:trPr>
        <w:tc>
          <w:tcPr>
            <w:tcW w:w="36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Common Stock, $0.01 par value</w:t>
            </w:r>
          </w:p>
        </w:tc>
        <w:tc>
          <w:tcPr>
            <w:tcW w:w="1060" w:type="dxa"/>
            <w:vAlign w:val="bottom"/>
            <w:tcBorders>
              <w:top w:val="single" w:sz="8" w:color="auto"/>
            </w:tcBorders>
            <w:gridSpan w:val="2"/>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1220" w:type="dxa"/>
            <w:vAlign w:val="bottom"/>
            <w:tcBorders>
              <w:top w:val="single" w:sz="8" w:color="auto"/>
            </w:tcBorders>
            <w:shd w:val="clear" w:color="auto" w:fill="CCFFCC"/>
          </w:tcPr>
          <w:p>
            <w:pPr>
              <w:spacing w:after="0"/>
              <w:rPr>
                <w:sz w:val="19"/>
                <w:szCs w:val="19"/>
                <w:color w:val="auto"/>
              </w:rPr>
            </w:pPr>
          </w:p>
        </w:tc>
        <w:tc>
          <w:tcPr>
            <w:tcW w:w="32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1"/>
              </w:rPr>
              <w:t>(2)</w:t>
            </w:r>
          </w:p>
        </w:tc>
        <w:tc>
          <w:tcPr>
            <w:tcW w:w="1220" w:type="dxa"/>
            <w:vAlign w:val="bottom"/>
            <w:tcBorders>
              <w:top w:val="single" w:sz="8" w:color="auto"/>
            </w:tcBorders>
            <w:gridSpan w:val="2"/>
            <w:shd w:val="clear" w:color="auto" w:fill="CCFFCC"/>
          </w:tcPr>
          <w:p>
            <w:pPr>
              <w:spacing w:after="0"/>
              <w:rPr>
                <w:sz w:val="19"/>
                <w:szCs w:val="19"/>
                <w:color w:val="auto"/>
              </w:rPr>
            </w:pPr>
          </w:p>
        </w:tc>
        <w:tc>
          <w:tcPr>
            <w:tcW w:w="2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1"/>
              </w:rPr>
              <w:t>(3)</w:t>
            </w:r>
          </w:p>
        </w:tc>
        <w:tc>
          <w:tcPr>
            <w:tcW w:w="60" w:type="dxa"/>
            <w:vAlign w:val="bottom"/>
            <w:tcBorders>
              <w:top w:val="single" w:sz="8" w:color="CCFFCC"/>
            </w:tcBorders>
            <w:shd w:val="clear" w:color="auto" w:fill="CCFFCC"/>
          </w:tcPr>
          <w:p>
            <w:pPr>
              <w:spacing w:after="0"/>
              <w:rPr>
                <w:sz w:val="19"/>
                <w:szCs w:val="19"/>
                <w:color w:val="auto"/>
              </w:rPr>
            </w:pPr>
          </w:p>
        </w:tc>
        <w:tc>
          <w:tcPr>
            <w:tcW w:w="340" w:type="dxa"/>
            <w:vAlign w:val="bottom"/>
            <w:tcBorders>
              <w:top w:val="single" w:sz="8" w:color="auto"/>
            </w:tcBorders>
            <w:shd w:val="clear" w:color="auto" w:fill="CCFFCC"/>
          </w:tcPr>
          <w:p>
            <w:pPr>
              <w:spacing w:after="0"/>
              <w:rPr>
                <w:sz w:val="19"/>
                <w:szCs w:val="19"/>
                <w:color w:val="auto"/>
              </w:rPr>
            </w:pPr>
          </w:p>
        </w:tc>
        <w:tc>
          <w:tcPr>
            <w:tcW w:w="1220" w:type="dxa"/>
            <w:vAlign w:val="bottom"/>
            <w:tcBorders>
              <w:top w:val="single" w:sz="8" w:color="auto"/>
            </w:tcBorders>
            <w:shd w:val="clear" w:color="auto" w:fill="CCFFCC"/>
          </w:tcPr>
          <w:p>
            <w:pPr>
              <w:spacing w:after="0"/>
              <w:rPr>
                <w:sz w:val="19"/>
                <w:szCs w:val="19"/>
                <w:color w:val="auto"/>
              </w:rPr>
            </w:pPr>
          </w:p>
        </w:tc>
        <w:tc>
          <w:tcPr>
            <w:tcW w:w="32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1"/>
              </w:rPr>
              <w:t>(3)</w:t>
            </w:r>
          </w:p>
        </w:tc>
        <w:tc>
          <w:tcPr>
            <w:tcW w:w="220" w:type="dxa"/>
            <w:vAlign w:val="bottom"/>
            <w:tcBorders>
              <w:top w:val="single" w:sz="8" w:color="auto"/>
            </w:tcBorders>
            <w:shd w:val="clear" w:color="auto" w:fill="CCFFCC"/>
          </w:tcPr>
          <w:p>
            <w:pPr>
              <w:spacing w:after="0"/>
              <w:rPr>
                <w:sz w:val="19"/>
                <w:szCs w:val="19"/>
                <w:color w:val="auto"/>
              </w:rPr>
            </w:pP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gridSpan w:val="2"/>
            <w:shd w:val="clear" w:color="auto" w:fill="CCFFC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Preferred Stock, $0.01 par value</w:t>
            </w:r>
          </w:p>
        </w:tc>
        <w:tc>
          <w:tcPr>
            <w:tcW w:w="2700" w:type="dxa"/>
            <w:vAlign w:val="bottom"/>
            <w:gridSpan w:val="5"/>
          </w:tcPr>
          <w:p>
            <w:pPr>
              <w:jc w:val="right"/>
              <w:ind w:right="30"/>
              <w:spacing w:after="0"/>
              <w:rPr>
                <w:sz w:val="20"/>
                <w:szCs w:val="20"/>
                <w:color w:val="auto"/>
              </w:rPr>
            </w:pPr>
            <w:r>
              <w:rPr>
                <w:rFonts w:ascii="Arial" w:cs="Arial" w:eastAsia="Arial" w:hAnsi="Arial"/>
                <w:sz w:val="18"/>
                <w:szCs w:val="18"/>
                <w:color w:val="auto"/>
              </w:rPr>
              <w:t>(2)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Debt Securities</w:t>
            </w:r>
          </w:p>
        </w:tc>
        <w:tc>
          <w:tcPr>
            <w:tcW w:w="2700" w:type="dxa"/>
            <w:vAlign w:val="bottom"/>
            <w:gridSpan w:val="5"/>
            <w:shd w:val="clear" w:color="auto" w:fill="CCFFCC"/>
          </w:tcPr>
          <w:p>
            <w:pPr>
              <w:jc w:val="right"/>
              <w:ind w:right="30"/>
              <w:spacing w:after="0"/>
              <w:rPr>
                <w:sz w:val="20"/>
                <w:szCs w:val="20"/>
                <w:color w:val="auto"/>
              </w:rPr>
            </w:pPr>
            <w:r>
              <w:rPr>
                <w:rFonts w:ascii="Arial" w:cs="Arial" w:eastAsia="Arial" w:hAnsi="Arial"/>
                <w:sz w:val="18"/>
                <w:szCs w:val="18"/>
                <w:color w:val="auto"/>
              </w:rPr>
              <w:t>(2)</w:t>
            </w:r>
          </w:p>
        </w:tc>
        <w:tc>
          <w:tcPr>
            <w:tcW w:w="14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FFCC"/>
          </w:tcPr>
          <w:p>
            <w:pPr>
              <w:spacing w:after="0"/>
              <w:rPr>
                <w:sz w:val="19"/>
                <w:szCs w:val="19"/>
                <w:color w:val="auto"/>
              </w:rPr>
            </w:pPr>
          </w:p>
        </w:tc>
        <w:tc>
          <w:tcPr>
            <w:tcW w:w="14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Warrants</w:t>
            </w:r>
          </w:p>
        </w:tc>
        <w:tc>
          <w:tcPr>
            <w:tcW w:w="2700" w:type="dxa"/>
            <w:vAlign w:val="bottom"/>
            <w:gridSpan w:val="5"/>
          </w:tcPr>
          <w:p>
            <w:pPr>
              <w:jc w:val="right"/>
              <w:ind w:right="30"/>
              <w:spacing w:after="0"/>
              <w:rPr>
                <w:sz w:val="20"/>
                <w:szCs w:val="20"/>
                <w:color w:val="auto"/>
              </w:rPr>
            </w:pPr>
            <w:r>
              <w:rPr>
                <w:rFonts w:ascii="Arial" w:cs="Arial" w:eastAsia="Arial" w:hAnsi="Arial"/>
                <w:sz w:val="18"/>
                <w:szCs w:val="18"/>
                <w:color w:val="auto"/>
              </w:rPr>
              <w:t>(2)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Rights</w:t>
            </w:r>
          </w:p>
        </w:tc>
        <w:tc>
          <w:tcPr>
            <w:tcW w:w="2700" w:type="dxa"/>
            <w:vAlign w:val="bottom"/>
            <w:gridSpan w:val="5"/>
            <w:shd w:val="clear" w:color="auto" w:fill="CCFFCC"/>
          </w:tcPr>
          <w:p>
            <w:pPr>
              <w:jc w:val="right"/>
              <w:ind w:right="30"/>
              <w:spacing w:after="0"/>
              <w:rPr>
                <w:sz w:val="20"/>
                <w:szCs w:val="20"/>
                <w:color w:val="auto"/>
              </w:rPr>
            </w:pPr>
            <w:r>
              <w:rPr>
                <w:rFonts w:ascii="Arial" w:cs="Arial" w:eastAsia="Arial" w:hAnsi="Arial"/>
                <w:sz w:val="18"/>
                <w:szCs w:val="18"/>
                <w:color w:val="auto"/>
              </w:rPr>
              <w:t>(2)</w:t>
            </w:r>
          </w:p>
        </w:tc>
        <w:tc>
          <w:tcPr>
            <w:tcW w:w="14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FFCC"/>
          </w:tcPr>
          <w:p>
            <w:pPr>
              <w:spacing w:after="0"/>
              <w:rPr>
                <w:sz w:val="19"/>
                <w:szCs w:val="19"/>
                <w:color w:val="auto"/>
              </w:rPr>
            </w:pPr>
          </w:p>
        </w:tc>
        <w:tc>
          <w:tcPr>
            <w:tcW w:w="14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Purchase Contracts</w:t>
            </w:r>
          </w:p>
        </w:tc>
        <w:tc>
          <w:tcPr>
            <w:tcW w:w="2700" w:type="dxa"/>
            <w:vAlign w:val="bottom"/>
            <w:gridSpan w:val="5"/>
          </w:tcPr>
          <w:p>
            <w:pPr>
              <w:jc w:val="right"/>
              <w:ind w:right="30"/>
              <w:spacing w:after="0"/>
              <w:rPr>
                <w:sz w:val="20"/>
                <w:szCs w:val="20"/>
                <w:color w:val="auto"/>
              </w:rPr>
            </w:pPr>
            <w:r>
              <w:rPr>
                <w:rFonts w:ascii="Arial" w:cs="Arial" w:eastAsia="Arial" w:hAnsi="Arial"/>
                <w:sz w:val="18"/>
                <w:szCs w:val="18"/>
                <w:color w:val="auto"/>
              </w:rPr>
              <w:t>(2)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Units</w:t>
            </w:r>
          </w:p>
        </w:tc>
        <w:tc>
          <w:tcPr>
            <w:tcW w:w="2700" w:type="dxa"/>
            <w:vAlign w:val="bottom"/>
            <w:gridSpan w:val="5"/>
            <w:shd w:val="clear" w:color="auto" w:fill="CCFFCC"/>
          </w:tcPr>
          <w:p>
            <w:pPr>
              <w:jc w:val="right"/>
              <w:ind w:right="30"/>
              <w:spacing w:after="0"/>
              <w:rPr>
                <w:sz w:val="20"/>
                <w:szCs w:val="20"/>
                <w:color w:val="auto"/>
              </w:rPr>
            </w:pPr>
            <w:r>
              <w:rPr>
                <w:rFonts w:ascii="Arial" w:cs="Arial" w:eastAsia="Arial" w:hAnsi="Arial"/>
                <w:sz w:val="18"/>
                <w:szCs w:val="18"/>
                <w:color w:val="auto"/>
              </w:rPr>
              <w:t>(2)</w:t>
            </w:r>
          </w:p>
        </w:tc>
        <w:tc>
          <w:tcPr>
            <w:tcW w:w="14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FFCC"/>
          </w:tcPr>
          <w:p>
            <w:pPr>
              <w:spacing w:after="0"/>
              <w:rPr>
                <w:sz w:val="19"/>
                <w:szCs w:val="19"/>
                <w:color w:val="auto"/>
              </w:rPr>
            </w:pPr>
          </w:p>
        </w:tc>
        <w:tc>
          <w:tcPr>
            <w:tcW w:w="14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80" w:type="dxa"/>
            <w:vAlign w:val="bottom"/>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7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100,000,000</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pursuant to Rule 457(o) under the Securities Act of 1933, as amended, based on the proposed maximum aggregate offering price.</w:t>
      </w:r>
    </w:p>
    <w:p>
      <w:pPr>
        <w:spacing w:after="0" w:line="236" w:lineRule="exact"/>
        <w:rPr>
          <w:rFonts w:ascii="Arial" w:cs="Arial" w:eastAsia="Arial" w:hAnsi="Arial"/>
          <w:sz w:val="17"/>
          <w:szCs w:val="17"/>
          <w:color w:val="auto"/>
        </w:rPr>
      </w:pPr>
    </w:p>
    <w:p>
      <w:pPr>
        <w:ind w:left="340" w:right="20" w:hanging="332"/>
        <w:spacing w:after="0" w:line="287"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There are being registered hereunder such indeterminate number of shares of common stock and preferred stock, such indeterminate principal amount of debt securities, such indeterminate number of warrants, rights and purchase contracts to purchase common stock, preferred stock or debt securities, and such indeterminate number of units, as shall have an aggregate initial offering price not to exceed $100,000,000. If any debt securities are issued at an original issue discount, then the offering price of such debt securities shall be in such greater principal amount as shall result in an aggregate initial offering price not to exceed $100,000,000, less the aggregate dollar amount of all securities previously issued hereunder.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rights or performance of purchase contracts or pursuant to the anti-dilution provisions of any such securities. In addition, pursuant to Rule 416 under the Securities Act of 1933, as amended,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 w:name="page3"/>
    <w:bookmarkEnd w:id="2"/>
    <w:p>
      <w:pPr>
        <w:ind w:left="340" w:right="240" w:hanging="332"/>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of 1933, as amended.</w:t>
      </w:r>
    </w:p>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3" w:name="page4"/>
    <w:bookmarkEnd w:id="3"/>
    <w:p>
      <w:pPr>
        <w:ind w:right="100"/>
        <w:spacing w:after="0" w:line="261" w:lineRule="auto"/>
        <w:rPr>
          <w:sz w:val="20"/>
          <w:szCs w:val="20"/>
          <w:color w:val="auto"/>
        </w:rPr>
      </w:pPr>
      <w:r>
        <w:rPr>
          <w:rFonts w:ascii="Arial" w:cs="Arial" w:eastAsia="Arial" w:hAnsi="Arial"/>
          <w:sz w:val="18"/>
          <w:szCs w:val="18"/>
          <w:b w:val="1"/>
          <w:bCs w:val="1"/>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JULY 24,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prospectus will allow us to issue, from time to time at prices and on terms to be determined at or prior to the time of the offering,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$100,000,000 of any combination of the securities described in this prospectus, either individually or in units. We may also offer common stock or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upon conversion of or exchange for the debt securities; common stock upon conversion of or exchange for the preferred stock; common stock, preferred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or debt securities upon the exercise of warrants, rights or performance of purchase contracts; or any combination of these securities upon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performance of purchase contracts.</w:t>
      </w:r>
    </w:p>
    <w:p>
      <w:pPr>
        <w:spacing w:after="0" w:line="211" w:lineRule="exact"/>
        <w:rPr>
          <w:sz w:val="20"/>
          <w:szCs w:val="20"/>
          <w:color w:val="auto"/>
        </w:rPr>
      </w:pPr>
    </w:p>
    <w:p>
      <w:pPr>
        <w:ind w:firstLine="661"/>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ind w:firstLine="661"/>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109220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5" w:lineRule="exact"/>
        <w:rPr>
          <w:sz w:val="20"/>
          <w:szCs w:val="20"/>
          <w:color w:val="auto"/>
        </w:rPr>
      </w:pPr>
    </w:p>
    <w:p>
      <w:pPr>
        <w:ind w:right="100" w:firstLine="661"/>
        <w:spacing w:after="0" w:line="259" w:lineRule="auto"/>
        <w:rPr>
          <w:sz w:val="20"/>
          <w:szCs w:val="20"/>
          <w:color w:val="auto"/>
        </w:rPr>
      </w:pPr>
      <w:r>
        <w:rPr>
          <w:rFonts w:ascii="Arial" w:cs="Arial" w:eastAsia="Arial" w:hAnsi="Arial"/>
          <w:sz w:val="18"/>
          <w:szCs w:val="18"/>
          <w:color w:val="auto"/>
        </w:rPr>
        <w:t>Our common stock is listed on the NYSE MKT under the symbol “VRNG.” On July 23, 2012, the last reported sale price of our common stock was $3.91 per share. The applicable prospectus supplement will contain information, where applicable, as to any other listing, if any, on the NYSE MKT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127635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40" w:firstLine="661"/>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4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125730</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320" w:firstLine="667"/>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4160"/>
              <w:spacing w:after="0"/>
              <w:rPr>
                <w:sz w:val="20"/>
                <w:szCs w:val="20"/>
                <w:color w:val="auto"/>
              </w:rPr>
            </w:pPr>
            <w:r>
              <w:rPr>
                <w:rFonts w:ascii="Arial" w:cs="Arial" w:eastAsia="Arial" w:hAnsi="Arial"/>
                <w:sz w:val="18"/>
                <w:szCs w:val="18"/>
                <w:color w:val="auto"/>
                <w:w w:val="99"/>
              </w:rPr>
              <w:t>The date of this prospectus is</w:t>
            </w:r>
          </w:p>
        </w:tc>
        <w:tc>
          <w:tcPr>
            <w:tcW w:w="4900" w:type="dxa"/>
            <w:vAlign w:val="bottom"/>
          </w:tcPr>
          <w:p>
            <w:pPr>
              <w:jc w:val="right"/>
              <w:ind w:right="4070"/>
              <w:spacing w:after="0"/>
              <w:rPr>
                <w:sz w:val="20"/>
                <w:szCs w:val="20"/>
                <w:color w:val="auto"/>
              </w:rPr>
            </w:pPr>
            <w:r>
              <w:rPr>
                <w:rFonts w:ascii="Arial" w:cs="Arial" w:eastAsia="Arial" w:hAnsi="Arial"/>
                <w:sz w:val="18"/>
                <w:szCs w:val="18"/>
                <w:color w:val="auto"/>
              </w:rPr>
              <w:t>, 2012.</w:t>
            </w:r>
          </w:p>
        </w:tc>
      </w:tr>
      <w:tr>
        <w:trPr>
          <w:trHeight w:val="648"/>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720" w:type="dxa"/>
            <w:vAlign w:val="bottom"/>
            <w:gridSpan w:val="3"/>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ABOUT THIS PROSPECTUS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PROSPECTUS SUMMARY</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RISK FACTORS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RATIO OF EARNINGS TO FIXED CHARGES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SPECIAL NOTE REGARDING FORWARD-LOOKING STATEMENTS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UNAUDITED PRO FORMA CONSOLIDATED FINANCIAL INFORMATION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PLAN OF DISTRIBUTION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CAPITAL STOCK</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DEBT SECURITIES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WARRANTS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RIGHTS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PURCHASE CONTRACTS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UNITS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LEGAL MATTERS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EXPERTS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WHERE YOU CAN FIND MORE INFORMATION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INCORPORATION OF INFORMATION BY REFERENCE</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SEC, utilizing a “shelf”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shares of our common stock and preferred stock, various series of debt securities and/or warrants,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or purchase contracts to purchase any of such securities, either individually or in units, in one or more offerings, with a total value of up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$100,000,000. This prospectus provides you with a general description of the securities we may offer. Each time we offer a type or series of securities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we will provide a prospectus supplement that will contain specific information about the terms of that offering.</w:t>
      </w:r>
    </w:p>
    <w:p>
      <w:pPr>
        <w:spacing w:after="0" w:line="211" w:lineRule="exact"/>
        <w:rPr>
          <w:sz w:val="20"/>
          <w:szCs w:val="20"/>
          <w:color w:val="auto"/>
        </w:rPr>
      </w:pPr>
    </w:p>
    <w:p>
      <w:pPr>
        <w:ind w:right="20" w:firstLine="661"/>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8" w:lineRule="exact"/>
        <w:rPr>
          <w:sz w:val="20"/>
          <w:szCs w:val="20"/>
          <w:color w:val="auto"/>
        </w:rPr>
      </w:pPr>
    </w:p>
    <w:p>
      <w:pPr>
        <w:ind w:right="20" w:firstLine="661"/>
        <w:spacing w:after="0" w:line="272"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78" w:lineRule="exact"/>
        <w:rPr>
          <w:sz w:val="20"/>
          <w:szCs w:val="20"/>
          <w:color w:val="auto"/>
        </w:rPr>
      </w:pPr>
    </w:p>
    <w:p>
      <w:pPr>
        <w:ind w:right="60" w:firstLine="661"/>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ind w:right="60" w:firstLine="661"/>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jc w:val="both"/>
        <w:ind w:right="60" w:firstLine="661"/>
        <w:spacing w:after="0" w:line="286" w:lineRule="auto"/>
        <w:rPr>
          <w:sz w:val="20"/>
          <w:szCs w:val="20"/>
          <w:color w:val="auto"/>
        </w:rPr>
      </w:pPr>
      <w:r>
        <w:rPr>
          <w:rFonts w:ascii="Arial" w:cs="Arial" w:eastAsia="Arial" w:hAnsi="Arial"/>
          <w:sz w:val="17"/>
          <w:szCs w:val="17"/>
          <w:color w:val="auto"/>
        </w:rPr>
        <w:t>Unless the context otherwise requires, “Vringo,” “the Company,” “we,” “us,” “our” and similar terms refer to Vringo, Inc. and our subsidiaries prior to the merger described below and also include Innovate/Protect, Inc. and its subsidiaries following the merger described below. Unless stated or the context otherwise requires, references in this prospectus to “Innovate/Protect” refer to Innovate/Protect, Inc. and its subsidiaries.</w:t>
      </w:r>
    </w:p>
    <w:p>
      <w:pPr>
        <w:spacing w:after="0" w:line="166" w:lineRule="exact"/>
        <w:rPr>
          <w:sz w:val="20"/>
          <w:szCs w:val="20"/>
          <w:color w:val="auto"/>
        </w:rPr>
      </w:pPr>
    </w:p>
    <w:p>
      <w:pPr>
        <w:ind w:right="40" w:firstLine="661"/>
        <w:spacing w:after="0" w:line="259" w:lineRule="auto"/>
        <w:rPr>
          <w:sz w:val="20"/>
          <w:szCs w:val="20"/>
          <w:color w:val="auto"/>
        </w:rPr>
      </w:pPr>
      <w:r>
        <w:rPr>
          <w:rFonts w:ascii="Arial" w:cs="Arial" w:eastAsia="Arial" w:hAnsi="Arial"/>
          <w:sz w:val="18"/>
          <w:szCs w:val="18"/>
          <w:color w:val="auto"/>
        </w:rPr>
        <w:t>References to “the merger” refer to the transaction consummated on July 19, 2012, by which Innovate/Protect merged with and into a wholly-owned subsidiary of Vringo, which was renamed Innovate/Protect, Inc. Information about the merger is included in our Current Report on Form 8-K filed with the Commission on July 20, 2012 and incorporated by reference herein. See “Where You Can Find More Information” and “Incorporation of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120" w:firstLine="661"/>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intend to attempt to maximize the economic benefits of our intellectual property portfolio, add significant talent in technological innovation, and potentially enhance our opportunities for revenue generation through the monetization of our assets, including patents owned by Innovate/Protect and the outcome of the litigation against online search companies.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undergo changes in connection with the Merger with Innovate/Protect, Inc. as described below. Prior to the Merger, Vringo was engaged in developing software platforms and applications for mobile devices and Innovate/Protect’s business was to maximize, for inventors and investors, the economic benefits of intellectual property assets through acquiring or internally developing patents or other intellectual property assets. Following the Merger, we have enhanced technology capabilities to create, build and deliver mobile applications and services to our handset and mobile operator partners as well as directly to consumers. We believe that the value of each company’s intellectual property portfolio will be enhanced through the combined company’s ability to license and enforce its intellectual property rights.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have two key areas of operation:</w:t>
      </w:r>
    </w:p>
    <w:p>
      <w:pPr>
        <w:spacing w:after="0" w:line="225"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developed a platform for the distribution of mobile applications. We believe that our technology and business relationships will allow us to distribute new applications and services through:</w:t>
      </w:r>
    </w:p>
    <w:p>
      <w:pPr>
        <w:spacing w:after="0" w:line="170" w:lineRule="exact"/>
        <w:rPr>
          <w:sz w:val="20"/>
          <w:szCs w:val="20"/>
          <w:color w:val="auto"/>
        </w:rPr>
      </w:pPr>
    </w:p>
    <w:p>
      <w:pPr>
        <w:ind w:left="1960" w:hanging="331"/>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intend to expand our intellectual property portfolio through both internal development and acquisition. We believe that our experience and liquidity will enable us to expand our intellectual property portfolio as well as create additional intellectually property internally. We intend to monetize our intellectual property through:</w:t>
      </w:r>
    </w:p>
    <w:p>
      <w:pPr>
        <w:spacing w:after="0" w:line="181" w:lineRule="exact"/>
        <w:rPr>
          <w:sz w:val="20"/>
          <w:szCs w:val="20"/>
          <w:color w:val="auto"/>
        </w:rPr>
      </w:pPr>
    </w:p>
    <w:p>
      <w:pPr>
        <w:ind w:left="1960" w:hanging="331"/>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continue to actively seek to broaden our intellectual property portfolio. Our philosophy is to seek to acquire intellectual property and technology. We are reviewing portfolio opportunities with a view toward acquiring those which we believe have potential for monetization through licensing opportunities or enforcement. We are actively engaged in due diligence with respect to a number of patent and intellectual property portfolios and are in advanced discussions as to the acquisition of several such portfolios. We will likely need to raise additional capital to make any such acquisition. There is no assurance that we will succeed in acquiring any such portfolios, as to the terms of any such acquisition or that we will successfully monetize any portfolio that we acquire.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Innovate/Protect</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March 12, 2012, we entered into an Agreement and Plan of Merger (the “Merger Agreement”) with VIP Merger Sub, Inc., a Delaware corporation and our wholly-owned subsidiary (“Merger Sub”), and Innovate/Protect, Inc., a Delaware corporation and an intellectual property firm founded in 2011, whose wholly-owned subsidiary, I/P Engine, holds eight patents that were acquired from Lycos Inc. (“Innovate/Protect”), pursuant to which Innovate/Protect merged with and into Merger Sub, with Merger Sub being the surviving corporation renamed Innovate/Protect, Inc. (the “Surviving Corporation”) through an exchange of capital stock of Innovate/Protect for capital stock of Vringo (the “Merger”). The Merger was approved by our stockholders at our annual meeting of stockholders held on July 19, 2012 and we consummated the Merger on July 19, 2012.</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connection with the Merger, we caused to be issued, as of the closing date, our securities to Innovate/Protect’s stockholders in exchange for the capital stock owned by Innovate/Protect stockholders, as follows (the “Merger Consideration”): (i) an aggregate of 18,617,569 shares of our common stock, par value $0.01 per share, (ii) an aggregate of 6,673 shares of our Series A Preferred Stock, par value $0.01 per share, convertible into an aggregate of 20,136,445 shares of common stock, (iii) an aggregate of 8,299,116 Series 1 warrants to purchase up to an aggregate 8,299,116 shares of common stock, with an exercise price of $1.76 per share and expiring on July 19, 2017, and (iv) an aggregate of 7,660,722 Series 2 warrants to purchase up to an aggregate of 7,660,722 shares of common stock, with an exercise price of $1.76 per share and expiring on July 19, 2017. In addition, we assumed an option to purchase an aggregate of 41,178 shares of common stock at an exercise price of $0.994 per share, in exchange for the outstanding and unexercised stock option to purchase shares of Innovate/Protect’s common stock.</w:t>
      </w:r>
    </w:p>
    <w:p>
      <w:pPr>
        <w:sectPr>
          <w:pgSz w:w="11900" w:h="16838" w:orient="portrait"/>
          <w:cols w:equalWidth="0" w:num="1">
            <w:col w:w="11420"/>
          </w:cols>
          <w:pgMar w:left="240" w:top="877"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right="40" w:firstLine="648"/>
        <w:spacing w:after="0" w:line="259" w:lineRule="auto"/>
        <w:rPr>
          <w:sz w:val="20"/>
          <w:szCs w:val="20"/>
          <w:color w:val="auto"/>
        </w:rPr>
      </w:pPr>
      <w:r>
        <w:rPr>
          <w:rFonts w:ascii="Arial" w:cs="Arial" w:eastAsia="Arial" w:hAnsi="Arial"/>
          <w:sz w:val="18"/>
          <w:szCs w:val="18"/>
          <w:color w:val="auto"/>
        </w:rPr>
        <w:t>As a result of the consummation of the Merger, as of the closing date, the former stockholders of Innovate/Protect own approximately 55.04% of the outstanding shares of our common stock (or 67.61% of the outstanding shares of our common stock calculated on a fully diluted basis) and our stockholders prior to the Merger own approximately 44.96% of the outstanding shares of our common stock (or 32.39% of the outstanding shares of our common stock calculated on a fully diluted basis) and a change of control may be deemed to have occurred.</w:t>
      </w:r>
    </w:p>
    <w:p>
      <w:pPr>
        <w:spacing w:after="0" w:line="187"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For accounting purposes, the Merger is treated as a “reverse acquisition” and Innovate/Protect is considered the accounting acquirer. Accordingly, Innovate/Protect will be reflected as the predecessor and acquirer in our financial statements. Our financial statements will reflect the historical financial statements of Innovate/Protect as our historical financial statements, except for the legal capital which will reflect Vringo's legal capital (common stock).</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financial statements appearing in our Annual Report on Form 10-K, and which are incorporated by reference in this document do not reflect this adjustment, and include the historical financial information of Vringo. The Forms 8-K incorporated by reference herein include both financial information of Innovate/Protect as well as pro forma information intended to show how the Merger might have affected historical financial statements if the Merger had been completed on June 8, 2011, for the purposes of the statements of operations, and March 31, 2012, and December 31, 2011, for the purposes of the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Our applications and services have been launched with ten carriers in eight markets. The billing integrations that we have with these operators are of significant strategic value to our operations. In addition, we have deals in place with two of the four largest handset makers in the world. We also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 While our current portfolio of applications and services represents what we believe to be cutting edge mobile technology that can work across many operating systems, we recognize that the pace at which the mobile landscape is changing has increased and the two most dominant operating systems are Google’s Android and Apple’s iOS. Moving forward, we intend to develop additional applications and services for these two key operating systems, as well as other dominant smartphone operating systems that may emerge. We believe that we can leverage our existing distribution and relationships to promote apps and services for these two operating systems.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21" w:lineRule="exact"/>
        <w:rPr>
          <w:sz w:val="20"/>
          <w:szCs w:val="20"/>
          <w:color w:val="auto"/>
        </w:rPr>
      </w:pPr>
    </w:p>
    <w:p>
      <w:pPr>
        <w:ind w:left="1500" w:right="360" w:hanging="682"/>
        <w:spacing w:after="0" w:line="282" w:lineRule="auto"/>
        <w:tabs>
          <w:tab w:leader="none" w:pos="1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our original product platform that allows users to create, download and share mobile entertainment content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video ringtones for mobile phones;</w:t>
      </w:r>
    </w:p>
    <w:p>
      <w:pPr>
        <w:spacing w:after="0" w:line="161" w:lineRule="exact"/>
        <w:rPr>
          <w:rFonts w:ascii="Arial" w:cs="Arial" w:eastAsia="Arial" w:hAnsi="Arial"/>
          <w:sz w:val="18"/>
          <w:szCs w:val="18"/>
          <w:b w:val="1"/>
          <w:bCs w:val="1"/>
          <w:color w:val="auto"/>
        </w:rPr>
      </w:pPr>
    </w:p>
    <w:p>
      <w:pPr>
        <w:ind w:left="1500" w:hanging="682"/>
        <w:spacing w:after="0"/>
        <w:tabs>
          <w:tab w:leader="none" w:pos="1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25" w:lineRule="exact"/>
        <w:rPr>
          <w:rFonts w:ascii="Arial" w:cs="Arial" w:eastAsia="Arial" w:hAnsi="Arial"/>
          <w:sz w:val="18"/>
          <w:szCs w:val="18"/>
          <w:b w:val="1"/>
          <w:bCs w:val="1"/>
          <w:color w:val="auto"/>
        </w:rPr>
      </w:pPr>
    </w:p>
    <w:p>
      <w:pPr>
        <w:ind w:left="1500" w:hanging="682"/>
        <w:spacing w:after="0" w:line="282" w:lineRule="auto"/>
        <w:tabs>
          <w:tab w:leader="none" w:pos="1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161" w:lineRule="exact"/>
        <w:rPr>
          <w:rFonts w:ascii="Arial" w:cs="Arial" w:eastAsia="Arial" w:hAnsi="Arial"/>
          <w:sz w:val="18"/>
          <w:szCs w:val="18"/>
          <w:b w:val="1"/>
          <w:bCs w:val="1"/>
          <w:color w:val="auto"/>
        </w:rPr>
      </w:pPr>
    </w:p>
    <w:p>
      <w:pPr>
        <w:ind w:left="1500" w:right="140" w:hanging="682"/>
        <w:spacing w:after="0" w:line="282" w:lineRule="auto"/>
        <w:tabs>
          <w:tab w:leader="none" w:pos="1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 television series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stars and vote for contestants.</w:t>
      </w:r>
    </w:p>
    <w:p>
      <w:pPr>
        <w:spacing w:after="0" w:line="16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To develop these platforms, we have leveraged our existing technology, intellectual property and our extensive experience with mobile video, personalization and social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Innovate/Protect, Inc.</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Innovate/Protect is the owner of patent assets acquired from Lycos (the “Lycos Patents”), one of the largest search engine websites of its kind in the mid-late 1990s, with technologies that remain critical to current search platforms.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Through the strategic combination with Innovate/Protect, we expect to substantially increase our intellectual property portfolio, add significant talent in technological innovation, and be positioned to potentially enhance our opportunities for revenue generation through the monetization of the combined company’s assets.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Innovate/Protect’s Initial Litigation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187"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 xml:space="preserve">The court docket for the case, including the parties’ briefs, is publicly available on the Public Access to Court Electronic Records website (“PACER”), </w:t>
      </w:r>
      <w:r>
        <w:rPr>
          <w:rFonts w:ascii="Arial" w:cs="Arial" w:eastAsia="Arial" w:hAnsi="Arial"/>
          <w:sz w:val="18"/>
          <w:szCs w:val="18"/>
          <w:i w:val="1"/>
          <w:iCs w:val="1"/>
          <w:color w:val="auto"/>
        </w:rPr>
        <w:t>www.pacer.gov</w:t>
      </w:r>
      <w:r>
        <w:rPr>
          <w:rFonts w:ascii="Arial" w:cs="Arial" w:eastAsia="Arial" w:hAnsi="Arial"/>
          <w:sz w:val="18"/>
          <w:szCs w:val="18"/>
          <w:color w:val="auto"/>
        </w:rPr>
        <w:t>, which is operated by the Administrative Office of the U.S. Courts.</w:t>
      </w:r>
    </w:p>
    <w:p>
      <w:pPr>
        <w:spacing w:after="0" w:line="170"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w:t>
      </w:r>
    </w:p>
    <w:p>
      <w:pPr>
        <w:sectPr>
          <w:pgSz w:w="11900" w:h="16838" w:orient="portrait"/>
          <w:cols w:equalWidth="0" w:num="1">
            <w:col w:w="11400"/>
          </w:cols>
          <w:pgMar w:left="240" w:top="881" w:right="259" w:bottom="0" w:gutter="0" w:footer="0" w:header="0"/>
        </w:sectPr>
      </w:pPr>
    </w:p>
    <w:bookmarkStart w:id="9" w:name="page10"/>
    <w:bookmarkEnd w:id="9"/>
    <w:p>
      <w:pPr>
        <w:ind w:right="520"/>
        <w:spacing w:after="0" w:line="277" w:lineRule="auto"/>
        <w:rPr>
          <w:sz w:val="20"/>
          <w:szCs w:val="20"/>
          <w:color w:val="auto"/>
        </w:rPr>
      </w:pPr>
      <w:r>
        <w:rPr>
          <w:rFonts w:ascii="Arial" w:cs="Arial" w:eastAsia="Arial" w:hAnsi="Arial"/>
          <w:sz w:val="18"/>
          <w:szCs w:val="18"/>
          <w:color w:val="auto"/>
        </w:rPr>
        <w:t>Innovate/Protect’s relevant filtering patents. Innovate/Protect is seeking unspecified compensatory damages, past and future, amounting to no less than reasonable royalties, and attorneys’ fees.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 w:name="page11"/>
    <w:bookmarkEnd w:id="10"/>
    <w:p>
      <w:pPr>
        <w:ind w:right="200" w:firstLine="648"/>
        <w:spacing w:after="0" w:line="259"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On March 15, 2012, Google submitted a request to the USPTO for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 On May 24, 2012, Google submitted their request to the USPTO. This resubmission purports to address the issues identified by the USPTO. On July 18, 2012 the USPTO issued a determination ordering a reexamination. Google’s request has not resulted in any delay of the dates set out in the Court's scheduling order dated February 15, 2012.</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Within the Markman,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Markman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is publicly available on the Public Access to Court Electronic Records (PACER) electronic public access service at http://www.pacer.uscourts.gov/, and was also filed by Vringo with the Securities and Exchange Commission.</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Vringo is headquartered in New York, New York and was incorporated in Delaware in 2006. Vringo’s principal offices are located at 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 New York, New York 10001 and its telephone number is (646) 525-4319. Vringo’s principal website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or that can be accessed through Vringo’s website is not part of this prospectus. Vringo’s common stock is listed on the NYSE MKT and trades under the symbol “VRNG.”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ind w:right="20" w:firstLine="661"/>
        <w:spacing w:after="0" w:line="276" w:lineRule="auto"/>
        <w:rPr>
          <w:sz w:val="20"/>
          <w:szCs w:val="20"/>
          <w:color w:val="auto"/>
        </w:rPr>
      </w:pPr>
      <w:r>
        <w:rPr>
          <w:rFonts w:ascii="Arial" w:cs="Arial" w:eastAsia="Arial" w:hAnsi="Arial"/>
          <w:sz w:val="17"/>
          <w:szCs w:val="17"/>
          <w:color w:val="auto"/>
        </w:rPr>
        <w:t>Under this prospectus, we may offer shares of our common stock and preferred stock, various series of debt securities and/or warrants, rights or purchase contracts to purchase any of such securities, either individually or in units, with a total value of up to $100,000,000,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7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redemption, conversion or sinking fund terms,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ind w:firstLine="661"/>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12" w:name="page13"/>
    <w:bookmarkEnd w:id="12"/>
    <w:p>
      <w:pPr>
        <w:ind w:firstLine="661"/>
        <w:spacing w:after="0" w:line="264"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This prospectus may not be used to consummate a sale of any securities unless it is accompanied by a prospectus supplement.</w:t>
      </w: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i w:val="1"/>
          <w:iCs w:val="1"/>
          <w:color w:val="auto"/>
        </w:rPr>
        <w:t>Investing in our securities involves significant risk. Prior to making a decision about investing in our securities, you should carefully consider the specific factors set forth below, together with all of the other information contained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on file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Relating to the Merger</w:t>
      </w:r>
    </w:p>
    <w:p>
      <w:pPr>
        <w:spacing w:after="0" w:line="225" w:lineRule="exact"/>
        <w:rPr>
          <w:sz w:val="20"/>
          <w:szCs w:val="20"/>
          <w:color w:val="auto"/>
        </w:rPr>
      </w:pPr>
    </w:p>
    <w:p>
      <w:pPr>
        <w:ind w:left="500" w:right="320" w:firstLine="270"/>
        <w:spacing w:after="0" w:line="282" w:lineRule="auto"/>
        <w:rPr>
          <w:sz w:val="20"/>
          <w:szCs w:val="20"/>
          <w:color w:val="auto"/>
        </w:rPr>
      </w:pPr>
      <w:r>
        <w:rPr>
          <w:rFonts w:ascii="Arial" w:cs="Arial" w:eastAsia="Arial" w:hAnsi="Arial"/>
          <w:sz w:val="18"/>
          <w:szCs w:val="18"/>
          <w:b w:val="1"/>
          <w:bCs w:val="1"/>
          <w:color w:val="auto"/>
        </w:rPr>
        <w:t>The failure to integrate successfully the businesses of Vringo and Innovate/Protect in the expected timeframe could adversely affect the combined company’s future results following the completion of the Merger.</w:t>
      </w:r>
    </w:p>
    <w:p>
      <w:pPr>
        <w:spacing w:after="0" w:line="166" w:lineRule="exact"/>
        <w:rPr>
          <w:sz w:val="20"/>
          <w:szCs w:val="20"/>
          <w:color w:val="auto"/>
        </w:rPr>
      </w:pPr>
    </w:p>
    <w:p>
      <w:pPr>
        <w:ind w:left="500" w:right="40" w:firstLine="270"/>
        <w:spacing w:after="0" w:line="277" w:lineRule="auto"/>
        <w:rPr>
          <w:sz w:val="20"/>
          <w:szCs w:val="20"/>
          <w:color w:val="auto"/>
        </w:rPr>
      </w:pPr>
      <w:r>
        <w:rPr>
          <w:rFonts w:ascii="Arial" w:cs="Arial" w:eastAsia="Arial" w:hAnsi="Arial"/>
          <w:sz w:val="18"/>
          <w:szCs w:val="18"/>
          <w:color w:val="auto"/>
        </w:rPr>
        <w:t>The success of the Merger will depend, in large part, on the ability of the combined company to realize the anticipated benefits from combining the businesses of Vringo and Innovate/Protect.</w:t>
      </w:r>
    </w:p>
    <w:p>
      <w:pPr>
        <w:spacing w:after="0" w:line="170" w:lineRule="exact"/>
        <w:rPr>
          <w:sz w:val="20"/>
          <w:szCs w:val="20"/>
          <w:color w:val="auto"/>
        </w:rPr>
      </w:pPr>
    </w:p>
    <w:p>
      <w:pPr>
        <w:ind w:left="500" w:right="340" w:firstLine="270"/>
        <w:spacing w:after="0" w:line="277" w:lineRule="auto"/>
        <w:rPr>
          <w:sz w:val="20"/>
          <w:szCs w:val="20"/>
          <w:color w:val="auto"/>
        </w:rPr>
      </w:pPr>
      <w:r>
        <w:rPr>
          <w:rFonts w:ascii="Arial" w:cs="Arial" w:eastAsia="Arial" w:hAnsi="Arial"/>
          <w:sz w:val="18"/>
          <w:szCs w:val="18"/>
          <w:color w:val="auto"/>
        </w:rPr>
        <w:t>The failure to integrate successfully and to manage successfully the challenges presented by the integration process may result in the combined company’s failure to achieve some or all of the anticipated benefits of the Merger.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using the combined company’s cash and other assets efficiently to develop the business of the combined company;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Merger and the operations of the combined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Merger; and</w:t>
      </w:r>
    </w:p>
    <w:p>
      <w:pPr>
        <w:spacing w:after="0" w:line="9" w:lineRule="exact"/>
        <w:rPr>
          <w:rFonts w:ascii="Arial" w:cs="Arial" w:eastAsia="Arial" w:hAnsi="Arial"/>
          <w:sz w:val="18"/>
          <w:szCs w:val="18"/>
          <w:color w:val="auto"/>
        </w:rPr>
      </w:pPr>
    </w:p>
    <w:p>
      <w:pPr>
        <w:ind w:left="980" w:right="140" w:hanging="324"/>
        <w:spacing w:after="0" w:line="261"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the companies’ operations.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We may not realize the potential value and benefits created by the Merger.</w:t>
      </w:r>
    </w:p>
    <w:p>
      <w:pPr>
        <w:spacing w:after="0" w:line="229" w:lineRule="exact"/>
        <w:rPr>
          <w:sz w:val="20"/>
          <w:szCs w:val="20"/>
          <w:color w:val="auto"/>
        </w:rPr>
      </w:pPr>
    </w:p>
    <w:p>
      <w:pPr>
        <w:ind w:left="500" w:right="100" w:firstLine="270"/>
        <w:spacing w:after="0" w:line="259" w:lineRule="auto"/>
        <w:rPr>
          <w:sz w:val="20"/>
          <w:szCs w:val="20"/>
          <w:color w:val="auto"/>
        </w:rPr>
      </w:pPr>
      <w:r>
        <w:rPr>
          <w:rFonts w:ascii="Arial" w:cs="Arial" w:eastAsia="Arial" w:hAnsi="Arial"/>
          <w:sz w:val="18"/>
          <w:szCs w:val="18"/>
          <w:color w:val="auto"/>
        </w:rPr>
        <w:t>The success of the Merger will depend, in part, on our ability to realize the expected potential value and benefits created from integrating Vringo’s existing business with Innovate/Protect’s business, which includes the maximization of the economic benefits of the combined company’s intellectual property portfolio. The integration process may be complex, costly, and time-consuming. The difficulties of integrating the operations of Innovate/Protect’s business could include, among others:</w:t>
      </w:r>
    </w:p>
    <w:p>
      <w:pPr>
        <w:spacing w:after="0" w:line="18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issues in integrating the business of both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lost sales and customers if any customer of Vringo decides not to do business with us after the Merger;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key employees with knowledge of Vringo’s historical business and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 and</w:t>
      </w:r>
    </w:p>
    <w:p>
      <w:pPr>
        <w:spacing w:after="0" w:line="9" w:lineRule="exact"/>
        <w:rPr>
          <w:rFonts w:ascii="Arial" w:cs="Arial" w:eastAsia="Arial" w:hAnsi="Arial"/>
          <w:sz w:val="18"/>
          <w:szCs w:val="18"/>
          <w:color w:val="auto"/>
        </w:rPr>
      </w:pPr>
    </w:p>
    <w:p>
      <w:pPr>
        <w:ind w:left="980" w:right="8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unanticipated issues, expenses, or liabilities that could impact, among other things, our ability to realize any expected benefits on a timely basis, or at all.</w:t>
      </w:r>
    </w:p>
    <w:p>
      <w:pPr>
        <w:spacing w:after="0" w:line="184" w:lineRule="exact"/>
        <w:rPr>
          <w:sz w:val="20"/>
          <w:szCs w:val="20"/>
          <w:color w:val="auto"/>
        </w:rPr>
      </w:pPr>
    </w:p>
    <w:p>
      <w:pPr>
        <w:ind w:left="500" w:firstLine="270"/>
        <w:spacing w:after="0" w:line="257" w:lineRule="auto"/>
        <w:rPr>
          <w:sz w:val="20"/>
          <w:szCs w:val="20"/>
          <w:color w:val="auto"/>
        </w:rPr>
      </w:pPr>
      <w:r>
        <w:rPr>
          <w:rFonts w:ascii="Arial" w:cs="Arial" w:eastAsia="Arial" w:hAnsi="Arial"/>
          <w:sz w:val="18"/>
          <w:szCs w:val="18"/>
          <w:color w:val="auto"/>
        </w:rPr>
        <w:t>We may not accomplish the integration of Vringo’s and Innovate/Protect’s businesses smoothly, successfully, or within the anticipated costs or time frame. The diversion of the attention of management from our current operations to the integration effort and any difficulties encountered in combining businesses could prevent us from realizing the full expected potential value and benefits to result from the Merger and could adversely affect our business. In addition, the integration efforts could divert the focus and resources of our management from other strategic opportunities and operational matters during the integration process.</w:t>
      </w:r>
    </w:p>
    <w:p>
      <w:pPr>
        <w:spacing w:after="0" w:line="184" w:lineRule="exact"/>
        <w:rPr>
          <w:sz w:val="20"/>
          <w:szCs w:val="20"/>
          <w:color w:val="auto"/>
        </w:rPr>
      </w:pPr>
    </w:p>
    <w:p>
      <w:pPr>
        <w:ind w:left="500" w:right="260" w:firstLine="270"/>
        <w:spacing w:after="0" w:line="282" w:lineRule="auto"/>
        <w:rPr>
          <w:sz w:val="20"/>
          <w:szCs w:val="20"/>
          <w:color w:val="auto"/>
        </w:rPr>
      </w:pPr>
      <w:r>
        <w:rPr>
          <w:rFonts w:ascii="Arial" w:cs="Arial" w:eastAsia="Arial" w:hAnsi="Arial"/>
          <w:sz w:val="18"/>
          <w:szCs w:val="18"/>
          <w:b w:val="1"/>
          <w:bCs w:val="1"/>
          <w:color w:val="auto"/>
        </w:rPr>
        <w:t>We will be dependent on certain key personnel, and the loss of these key personnel could have a material adverse effect on our business, financial condition and results of operations.</w:t>
      </w:r>
    </w:p>
    <w:p>
      <w:pPr>
        <w:spacing w:after="0" w:line="166" w:lineRule="exact"/>
        <w:rPr>
          <w:sz w:val="20"/>
          <w:szCs w:val="20"/>
          <w:color w:val="auto"/>
        </w:rPr>
      </w:pPr>
    </w:p>
    <w:p>
      <w:pPr>
        <w:ind w:left="500" w:firstLine="270"/>
        <w:spacing w:after="0" w:line="259" w:lineRule="auto"/>
        <w:rPr>
          <w:sz w:val="20"/>
          <w:szCs w:val="20"/>
          <w:color w:val="auto"/>
        </w:rPr>
      </w:pPr>
      <w:r>
        <w:rPr>
          <w:rFonts w:ascii="Arial" w:cs="Arial" w:eastAsia="Arial" w:hAnsi="Arial"/>
          <w:sz w:val="18"/>
          <w:szCs w:val="18"/>
          <w:color w:val="auto"/>
        </w:rPr>
        <w:t>Our success and future prospects largely depend on the skills, experience and efforts of our key personnel, including Andrew D. Perlman, our Chief Executive Officer, and Andrew Kennedy Lang, our Chief Technology Officer and President. The loss of Messrs. Perlman or Lang or other executives of our company, or our failure to retain other key personnel, would jeopardize our ability to execute our strategic plan and materially harm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4" w:name="page15"/>
    <w:bookmarkEnd w:id="14"/>
    <w:p>
      <w:pPr>
        <w:ind w:right="200" w:firstLine="270"/>
        <w:spacing w:after="0" w:line="282" w:lineRule="auto"/>
        <w:rPr>
          <w:sz w:val="20"/>
          <w:szCs w:val="20"/>
          <w:color w:val="auto"/>
        </w:rPr>
      </w:pPr>
      <w:r>
        <w:rPr>
          <w:rFonts w:ascii="Arial" w:cs="Arial" w:eastAsia="Arial" w:hAnsi="Arial"/>
          <w:sz w:val="18"/>
          <w:szCs w:val="18"/>
          <w:b w:val="1"/>
          <w:bCs w:val="1"/>
          <w:color w:val="auto"/>
        </w:rPr>
        <w:t>The Merger resulted in changes to our board of directors and we may pursue different strategies than either Vringo or Innovate/Protect may have pursued independently.</w:t>
      </w:r>
    </w:p>
    <w:p>
      <w:pPr>
        <w:spacing w:after="0" w:line="166" w:lineRule="exact"/>
        <w:rPr>
          <w:sz w:val="20"/>
          <w:szCs w:val="20"/>
          <w:color w:val="auto"/>
        </w:rPr>
      </w:pPr>
    </w:p>
    <w:p>
      <w:pPr>
        <w:ind w:right="280" w:firstLine="270"/>
        <w:spacing w:after="0" w:line="255" w:lineRule="auto"/>
        <w:rPr>
          <w:sz w:val="20"/>
          <w:szCs w:val="20"/>
          <w:color w:val="auto"/>
        </w:rPr>
      </w:pPr>
      <w:r>
        <w:rPr>
          <w:rFonts w:ascii="Arial" w:cs="Arial" w:eastAsia="Arial" w:hAnsi="Arial"/>
          <w:sz w:val="18"/>
          <w:szCs w:val="18"/>
          <w:color w:val="auto"/>
        </w:rPr>
        <w:t>The composition of our board of directors has changed in accordance with the Merger Agreement. Following the completion of the Merger, our board of directors now consists of seven members, including Seth M. Siegel, as Chairman, Andrew D. Perlman, John Engelman, Andrew Kennedy Lang, Alexander R. Berger, Donald E. Stout and H. Van Sinclair. Currently, it is anticipated that we will maximize the economic benefits of our intellectual property portfolio, add significant talent in technological innovation and potentially enhance our opportunities for revenue generation through the monetization of our company’s assets. However, because the composition of our board of directors will consist of directors from both Vringo and Innovate/Protect, we may determine to pursue certain business strategies that neither Vringo nor Innovate/Protect would have pursued independently.</w:t>
      </w:r>
    </w:p>
    <w:p>
      <w:pPr>
        <w:spacing w:after="0" w:line="185" w:lineRule="exact"/>
        <w:rPr>
          <w:sz w:val="20"/>
          <w:szCs w:val="20"/>
          <w:color w:val="auto"/>
        </w:rPr>
      </w:pPr>
    </w:p>
    <w:p>
      <w:pPr>
        <w:ind w:right="100" w:firstLine="270"/>
        <w:spacing w:after="0" w:line="282" w:lineRule="auto"/>
        <w:rPr>
          <w:sz w:val="20"/>
          <w:szCs w:val="20"/>
          <w:color w:val="auto"/>
        </w:rPr>
      </w:pPr>
      <w:r>
        <w:rPr>
          <w:rFonts w:ascii="Arial" w:cs="Arial" w:eastAsia="Arial" w:hAnsi="Arial"/>
          <w:sz w:val="18"/>
          <w:szCs w:val="18"/>
          <w:b w:val="1"/>
          <w:bCs w:val="1"/>
          <w:color w:val="auto"/>
        </w:rPr>
        <w:t>Ownership of our common stock may be highly concentrated, and it may prevent you and other stockholders from influencing significant corporate decisions and may result in conflicts of interest that could cause our stock price to decline.</w:t>
      </w:r>
    </w:p>
    <w:p>
      <w:pPr>
        <w:spacing w:after="0" w:line="166"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After giving effect to the Merger, our executive officers and directors beneficially own or control approximately 38.4% of our company. Accordingly, these executive officers and directors, acting individually or as a group, will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our company,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74" w:lineRule="exact"/>
        <w:rPr>
          <w:sz w:val="20"/>
          <w:szCs w:val="20"/>
          <w:color w:val="auto"/>
        </w:rPr>
      </w:pPr>
    </w:p>
    <w:p>
      <w:pPr>
        <w:jc w:val="both"/>
        <w:ind w:right="420" w:firstLine="270"/>
        <w:spacing w:after="0" w:line="266" w:lineRule="auto"/>
        <w:rPr>
          <w:sz w:val="20"/>
          <w:szCs w:val="20"/>
          <w:color w:val="auto"/>
        </w:rPr>
      </w:pPr>
      <w:r>
        <w:rPr>
          <w:rFonts w:ascii="Arial" w:cs="Arial" w:eastAsia="Arial" w:hAnsi="Arial"/>
          <w:sz w:val="18"/>
          <w:szCs w:val="18"/>
          <w:b w:val="1"/>
          <w:bCs w:val="1"/>
          <w:color w:val="auto"/>
        </w:rPr>
        <w:t>Our success will depend in part on relationships with third parties, which relationships may be affected by third-party preferences or public attitudes about the Merger. Any adverse changes in these relationships could adversely affect our business, financial condition, or results of operations.</w:t>
      </w:r>
    </w:p>
    <w:p>
      <w:pPr>
        <w:spacing w:after="0" w:line="180"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Our success will be dependent on our ability to maintain and renew the business relationships of both Vringo and Innovate/Protect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67" w:lineRule="exact"/>
        <w:rPr>
          <w:sz w:val="20"/>
          <w:szCs w:val="20"/>
          <w:color w:val="auto"/>
        </w:rPr>
      </w:pPr>
    </w:p>
    <w:p>
      <w:pPr>
        <w:ind w:right="120" w:firstLine="270"/>
        <w:spacing w:after="0" w:line="313" w:lineRule="auto"/>
        <w:rPr>
          <w:sz w:val="20"/>
          <w:szCs w:val="20"/>
          <w:color w:val="auto"/>
        </w:rPr>
      </w:pPr>
      <w:r>
        <w:rPr>
          <w:rFonts w:ascii="Arial" w:cs="Arial" w:eastAsia="Arial" w:hAnsi="Arial"/>
          <w:sz w:val="17"/>
          <w:szCs w:val="17"/>
          <w:b w:val="1"/>
          <w:bCs w:val="1"/>
          <w:color w:val="auto"/>
        </w:rPr>
        <w:t>Our future results may differ materially from the unaudited pro forma financial statements presented in connection with the Merger and the financial forecasts prepared by Vringo and Innovate/Protect in connection with discussions concerning the Merger.</w:t>
      </w:r>
    </w:p>
    <w:p>
      <w:pPr>
        <w:spacing w:after="0" w:line="142"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Our future results may be materially different from those shown in the unaudited pro forma combined financial statements prepared in connection with the Merger, which show only a combination of the historical results of Vringo and Innovate/Protect prepared by Vringo and Innovate/Protect in connection with discussions concerning the Merger. We expect to incur significant costs associated with the completion of the Merger and combining the operations of the two companies. The exact magnitude of these costs are not yet known, but are estimated to be approximately $0.9 million. Furthermore, these costs may decrease the capital that we could use for continued development of our business in the future or may cause us to seek to raise new capital sooner than expected.</w:t>
      </w:r>
    </w:p>
    <w:p>
      <w:pPr>
        <w:spacing w:after="0" w:line="189" w:lineRule="exact"/>
        <w:rPr>
          <w:sz w:val="20"/>
          <w:szCs w:val="20"/>
          <w:color w:val="auto"/>
        </w:rPr>
      </w:pPr>
    </w:p>
    <w:p>
      <w:pPr>
        <w:ind w:right="140" w:firstLine="270"/>
        <w:spacing w:after="0" w:line="282" w:lineRule="auto"/>
        <w:rPr>
          <w:sz w:val="20"/>
          <w:szCs w:val="20"/>
          <w:color w:val="auto"/>
        </w:rPr>
      </w:pPr>
      <w:r>
        <w:rPr>
          <w:rFonts w:ascii="Arial" w:cs="Arial" w:eastAsia="Arial" w:hAnsi="Arial"/>
          <w:sz w:val="18"/>
          <w:szCs w:val="18"/>
          <w:b w:val="1"/>
          <w:bCs w:val="1"/>
          <w:color w:val="auto"/>
        </w:rPr>
        <w:t>We will require additional capital to support our present business plan and our anticipated business growth, and such capital may not be available on acceptable terms, or at all, which would adversely affect our ability to operate.</w:t>
      </w:r>
    </w:p>
    <w:p>
      <w:pPr>
        <w:spacing w:after="0" w:line="166"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Based on our current operating plans, the current resources of the combined company, together with existing funding commitments, are expected to be sufficient to fund its planned operations at least for the coming twelve months. We may need to raise additional funds in connection with any acquisitions of patent portfolios or other intellectual property assets that we pursue. Any such financing that we undertake will likely be dilutive to Vringo’s current stockholders.</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740" w:top="877" w:right="279" w:bottom="1440" w:gutter="0" w:footer="0" w:header="0"/>
        </w:sectPr>
      </w:pPr>
    </w:p>
    <w:bookmarkStart w:id="15" w:name="page16"/>
    <w:bookmarkEnd w:id="15"/>
    <w:p>
      <w:pPr>
        <w:ind w:firstLine="270"/>
        <w:spacing w:after="0" w:line="285"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as described below. Such obligations, when incurred, will be guaranteed by each of the Vringo entities and secured by a first priority lien on all assets of the Vringo entities. Although the combined company has access to up to $6,000,000 of financing under this facility if it meets the conditions to the commitment, it intends not to draw down any amounts under this facility and instead will attempt to raise additional capital through equity or equity-linked financings as well as through the exercise of its outstanding warrants.</w:t>
      </w:r>
    </w:p>
    <w:p>
      <w:pPr>
        <w:spacing w:after="0" w:line="175" w:lineRule="exact"/>
        <w:rPr>
          <w:sz w:val="20"/>
          <w:szCs w:val="20"/>
          <w:color w:val="auto"/>
        </w:rPr>
      </w:pPr>
    </w:p>
    <w:p>
      <w:pPr>
        <w:ind w:right="40" w:firstLine="270"/>
        <w:spacing w:after="0" w:line="272" w:lineRule="auto"/>
        <w:rPr>
          <w:sz w:val="20"/>
          <w:szCs w:val="20"/>
          <w:color w:val="auto"/>
        </w:rPr>
      </w:pPr>
      <w:r>
        <w:rPr>
          <w:rFonts w:ascii="Arial" w:cs="Arial" w:eastAsia="Arial" w:hAnsi="Arial"/>
          <w:sz w:val="17"/>
          <w:szCs w:val="17"/>
          <w:color w:val="auto"/>
        </w:rPr>
        <w:t>We intend to continue to make investments to support our business growth, including patent or other intellectual property asset creation. In addition, we may also need additional funds to respond to business opportunities and challenges, including our ongoing operating expenses, protecting our assets, satisfying debt payment obligations, developing new lines of business and enhancing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w:t>
      </w:r>
    </w:p>
    <w:p>
      <w:pPr>
        <w:spacing w:after="0" w:line="178"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In addition, the rights of the holders of Vringo preferred stock could adversely affect the combined company’s ability to raise additional funds, in particular, because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As of June 30,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business and financial condition could be constrained by the debt incurred in connection with the Merger.</w:t>
      </w:r>
    </w:p>
    <w:p>
      <w:pPr>
        <w:spacing w:after="0" w:line="229"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On July 19, 2012, in connection with the consummation of the Merger and in accordance with the Merger Agreement, Vringo entered into an Amended and Restated Pledge and Security Agreement and an Amended and Restated Guaranty with each of its subsidiaries to guaranty the obligations of Innovate/Protect under that certain Amended and Restated Senior Secured Promissory Note (the “Secured Note”), dated July 19, 2012, by and between Innovate/Protect and Hudson Bay. As of the Closing Date, the outstanding balance under the Secured Note was $3.2 million. The Secured Note accrues interest at 0.46% per annum and matures on June 22, 2013. From and after the date upon which (i) Vringo and its subsidiaries have more than $15,000,000 in the aggregate of cash and cash equivalents, Hudson Bay may require Vringo to redeem up to 50% of the outstanding principal amount of the Secured Note, (ii) Vringo and its subsidiaries have more than $20,000,000 in the aggregate of cash and cash equivalents, Hudson Bay may require Vringo to redeem up to 100% of the outstanding principal of the Secured Note, and (iii) Vringo and its subsidiaries receive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Secured Note provides that in the event of a change of control, Hudson Bay may require Vringo to redeem all or any portion of the Secured Note at a price in cash equal to 125% of the amount redeemed. Innovate/Protect has granted Hudson Bay a security interest in all of its tangible and intangible personal property (including the Lycos’s patents) to secure its obligations under the Secured Note. In connection with the Merger, Vringo assumed the Secured Note and guarantied the obligations thereunder.</w:t>
      </w:r>
    </w:p>
    <w:p>
      <w:pPr>
        <w:spacing w:after="0" w:line="200" w:lineRule="exact"/>
        <w:rPr>
          <w:sz w:val="20"/>
          <w:szCs w:val="20"/>
          <w:color w:val="auto"/>
        </w:rPr>
      </w:pP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740" w:top="881" w:right="279" w:bottom="1440" w:gutter="0" w:footer="0" w:header="0"/>
        </w:sectPr>
      </w:pPr>
    </w:p>
    <w:bookmarkStart w:id="16" w:name="page17"/>
    <w:bookmarkEnd w:id="16"/>
    <w:p>
      <w:pPr>
        <w:spacing w:after="0" w:line="9" w:lineRule="exact"/>
        <w:rPr>
          <w:sz w:val="20"/>
          <w:szCs w:val="20"/>
          <w:color w:val="auto"/>
        </w:rPr>
      </w:pPr>
    </w:p>
    <w:p>
      <w:pPr>
        <w:ind w:left="8" w:firstLine="270"/>
        <w:spacing w:after="0" w:line="283" w:lineRule="auto"/>
        <w:rPr>
          <w:sz w:val="20"/>
          <w:szCs w:val="20"/>
          <w:color w:val="auto"/>
        </w:rPr>
      </w:pPr>
      <w:r>
        <w:rPr>
          <w:rFonts w:ascii="Arial" w:cs="Arial" w:eastAsia="Arial" w:hAnsi="Arial"/>
          <w:sz w:val="16"/>
          <w:szCs w:val="16"/>
          <w:color w:val="auto"/>
        </w:rPr>
        <w:t>In addition, 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as described above.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automatically and immediately upon the earlier to occur of</w:t>
      </w:r>
    </w:p>
    <w:p>
      <w:pPr>
        <w:spacing w:after="0" w:line="5" w:lineRule="exact"/>
        <w:rPr>
          <w:sz w:val="20"/>
          <w:szCs w:val="20"/>
          <w:color w:val="auto"/>
        </w:rPr>
      </w:pPr>
    </w:p>
    <w:p>
      <w:pPr>
        <w:ind w:left="8" w:right="120" w:hanging="8"/>
        <w:spacing w:after="0" w:line="253" w:lineRule="auto"/>
        <w:tabs>
          <w:tab w:leader="none" w:pos="2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191" w:lineRule="exact"/>
        <w:rPr>
          <w:sz w:val="20"/>
          <w:szCs w:val="20"/>
          <w:color w:val="auto"/>
        </w:rPr>
      </w:pPr>
    </w:p>
    <w:p>
      <w:pPr>
        <w:jc w:val="both"/>
        <w:ind w:left="8" w:right="340" w:firstLine="270"/>
        <w:spacing w:after="0" w:line="264" w:lineRule="auto"/>
        <w:rPr>
          <w:sz w:val="20"/>
          <w:szCs w:val="20"/>
          <w:color w:val="auto"/>
        </w:rPr>
      </w:pPr>
      <w:r>
        <w:rPr>
          <w:rFonts w:ascii="Arial" w:cs="Arial" w:eastAsia="Arial" w:hAnsi="Arial"/>
          <w:sz w:val="18"/>
          <w:szCs w:val="18"/>
          <w:color w:val="auto"/>
        </w:rPr>
        <w:t>In connection with the Merger, Vringo guaranteed the senior secured note and any financing drawn down under new facility. This could have a material adverse effect on our financial condition following the Merger, including limiting our ability to incur additional indebtedness, limiting our available funds for future operations and making us vulnerable to economic or industry downturns.</w:t>
      </w:r>
    </w:p>
    <w:p>
      <w:pPr>
        <w:spacing w:after="0" w:line="177" w:lineRule="exact"/>
        <w:rPr>
          <w:sz w:val="20"/>
          <w:szCs w:val="20"/>
          <w:color w:val="auto"/>
        </w:rPr>
      </w:pPr>
    </w:p>
    <w:p>
      <w:pPr>
        <w:ind w:left="8" w:right="380" w:firstLine="270"/>
        <w:spacing w:after="0" w:line="282" w:lineRule="auto"/>
        <w:rPr>
          <w:sz w:val="20"/>
          <w:szCs w:val="20"/>
          <w:color w:val="auto"/>
        </w:rPr>
      </w:pPr>
      <w:r>
        <w:rPr>
          <w:rFonts w:ascii="Arial" w:cs="Arial" w:eastAsia="Arial" w:hAnsi="Arial"/>
          <w:sz w:val="18"/>
          <w:szCs w:val="18"/>
          <w:b w:val="1"/>
          <w:bCs w:val="1"/>
          <w:color w:val="auto"/>
        </w:rPr>
        <w:t>The price of our common stock following the Merger may be affected by factors different from those previously affecting the shares of Vringo.</w:t>
      </w:r>
    </w:p>
    <w:p>
      <w:pPr>
        <w:spacing w:after="0" w:line="166" w:lineRule="exact"/>
        <w:rPr>
          <w:sz w:val="20"/>
          <w:szCs w:val="20"/>
          <w:color w:val="auto"/>
        </w:rPr>
      </w:pPr>
    </w:p>
    <w:p>
      <w:pPr>
        <w:ind w:left="8" w:right="140" w:firstLine="270"/>
        <w:spacing w:after="0" w:line="302" w:lineRule="auto"/>
        <w:rPr>
          <w:sz w:val="20"/>
          <w:szCs w:val="20"/>
          <w:color w:val="auto"/>
        </w:rPr>
      </w:pPr>
      <w:r>
        <w:rPr>
          <w:rFonts w:ascii="Arial" w:cs="Arial" w:eastAsia="Arial" w:hAnsi="Arial"/>
          <w:sz w:val="16"/>
          <w:szCs w:val="16"/>
          <w:color w:val="auto"/>
        </w:rPr>
        <w:t>Upon completion of the Merger, holders of Innovate/Protect capital stock became holders of Vringo common stock and preferred stock. The business of Vringo differs from the business of Innovate/Protect and, accordingly, our results of operations and the trading price of our common stock following the completion of the Merger may be significantly affected by factors different from those previously affecting the independent results of operations of Vringo because the combined company will be conducting activities not undertaken by Vringo prior to the completion of the Merger.</w:t>
      </w:r>
    </w:p>
    <w:p>
      <w:pPr>
        <w:spacing w:after="0" w:line="150" w:lineRule="exact"/>
        <w:rPr>
          <w:sz w:val="20"/>
          <w:szCs w:val="20"/>
          <w:color w:val="auto"/>
        </w:rPr>
      </w:pPr>
    </w:p>
    <w:p>
      <w:pPr>
        <w:ind w:left="8" w:right="380" w:firstLine="270"/>
        <w:spacing w:after="0" w:line="282" w:lineRule="auto"/>
        <w:rPr>
          <w:sz w:val="20"/>
          <w:szCs w:val="20"/>
          <w:color w:val="auto"/>
        </w:rPr>
      </w:pPr>
      <w:r>
        <w:rPr>
          <w:rFonts w:ascii="Arial" w:cs="Arial" w:eastAsia="Arial" w:hAnsi="Arial"/>
          <w:sz w:val="18"/>
          <w:szCs w:val="18"/>
          <w:b w:val="1"/>
          <w:bCs w:val="1"/>
          <w:color w:val="auto"/>
        </w:rPr>
        <w:t>Material weaknesses may exist when we report on the effectiveness of our internal control over financial reporting for purposes of our reporting requirements.</w:t>
      </w:r>
    </w:p>
    <w:p>
      <w:pPr>
        <w:spacing w:after="0" w:line="166" w:lineRule="exact"/>
        <w:rPr>
          <w:sz w:val="20"/>
          <w:szCs w:val="20"/>
          <w:color w:val="auto"/>
        </w:rPr>
      </w:pPr>
    </w:p>
    <w:p>
      <w:pPr>
        <w:ind w:left="8" w:right="40" w:firstLine="270"/>
        <w:spacing w:after="0" w:line="270" w:lineRule="auto"/>
        <w:rPr>
          <w:sz w:val="20"/>
          <w:szCs w:val="20"/>
          <w:color w:val="auto"/>
        </w:rPr>
      </w:pPr>
      <w:r>
        <w:rPr>
          <w:rFonts w:ascii="Arial" w:cs="Arial" w:eastAsia="Arial" w:hAnsi="Arial"/>
          <w:sz w:val="17"/>
          <w:szCs w:val="17"/>
          <w:color w:val="auto"/>
        </w:rPr>
        <w:t>Prior to the Merger, Innovate/Protect was not subject to most provisions of Sarbanes-Oxley Act of 2002 (“Sarbanes-Oxley”). Therefore, Innovate/Protect’s management and independent registered public accounting firm did not perform an evaluation of Innovate/Protect’s internal control over financial reporting as of December 31, 2011 in accordance with the provisions of Sarbanes-Oxley. Following the completion of the Merger, we will be required to provide management’s report on internal control over financial reporting in our Annual Report on Form 10-K for the year ending December 31, 2012, as required by Section 404 of Sarbanes-Oxley. Material weaknesses may exist when we report on the effectiveness of our internal control over financial reporting for purposes of our reporting requirements under the Exchange Act or Section 404 of Sarbanes-Oxley. The existence of one or more material weaknesses would preclude a conclusion that we maintain effective internal control over financial reporting. Such a conclusion would be required to be disclosed in our future Annual Reports on Form 10-K and could impact the accuracy and timing of our financial reporting and the reliability of our internal control over financial reporting, which could harm our reputation and cause the market price of our common stock to drop.</w:t>
      </w:r>
    </w:p>
    <w:p>
      <w:pPr>
        <w:spacing w:after="0" w:line="174" w:lineRule="exact"/>
        <w:rPr>
          <w:sz w:val="20"/>
          <w:szCs w:val="20"/>
          <w:color w:val="auto"/>
        </w:rPr>
      </w:pPr>
    </w:p>
    <w:p>
      <w:pPr>
        <w:ind w:left="268"/>
        <w:spacing w:after="0"/>
        <w:rPr>
          <w:sz w:val="20"/>
          <w:szCs w:val="20"/>
          <w:color w:val="auto"/>
        </w:rPr>
      </w:pPr>
      <w:r>
        <w:rPr>
          <w:rFonts w:ascii="Arial" w:cs="Arial" w:eastAsia="Arial" w:hAnsi="Arial"/>
          <w:sz w:val="18"/>
          <w:szCs w:val="18"/>
          <w:b w:val="1"/>
          <w:bCs w:val="1"/>
          <w:color w:val="auto"/>
        </w:rPr>
        <w:t>We do not expect to pay cash dividends on our common stock.</w:t>
      </w:r>
    </w:p>
    <w:p>
      <w:pPr>
        <w:spacing w:after="0" w:line="229" w:lineRule="exact"/>
        <w:rPr>
          <w:sz w:val="20"/>
          <w:szCs w:val="20"/>
          <w:color w:val="auto"/>
        </w:rPr>
      </w:pPr>
    </w:p>
    <w:p>
      <w:pPr>
        <w:ind w:left="8" w:right="60" w:firstLine="270"/>
        <w:spacing w:after="0" w:line="277" w:lineRule="auto"/>
        <w:rPr>
          <w:sz w:val="20"/>
          <w:szCs w:val="20"/>
          <w:color w:val="auto"/>
        </w:rPr>
      </w:pPr>
      <w:r>
        <w:rPr>
          <w:rFonts w:ascii="Arial" w:cs="Arial" w:eastAsia="Arial" w:hAnsi="Arial"/>
          <w:sz w:val="18"/>
          <w:szCs w:val="18"/>
          <w:color w:val="auto"/>
        </w:rPr>
        <w:t>We anticipate that the combined company will retain its earnings, if any, for future growth and therefore do not anticipate paying cash dividends on our common stock in the future. Investors seeking cash dividends should not invest in our common stock for that purpose.</w:t>
      </w:r>
    </w:p>
    <w:p>
      <w:pPr>
        <w:spacing w:after="0" w:line="166" w:lineRule="exact"/>
        <w:rPr>
          <w:sz w:val="20"/>
          <w:szCs w:val="20"/>
          <w:color w:val="auto"/>
        </w:rPr>
      </w:pPr>
    </w:p>
    <w:p>
      <w:pPr>
        <w:ind w:left="8" w:right="100" w:firstLine="270"/>
        <w:spacing w:after="0" w:line="282" w:lineRule="auto"/>
        <w:rPr>
          <w:sz w:val="20"/>
          <w:szCs w:val="20"/>
          <w:color w:val="auto"/>
        </w:rPr>
      </w:pPr>
      <w:r>
        <w:rPr>
          <w:rFonts w:ascii="Arial" w:cs="Arial" w:eastAsia="Arial" w:hAnsi="Arial"/>
          <w:sz w:val="18"/>
          <w:szCs w:val="18"/>
          <w:b w:val="1"/>
          <w:bCs w:val="1"/>
          <w:color w:val="auto"/>
        </w:rPr>
        <w:t>Anti-takeover provisions in our charter and bylaws may prevent or frustrate attempts by stockholders to change the board of directors or current management and could make a third-party acquisition of our company difficult.</w:t>
      </w:r>
    </w:p>
    <w:p>
      <w:pPr>
        <w:spacing w:after="0" w:line="166" w:lineRule="exact"/>
        <w:rPr>
          <w:sz w:val="20"/>
          <w:szCs w:val="20"/>
          <w:color w:val="auto"/>
        </w:rPr>
      </w:pPr>
    </w:p>
    <w:p>
      <w:pPr>
        <w:ind w:left="8" w:right="360" w:firstLine="270"/>
        <w:spacing w:after="0" w:line="286" w:lineRule="auto"/>
        <w:rPr>
          <w:sz w:val="20"/>
          <w:szCs w:val="20"/>
          <w:color w:val="auto"/>
        </w:rPr>
      </w:pPr>
      <w:r>
        <w:rPr>
          <w:rFonts w:ascii="Arial" w:cs="Arial" w:eastAsia="Arial" w:hAnsi="Arial"/>
          <w:sz w:val="17"/>
          <w:szCs w:val="17"/>
          <w:color w:val="auto"/>
        </w:rPr>
        <w:t>Our certificate of incorporation and bylaws contains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our common stock.</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Risks Related to Innovate/Protect’s Business</w:t>
      </w:r>
    </w:p>
    <w:p>
      <w:pPr>
        <w:spacing w:after="0" w:line="225" w:lineRule="exact"/>
        <w:rPr>
          <w:sz w:val="20"/>
          <w:szCs w:val="20"/>
          <w:color w:val="auto"/>
        </w:rPr>
      </w:pPr>
    </w:p>
    <w:p>
      <w:pPr>
        <w:ind w:left="268"/>
        <w:spacing w:after="0"/>
        <w:rPr>
          <w:sz w:val="20"/>
          <w:szCs w:val="20"/>
          <w:color w:val="auto"/>
        </w:rPr>
      </w:pPr>
      <w:r>
        <w:rPr>
          <w:rFonts w:ascii="Arial" w:cs="Arial" w:eastAsia="Arial" w:hAnsi="Arial"/>
          <w:sz w:val="18"/>
          <w:szCs w:val="18"/>
          <w:b w:val="1"/>
          <w:bCs w:val="1"/>
          <w:color w:val="auto"/>
        </w:rPr>
        <w:t>Innovate/Protect’s limited operating history makes it difficult to evaluate its current business and future prospects.</w:t>
      </w:r>
    </w:p>
    <w:p>
      <w:pPr>
        <w:spacing w:after="0" w:line="229" w:lineRule="exact"/>
        <w:rPr>
          <w:sz w:val="20"/>
          <w:szCs w:val="20"/>
          <w:color w:val="auto"/>
        </w:rPr>
      </w:pPr>
    </w:p>
    <w:p>
      <w:pPr>
        <w:ind w:left="8" w:right="400" w:firstLine="270"/>
        <w:spacing w:after="0" w:line="273" w:lineRule="auto"/>
        <w:rPr>
          <w:sz w:val="20"/>
          <w:szCs w:val="20"/>
          <w:color w:val="auto"/>
        </w:rPr>
      </w:pPr>
      <w:r>
        <w:rPr>
          <w:rFonts w:ascii="Arial" w:cs="Arial" w:eastAsia="Arial" w:hAnsi="Arial"/>
          <w:sz w:val="17"/>
          <w:szCs w:val="17"/>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178" w:lineRule="exact"/>
        <w:rPr>
          <w:sz w:val="20"/>
          <w:szCs w:val="20"/>
          <w:color w:val="auto"/>
        </w:rPr>
      </w:pPr>
    </w:p>
    <w:p>
      <w:pPr>
        <w:ind w:left="8" w:firstLine="270"/>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170" w:lineRule="exact"/>
        <w:rPr>
          <w:sz w:val="20"/>
          <w:szCs w:val="20"/>
          <w:color w:val="auto"/>
        </w:rPr>
      </w:pPr>
    </w:p>
    <w:p>
      <w:pPr>
        <w:ind w:left="488" w:hanging="324"/>
        <w:spacing w:after="0"/>
        <w:tabs>
          <w:tab w:leader="none" w:pos="4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 or execute its current business plan, or demonstrate that its business plan is sound; and/or</w:t>
      </w:r>
    </w:p>
    <w:p>
      <w:pPr>
        <w:spacing w:after="0" w:line="23" w:lineRule="exact"/>
        <w:rPr>
          <w:rFonts w:ascii="Arial" w:cs="Arial" w:eastAsia="Arial" w:hAnsi="Arial"/>
          <w:sz w:val="18"/>
          <w:szCs w:val="18"/>
          <w:color w:val="auto"/>
        </w:rPr>
      </w:pPr>
    </w:p>
    <w:p>
      <w:pPr>
        <w:ind w:left="488" w:hanging="324"/>
        <w:spacing w:after="0"/>
        <w:tabs>
          <w:tab w:leader="none" w:pos="4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its business plan.</w:t>
      </w:r>
    </w:p>
    <w:p>
      <w:pPr>
        <w:spacing w:after="0" w:line="211" w:lineRule="exact"/>
        <w:rPr>
          <w:sz w:val="20"/>
          <w:szCs w:val="20"/>
          <w:color w:val="auto"/>
        </w:rPr>
      </w:pPr>
    </w:p>
    <w:p>
      <w:pPr>
        <w:ind w:left="268"/>
        <w:spacing w:after="0"/>
        <w:rPr>
          <w:sz w:val="20"/>
          <w:szCs w:val="20"/>
          <w:color w:val="auto"/>
        </w:rPr>
      </w:pPr>
      <w:r>
        <w:rPr>
          <w:rFonts w:ascii="Arial" w:cs="Arial" w:eastAsia="Arial" w:hAnsi="Arial"/>
          <w:sz w:val="18"/>
          <w:szCs w:val="18"/>
          <w:color w:val="auto"/>
        </w:rPr>
        <w:t>If Innovate/Protect cannot execute any one of the foregoing or similar matters relating to its operations, its business may fail.</w:t>
      </w:r>
    </w:p>
    <w:p>
      <w:pPr>
        <w:sectPr>
          <w:pgSz w:w="11900" w:h="16847" w:orient="portrait"/>
          <w:cols w:equalWidth="0" w:num="1">
            <w:col w:w="10928"/>
          </w:cols>
          <w:pgMar w:left="732" w:top="881" w:right="239" w:bottom="0" w:gutter="0" w:footer="0" w:header="0"/>
        </w:sectPr>
      </w:pPr>
    </w:p>
    <w:bookmarkStart w:id="17" w:name="page18"/>
    <w:bookmarkEnd w:id="17"/>
    <w:p>
      <w:pPr>
        <w:ind w:right="140" w:firstLine="270"/>
        <w:spacing w:after="0" w:line="266" w:lineRule="auto"/>
        <w:rPr>
          <w:sz w:val="20"/>
          <w:szCs w:val="20"/>
          <w:color w:val="auto"/>
        </w:rPr>
      </w:pPr>
      <w:r>
        <w:rPr>
          <w:rFonts w:ascii="Arial" w:cs="Arial" w:eastAsia="Arial" w:hAnsi="Arial"/>
          <w:sz w:val="18"/>
          <w:szCs w:val="18"/>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180" w:lineRule="exact"/>
        <w:rPr>
          <w:sz w:val="20"/>
          <w:szCs w:val="20"/>
          <w:color w:val="auto"/>
        </w:rPr>
      </w:pPr>
    </w:p>
    <w:p>
      <w:pPr>
        <w:ind w:right="300" w:firstLine="270"/>
        <w:spacing w:after="0" w:line="286" w:lineRule="auto"/>
        <w:rPr>
          <w:sz w:val="20"/>
          <w:szCs w:val="20"/>
          <w:color w:val="auto"/>
        </w:rPr>
      </w:pPr>
      <w:r>
        <w:rPr>
          <w:rFonts w:ascii="Arial" w:cs="Arial" w:eastAsia="Arial" w:hAnsi="Arial"/>
          <w:sz w:val="17"/>
          <w:szCs w:val="17"/>
          <w:color w:val="auto"/>
        </w:rPr>
        <w:t>At Innovate/Protect’s formation in June 2011, Innovate/Protect acquired a portfolio of patent assets from Lycos that Innovate/Protect plans to license or otherwise monetize. If Innovate/Protect’s efforts to generate revenue from such assets fail, Innovate/Protect will have incurred significant losses and may be unable to acquire additional assets. If this occurs, Innovate/Protect’s business would likely fail.</w:t>
      </w:r>
    </w:p>
    <w:p>
      <w:pPr>
        <w:spacing w:after="0" w:line="162" w:lineRule="exact"/>
        <w:rPr>
          <w:sz w:val="20"/>
          <w:szCs w:val="20"/>
          <w:color w:val="auto"/>
        </w:rPr>
      </w:pPr>
    </w:p>
    <w:p>
      <w:pPr>
        <w:ind w:right="300" w:firstLine="270"/>
        <w:spacing w:after="0" w:line="266" w:lineRule="auto"/>
        <w:rPr>
          <w:sz w:val="20"/>
          <w:szCs w:val="20"/>
          <w:color w:val="auto"/>
        </w:rPr>
      </w:pPr>
      <w:r>
        <w:rPr>
          <w:rFonts w:ascii="Arial" w:cs="Arial" w:eastAsia="Arial" w:hAnsi="Arial"/>
          <w:sz w:val="18"/>
          <w:szCs w:val="18"/>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18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200" w:lineRule="exact"/>
        <w:rPr>
          <w:sz w:val="20"/>
          <w:szCs w:val="20"/>
          <w:color w:val="auto"/>
        </w:rPr>
      </w:pPr>
    </w:p>
    <w:p>
      <w:pPr>
        <w:spacing w:after="0" w:line="20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337" w:right="239" w:bottom="1440" w:gutter="0" w:footer="0" w:header="0"/>
        </w:sectPr>
      </w:pPr>
    </w:p>
    <w:bookmarkStart w:id="18" w:name="page19"/>
    <w:bookmarkEnd w:id="18"/>
    <w:p>
      <w:pPr>
        <w:ind w:firstLine="270"/>
        <w:spacing w:after="0" w:line="269" w:lineRule="auto"/>
        <w:rPr>
          <w:sz w:val="20"/>
          <w:szCs w:val="20"/>
          <w:color w:val="auto"/>
        </w:rPr>
      </w:pPr>
      <w:r>
        <w:rPr>
          <w:rFonts w:ascii="Arial" w:cs="Arial" w:eastAsia="Arial" w:hAnsi="Arial"/>
          <w:sz w:val="17"/>
          <w:szCs w:val="17"/>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 legal fees and other expenses will be material and will negatively impact Innovate/Protect’s financial condition and results of operations and may result in its inability to continue its business. Innovate/Protect estimates that its legal fees over the next twelve months will be approximately $2.9 million. Expenses thereafter are dependent on the outcome of the Litigation; in the event the case is appealed, legal fees over the course of the subsequent twelve months would be approximately $1.2 million. Innovate/Protect’s failure to monetize its patent assets would significantly harm its business.</w:t>
      </w:r>
    </w:p>
    <w:p>
      <w:pPr>
        <w:spacing w:after="0" w:line="176" w:lineRule="exact"/>
        <w:rPr>
          <w:sz w:val="20"/>
          <w:szCs w:val="20"/>
          <w:color w:val="auto"/>
        </w:rPr>
      </w:pPr>
    </w:p>
    <w:p>
      <w:pPr>
        <w:ind w:firstLine="270"/>
        <w:spacing w:after="0" w:line="274" w:lineRule="auto"/>
        <w:rPr>
          <w:sz w:val="20"/>
          <w:szCs w:val="20"/>
          <w:color w:val="auto"/>
        </w:rPr>
      </w:pPr>
      <w:r>
        <w:rPr>
          <w:rFonts w:ascii="Arial" w:cs="Arial" w:eastAsia="Arial" w:hAnsi="Arial"/>
          <w:sz w:val="17"/>
          <w:szCs w:val="17"/>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178"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167" w:lineRule="exact"/>
        <w:rPr>
          <w:sz w:val="20"/>
          <w:szCs w:val="20"/>
          <w:color w:val="auto"/>
        </w:rPr>
      </w:pPr>
    </w:p>
    <w:p>
      <w:pPr>
        <w:ind w:right="880" w:firstLine="270"/>
        <w:spacing w:after="0" w:line="308" w:lineRule="auto"/>
        <w:rPr>
          <w:sz w:val="20"/>
          <w:szCs w:val="20"/>
          <w:color w:val="auto"/>
        </w:rPr>
      </w:pPr>
      <w:r>
        <w:rPr>
          <w:rFonts w:ascii="Arial" w:cs="Arial" w:eastAsia="Arial" w:hAnsi="Arial"/>
          <w:sz w:val="17"/>
          <w:szCs w:val="17"/>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147"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193" w:lineRule="exact"/>
        <w:rPr>
          <w:sz w:val="20"/>
          <w:szCs w:val="20"/>
          <w:color w:val="auto"/>
        </w:rPr>
      </w:pPr>
    </w:p>
    <w:p>
      <w:pPr>
        <w:ind w:right="340" w:firstLine="270"/>
        <w:spacing w:after="0" w:line="264"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18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200" w:lineRule="exact"/>
        <w:rPr>
          <w:sz w:val="20"/>
          <w:szCs w:val="20"/>
          <w:color w:val="auto"/>
        </w:rPr>
      </w:pPr>
    </w:p>
    <w:p>
      <w:pPr>
        <w:spacing w:after="0" w:line="2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740" w:top="881" w:right="299" w:bottom="1440" w:gutter="0" w:footer="0" w:header="0"/>
        </w:sectPr>
      </w:pPr>
    </w:p>
    <w:bookmarkStart w:id="19" w:name="page20"/>
    <w:bookmarkEnd w:id="19"/>
    <w:p>
      <w:pPr>
        <w:jc w:val="both"/>
        <w:ind w:right="140" w:firstLine="270"/>
        <w:spacing w:after="0" w:line="266" w:lineRule="auto"/>
        <w:rPr>
          <w:sz w:val="20"/>
          <w:szCs w:val="20"/>
          <w:color w:val="auto"/>
        </w:rPr>
      </w:pPr>
      <w:r>
        <w:rPr>
          <w:rFonts w:ascii="Arial" w:cs="Arial" w:eastAsia="Arial" w:hAnsi="Arial"/>
          <w:sz w:val="18"/>
          <w:szCs w:val="18"/>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180"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Members of our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our management team from its present business initiatives, which could have a material and adverse effect on 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193"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187" w:lineRule="exact"/>
        <w:rPr>
          <w:sz w:val="20"/>
          <w:szCs w:val="20"/>
          <w:color w:val="auto"/>
        </w:rPr>
      </w:pPr>
    </w:p>
    <w:p>
      <w:pPr>
        <w:ind w:left="480" w:right="20" w:hanging="324"/>
        <w:spacing w:after="0" w:line="258"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patent applications Innovate/Protect may file may not result in issued patents or may take longer than Innovate/Protect expects to result in issued patents;</w:t>
      </w:r>
    </w:p>
    <w:p>
      <w:pPr>
        <w:spacing w:after="0" w:line="1" w:lineRule="exact"/>
        <w:rPr>
          <w:rFonts w:ascii="Arial" w:cs="Arial" w:eastAsia="Arial" w:hAnsi="Arial"/>
          <w:sz w:val="18"/>
          <w:szCs w:val="18"/>
          <w:color w:val="auto"/>
        </w:rPr>
      </w:pPr>
    </w:p>
    <w:p>
      <w:pPr>
        <w:ind w:left="480" w:hanging="32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Innovate/Protect may be subject to interference proceedings;</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Innovate/Protect may be subject to opposition proceedings in the U.S. or foreign countries;</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patents that are issued to Innovate/Protect may not provide meaningful protection;</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Innovate/Protect may not be able to develop additional proprietary technologies that are patentable;</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may challenge patents issued to Innovate/Protect;</w:t>
      </w:r>
    </w:p>
    <w:p>
      <w:pPr>
        <w:spacing w:after="0" w:line="9" w:lineRule="exact"/>
        <w:rPr>
          <w:rFonts w:ascii="Arial" w:cs="Arial" w:eastAsia="Arial" w:hAnsi="Arial"/>
          <w:sz w:val="18"/>
          <w:szCs w:val="18"/>
          <w:color w:val="auto"/>
        </w:rPr>
      </w:pPr>
    </w:p>
    <w:p>
      <w:pPr>
        <w:ind w:left="480" w:right="700" w:hanging="324"/>
        <w:spacing w:after="0" w:line="250"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Innovate/Protect’s technologies;</w:t>
      </w:r>
    </w:p>
    <w:p>
      <w:pPr>
        <w:ind w:left="480" w:hanging="32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may design around technologies Innovate/Protect has developed; and</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enforcement of Innovate/Protect’s patents would be complex, uncertain and very expensive.</w:t>
      </w:r>
    </w:p>
    <w:p>
      <w:pPr>
        <w:spacing w:after="0" w:line="211" w:lineRule="exact"/>
        <w:rPr>
          <w:sz w:val="20"/>
          <w:szCs w:val="20"/>
          <w:color w:val="auto"/>
        </w:rPr>
      </w:pPr>
    </w:p>
    <w:p>
      <w:pPr>
        <w:ind w:right="20" w:firstLine="270"/>
        <w:spacing w:after="0" w:line="288" w:lineRule="auto"/>
        <w:rPr>
          <w:sz w:val="20"/>
          <w:szCs w:val="20"/>
          <w:color w:val="auto"/>
        </w:rPr>
      </w:pPr>
      <w:r>
        <w:rPr>
          <w:rFonts w:ascii="Arial" w:cs="Arial" w:eastAsia="Arial" w:hAnsi="Arial"/>
          <w:sz w:val="16"/>
          <w:szCs w:val="16"/>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169"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New legislation, regulations or court rulings related to enforcing patents could harm Innovate/Protect’s business and operating results.</w:t>
      </w:r>
    </w:p>
    <w:p>
      <w:pPr>
        <w:spacing w:after="0" w:line="252"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188"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39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20" w:name="page21"/>
    <w:bookmarkEnd w:id="20"/>
    <w:p>
      <w:pPr>
        <w:ind w:right="40" w:firstLine="270"/>
        <w:spacing w:after="0" w:line="259" w:lineRule="auto"/>
        <w:rPr>
          <w:sz w:val="20"/>
          <w:szCs w:val="20"/>
          <w:color w:val="auto"/>
        </w:rPr>
      </w:pPr>
      <w:r>
        <w:rPr>
          <w:rFonts w:ascii="Arial" w:cs="Arial" w:eastAsia="Arial" w:hAnsi="Arial"/>
          <w:sz w:val="18"/>
          <w:szCs w:val="18"/>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183" w:lineRule="exact"/>
        <w:rPr>
          <w:sz w:val="20"/>
          <w:szCs w:val="20"/>
          <w:color w:val="auto"/>
        </w:rPr>
      </w:pPr>
    </w:p>
    <w:p>
      <w:pPr>
        <w:ind w:right="1420" w:firstLine="270"/>
        <w:spacing w:after="0" w:line="282" w:lineRule="auto"/>
        <w:rPr>
          <w:sz w:val="20"/>
          <w:szCs w:val="20"/>
          <w:color w:val="auto"/>
        </w:rPr>
      </w:pPr>
      <w:r>
        <w:rPr>
          <w:rFonts w:ascii="Arial" w:cs="Arial" w:eastAsia="Arial" w:hAnsi="Arial"/>
          <w:sz w:val="18"/>
          <w:szCs w:val="18"/>
          <w:b w:val="1"/>
          <w:bCs w:val="1"/>
          <w:color w:val="auto"/>
        </w:rPr>
        <w:t>Innovate/Protect’s acquisitions of patent assets may be time consuming, complex and costly, which could adversely affect Innovate/Protect’s operating results.</w:t>
      </w:r>
    </w:p>
    <w:p>
      <w:pPr>
        <w:spacing w:after="0" w:line="166"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 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167"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171" w:lineRule="exact"/>
        <w:rPr>
          <w:sz w:val="20"/>
          <w:szCs w:val="20"/>
          <w:color w:val="auto"/>
        </w:rPr>
      </w:pPr>
    </w:p>
    <w:p>
      <w:pPr>
        <w:ind w:right="180" w:firstLine="270"/>
        <w:spacing w:after="0" w:line="279" w:lineRule="auto"/>
        <w:rPr>
          <w:sz w:val="20"/>
          <w:szCs w:val="20"/>
          <w:color w:val="auto"/>
        </w:rPr>
      </w:pPr>
      <w:r>
        <w:rPr>
          <w:rFonts w:ascii="Arial" w:cs="Arial" w:eastAsia="Arial" w:hAnsi="Arial"/>
          <w:sz w:val="17"/>
          <w:szCs w:val="17"/>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167" w:lineRule="exact"/>
        <w:rPr>
          <w:sz w:val="20"/>
          <w:szCs w:val="20"/>
          <w:color w:val="auto"/>
        </w:rPr>
      </w:pPr>
    </w:p>
    <w:p>
      <w:pPr>
        <w:ind w:right="460" w:firstLine="270"/>
        <w:spacing w:after="0" w:line="347" w:lineRule="auto"/>
        <w:rPr>
          <w:sz w:val="20"/>
          <w:szCs w:val="20"/>
          <w:color w:val="auto"/>
        </w:rPr>
      </w:pPr>
      <w:r>
        <w:rPr>
          <w:rFonts w:ascii="Arial" w:cs="Arial" w:eastAsia="Arial" w:hAnsi="Arial"/>
          <w:sz w:val="16"/>
          <w:szCs w:val="16"/>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120"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 assets, many of whom have greater cash resources than Innovate/Protect has. In addition, any failure to satisfy Innovate/Protect’s debt repayment obligations may result in adverse consequences to its operating results.</w:t>
      </w:r>
    </w:p>
    <w:p>
      <w:pPr>
        <w:spacing w:after="0" w:line="189" w:lineRule="exact"/>
        <w:rPr>
          <w:sz w:val="20"/>
          <w:szCs w:val="20"/>
          <w:color w:val="auto"/>
        </w:rPr>
      </w:pPr>
    </w:p>
    <w:p>
      <w:pPr>
        <w:ind w:right="20" w:firstLine="270"/>
        <w:spacing w:after="0" w:line="282" w:lineRule="auto"/>
        <w:rPr>
          <w:sz w:val="20"/>
          <w:szCs w:val="20"/>
          <w:color w:val="auto"/>
        </w:rPr>
      </w:pPr>
      <w:r>
        <w:rPr>
          <w:rFonts w:ascii="Arial" w:cs="Arial" w:eastAsia="Arial" w:hAnsi="Arial"/>
          <w:sz w:val="18"/>
          <w:szCs w:val="18"/>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166"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188"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Despite Innovate/Protect’s efforts to protect its intellectual property rights, any of the following or similar occurrences may reduce the value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Innovate/Protect’s intellectual property:</w:t>
      </w:r>
    </w:p>
    <w:p>
      <w:pPr>
        <w:spacing w:after="0" w:line="200" w:lineRule="exact"/>
        <w:rPr>
          <w:sz w:val="20"/>
          <w:szCs w:val="20"/>
          <w:color w:val="auto"/>
        </w:rPr>
      </w:pPr>
    </w:p>
    <w:p>
      <w:pPr>
        <w:spacing w:after="0" w:line="22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81" w:right="239" w:bottom="1440" w:gutter="0" w:footer="0" w:header="0"/>
        </w:sectPr>
      </w:pPr>
    </w:p>
    <w:bookmarkStart w:id="21" w:name="page22"/>
    <w:bookmarkEnd w:id="21"/>
    <w:p>
      <w:pPr>
        <w:ind w:left="540" w:hanging="451"/>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Innovate/Protect’s applications for patents, trademarks and copyrights may not be granted and, if granted, may be challenged or invalidated;</w:t>
      </w:r>
    </w:p>
    <w:p>
      <w:pPr>
        <w:spacing w:after="0" w:line="46" w:lineRule="exact"/>
        <w:rPr>
          <w:rFonts w:ascii="Arial" w:cs="Arial" w:eastAsia="Arial" w:hAnsi="Arial"/>
          <w:sz w:val="16"/>
          <w:szCs w:val="16"/>
          <w:color w:val="auto"/>
        </w:rPr>
      </w:pPr>
    </w:p>
    <w:p>
      <w:pPr>
        <w:ind w:left="540" w:right="420" w:hanging="451"/>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Innovate/Protect with any competitive advantages versus potentially infringing parties;</w:t>
      </w:r>
    </w:p>
    <w:p>
      <w:pPr>
        <w:ind w:left="540" w:right="260" w:hanging="451"/>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Innovate/Protect’s efforts to protect its intellectual property rights may not be effective in preventing misappropriation of Innovate/Protect’s technology; or</w:t>
      </w:r>
    </w:p>
    <w:p>
      <w:pPr>
        <w:ind w:left="540" w:right="80" w:hanging="451"/>
        <w:spacing w:after="0" w:line="261"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Innovate/Protect’s efforts may not prevent the development and design by others of products or technologies similar to or competitive with, or superior to those Innovate/Protect acquires and/or prosecutes.</w:t>
      </w:r>
    </w:p>
    <w:p>
      <w:pPr>
        <w:spacing w:after="0" w:line="184"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162" w:lineRule="exact"/>
        <w:rPr>
          <w:sz w:val="20"/>
          <w:szCs w:val="20"/>
          <w:color w:val="auto"/>
        </w:rPr>
      </w:pPr>
    </w:p>
    <w:p>
      <w:pPr>
        <w:ind w:right="840" w:firstLine="27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166" w:lineRule="exact"/>
        <w:rPr>
          <w:sz w:val="20"/>
          <w:szCs w:val="20"/>
          <w:color w:val="auto"/>
        </w:rPr>
      </w:pPr>
    </w:p>
    <w:p>
      <w:pPr>
        <w:ind w:right="160" w:firstLine="270"/>
        <w:spacing w:after="0" w:line="297" w:lineRule="auto"/>
        <w:rPr>
          <w:sz w:val="20"/>
          <w:szCs w:val="20"/>
          <w:color w:val="auto"/>
        </w:rPr>
      </w:pPr>
      <w:r>
        <w:rPr>
          <w:rFonts w:ascii="Arial" w:cs="Arial" w:eastAsia="Arial" w:hAnsi="Arial"/>
          <w:sz w:val="16"/>
          <w:szCs w:val="16"/>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Risks Related to Vringo’s Business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Historically, Vringo’s business has generated only losses, which are expected to continue for the foreseeable future.</w:t>
      </w:r>
    </w:p>
    <w:p>
      <w:pPr>
        <w:spacing w:after="0" w:line="229"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As of March 31, 2012, Vringo had a cash balance of $3.6 million and $2.7 million of net working capital. For the three month period ended March 31, 2012 and 2011 and for the cumulative period from inception until March 31, 2012, Vringo incurred net losses of $5.6 million, $1.1 million and $43.2 million, respectively. As of March 31, 2012, Vringo’s stockholders’ equity was $1.0 million.</w:t>
      </w:r>
    </w:p>
    <w:p>
      <w:pPr>
        <w:spacing w:after="0" w:line="3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740" w:top="1125" w:right="299" w:bottom="1440" w:gutter="0" w:footer="0" w:header="0"/>
        </w:sectPr>
      </w:pPr>
    </w:p>
    <w:bookmarkStart w:id="22" w:name="page23"/>
    <w:bookmarkEnd w:id="22"/>
    <w:p>
      <w:pPr>
        <w:ind w:right="160" w:firstLine="270"/>
        <w:spacing w:after="0" w:line="259" w:lineRule="auto"/>
        <w:rPr>
          <w:sz w:val="20"/>
          <w:szCs w:val="20"/>
          <w:color w:val="auto"/>
        </w:rPr>
      </w:pPr>
      <w:r>
        <w:rPr>
          <w:rFonts w:ascii="Arial" w:cs="Arial" w:eastAsia="Arial" w:hAnsi="Arial"/>
          <w:sz w:val="18"/>
          <w:szCs w:val="18"/>
          <w:color w:val="auto"/>
        </w:rPr>
        <w:t>Vringo expects its net losses to continue in the foreseeable future, as Vringo continues to grow its user base through carrier partnerships, continue to ensure it has broad handset reach, enhance its viral and social tools, maintain and grow its product and technology portfolio, build a strong revenue base of recurring monthly subscription revenue, find new forms of distribution, and explore monetization through advertising and revenue through content sales.</w:t>
      </w:r>
    </w:p>
    <w:p>
      <w:pPr>
        <w:spacing w:after="0" w:line="183" w:lineRule="exact"/>
        <w:rPr>
          <w:sz w:val="20"/>
          <w:szCs w:val="20"/>
          <w:color w:val="auto"/>
        </w:rPr>
      </w:pPr>
    </w:p>
    <w:p>
      <w:pPr>
        <w:ind w:right="340" w:firstLine="270"/>
        <w:spacing w:after="0" w:line="282" w:lineRule="auto"/>
        <w:rPr>
          <w:sz w:val="20"/>
          <w:szCs w:val="20"/>
          <w:color w:val="auto"/>
        </w:rPr>
      </w:pPr>
      <w:r>
        <w:rPr>
          <w:rFonts w:ascii="Arial" w:cs="Arial" w:eastAsia="Arial" w:hAnsi="Arial"/>
          <w:sz w:val="18"/>
          <w:szCs w:val="18"/>
          <w:b w:val="1"/>
          <w:bCs w:val="1"/>
          <w:color w:val="auto"/>
        </w:rPr>
        <w:t>Vringo is a development stage company with no historically significant income and there is a significant doubt about Vringo’s ability to continue its activities as a going concern.</w:t>
      </w:r>
    </w:p>
    <w:p>
      <w:pPr>
        <w:spacing w:after="0" w:line="166"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Vringo is still a development stage company. Vringo’s operations are subject to all of the risks inherent in development stage companies that do not have significant revenues or operating income. Vringo’s potential for success must be considered in light of the problems, expenses, difficulties, complications and delays frequently encountered in connection with a new business, especially technology start-up companies. Vringo cannot provide any assurance that its business objectives will be accomplished. All of Vringo’s audited consolidated financial statements, since inception, have contained a statement by Vringo’s management that raises significant doubt about Vringo being able to continue as a going concern unless Vringo is able to raise additional capital. Vringo’s financial statements do not include any adjustment relating to the recovery and classification of recorded asset amounts or the amount and classification of liabilities that might be necessary should Vringo’s operations cease.</w:t>
      </w:r>
    </w:p>
    <w:p>
      <w:pPr>
        <w:spacing w:after="0" w:line="167"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Vringo believes that current cash levels, together with existing funding commitments, will be sufficient to support its activity at least for the coming twelve months. We may need to raise additional funds in connection with any acquisitions of patent portfolios or other intellectual property assets that we pursue. Any such financing that Vringo undertakes will likely be dilutive to Vringo’s current stockholders.</w:t>
      </w:r>
    </w:p>
    <w:p>
      <w:pPr>
        <w:spacing w:after="0" w:line="162" w:lineRule="exact"/>
        <w:rPr>
          <w:sz w:val="20"/>
          <w:szCs w:val="20"/>
          <w:color w:val="auto"/>
        </w:rPr>
      </w:pPr>
    </w:p>
    <w:p>
      <w:pPr>
        <w:ind w:firstLine="270"/>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Vringo’s security holders may have an adverse effect on the market price of Vringo common stock.</w:t>
      </w:r>
    </w:p>
    <w:p>
      <w:pPr>
        <w:spacing w:after="0" w:line="166"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Should Vringo’s currently outstanding warrants be exercised (including the warrants issued in connection with the Merger), there will be an additional 22,695,411 shares of common stock eligible for trading in the public market. In addition, Vringo currently has options outstanding to purchase 4,332,348 shares of common stock granted to Vringo’s management, employees, directors and consultants. In March 2012, the Vringo board of directors approved participation of all outstanding options in future dividends. In addition, the vesting of all outstanding options will accelerate if the Vringo common stock reaches certain price or market capitalization targets for 20 of 30 consecutive trading dates, as follows: (i) 50% acceleration if either the price of the Vringo common stock is at least $5 or Vringo’s market capitalization is at least $250,000,000; (ii) 75% acceleration if either the price of the Vringo common stock is at least $10 or Vringo’s market capitalization is $500,000,000 or more; and (iii) 100% acceleration if either the price of the Vringo common stock is at least $20 or Vringo’s market capitalization is at least $1,000,000,000. Furthermore, all outstanding options granted to members of the board of directors shall fully vest if a member of the Vringo board of directors ceases to be a director at any time during the six-month period immediately following the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Vringo’s securities or on Vringo’s ability to obtain future financing. The average weighted exercise price of all currently outstanding warrants and options, as of July 20, 2012, is $2.26 per share.</w:t>
      </w:r>
    </w:p>
    <w:p>
      <w:pPr>
        <w:spacing w:after="0" w:line="181" w:lineRule="exact"/>
        <w:rPr>
          <w:sz w:val="20"/>
          <w:szCs w:val="20"/>
          <w:color w:val="auto"/>
        </w:rPr>
      </w:pPr>
    </w:p>
    <w:p>
      <w:pPr>
        <w:ind w:right="700" w:firstLine="270"/>
        <w:spacing w:after="0" w:line="282" w:lineRule="auto"/>
        <w:rPr>
          <w:sz w:val="20"/>
          <w:szCs w:val="20"/>
          <w:color w:val="auto"/>
        </w:rPr>
      </w:pPr>
      <w:r>
        <w:rPr>
          <w:rFonts w:ascii="Arial" w:cs="Arial" w:eastAsia="Arial" w:hAnsi="Arial"/>
          <w:sz w:val="18"/>
          <w:szCs w:val="18"/>
          <w:b w:val="1"/>
          <w:bCs w:val="1"/>
          <w:color w:val="auto"/>
        </w:rPr>
        <w:t>Future sales of Vringo’s shares of common stock by its stockholders could cause the market price of Vringo common stock to drop significantly, even if Vringo’s business is performing well.</w:t>
      </w:r>
    </w:p>
    <w:p>
      <w:pPr>
        <w:spacing w:after="0" w:line="166"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As of July 20, 2012, Vringo has 35,332,487 shares of common stock issued and outstanding and 6,173 shares of Vringo preferred stock, initially convertible into 18,627,645 of Vringo shares of common stock, excluding shares of common stock issuable upon exercise of warrants or options. As shares saleable under Rule 144 are sold or as restrictions on resale need, the market price of Vringo common stock could drop significantly, if the holders of restricted shares sell them, or are perceived by the market as intending to sell them. This decline in Vringo’s stock price could occur even if Vringo’s business is otherwise performing well. We filed with the SEC Registration Statements for the common shares underlying (a) the 2,526,289 of the new warrants issued in February 2012 (which registration was declared effective on June 20, 2012) (including 11,834 warrants issued to Vringo’s placement agent) and (b) 4,332,348 options currently outstanding under Vringo’s 2006 Stock Option Plan.</w:t>
      </w:r>
    </w:p>
    <w:p>
      <w:pPr>
        <w:spacing w:after="0" w:line="38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81" w:right="23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b w:val="1"/>
          <w:bCs w:val="1"/>
          <w:color w:val="auto"/>
        </w:rPr>
        <w:t>If Vringo is unable to adequately protect its intellectual property, Vringo may not be able to compete effectively.</w:t>
      </w:r>
    </w:p>
    <w:p>
      <w:pPr>
        <w:spacing w:after="0" w:line="229" w:lineRule="exact"/>
        <w:rPr>
          <w:sz w:val="20"/>
          <w:szCs w:val="20"/>
          <w:color w:val="auto"/>
        </w:rPr>
      </w:pPr>
    </w:p>
    <w:p>
      <w:pPr>
        <w:ind w:right="40" w:firstLine="270"/>
        <w:spacing w:after="0" w:line="269" w:lineRule="auto"/>
        <w:rPr>
          <w:sz w:val="20"/>
          <w:szCs w:val="20"/>
          <w:color w:val="auto"/>
        </w:rPr>
      </w:pPr>
      <w:r>
        <w:rPr>
          <w:rFonts w:ascii="Arial" w:cs="Arial" w:eastAsia="Arial" w:hAnsi="Arial"/>
          <w:sz w:val="17"/>
          <w:szCs w:val="17"/>
          <w:color w:val="auto"/>
        </w:rPr>
        <w:t>Vringo’s ability to compete depends in part upon the strength of Vringo’s proprietary rights in its technologies, brands and content. Vringo relies on a combination of U.S. and foreign patents, copyrights, trademark, trade secret laws and license agreements to establish and protect its intellectual property and proprietary rights. The efforts Vringo has taken to protect its intellectual property and proprietary rights may not be sufficient or effective at stopping unauthorized use of its intellectual property and proprietary rights. In addition, effective trademark, patent, copyright and trade secret protection may not be available or cost-effective in every country in which Vringo’s services are made available. There may be instances where Vringo is not able to fully protect or utilize its intellectual property in a manner that maximizes competitive advantage. If Vringo is unable to protect its intellectual property and proprietary rights from unauthorized use, the value of Vringo’s products may be reduced, which could negatively impact Vringo’s business. Vringo’s inability to obtain appropriate protections for its intellectual property may also allow competitors to enter Vringo’s markets and produce or sell the same or similar products. In addition, protecting Vringo’s intellectual property and other proprietary rights is expensive and diverts critical managerial resources. If any of the foregoing were to occur, or if Vringo is otherwise unable to protect its intellectual property and proprietary rights, Vringo’s business and financial results could be adversely affected.</w:t>
      </w:r>
    </w:p>
    <w:p>
      <w:pPr>
        <w:spacing w:after="0" w:line="183"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If Vringo is forced to resort to legal proceedings to enforce its intellectual property rights, the proceedings could be burdensome and expensive. In addition, Vringo’s proprietary rights could be at risk if Vringo is unsuccessful in, or cannot afford to pursue, those proceedings. Vringo also relies on trade secrets and contract law to protect some of its proprietary technology. Vringo has entered into confidentiality and invention agreements with its employees and consultants. Nevertheless, these agreements may not be honored and they may not effectively protect Vringo’s right to its un-patented trade secrets and know-how. Moreover, others may independently develop substantially equivalent proprietary information and techniques or otherwise gain access to Vringo’s trade secrets and know-how.</w:t>
      </w:r>
    </w:p>
    <w:p>
      <w:pPr>
        <w:spacing w:after="0" w:line="174" w:lineRule="exact"/>
        <w:rPr>
          <w:sz w:val="20"/>
          <w:szCs w:val="20"/>
          <w:color w:val="auto"/>
        </w:rPr>
      </w:pPr>
    </w:p>
    <w:p>
      <w:pPr>
        <w:ind w:right="400" w:firstLine="270"/>
        <w:spacing w:after="0" w:line="282"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166"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174" w:lineRule="exact"/>
        <w:rPr>
          <w:sz w:val="20"/>
          <w:szCs w:val="20"/>
          <w:color w:val="auto"/>
        </w:rPr>
      </w:pPr>
    </w:p>
    <w:p>
      <w:pPr>
        <w:ind w:right="440" w:firstLine="270"/>
        <w:spacing w:after="0" w:line="282" w:lineRule="auto"/>
        <w:rPr>
          <w:sz w:val="20"/>
          <w:szCs w:val="20"/>
          <w:color w:val="auto"/>
        </w:rPr>
      </w:pPr>
      <w:r>
        <w:rPr>
          <w:rFonts w:ascii="Arial" w:cs="Arial" w:eastAsia="Arial" w:hAnsi="Arial"/>
          <w:sz w:val="18"/>
          <w:szCs w:val="18"/>
          <w:b w:val="1"/>
          <w:bCs w:val="1"/>
          <w:color w:val="auto"/>
        </w:rPr>
        <w:t>If Vringo or its users infringe on the intellectual property rights of third parties, Vringo may have to defend against litigation and pay damages and Vringo’s business and prospects may be adversely affected.</w:t>
      </w:r>
    </w:p>
    <w:p>
      <w:pPr>
        <w:spacing w:after="0" w:line="166"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If a third party were to assert that Vringo’s products infringe on its patent, copyright, trademark, right of publicity, right of privacy, trade secret or other intellectual property rights, Vringo could incur substantial litigation costs and be forced to pay substantial damages. Third-party infringement claims, regardless of their outcome, would not only consume significant financial resources, but would also divert Vringo’s management time and attention. Such claims or the lack of available access to certain sites or content could also cause Vringo’s customers or potential customers to purchase competitors’ products if such competitors have access to the sites or contents that Vringo is lacking or defer or limit their purchase or use of Vringo’s affected products or services until resolution of the claim. In connection with any such claim or litigation, Vringo’s mobile carriers and other partners may decide to re-assess their relationships with Vringo, especially if they perceive that they may have potential liability or if such claimed infringement is a possible breach of Vringo’s agreement with such mobile carrier. If any of Vringo’s products are found to violate third-party intellectual property rights, Vringo may have to re-engineer one or more of its products, or Vringo may have to obtain licenses from third parties to continue offering its products without substantial re-engineering. Vringo’s efforts to re-engineer or obtain licenses could require significant expenditures of time and money and may not be successful. Accordingly, any claims or litigation regarding Vringo’s infringement of intellectual property of a third party by Vringo or its users could have a material adverse effect on Vringo’s business and prospects.</w:t>
      </w:r>
    </w:p>
    <w:p>
      <w:pPr>
        <w:spacing w:after="0" w:line="169" w:lineRule="exact"/>
        <w:rPr>
          <w:sz w:val="20"/>
          <w:szCs w:val="20"/>
          <w:color w:val="auto"/>
        </w:rPr>
      </w:pPr>
    </w:p>
    <w:p>
      <w:pPr>
        <w:ind w:right="40" w:firstLine="270"/>
        <w:spacing w:after="0" w:line="268" w:lineRule="auto"/>
        <w:rPr>
          <w:sz w:val="20"/>
          <w:szCs w:val="20"/>
          <w:color w:val="auto"/>
        </w:rPr>
      </w:pPr>
      <w:r>
        <w:rPr>
          <w:rFonts w:ascii="Arial" w:cs="Arial" w:eastAsia="Arial" w:hAnsi="Arial"/>
          <w:sz w:val="17"/>
          <w:szCs w:val="17"/>
          <w:color w:val="auto"/>
        </w:rPr>
        <w:t>Third party infringement claims could also significantly limit Vringo Studio products and the content available in Vringo’s content library. The Vringo Studio tool allows users to access video from multiple sites on the web or from their computer and then edit and send these video clips to their mobile phones as customized video ringtones. These websites could choose to block Vringo from accessing their content for violating their terms of service by allowing users to download clips or for any other reason, which could significantly limit the availability of content in the Vringo Studio. Additionally, while Vringo employs special software that seeks to determine whether a clip is copyrighted or otherwise restricted, it is not feasible for Vringo to determine whether users of Vringo Studio own or acquire appropriate intellectual property permissions to use each clip before it is downloaded. Therefore, Vringo requires users of the Vringo Studio to certify that they have the rights to use the content that they desire to send to their phone. Additionally, while the majority of the clips in Vringo’s content library are either licensed by Vringo directly or are public domain or creative commons, Vringo’s content library contains certain clips which Vringo has not licensed from the content owner. As a result, Vringo may receive cease-and-desist letters, or other threats of litigation, from website hosts and content owners asserting that Vringo is infringing on their intellectual property or violating the terms and conditions of their websites. In such a case, Vringo will remove or attempt to obtain licenses for such content or obtain additional content from other websites. However, there is no assurance that Vringo will be able to enter into license agreements with content owners. Consequently, Vringo may be forced to remove a portion of its content from its library and significantly limit the availability of content in the Vringo Studio. This would negatively impact Vringo’s user experience and may cause users to cancel Vringo’s service and make Vringo’s service less attractive to its partners.</w:t>
      </w:r>
    </w:p>
    <w:p>
      <w:pPr>
        <w:spacing w:after="0" w:line="39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24" w:name="page25"/>
    <w:bookmarkEnd w:id="24"/>
    <w:p>
      <w:pPr>
        <w:ind w:right="60" w:firstLine="270"/>
        <w:spacing w:after="0" w:line="266" w:lineRule="auto"/>
        <w:rPr>
          <w:sz w:val="20"/>
          <w:szCs w:val="20"/>
          <w:color w:val="auto"/>
        </w:rPr>
      </w:pPr>
      <w:r>
        <w:rPr>
          <w:rFonts w:ascii="Arial" w:cs="Arial" w:eastAsia="Arial" w:hAnsi="Arial"/>
          <w:sz w:val="18"/>
          <w:szCs w:val="18"/>
          <w:b w:val="1"/>
          <w:bCs w:val="1"/>
          <w:color w:val="auto"/>
        </w:rPr>
        <w:t>If Vringo is unable to enter into or maintain distribution arrangements with major mobile carriers and/or other partners and develop and maintain its existing strategic relationships with mobile carriers, Vringo will be unable to distribute its products effectively or generate significant revenue.</w:t>
      </w:r>
    </w:p>
    <w:p>
      <w:pPr>
        <w:spacing w:after="0" w:line="180"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Vringo’s strategy for distributing its applications and services is dependent upon establishing distribution arrangements with major mobile carriers and other partners. Vringo currently has distribution arrangements with Etisalat (Emirates Telecom), Orange (Everything Everywhere), Vodafone, Verizon, Maxis, Celcom (Axiata Berhard), Hungama Mobile and Du. Vringo needs to develop and maintain strategic relationships with these entities in order for them to market its service to their end users. While Vringo has entered into agreements with the aforementioned mobile carriers pursuant to which Vringo’s service may be made available to their end-users, such agreements are not exclusive and generally do not obligate the partner to market or distribute Vringo’s service. In addition, a number of Vringo’s distribution agreements allow the mobile carrier to terminate its rights under the agreement at any time and for any reason upon 30 days’ notice. Vringo is dependent upon the subsequent success of these partners in performing their responsibilities and sufficiently marketing Vringo’s service. Vringo cannot provide you any assurance that it will be able to negotiate, execute and maintain favorable agreements and relationships with any additional partners, that the partners with whom Vringo has a contractual relationship will choose to promote Vringo’s service or that such partners will be successful and/or will not pursue alternative technologies.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If Vringo is unsuccessful in entering into and maintaining content license agreements, its revenues will be negatively affected.</w:t>
      </w:r>
    </w:p>
    <w:p>
      <w:pPr>
        <w:spacing w:after="0" w:line="24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The success of Vringo’s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Vringo to make significant minimum payments. Vringo has entered into approximately 35 content license agreements with various content providers. While Vringo’s business is not dependent on any particular content license agreement, there is no assurance that Vringo will enter into a sufficient number of content license agreements or that the ones that Vringo enters into will be profitable and will not be terminated early.</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generate revenues from certain of its prepaid mobile customers.</w:t>
      </w:r>
    </w:p>
    <w:p>
      <w:pPr>
        <w:spacing w:after="0" w:line="229" w:lineRule="exact"/>
        <w:rPr>
          <w:sz w:val="20"/>
          <w:szCs w:val="20"/>
          <w:color w:val="auto"/>
        </w:rPr>
      </w:pPr>
    </w:p>
    <w:p>
      <w:pPr>
        <w:jc w:val="both"/>
        <w:ind w:right="420" w:firstLine="270"/>
        <w:spacing w:after="0" w:line="286" w:lineRule="auto"/>
        <w:rPr>
          <w:sz w:val="20"/>
          <w:szCs w:val="20"/>
          <w:color w:val="auto"/>
        </w:rPr>
      </w:pPr>
      <w:r>
        <w:rPr>
          <w:rFonts w:ascii="Arial" w:cs="Arial" w:eastAsia="Arial" w:hAnsi="Arial"/>
          <w:sz w:val="17"/>
          <w:szCs w:val="17"/>
          <w:color w:val="auto"/>
        </w:rPr>
        <w:t>Vringo currently operates in markets that have a high percentage of prepaid mobile customers. Many of these users may not have a sufficient balance in their prepaid account when their free trial ends and Vringo bills them to cover the charges for subscribing to its service. As a result, the subscriber numbers that Vringo periodically discloses may not generate revenues at the expected level.</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is dependent on mobile carriers and other partners to make timely payments to Vringo.</w:t>
      </w:r>
    </w:p>
    <w:p>
      <w:pPr>
        <w:spacing w:after="0" w:line="229"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Vringo will receive its revenue from mobile carriers and other distribution partners who may delay payment to Vringo, dispute amounts owed to Vringo, or in some cases refuse to pay Vringo at all. Many of these partners are in markets where Vringo may have limited legal recourse to collect payments from these partners. Vringo’s failure to collect payments owed to it from its partners will have an adverse effect on Vringo’s business and its results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continue to maintain its application on all of the operating systems that it currently supports.</w:t>
      </w:r>
    </w:p>
    <w:p>
      <w:pPr>
        <w:spacing w:after="0" w:line="229" w:lineRule="exact"/>
        <w:rPr>
          <w:sz w:val="20"/>
          <w:szCs w:val="20"/>
          <w:color w:val="auto"/>
        </w:rPr>
      </w:pPr>
    </w:p>
    <w:p>
      <w:pPr>
        <w:ind w:right="60" w:firstLine="270"/>
        <w:spacing w:after="0" w:line="286" w:lineRule="auto"/>
        <w:rPr>
          <w:sz w:val="20"/>
          <w:szCs w:val="20"/>
          <w:color w:val="auto"/>
        </w:rPr>
      </w:pPr>
      <w:r>
        <w:rPr>
          <w:rFonts w:ascii="Arial" w:cs="Arial" w:eastAsia="Arial" w:hAnsi="Arial"/>
          <w:sz w:val="16"/>
          <w:szCs w:val="16"/>
          <w:color w:val="auto"/>
        </w:rPr>
        <w:t>Some of Vringo’s applications are compatible with various mobile operating systems including Android, Blackberry, Sony Ericsson, Symbian, Apple’s iOS, Java, and Windows Mobile operating systems. While Windows Mobile, Blackberry and Android do not support video ringtones natively, Vringo’s development team has enabled its application to work on many devices which utilize these operating systems. The user base for the video ringtone service is spread out amongst a number of smartphone and feature phone operating systems, with applications on each aforementioned</w:t>
      </w:r>
    </w:p>
    <w:p>
      <w:pPr>
        <w:spacing w:after="0" w:line="2" w:lineRule="exact"/>
        <w:rPr>
          <w:sz w:val="20"/>
          <w:szCs w:val="20"/>
          <w:color w:val="auto"/>
        </w:rPr>
      </w:pPr>
    </w:p>
    <w:p>
      <w:pPr>
        <w:jc w:val="both"/>
        <w:ind w:right="540"/>
        <w:spacing w:after="0" w:line="234" w:lineRule="auto"/>
        <w:rPr>
          <w:sz w:val="20"/>
          <w:szCs w:val="20"/>
          <w:color w:val="auto"/>
        </w:rPr>
      </w:pPr>
      <w:r>
        <w:rPr>
          <w:rFonts w:ascii="Arial" w:cs="Arial" w:eastAsia="Arial" w:hAnsi="Arial"/>
          <w:sz w:val="16"/>
          <w:szCs w:val="16"/>
          <w:color w:val="auto"/>
        </w:rPr>
        <w:t xml:space="preserve">operating system representing less than 5% of the total subscribers to Vringo’s video ringtone platform.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which represents less than 5% of Vringo’s revenue for the three months ended March 31, 2012, is heavily reliant upon Vringo’s Android devices users.</w:t>
      </w:r>
    </w:p>
    <w:p>
      <w:pPr>
        <w:spacing w:after="0" w:line="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 xml:space="preserve">Currently, over 96% of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users utilize the Android operating system. In addition, Vringo’s commercial agreement with ZTE is solely reliant on Vringo’s ability to maintain its support for the Android operating system. Since these operating systems do not support Vringo’s applications natively, any significant changes to these operating systems by their respective developers may prevent Vringo’s application from working properly or at all on these systems. If Vringo is unable to maintain its application on these operating systems or on any other operating systems, users of these operating systems will not be able to use Vringo’s application, which could adversely affect Vringo’s business and results of operations.</w:t>
      </w:r>
    </w:p>
    <w:p>
      <w:pPr>
        <w:spacing w:after="0" w:line="4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877" w:right="25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b w:val="1"/>
          <w:bCs w:val="1"/>
          <w:color w:val="auto"/>
        </w:rPr>
        <w:t>Vringo operates in the digital content market where piracy of content is widespread.</w:t>
      </w:r>
    </w:p>
    <w:p>
      <w:pPr>
        <w:spacing w:after="0" w:line="229"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Vringo’s business strategy is partially based upon users paying Vringo for access to its content. If users believe they can obtain the same or similar content for free via other means including piracy, they may be unwilling to pay for Vringo’s service. Additionally, since Vringo’s own clips do not have any copy protection, they can theoretically be distributed by a paying user to a non-paying user without any additional payment to Vringo. If users or potential users obtain Vringo’s content or similar content without payment to Vringo, Vringo’s business and results of operations will be adversely affected.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Major network failures could have an adverse effect on Vringo’s business.</w:t>
      </w:r>
    </w:p>
    <w:p>
      <w:pPr>
        <w:spacing w:after="0" w:line="229"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Vringo relies, could cause major network failures and/or unusually high network traffic demands that could have a material adverse effect on Vringo’s operations or its ability to provide service to Vringo’s customers. These events could disrupt Vringo’s operations, require significant resources to resolve, result in a loss of customers or impair Vringo’s ability to attract new customers, which in turn could have a material adverse effect on Vringo’s business, results of operations and financial condition.</w:t>
      </w:r>
    </w:p>
    <w:p>
      <w:pPr>
        <w:spacing w:after="0" w:line="178"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Vringo’s data is hosted at a remote location. Although Vringo has full alternative site data backed up, Vringo does not have data hosting redundancy. Accordingly, Vringo may experience significant service interruptions, which could require significant resources to resolve, result in a loss of customers or impair Vringo’s ability to attract new customers, which in turn could have a material adverse effect on Vringo’s business, results of operations and financial condition.</w:t>
      </w:r>
    </w:p>
    <w:p>
      <w:pPr>
        <w:spacing w:after="0" w:line="187"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In addition, with the growth of wireless data services, enterprise data interfaces and Internet-based or Internet Protocol-enabled applications, wireless networks and devices are exposed to a greater degree to third-party data or applications over which Vringo has less direct control. As a result, the network infrastructure and information systems on which Vringo relies, as well as Vringo’s customers’ wireless devices, may be subject to a wider array of potential security risks, including viruses and other types of computer-based attacks, which could cause lapses in Vringo’s service or adversely affect the ability of Vringo’s customers to access its service. Such lapses could have a material adverse effect on Vringo’s business and its results of operations.</w:t>
      </w:r>
    </w:p>
    <w:p>
      <w:pPr>
        <w:spacing w:after="0" w:line="189" w:lineRule="exact"/>
        <w:rPr>
          <w:sz w:val="20"/>
          <w:szCs w:val="20"/>
          <w:color w:val="auto"/>
        </w:rPr>
      </w:pPr>
    </w:p>
    <w:p>
      <w:pPr>
        <w:ind w:right="460" w:firstLine="270"/>
        <w:spacing w:after="0" w:line="282" w:lineRule="auto"/>
        <w:rPr>
          <w:sz w:val="20"/>
          <w:szCs w:val="20"/>
          <w:color w:val="auto"/>
        </w:rPr>
      </w:pPr>
      <w:r>
        <w:rPr>
          <w:rFonts w:ascii="Arial" w:cs="Arial" w:eastAsia="Arial" w:hAnsi="Arial"/>
          <w:sz w:val="18"/>
          <w:szCs w:val="18"/>
          <w:b w:val="1"/>
          <w:bCs w:val="1"/>
          <w:color w:val="auto"/>
        </w:rPr>
        <w:t>Vringo’s business depends upon its ability to keep pace with the latest technological changes and Vringo’s failure to do so could make Vringo less competitive in its industry.</w:t>
      </w:r>
    </w:p>
    <w:p>
      <w:pPr>
        <w:spacing w:after="0" w:line="166"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The market for Vringo’s products and services is characterized by rapid change and technological change, frequent new product innovations, changes in customer requirements and expectations and evolving industry standards. Products using new technologies or emerging industry standards could make Vringo’s products and services less attractive. Furthermore, Vringo’s competitors may have access to technology not available to Vringo, which may enable them to produce products of greater interest to consumers or at a more competitive cost. Failure to respond in a timely and cost-effective way to these technological developments may result in serious harm to Vringo’s business and operating results. As a result, Vringo’s success will depend, in part, on its ability to develop and market product and service offerings that respond in a timely manner to the technological advances available to Vringo’s customers, evolving industry standards and changing preferences.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Vringo’s Facetones </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xml:space="preserve"> application depends upon Vringo’s continued access to Facebook® photos.</w:t>
      </w:r>
    </w:p>
    <w:p>
      <w:pPr>
        <w:spacing w:after="0" w:line="132" w:lineRule="exact"/>
        <w:rPr>
          <w:sz w:val="20"/>
          <w:szCs w:val="20"/>
          <w:color w:val="auto"/>
        </w:rPr>
      </w:pPr>
    </w:p>
    <w:p>
      <w:pPr>
        <w:ind w:right="60" w:firstLine="270"/>
        <w:spacing w:after="0" w:line="224" w:lineRule="auto"/>
        <w:rPr>
          <w:sz w:val="20"/>
          <w:szCs w:val="20"/>
          <w:color w:val="auto"/>
        </w:rPr>
      </w:pPr>
      <w:r>
        <w:rPr>
          <w:rFonts w:ascii="Arial" w:cs="Arial" w:eastAsia="Arial" w:hAnsi="Arial"/>
          <w:sz w:val="18"/>
          <w:szCs w:val="18"/>
          <w:color w:val="auto"/>
        </w:rPr>
        <w:t xml:space="preserve">Vringo’s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application creates automated video slideshow using friends’ photos from social media web sites, primarily from Facebook®, the world’s leading social media site.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represented less than 5% of Vringo’s revenue for the three months ended March 31, 2012, however, Vringo believes that the rapid growth of its user base is critical to the value of its mobile application business. In the event Facebook® prohibits or restricts the ability of Vringo’s application to access photos on its site, Vringo’s business, financial condition, operating results and projected growth could be harmed. In February 2012, Vringo entered into an agreement with Facebook®, which clarifies Vringo’s permitted use of the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mark and domain name.</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If Vringo’s Facetones </w:t>
      </w:r>
      <w:r>
        <w:rPr>
          <w:rFonts w:ascii="Arial" w:cs="Arial" w:eastAsia="Arial" w:hAnsi="Arial"/>
          <w:sz w:val="26"/>
          <w:szCs w:val="26"/>
          <w:b w:val="1"/>
          <w:bCs w:val="1"/>
          <w:color w:val="auto"/>
          <w:vertAlign w:val="superscript"/>
        </w:rPr>
        <w:t>TM</w:t>
      </w:r>
      <w:r>
        <w:rPr>
          <w:rFonts w:ascii="Arial" w:cs="Arial" w:eastAsia="Arial" w:hAnsi="Arial"/>
          <w:sz w:val="16"/>
          <w:szCs w:val="16"/>
          <w:b w:val="1"/>
          <w:bCs w:val="1"/>
          <w:color w:val="auto"/>
        </w:rPr>
        <w:t xml:space="preserve"> trademark is challenged by another party, Vringo’s revenue from this application may be adversely affected.</w:t>
      </w:r>
    </w:p>
    <w:p>
      <w:pPr>
        <w:spacing w:after="0" w:line="178" w:lineRule="exact"/>
        <w:rPr>
          <w:sz w:val="20"/>
          <w:szCs w:val="20"/>
          <w:color w:val="auto"/>
        </w:rPr>
      </w:pPr>
    </w:p>
    <w:p>
      <w:pPr>
        <w:ind w:right="120" w:firstLine="270"/>
        <w:spacing w:after="0" w:line="247" w:lineRule="auto"/>
        <w:rPr>
          <w:sz w:val="20"/>
          <w:szCs w:val="20"/>
          <w:color w:val="auto"/>
        </w:rPr>
      </w:pPr>
      <w:r>
        <w:rPr>
          <w:rFonts w:ascii="Arial" w:cs="Arial" w:eastAsia="Arial" w:hAnsi="Arial"/>
          <w:sz w:val="17"/>
          <w:szCs w:val="17"/>
          <w:color w:val="auto"/>
        </w:rPr>
        <w:t xml:space="preserve">In February 2012, Vringo entered into an agreement with Facebook, Inc., an online social network, relating to the use of Vringo’s Facetones </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mark and domain name (collectively, the “Facetones Mark”).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Vringo’s Facetones Mark, Vringo will need to re-brand its application, which may have a negative impact on Vringo’s revenue from this application.</w:t>
      </w:r>
    </w:p>
    <w:p>
      <w:pPr>
        <w:spacing w:after="0" w:line="200" w:lineRule="exact"/>
        <w:rPr>
          <w:sz w:val="20"/>
          <w:szCs w:val="20"/>
          <w:color w:val="auto"/>
        </w:rPr>
      </w:pPr>
    </w:p>
    <w:p>
      <w:pPr>
        <w:spacing w:after="0" w:line="2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877" w:right="25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b w:val="1"/>
          <w:bCs w:val="1"/>
          <w:color w:val="auto"/>
        </w:rPr>
        <w:t>Regulation concerning consumer privacy may adversely affect Vringo’s business.</w:t>
      </w:r>
    </w:p>
    <w:p>
      <w:pPr>
        <w:spacing w:after="0" w:line="229"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Certain technologies that Vringo currently supports, or may in the future support, are capable of collecting personally-identifiable information. Vringo anticipates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Vringo’s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Vringo’s ability to collect information related to users or Vringo’s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Vringo’s ability to collect and disseminate or share certain information about consumers and may negatively affect Vringo’s ability to make use of that information. If Vringo fails to successfully comply with applicable regulations in this area, its business and prospects could be harmed.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ability to raise capital through equity or equity-linked transactions may be limited.</w:t>
      </w:r>
    </w:p>
    <w:p>
      <w:pPr>
        <w:spacing w:after="0" w:line="229"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In order for Vringo to raise capital privately through equity or equity-linked transactions, stockholder approval is required to enable Vringo to issue more than 19.99% of Vringo’s outstanding shares of common stock pursuant to the rules and regulations of the NYSE MKT (formerly, NYSE Amex). Should stockholders not approve such issuances, Vringo’s sole means to raise capital would be through debt, which could have a material adverse effect on Vringo’s balance sheet and overall financial condition.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liquidity is largely dependent on its common stock being traded on a major exchange.</w:t>
      </w:r>
    </w:p>
    <w:p>
      <w:pPr>
        <w:spacing w:after="0" w:line="229"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Vringo’s common stock and warrants are listed on the NYSE MKT, a national securities exchange, which imposes continued listing requirements with respect to listed shares. On April 26, 2012, the NYSE MKT notified Vringo that it had resolved the continued listing deficiency referenced in the NYSE MKT's letter dated May 24, 2011, which stated that Vringo was not in compliance with Section 1003(a) (iv) of the NYSE MKT's continued listing standards. The NYSE MKT's conclusion was based on a review of available information, including Vringo’s filings with the SEC. Vringo’s continued listing eligibility will be assessed on an ongoing basis. While the NYSE MKT has not initiated delisting proceedings in the past, there is no assurance that it will not do so in the future.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the NYSE MKT delists Vringo’s securities from trading, Vringo could face significant consequences, including:</w:t>
      </w:r>
    </w:p>
    <w:p>
      <w:pPr>
        <w:spacing w:after="0" w:line="225"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availability for market quotations for its securities;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liquidity with respect to its securities;</w:t>
      </w:r>
    </w:p>
    <w:p>
      <w:pPr>
        <w:spacing w:after="0" w:line="9" w:lineRule="exact"/>
        <w:rPr>
          <w:rFonts w:ascii="Arial" w:cs="Arial" w:eastAsia="Arial" w:hAnsi="Arial"/>
          <w:sz w:val="18"/>
          <w:szCs w:val="18"/>
          <w:color w:val="auto"/>
        </w:rPr>
      </w:pPr>
    </w:p>
    <w:p>
      <w:pPr>
        <w:ind w:left="540" w:right="120" w:hanging="316"/>
        <w:spacing w:after="0" w:line="265"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determination that Vringo’s common stock is a “penny stock,” which will require brokers trading in Vringo common stock to adhere to more stringent rules and possibly result in a reduced level of trading activity in the secondary trading market for Vringo common stock;</w:t>
      </w: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11"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In addition, Vringo would no longer be subject to the NYSE MKT rules, including rules requiring Vringo to have a certain number of independent directors and to meet other corporate governance standards.</w:t>
      </w:r>
    </w:p>
    <w:p>
      <w:pPr>
        <w:spacing w:after="0" w:line="166" w:lineRule="exact"/>
        <w:rPr>
          <w:sz w:val="20"/>
          <w:szCs w:val="20"/>
          <w:color w:val="auto"/>
        </w:rPr>
      </w:pPr>
    </w:p>
    <w:p>
      <w:pPr>
        <w:ind w:right="120" w:firstLine="270"/>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Vringo’s business relationships and profitability.</w:t>
      </w:r>
    </w:p>
    <w:p>
      <w:pPr>
        <w:spacing w:after="0" w:line="166"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Vringo’s research and development facility and finance department are located in Israel and many of Vringo’s key personnel reside in Israel. Vringo’s business is directly affected by the political, economic and military conditions in Israel and its neighbors. Major hostilities involving Israel or the interruption or curtailment of trade between Israel and its present trading partners could have a material adverse effect on Vringo’s existing business relationships and on Vringo’s operating results and financial condition. Furthermore, several countries restrict business with Israeli companies, which may impair Vringo’s ability to create new business relationships or to be, or become, profitable.</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Vringo may not be able to enforce covenants not-to-compete under current Israeli law, which may result in added competition.</w:t>
      </w:r>
    </w:p>
    <w:p>
      <w:pPr>
        <w:spacing w:after="0" w:line="241" w:lineRule="exact"/>
        <w:rPr>
          <w:sz w:val="20"/>
          <w:szCs w:val="20"/>
          <w:color w:val="auto"/>
        </w:rPr>
      </w:pPr>
    </w:p>
    <w:p>
      <w:pPr>
        <w:ind w:right="180" w:firstLine="270"/>
        <w:spacing w:after="0" w:line="273" w:lineRule="auto"/>
        <w:rPr>
          <w:sz w:val="20"/>
          <w:szCs w:val="20"/>
          <w:color w:val="auto"/>
        </w:rPr>
      </w:pPr>
      <w:r>
        <w:rPr>
          <w:rFonts w:ascii="Arial" w:cs="Arial" w:eastAsia="Arial" w:hAnsi="Arial"/>
          <w:sz w:val="17"/>
          <w:szCs w:val="17"/>
          <w:color w:val="auto"/>
        </w:rPr>
        <w:t>Vringo has non-competition agreements with all of its employees, almost all of which are governed by Israeli law. These agreements generally prohibit Vringo’s employees from competing with or working for its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Vringo is not able to enforce non-compete covenants, Vringo may be faced with added competition.</w:t>
      </w:r>
    </w:p>
    <w:p>
      <w:pPr>
        <w:spacing w:after="0" w:line="39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27" w:name="page28"/>
    <w:bookmarkEnd w:id="27"/>
    <w:p>
      <w:pPr>
        <w:ind w:left="500" w:right="360" w:firstLine="270"/>
        <w:spacing w:after="0" w:line="347" w:lineRule="auto"/>
        <w:rPr>
          <w:sz w:val="20"/>
          <w:szCs w:val="20"/>
          <w:color w:val="auto"/>
        </w:rPr>
      </w:pPr>
      <w:r>
        <w:rPr>
          <w:rFonts w:ascii="Arial" w:cs="Arial" w:eastAsia="Arial" w:hAnsi="Arial"/>
          <w:sz w:val="16"/>
          <w:szCs w:val="16"/>
          <w:b w:val="1"/>
          <w:bCs w:val="1"/>
          <w:color w:val="auto"/>
        </w:rPr>
        <w:t>Because a substantial portion of Vringo’s revenues is generated in dollars and euros, while a significant portion of Vringo’s expenses is incurred in Israeli currency, Vringo’s revenue may be reduced due to inflation in Israel and currency exchange rate fluctuations.</w:t>
      </w:r>
    </w:p>
    <w:p>
      <w:pPr>
        <w:spacing w:after="0" w:line="120" w:lineRule="exact"/>
        <w:rPr>
          <w:sz w:val="20"/>
          <w:szCs w:val="20"/>
          <w:color w:val="auto"/>
        </w:rPr>
      </w:pPr>
    </w:p>
    <w:p>
      <w:pPr>
        <w:jc w:val="both"/>
        <w:ind w:left="500" w:right="220" w:firstLine="270"/>
        <w:spacing w:after="0" w:line="288" w:lineRule="auto"/>
        <w:rPr>
          <w:sz w:val="20"/>
          <w:szCs w:val="20"/>
          <w:color w:val="auto"/>
        </w:rPr>
      </w:pPr>
      <w:r>
        <w:rPr>
          <w:rFonts w:ascii="Arial" w:cs="Arial" w:eastAsia="Arial" w:hAnsi="Arial"/>
          <w:sz w:val="16"/>
          <w:szCs w:val="16"/>
          <w:color w:val="auto"/>
        </w:rPr>
        <w:t>A substantial portion of Vringo’s revenues is generated in dollars and euros, while a significant portion of Vringo’s expenses, principally salaries and related personnel expenses, is paid in Israeli currency. As a result, Vringo is exposed to the risk that the rate of inflation in Israel will exceed the rate of devaluation of Israeli currency in relation to the dollar or the euro, or that the timing of this devaluation will lag behind inflation in Israel.</w:t>
      </w:r>
    </w:p>
    <w:p>
      <w:pPr>
        <w:ind w:left="500" w:right="40"/>
        <w:spacing w:after="0" w:line="271" w:lineRule="auto"/>
        <w:rPr>
          <w:sz w:val="20"/>
          <w:szCs w:val="20"/>
          <w:color w:val="auto"/>
        </w:rPr>
      </w:pPr>
      <w:r>
        <w:rPr>
          <w:rFonts w:ascii="Arial" w:cs="Arial" w:eastAsia="Arial" w:hAnsi="Arial"/>
          <w:sz w:val="17"/>
          <w:szCs w:val="17"/>
          <w:color w:val="auto"/>
        </w:rPr>
        <w:t>Because inflation has the effect of increasing the dollar and euro costs of Vringo’s operations, it would therefore have an adverse effect on Vringo’s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Vringo’s cash flows, revenues and financial condition. Fluctuations in the NIS exchange rate, or even the appearance of instability in such exchange rate, could adversely affect Vringo’s ability to operate its business.</w:t>
      </w:r>
    </w:p>
    <w:p>
      <w:pPr>
        <w:spacing w:after="0" w:line="175" w:lineRule="exact"/>
        <w:rPr>
          <w:sz w:val="20"/>
          <w:szCs w:val="20"/>
          <w:color w:val="auto"/>
        </w:rPr>
      </w:pPr>
    </w:p>
    <w:p>
      <w:pPr>
        <w:ind w:left="500" w:right="360" w:firstLine="270"/>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Vringo’s wholly-owned subsidiary, may increase the costs involved in operating a company in Israel.</w:t>
      </w:r>
    </w:p>
    <w:p>
      <w:pPr>
        <w:spacing w:after="0" w:line="166" w:lineRule="exact"/>
        <w:rPr>
          <w:sz w:val="20"/>
          <w:szCs w:val="20"/>
          <w:color w:val="auto"/>
        </w:rPr>
      </w:pPr>
    </w:p>
    <w:p>
      <w:pPr>
        <w:jc w:val="both"/>
        <w:ind w:left="500" w:right="20" w:firstLine="270"/>
        <w:spacing w:after="0" w:line="297" w:lineRule="auto"/>
        <w:rPr>
          <w:sz w:val="20"/>
          <w:szCs w:val="20"/>
          <w:color w:val="auto"/>
        </w:rPr>
      </w:pPr>
      <w:r>
        <w:rPr>
          <w:rFonts w:ascii="Arial" w:cs="Arial" w:eastAsia="Arial" w:hAnsi="Arial"/>
          <w:sz w:val="16"/>
          <w:szCs w:val="16"/>
          <w:color w:val="auto"/>
        </w:rPr>
        <w:t>The Israeli government currently provides tax and capital investment incentives to domestic companies, as well as grant and loan programs relating to research and development and marketing and export activities. Vringo’s wholly-owned Israeli subsidiary currently takes advantage of some of these programs. Vringo cannot provide you with any assurance that such benefits and programs will continue to be available in the future to Vringo’s Israeli subsidiary. In addition, it is possible that Vringo’s subsidiary will fail to meet the criteria required for eligibility of future benefits. If such benefits and programs were terminated or further reduced, it could have an adverse effect on Vringo’s business, operating results and financial condition.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This prospectus and the documents we have filed with the SEC that are incorporated herein by reference contain such “forward-looking statements” within the meaning of the Private Securities Litigation Reform Act of 1995.</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Such statements in connection with any discussion of future operations or financial performance are identified by the use of words such as “may,” “anticipate,” “estimate,” “expect,” “project,” “intend,” “plan,” “believe,” and other words and terms of similar meaning. Forward-looking statements include, but are not limited to, statements about: our estimates of future performance; the potential value created by the Merger for our stockholders; the potential of the combined company’s technology platform; the ability to raise capital to fund our operations and business plan; the continued listing of our securities on the NYSE MKT; market acceptance of our products; our ability to protect intellectual property rights; competition from other providers and products; the ability to license and monetize the patents owned by Innovate/Protect, including the outcome of the Litigation against online search firms and other companies; our financial condition, financing requirements, prospects and cash flow; and expectations regarding potential growth. Such statements are based on management’s expectations and are subject to certain factors, risks and uncertainties that may cause actual results, outcome of events, timing and performance to differ materially from those expressed or implied by such statements. For a summary of such factors, please refer to the section entitled “Risk Factors” in this prospectus, as updated and supplemented by the discussion of risks and uncertainties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229"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Incorporated by reference herein is the unaudited pro forma consolidated financial information reflecting the merger of Vringo and Innovate/Protect in a transaction to be accounted for as a reverse acquisition with Innovate/Protect treated as the accounting acquirer. This financial information is included in Exhibit 99.1 of our Current Report on Form 8-K, filed with the Commission on June 19, 2012 and consists of (i) the unaudited pro forma consolidated statement of operation for the three month period ended March 31, 2012, (ii) the unaudited pro forma consolidated balance sheets, as of March 31, 2012 and</w:t>
      </w:r>
    </w:p>
    <w:p>
      <w:pPr>
        <w:spacing w:after="0" w:line="2" w:lineRule="exact"/>
        <w:rPr>
          <w:sz w:val="20"/>
          <w:szCs w:val="20"/>
          <w:color w:val="auto"/>
        </w:rPr>
      </w:pPr>
    </w:p>
    <w:p>
      <w:pPr>
        <w:ind w:right="120" w:firstLine="8"/>
        <w:spacing w:after="0" w:line="253"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unaudited pro forma consolidated statement of operation, for the period from June 8, 2011 (date of inception of Innovate/Protect) through December 31, 2011. The unaudited pro forma consolidated financial information should be read in conjunction with the historical consolidated financial statements and the related notes of Vringo, included in Vringo’s periodic reports filed with the Commission, and of Innovate/Protect, included in Exhibits 99.5 and 99.6 of our Current Report on Form 8-K, filed with the Commission on July 20, 2012 and incorporated by reference herein. See “Incorporation of Information by Reference.”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general corporate purposes, including, but not limited to, repayment of existing indebtedness, working capital, intellectual property protection and enforcement, capital expenditures, investments and acquisitions, including acquisitions of patent portfolios.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of Distribution</w:t>
      </w:r>
    </w:p>
    <w:p>
      <w:pPr>
        <w:spacing w:after="0" w:line="229"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6"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160" w:firstLine="661"/>
        <w:spacing w:after="0" w:line="342" w:lineRule="auto"/>
        <w:rPr>
          <w:sz w:val="20"/>
          <w:szCs w:val="20"/>
          <w:color w:val="auto"/>
        </w:rPr>
      </w:pPr>
      <w:r>
        <w:rPr>
          <w:rFonts w:ascii="Arial" w:cs="Arial" w:eastAsia="Arial" w:hAnsi="Arial"/>
          <w:sz w:val="16"/>
          <w:szCs w:val="16"/>
          <w:color w:val="auto"/>
        </w:rPr>
        <w:t>We may directly solicit offers to purchase the securities being offered by this prospectus. We may also designate agents to solicit offers to purchase the securities from time to time. We will name in a prospectus supplement any underwriter or agent involved in the offer or sale of the securities.</w:t>
      </w:r>
    </w:p>
    <w:p>
      <w:pPr>
        <w:spacing w:after="0" w:line="124" w:lineRule="exact"/>
        <w:rPr>
          <w:sz w:val="20"/>
          <w:szCs w:val="20"/>
          <w:color w:val="auto"/>
        </w:rPr>
      </w:pPr>
    </w:p>
    <w:p>
      <w:pPr>
        <w:ind w:right="340" w:firstLine="661"/>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80" w:firstLine="661"/>
        <w:spacing w:after="0" w:line="276"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3" w:lineRule="exact"/>
        <w:rPr>
          <w:sz w:val="20"/>
          <w:szCs w:val="20"/>
          <w:color w:val="auto"/>
        </w:rPr>
      </w:pPr>
    </w:p>
    <w:p>
      <w:pPr>
        <w:ind w:right="80" w:firstLine="661"/>
        <w:spacing w:after="0" w:line="272" w:lineRule="auto"/>
        <w:rPr>
          <w:sz w:val="20"/>
          <w:szCs w:val="20"/>
          <w:color w:val="auto"/>
        </w:rPr>
      </w:pPr>
      <w:r>
        <w:rPr>
          <w:rFonts w:ascii="Arial" w:cs="Arial" w:eastAsia="Arial" w:hAnsi="Arial"/>
          <w:sz w:val="17"/>
          <w:szCs w:val="17"/>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ind w:right="100" w:firstLine="648"/>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65" w:lineRule="exact"/>
        <w:rPr>
          <w:sz w:val="20"/>
          <w:szCs w:val="20"/>
          <w:color w:val="auto"/>
        </w:rPr>
      </w:pPr>
    </w:p>
    <w:p>
      <w:pPr>
        <w:ind w:left="980" w:right="2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20" w:firstLine="661"/>
        <w:spacing w:after="0" w:line="259" w:lineRule="auto"/>
        <w:rPr>
          <w:sz w:val="20"/>
          <w:szCs w:val="20"/>
          <w:color w:val="auto"/>
        </w:rPr>
      </w:pPr>
      <w:r>
        <w:rPr>
          <w:rFonts w:ascii="Arial" w:cs="Arial" w:eastAsia="Arial" w:hAnsi="Arial"/>
          <w:sz w:val="18"/>
          <w:szCs w:val="18"/>
          <w:color w:val="auto"/>
        </w:rPr>
        <w:t>Shares of our common stock sold pursuant to the registration statement of which this prospectus is a part will be authorized for quotation and trading on the NYSE MKT. The applicable prospectus supplement will contain information, where applicable, as to any other listing, if any, on the NYSE MKT or any securities market or other securities exchange of the securities covered by the prospectus supplement. We can make no assurance as to the liquidity of or the existence of trading markets for any of the securities.</w:t>
      </w:r>
    </w:p>
    <w:p>
      <w:pPr>
        <w:spacing w:after="0" w:line="187" w:lineRule="exact"/>
        <w:rPr>
          <w:sz w:val="20"/>
          <w:szCs w:val="20"/>
          <w:color w:val="auto"/>
        </w:rPr>
      </w:pPr>
    </w:p>
    <w:p>
      <w:pPr>
        <w:ind w:firstLine="661"/>
        <w:spacing w:after="0" w:line="254" w:lineRule="auto"/>
        <w:rPr>
          <w:sz w:val="20"/>
          <w:szCs w:val="20"/>
          <w:color w:val="auto"/>
        </w:rPr>
      </w:pPr>
      <w:r>
        <w:rPr>
          <w:rFonts w:ascii="Arial" w:cs="Arial" w:eastAsia="Arial" w:hAnsi="Arial"/>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compliance with the guidelines of the Financial Industry Regulatory Authority, Inc.,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right="100" w:firstLine="661"/>
        <w:spacing w:after="0" w:line="286" w:lineRule="auto"/>
        <w:rPr>
          <w:sz w:val="20"/>
          <w:szCs w:val="20"/>
          <w:color w:val="auto"/>
        </w:rPr>
      </w:pPr>
      <w:r>
        <w:rPr>
          <w:rFonts w:ascii="Arial" w:cs="Arial" w:eastAsia="Arial" w:hAnsi="Arial"/>
          <w:sz w:val="17"/>
          <w:szCs w:val="17"/>
          <w:color w:val="auto"/>
        </w:rPr>
        <w:t>The following is a summary of our capital stock and provisions of our restated certificate of incorporation and restated by-laws, as they are in effect as of the date of this prospectus. For more detailed information, please see our restated certificate of incorporation and restated bylaws, which are filed with the Securities and Exchange Commission as exhibits to the registration statement of which this prospectus forms a part.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authorized to issue 150,000,000 shares of common stock, par value $0.01 per share, and 5,000,000 shares of preferred stock, par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$0.01 per share. As of July 20, 2012, we had 35,332,487 shares of common stock outstanding held of record by 67 stockholders. As of July 20, 2012,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6,173 shares of Series A Convertible Preferred Stock, or Series A preferred stock, outstanding, which are initially convertible into an aggregate of 18,627,645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140" w:firstLine="441"/>
        <w:spacing w:after="0" w:line="288" w:lineRule="auto"/>
        <w:rPr>
          <w:sz w:val="20"/>
          <w:szCs w:val="20"/>
          <w:color w:val="auto"/>
        </w:rPr>
      </w:pPr>
      <w:r>
        <w:rPr>
          <w:rFonts w:ascii="Arial" w:cs="Arial" w:eastAsia="Arial" w:hAnsi="Arial"/>
          <w:sz w:val="16"/>
          <w:szCs w:val="16"/>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w:t>
      </w:r>
    </w:p>
    <w:p>
      <w:pPr>
        <w:ind w:right="80"/>
        <w:spacing w:after="0" w:line="253" w:lineRule="auto"/>
        <w:rPr>
          <w:sz w:val="20"/>
          <w:szCs w:val="20"/>
          <w:color w:val="auto"/>
        </w:rPr>
      </w:pPr>
      <w:r>
        <w:rPr>
          <w:rFonts w:ascii="Arial" w:cs="Arial" w:eastAsia="Arial" w:hAnsi="Arial"/>
          <w:sz w:val="18"/>
          <w:szCs w:val="18"/>
          <w:color w:val="auto"/>
        </w:rPr>
        <w:t>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Our board of directors has the authority, without action by our stockholders, to designate and issue up to 5,000,000 shares of preferred stock in one or more series and to designate the rights, preferences, and limitations of all such series, any or all of which may be superior to the rights of our common stock. It is not possible to state the actual effect of the issuance of any shares of preferred stock upon the rights of the holders of common stock until our board of directors determines the specific rights of the holders of preferred stock. However, effects of the issuance of preferred stock include restricting dividends on our common stock, diluting the voting power of our common stock, impairing the liquidation rights of our common stock, and making it more difficult for a third party to acquire us, which could have the effect of discouraging a third party from acquiring, or deterring a third party from paying a premium to acquire, a majority of our outstanding voting stock. We have no present plans to issue any shares of our preferred stock.</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Series A preferred stock has the powers, designations, preferences and other rights as set forth in the Certificate of Designations, Preferences and Rights of Series A Convertible Preferred Stock, which rights include, among other things, a liquidation preference of $1,000 per share and the right to participate in any dividends and distributions paid to common stockholders on an as-converted basis. We may not create a class of capital stock senior or pari passu to the Series A preferred stock.</w:t>
      </w:r>
    </w:p>
    <w:p>
      <w:pPr>
        <w:spacing w:after="0" w:line="187"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The 6,673 shares of Series A preferred stock are initially convertible into an aggregate of 20,136,445 shares of common stock (or at a current conversion rate of 3,017.6) (subject to a provision that restricts conversion in the event the holder will acquire beneficial ownership of more than 9.99% of our common stock after such conversion) but are non-voting, except as required by law and in certain defined instances, including a change of control. In addition, except for certain excluded issuances, the conversion price of the Series A preferred stock is subject to full ratchet anti-dilution protection for issuances of equity or equity-linked securities below the initial conversion price (as adjusted for stock splits, stock dividends and similar events) until the date an aggregate of 100,000,000 shares of our common stock have traded at above $3.00 per share (as adjusted for stock splits, stock dividends and similar events). As of July 20, 2012, we had 6,173 shares of Series A preferred stock outstanding which are convertible into an aggregate of 18,627,645 shares of our common stock.</w:t>
      </w:r>
    </w:p>
    <w:p>
      <w:pPr>
        <w:spacing w:after="0" w:line="19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a change of control, except for a change of control where the holder receives all publicly traded stock, the holder of our Series A preferred stock is able to require us to redeem the shares of Series A preferred stock at the greater of the stated value and the value of the equity underlying the Series A preferred stock. The Series A preferred stock also contains a covenant prohibiting us, for a period of 18 months following the closing, from incurring indebtedness senior to the Series A preferred stock in excess of $6 million in the aggregate (including the then outstanding principal amount of existing Innovate/Protect indebtedness); provided, that, this covenant shall not apply to indebtedness secured by assets acquired after the closing in which the lender expressly subordinates to the holder of the Series A preferred stock. The holder of the Series A preferred stock shall be indemnified against losses due to a buy-in following any failure to timely deliver common stock upon a conversion failure and we shall pay the holders of the Series A preferred stock liquidated damages of one-quarter of one percent (0.25%) for each full 15 day period during which our common stock is suspended from trading or if our common stock is delisted. You should refer to our restated certificate of incorporation, which are filed with the Securities and Exchange Commission as exhibits to the registration statement of which this prospectus forms a part.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for our Series A preferred stock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66"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if any, per share and the purchase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1" w:name="page32"/>
    <w:bookmarkEnd w:id="31"/>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pari passu with or senior to the series of preferred stock as to dividend rights and rights upon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preferred stock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2" w:name="page33"/>
    <w:bookmarkEnd w:id="32"/>
    <w:p>
      <w:pPr>
        <w:ind w:left="980" w:right="3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we fail to pay interest when due and our failure continues for 90 days and the time for payment has not been extended or deferred;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140" w:gutter="0" w:footer="0" w:header="0"/>
        </w:sectPr>
      </w:pPr>
    </w:p>
    <w:bookmarkStart w:id="33" w:name="page34"/>
    <w:bookmarkEnd w:id="33"/>
    <w:p>
      <w:pPr>
        <w:ind w:left="980" w:right="60" w:hanging="324"/>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71"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980" w:right="180" w:hanging="324"/>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46" w:lineRule="exact"/>
        <w:rPr>
          <w:rFonts w:ascii="Arial" w:cs="Arial" w:eastAsia="Arial" w:hAnsi="Arial"/>
          <w:sz w:val="17"/>
          <w:szCs w:val="17"/>
          <w:color w:val="auto"/>
        </w:rPr>
      </w:pPr>
    </w:p>
    <w:p>
      <w:pPr>
        <w:ind w:left="980" w:right="60" w:hanging="324"/>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620" w:right="5560" w:hanging="4964"/>
        <w:spacing w:after="0" w:line="573" w:lineRule="auto"/>
        <w:tabs>
          <w:tab w:leader="none" w:pos="97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fix any ambiguity, defect or inconsistency in the indenture; and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34" w:name="page35"/>
    <w:bookmarkEnd w:id="34"/>
    <w:p>
      <w:pPr>
        <w:ind w:left="980" w:right="2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making the principal of or premium or interest on any debt security payable in currency other than that stated in the debt security;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707" w:gutter="0" w:footer="0" w:header="0"/>
        </w:sectPr>
      </w:pPr>
    </w:p>
    <w:bookmarkStart w:id="35" w:name="page36"/>
    <w:bookmarkEnd w:id="35"/>
    <w:p>
      <w:pPr>
        <w:jc w:val="both"/>
        <w:ind w:right="20" w:firstLine="441"/>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980" w:right="20" w:hanging="324"/>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60" w:firstLine="441"/>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247"/>
        <w:spacing w:after="0" w:line="264" w:lineRule="auto"/>
        <w:rPr>
          <w:sz w:val="20"/>
          <w:szCs w:val="20"/>
          <w:color w:val="auto"/>
        </w:rPr>
      </w:pPr>
      <w:r>
        <w:rPr>
          <w:rFonts w:ascii="Arial" w:cs="Arial" w:eastAsia="Arial" w:hAnsi="Arial"/>
          <w:sz w:val="18"/>
          <w:szCs w:val="18"/>
          <w:color w:val="auto"/>
        </w:rPr>
        <w:t>As of July 20, 2012, there were warrants to purchase 22,695,411 shares of Vringo common stock outstanding at a weighted-average exercise price of $2.45 per share, including 4,784,000 public warrants. The public warrants were issued in our initial public offering and are exercisable for five years from the initial public offering at an exercise price of $5.06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1 and Series 2 Warrants</w:t>
      </w:r>
    </w:p>
    <w:p>
      <w:pPr>
        <w:spacing w:after="0" w:line="225" w:lineRule="exact"/>
        <w:rPr>
          <w:sz w:val="20"/>
          <w:szCs w:val="20"/>
          <w:color w:val="auto"/>
        </w:rPr>
      </w:pPr>
    </w:p>
    <w:p>
      <w:pPr>
        <w:ind w:right="60" w:firstLine="249"/>
        <w:spacing w:after="0" w:line="264" w:lineRule="auto"/>
        <w:rPr>
          <w:sz w:val="20"/>
          <w:szCs w:val="20"/>
          <w:color w:val="auto"/>
        </w:rPr>
      </w:pPr>
      <w:r>
        <w:rPr>
          <w:rFonts w:ascii="Arial" w:cs="Arial" w:eastAsia="Arial" w:hAnsi="Arial"/>
          <w:sz w:val="18"/>
          <w:szCs w:val="18"/>
          <w:color w:val="auto"/>
        </w:rPr>
        <w:t>In connection with the Merger, Vringo issued to the holders of Innovate/Protect capital stock an aggregate of 15,959,838 warrants to purchase shares of Vringo common stock with an exercise price of $1.76 per share, including Series 1 Warrants and Series 2 Warrants to purchase an aggregate of 8,299,116 and 7,660,722 shares of Vringo common stock, respectively.</w:t>
      </w:r>
    </w:p>
    <w:p>
      <w:pPr>
        <w:spacing w:after="0" w:line="181" w:lineRule="exact"/>
        <w:rPr>
          <w:sz w:val="20"/>
          <w:szCs w:val="20"/>
          <w:color w:val="auto"/>
        </w:rPr>
      </w:pPr>
    </w:p>
    <w:p>
      <w:pPr>
        <w:ind w:firstLine="249"/>
        <w:spacing w:after="0" w:line="284" w:lineRule="auto"/>
        <w:rPr>
          <w:sz w:val="20"/>
          <w:szCs w:val="20"/>
          <w:color w:val="auto"/>
        </w:rPr>
      </w:pPr>
      <w:r>
        <w:rPr>
          <w:rFonts w:ascii="Arial" w:cs="Arial" w:eastAsia="Arial" w:hAnsi="Arial"/>
          <w:sz w:val="16"/>
          <w:szCs w:val="16"/>
          <w:color w:val="auto"/>
        </w:rPr>
        <w:t>Each Series 1 Warrant and Series 2 Warrant (collectively, the “Warrants”) has an exercise price of $1.76 per share and is exercisable at any time after July 19, 2012 (the “Issuance Date”) until the expiration date (the “Expiration Date”), which date shall be five years from the Issuance Date, in whole or in part, by paying Vringo cash, check or wire transfer. Notwithstanding, if at any time between the three month anniversary of the Issuance Date and the Expiration Date, there is not an effective registration statement registering the resale of the shares issuable under the Warrants (the “Warrant Stock”) then the holder may elect to exercise the Warrant, or a portion thereof, and to pay for the Warrant Stock by way of cashless exercise. No holder of either Warrant may exercise such Warrant if such exercise would result in the holder beneficially owning in excess of 4.99% of the number of shares of Vringo common stock outstanding immediately after giving effect to the issuance of shares of common stock upon exercise of the Warrant (the “Beneficial Ownership Limitation”). The Beneficial Ownership Limitation may be waived by the holder upon not less than 61 days’ prior notice to Vringo to change the beneficial ownership limitation to 9.99%. If the Beneficial Ownership Limitation is increased to 9.99% it may not be further waived. The Warrants are subject to adjustments for stock splits and certain fundamental transactions. The Warrants are not transferable in the absence of (i) an effective registration statement under the Securities Act as to the Warrant or Warrant Stock, and registration or qualification of the Warrant and Warrant Stock under any applicable U.S. federal or state securities law then in effect or (ii) an opinion of counsel, satisfactory to Vringo, that such registration and qualification are not required. Notwithstanding, subject to these requirements, the Warrants are transferrable, in whole or in part, to (i) an entity controlling, controlled by or under common control of the holder, or (ii) to any other proposed transferee by surrendering the Warrant with a properly executed transfer form to the principal office of Vringo. The Warrants are redeemable, at the option of Vringo, at any time after they become exercisable and prior to their expiration, upon notice to Vringo, at the price of $0.01 per share in the event that (i) the last closing sale price of Vringo common stock has been equal to or greater than $5.00 per share (subject to adjustments for splits, dividends, recapitalizations and similar events) on each of 20 trading dates within any 30 day trading period ending on the third business day prior to the date on which notice of redemption is given to the holder, and (ii) during each day of the foregoing 20 day trading period and through the date Vringo exercises its redemption rights, it must have an effective registration statement with a current prospectus pursuant to which the underlying Vringo common stock may be sold. The Series 1 Warrant provides that from the Issuance Date through December 31, 2014, in the event Vringo shall issue or sell a warrant to purchase shares of Vringo common stock at an exercise price below $1.76 per share or which contain terms that, taken as a whole, are more favorable then the terms of the Series 1 Warrant (a “Superior Warrant”), as determined in good faith by the Board of Directors of Vringo, in connection with a financing or a material transaction consummated by Vringo, then Vringo shall amend the terms of the Series 1 Warrant to give the holder the benefit of more favorable terms or conditions of the Superior Warrant (excluding the expiration date of the Superior Warrant). All other material terms of the Series 1 Warrant and the Series 2 Warrant are identical.</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warrant agent for our public warrants and warrants issued in the Merger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MKT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public warrants are listed for trading on the NYSE MKT under the symbol “VRNG-WT.” None of our other warrants are listed for trading.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46" w:lineRule="exact"/>
        <w:rPr>
          <w:rFonts w:ascii="Arial" w:cs="Arial" w:eastAsia="Arial" w:hAnsi="Arial"/>
          <w:sz w:val="17"/>
          <w:szCs w:val="17"/>
          <w:color w:val="auto"/>
        </w:rPr>
      </w:pPr>
    </w:p>
    <w:p>
      <w:pPr>
        <w:jc w:val="both"/>
        <w:ind w:left="980" w:right="220" w:hanging="324"/>
        <w:spacing w:after="0" w:line="34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236" w:lineRule="exact"/>
        <w:rPr>
          <w:rFonts w:ascii="Arial" w:cs="Arial" w:eastAsia="Arial" w:hAnsi="Arial"/>
          <w:sz w:val="17"/>
          <w:szCs w:val="17"/>
          <w:color w:val="auto"/>
        </w:rPr>
      </w:pPr>
    </w:p>
    <w:p>
      <w:pPr>
        <w:ind w:left="980" w:right="64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warrants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78"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170" w:lineRule="exact"/>
        <w:rPr>
          <w:sz w:val="20"/>
          <w:szCs w:val="20"/>
          <w:color w:val="auto"/>
        </w:rPr>
      </w:pPr>
    </w:p>
    <w:p>
      <w:pPr>
        <w:ind w:left="980" w:right="260" w:hanging="324"/>
        <w:spacing w:after="0" w:line="34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purchase contracts are to be prepaid;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923" w:gutter="0" w:footer="0" w:header="0"/>
        </w:sectPr>
      </w:pPr>
    </w:p>
    <w:bookmarkStart w:id="39" w:name="page40"/>
    <w:bookmarkEnd w:id="39"/>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or purchase contacts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11" w:lineRule="exact"/>
        <w:rPr>
          <w:sz w:val="20"/>
          <w:szCs w:val="20"/>
          <w:color w:val="auto"/>
        </w:rPr>
      </w:pPr>
    </w:p>
    <w:p>
      <w:pPr>
        <w:ind w:left="980" w:right="6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491"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Provisions of Delaware Law Governing Business Combinations</w:t>
      </w:r>
    </w:p>
    <w:p>
      <w:pPr>
        <w:spacing w:after="0" w:line="229"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Delaware General Corporation Law.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181" w:lineRule="exact"/>
        <w:rPr>
          <w:sz w:val="20"/>
          <w:szCs w:val="20"/>
          <w:color w:val="auto"/>
        </w:rPr>
      </w:pPr>
    </w:p>
    <w:p>
      <w:pPr>
        <w:ind w:left="1620" w:right="20" w:hanging="315"/>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170" w:lineRule="exact"/>
        <w:rPr>
          <w:rFonts w:ascii="Arial" w:cs="Arial" w:eastAsia="Arial" w:hAnsi="Arial"/>
          <w:sz w:val="18"/>
          <w:szCs w:val="18"/>
          <w:color w:val="auto"/>
        </w:rPr>
      </w:pPr>
    </w:p>
    <w:p>
      <w:pPr>
        <w:ind w:left="1620" w:right="100" w:hanging="315"/>
        <w:spacing w:after="0" w:line="297" w:lineRule="auto"/>
        <w:tabs>
          <w:tab w:leader="none" w:pos="1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58" w:lineRule="exact"/>
        <w:rPr>
          <w:rFonts w:ascii="Arial" w:cs="Arial" w:eastAsia="Arial" w:hAnsi="Arial"/>
          <w:sz w:val="16"/>
          <w:szCs w:val="16"/>
          <w:color w:val="auto"/>
        </w:rPr>
      </w:pPr>
    </w:p>
    <w:p>
      <w:pPr>
        <w:ind w:left="1620" w:hanging="315"/>
        <w:spacing w:after="0" w:line="264"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Our restated certificate of incorporation limits the liability of our officers and directors to the fullest extent permitted by the Delaware General Corporation Law, and our restated certificate of incorporation and restated bylaws provide that we will indemnify our officers and directors to the fullest extent permitted by such law.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offered by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have been incorporated by reference herein in reliance upon the report of Somekh Chaikin, a member firm of KPMG International, independent registered public accounting firm, incorporated by reference herein, and upon the authority of said firm as experts in accounting and auditing.</w:t>
      </w:r>
    </w:p>
    <w:p>
      <w:pPr>
        <w:spacing w:after="0" w:line="17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81"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audited consolidated financial statements of Innovate/Protect,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in giving said report.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 site at http://www.sec.gov</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41" w:name="page42"/>
    <w:bookmarkEnd w:id="41"/>
    <w:p>
      <w:pPr>
        <w:ind w:firstLine="441"/>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78" w:lineRule="exact"/>
        <w:rPr>
          <w:sz w:val="20"/>
          <w:szCs w:val="20"/>
          <w:color w:val="auto"/>
        </w:rPr>
      </w:pPr>
    </w:p>
    <w:p>
      <w:pPr>
        <w:ind w:left="1620" w:hanging="315"/>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on March 30, 2012;</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Report on Form 10-Q, filed on May 15, 2012;</w:t>
      </w:r>
    </w:p>
    <w:p>
      <w:pPr>
        <w:spacing w:after="0" w:line="225" w:lineRule="exact"/>
        <w:rPr>
          <w:rFonts w:ascii="Arial" w:cs="Arial" w:eastAsia="Arial" w:hAnsi="Arial"/>
          <w:sz w:val="18"/>
          <w:szCs w:val="18"/>
          <w:color w:val="auto"/>
        </w:rPr>
      </w:pPr>
    </w:p>
    <w:p>
      <w:pPr>
        <w:ind w:left="1620" w:right="220" w:hanging="315"/>
        <w:spacing w:after="0" w:line="27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Reports on Form 8-K filed on February 7, 2012, February 14, 2012, February 15, 2012, March 14, 2012, April 25, 2012, June 19, 2012 and July 20, 2012 (2 Current Reports);</w:t>
      </w:r>
    </w:p>
    <w:p>
      <w:pPr>
        <w:spacing w:after="0" w:line="170" w:lineRule="exact"/>
        <w:rPr>
          <w:rFonts w:ascii="Arial" w:cs="Arial" w:eastAsia="Arial" w:hAnsi="Arial"/>
          <w:sz w:val="18"/>
          <w:szCs w:val="18"/>
          <w:color w:val="auto"/>
        </w:rPr>
      </w:pPr>
    </w:p>
    <w:p>
      <w:pPr>
        <w:ind w:left="1620" w:right="80" w:hanging="315"/>
        <w:spacing w:after="0" w:line="302" w:lineRule="auto"/>
        <w:tabs>
          <w:tab w:leader="none" w:pos="1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description of our common stock and public warrants contained in our Registration Statement on Form 8-A, filed on June 16, 2010 (File No. 001-34785), which incorporates by reference the description of the shares of our common stock and public warrants contained in our Registration Statement on Form S-1 (File No. 333-164575) filed on January 29, 2010 and declared effective by the SEC on June 21, 2010, and any amendment or reports filed with the SEC for purposes of updating such description; and</w:t>
      </w:r>
    </w:p>
    <w:p>
      <w:pPr>
        <w:spacing w:after="0" w:line="154" w:lineRule="exact"/>
        <w:rPr>
          <w:rFonts w:ascii="Arial" w:cs="Arial" w:eastAsia="Arial" w:hAnsi="Arial"/>
          <w:sz w:val="16"/>
          <w:szCs w:val="16"/>
          <w:color w:val="auto"/>
        </w:rPr>
      </w:pPr>
    </w:p>
    <w:p>
      <w:pPr>
        <w:jc w:val="both"/>
        <w:ind w:left="1620" w:right="120" w:hanging="315"/>
        <w:spacing w:after="0" w:line="312" w:lineRule="auto"/>
        <w:tabs>
          <w:tab w:leader="none" w:pos="1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the SEC file number for each of the documents listed above is 001-34785.</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You may request, orally or in writing, a copy of any or all of the documents incorporated herein by reference. These documents will be provided to you at no cost, by contacting: Investor Relations, Vringo, Inc., 44 W. 28th Street, New York, New York 10001 or call (646) 525-4319.</w:t>
      </w:r>
    </w:p>
    <w:p>
      <w:pPr>
        <w:spacing w:after="0" w:line="14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an itemization of the various expenses, all of which we will pay, in connection with the issuance and distribution of the securities being registered. All of the amounts shown are estimated except the SEC Registration Fee</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SEC Registration Fee</w:t>
            </w:r>
          </w:p>
        </w:tc>
        <w:tc>
          <w:tcPr>
            <w:tcW w:w="316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11,460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Accounting Fees and Expenses</w:t>
            </w:r>
          </w:p>
        </w:tc>
        <w:tc>
          <w:tcPr>
            <w:tcW w:w="26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Miscellaneous</w:t>
            </w: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53,540</w:t>
            </w:r>
          </w:p>
        </w:tc>
        <w:tc>
          <w:tcPr>
            <w:tcW w:w="8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316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270,000</w:t>
            </w:r>
          </w:p>
        </w:tc>
        <w:tc>
          <w:tcPr>
            <w:tcW w:w="80" w:type="dxa"/>
            <w:vAlign w:val="bottom"/>
            <w:shd w:val="clear" w:color="auto" w:fill="CCFFCC"/>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FFCC"/>
            </w:tcBorders>
          </w:tcPr>
          <w:p>
            <w:pPr>
              <w:spacing w:after="0" w:line="20" w:lineRule="exact"/>
              <w:rPr>
                <w:sz w:val="1"/>
                <w:szCs w:val="1"/>
                <w:color w:val="auto"/>
              </w:rPr>
            </w:pPr>
          </w:p>
        </w:tc>
        <w:tc>
          <w:tcPr>
            <w:tcW w:w="268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EIGHTH of the Company’s amended and restated certificate of incorporation provides: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 (i) 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17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ind w:firstLine="648"/>
        <w:spacing w:after="0" w:line="277" w:lineRule="auto"/>
        <w:rPr>
          <w:sz w:val="20"/>
          <w:szCs w:val="20"/>
          <w:color w:val="auto"/>
        </w:rPr>
      </w:pPr>
      <w:r>
        <w:rPr>
          <w:rFonts w:ascii="Arial" w:cs="Arial" w:eastAsia="Arial" w:hAnsi="Arial"/>
          <w:sz w:val="18"/>
          <w:szCs w:val="18"/>
          <w:color w:val="auto"/>
        </w:rPr>
        <w:t>We have an insurance policy covering our officers and directors with respect to certain liabilities, including liabilities arising under the Securities Act of 1933, as amended, or the Securities 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carry insurance policies insuring our directors and officers against certain liabilities that they may incur in their capacity as directors and officers.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have entered into indemnification agreements with our directors and officers.</w:t>
      </w:r>
    </w:p>
    <w:p>
      <w:pPr>
        <w:spacing w:after="0" w:line="211"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Any underwriting agreements that we may enter into will likely provide for the indemnification of us, our controlling persons, our directors and certain of our officers by the underwriters against certain liabilities, including liabilities under the Securities Act of 1933, as amended.</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foregoing discussion of our certificate of incorporation, bylaws, indemnification agreements, and Delaware law is not intended to be exhaustive and is qualified in its entirety by such certificate of incorporation, bylaws, indemnification agreements, or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exhibits to this registration statement are listed in the Exhibit Index to this registration statement, which Exhibit Index is hereby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960" w:right="40" w:hanging="655"/>
        <w:spacing w:after="0" w:line="285" w:lineRule="auto"/>
        <w:tabs>
          <w:tab w:leader="none" w:pos="1960" w:val="left"/>
        </w:tabs>
        <w:numPr>
          <w:ilvl w:val="2"/>
          <w:numId w:val="3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w:t>
      </w:r>
    </w:p>
    <w:p>
      <w:pPr>
        <w:spacing w:after="0" w:line="2" w:lineRule="exact"/>
        <w:rPr>
          <w:rFonts w:ascii="Arial" w:cs="Arial" w:eastAsia="Arial" w:hAnsi="Arial"/>
          <w:sz w:val="16"/>
          <w:szCs w:val="16"/>
          <w:color w:val="auto"/>
        </w:rPr>
      </w:pPr>
    </w:p>
    <w:p>
      <w:pPr>
        <w:ind w:left="1960" w:right="60"/>
        <w:spacing w:after="0" w:line="290" w:lineRule="auto"/>
        <w:rPr>
          <w:rFonts w:ascii="Arial" w:cs="Arial" w:eastAsia="Arial" w:hAnsi="Arial"/>
          <w:sz w:val="16"/>
          <w:szCs w:val="16"/>
          <w:color w:val="auto"/>
        </w:rPr>
      </w:pPr>
      <w:r>
        <w:rPr>
          <w:rFonts w:ascii="Arial" w:cs="Arial" w:eastAsia="Arial" w:hAnsi="Arial"/>
          <w:sz w:val="17"/>
          <w:szCs w:val="17"/>
          <w:color w:val="auto"/>
        </w:rPr>
        <w:t>Rule 424(b) if, in the aggregate, the changes in volume and price represent no more than a 20% change in the maximum aggregate offering price set forth in the “Calculation of Registration Fee” table in the effective registration statement; and</w:t>
      </w:r>
    </w:p>
    <w:p>
      <w:pPr>
        <w:spacing w:after="0" w:line="161" w:lineRule="exact"/>
        <w:rPr>
          <w:rFonts w:ascii="Arial" w:cs="Arial" w:eastAsia="Arial" w:hAnsi="Arial"/>
          <w:sz w:val="16"/>
          <w:szCs w:val="16"/>
          <w:color w:val="auto"/>
        </w:rPr>
      </w:pPr>
    </w:p>
    <w:p>
      <w:pPr>
        <w:ind w:left="1960" w:right="20" w:hanging="655"/>
        <w:spacing w:after="0" w:line="277" w:lineRule="auto"/>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left="1460" w:right="40" w:hanging="318"/>
        <w:spacing w:after="0" w:line="264"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1300" w:right="420" w:hanging="320"/>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960" w:right="60" w:hanging="655"/>
        <w:spacing w:after="0" w:line="277" w:lineRule="auto"/>
        <w:tabs>
          <w:tab w:leader="none" w:pos="19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960" w:hanging="655"/>
        <w:spacing w:after="0" w:line="287" w:lineRule="auto"/>
        <w:tabs>
          <w:tab w:leader="none" w:pos="1960" w:val="left"/>
        </w:tabs>
        <w:numPr>
          <w:ilvl w:val="2"/>
          <w:numId w:val="41"/>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707" w:gutter="0" w:footer="0" w:header="0"/>
        </w:sectPr>
      </w:pPr>
    </w:p>
    <w:bookmarkStart w:id="44" w:name="page45"/>
    <w:bookmarkEnd w:id="44"/>
    <w:p>
      <w:pPr>
        <w:ind w:left="644" w:hanging="320"/>
        <w:spacing w:after="0" w:line="257" w:lineRule="auto"/>
        <w:tabs>
          <w:tab w:leader="none" w:pos="644"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rFonts w:ascii="Arial" w:cs="Arial" w:eastAsia="Arial" w:hAnsi="Arial"/>
          <w:sz w:val="18"/>
          <w:szCs w:val="18"/>
          <w:color w:val="auto"/>
        </w:rPr>
      </w:pPr>
    </w:p>
    <w:p>
      <w:pPr>
        <w:ind w:left="1304" w:right="380" w:hanging="655"/>
        <w:spacing w:after="0" w:line="277" w:lineRule="auto"/>
        <w:tabs>
          <w:tab w:leader="none" w:pos="1304"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304" w:right="60" w:hanging="655"/>
        <w:spacing w:after="0" w:line="277" w:lineRule="auto"/>
        <w:tabs>
          <w:tab w:leader="none" w:pos="1304"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304" w:right="340" w:hanging="655"/>
        <w:spacing w:after="0" w:line="277" w:lineRule="auto"/>
        <w:tabs>
          <w:tab w:leader="none" w:pos="1304"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644" w:right="40" w:hanging="644"/>
        <w:spacing w:after="0" w:line="276" w:lineRule="auto"/>
        <w:tabs>
          <w:tab w:leader="none" w:pos="644"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2" w:lineRule="exact"/>
        <w:rPr>
          <w:rFonts w:ascii="Arial" w:cs="Arial" w:eastAsia="Arial" w:hAnsi="Arial"/>
          <w:sz w:val="17"/>
          <w:szCs w:val="17"/>
          <w:color w:val="auto"/>
        </w:rPr>
      </w:pPr>
    </w:p>
    <w:p>
      <w:pPr>
        <w:ind w:left="644" w:right="20" w:hanging="644"/>
        <w:spacing w:after="0" w:line="271" w:lineRule="auto"/>
        <w:tabs>
          <w:tab w:leader="none" w:pos="644"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644" w:right="40" w:hanging="644"/>
        <w:spacing w:after="0" w:line="264" w:lineRule="auto"/>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39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881"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New York, New York, on July 24, 2012.</w:t>
      </w:r>
    </w:p>
    <w:p>
      <w:pPr>
        <w:spacing w:after="0" w:line="18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58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5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the undersigned officers and directors of Vringo, Inc., hereby severally constitute and appoint Andrew D. Perlman and Ellen Cohl,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900" w:type="dxa"/>
            <w:vAlign w:val="bottom"/>
          </w:tcPr>
          <w:p>
            <w:pPr>
              <w:spacing w:after="0"/>
              <w:rPr>
                <w:sz w:val="20"/>
                <w:szCs w:val="20"/>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Andrew Perlman</w:t>
            </w:r>
          </w:p>
        </w:tc>
        <w:tc>
          <w:tcPr>
            <w:tcW w:w="900" w:type="dxa"/>
            <w:vAlign w:val="bottom"/>
          </w:tcPr>
          <w:p>
            <w:pPr>
              <w:spacing w:after="0"/>
              <w:rPr>
                <w:sz w:val="24"/>
                <w:szCs w:val="24"/>
                <w:color w:val="auto"/>
              </w:rPr>
            </w:pP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Executive Officer and 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1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Perlman</w:t>
            </w:r>
          </w:p>
        </w:tc>
        <w:tc>
          <w:tcPr>
            <w:tcW w:w="900" w:type="dxa"/>
            <w:vAlign w:val="bottom"/>
          </w:tcPr>
          <w:p>
            <w:pPr>
              <w:spacing w:after="0"/>
              <w:rPr>
                <w:sz w:val="18"/>
                <w:szCs w:val="18"/>
                <w:color w:val="auto"/>
              </w:rPr>
            </w:pP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720" w:type="dxa"/>
            <w:vAlign w:val="bottom"/>
          </w:tcPr>
          <w:p>
            <w:pPr>
              <w:spacing w:after="0"/>
              <w:rPr>
                <w:sz w:val="18"/>
                <w:szCs w:val="18"/>
                <w:color w:val="auto"/>
              </w:rPr>
            </w:pPr>
          </w:p>
        </w:tc>
      </w:tr>
      <w:tr>
        <w:trPr>
          <w:trHeight w:val="42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Ellen Cohl</w:t>
            </w:r>
          </w:p>
        </w:tc>
        <w:tc>
          <w:tcPr>
            <w:tcW w:w="900" w:type="dxa"/>
            <w:vAlign w:val="bottom"/>
          </w:tcPr>
          <w:p>
            <w:pPr>
              <w:spacing w:after="0"/>
              <w:rPr>
                <w:sz w:val="24"/>
                <w:szCs w:val="24"/>
                <w:color w:val="auto"/>
              </w:rPr>
            </w:pP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 (principal</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1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Ellen Cohl</w:t>
            </w:r>
          </w:p>
        </w:tc>
        <w:tc>
          <w:tcPr>
            <w:tcW w:w="900" w:type="dxa"/>
            <w:vAlign w:val="bottom"/>
          </w:tcPr>
          <w:p>
            <w:pPr>
              <w:spacing w:after="0"/>
              <w:rPr>
                <w:sz w:val="18"/>
                <w:szCs w:val="18"/>
                <w:color w:val="auto"/>
              </w:rPr>
            </w:pP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financial and accounting officer)</w:t>
            </w:r>
          </w:p>
        </w:tc>
        <w:tc>
          <w:tcPr>
            <w:tcW w:w="2720" w:type="dxa"/>
            <w:vAlign w:val="bottom"/>
          </w:tcPr>
          <w:p>
            <w:pPr>
              <w:spacing w:after="0"/>
              <w:rPr>
                <w:sz w:val="18"/>
                <w:szCs w:val="18"/>
                <w:color w:val="auto"/>
              </w:rPr>
            </w:pPr>
          </w:p>
        </w:tc>
      </w:tr>
      <w:tr>
        <w:trPr>
          <w:trHeight w:val="42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Seth M. Siegel</w:t>
            </w:r>
          </w:p>
        </w:tc>
        <w:tc>
          <w:tcPr>
            <w:tcW w:w="900" w:type="dxa"/>
            <w:vAlign w:val="bottom"/>
          </w:tcPr>
          <w:p>
            <w:pPr>
              <w:spacing w:after="0"/>
              <w:rPr>
                <w:sz w:val="24"/>
                <w:szCs w:val="24"/>
                <w:color w:val="auto"/>
              </w:rPr>
            </w:pP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Chairman of the Board</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1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Seth M. Siegel</w:t>
            </w:r>
          </w:p>
        </w:tc>
        <w:tc>
          <w:tcPr>
            <w:tcW w:w="9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42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Andrew Kennedy Lang</w:t>
            </w:r>
          </w:p>
        </w:tc>
        <w:tc>
          <w:tcPr>
            <w:tcW w:w="900" w:type="dxa"/>
            <w:vAlign w:val="bottom"/>
          </w:tcPr>
          <w:p>
            <w:pPr>
              <w:spacing w:after="0"/>
              <w:rPr>
                <w:sz w:val="24"/>
                <w:szCs w:val="24"/>
                <w:color w:val="auto"/>
              </w:rPr>
            </w:pP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President, Chief Technology Officer and 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1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Kennedy Lang</w:t>
            </w:r>
          </w:p>
        </w:tc>
        <w:tc>
          <w:tcPr>
            <w:tcW w:w="9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42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Alexander R. Berger</w:t>
            </w:r>
          </w:p>
        </w:tc>
        <w:tc>
          <w:tcPr>
            <w:tcW w:w="900" w:type="dxa"/>
            <w:vAlign w:val="bottom"/>
          </w:tcPr>
          <w:p>
            <w:pPr>
              <w:spacing w:after="0"/>
              <w:rPr>
                <w:sz w:val="24"/>
                <w:szCs w:val="24"/>
                <w:color w:val="auto"/>
              </w:rPr>
            </w:pP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Chief Operating Officer, Secretary and 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1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Alexander R. Berger</w:t>
            </w:r>
          </w:p>
        </w:tc>
        <w:tc>
          <w:tcPr>
            <w:tcW w:w="9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42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John Engelman</w:t>
            </w:r>
          </w:p>
        </w:tc>
        <w:tc>
          <w:tcPr>
            <w:tcW w:w="900" w:type="dxa"/>
            <w:vAlign w:val="bottom"/>
          </w:tcPr>
          <w:p>
            <w:pPr>
              <w:spacing w:after="0"/>
              <w:rPr>
                <w:sz w:val="24"/>
                <w:szCs w:val="24"/>
                <w:color w:val="auto"/>
              </w:rPr>
            </w:pP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1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Engelman</w:t>
            </w:r>
          </w:p>
        </w:tc>
        <w:tc>
          <w:tcPr>
            <w:tcW w:w="9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42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Donald E. Stout</w:t>
            </w:r>
          </w:p>
        </w:tc>
        <w:tc>
          <w:tcPr>
            <w:tcW w:w="900" w:type="dxa"/>
            <w:vAlign w:val="bottom"/>
          </w:tcPr>
          <w:p>
            <w:pPr>
              <w:spacing w:after="0"/>
              <w:rPr>
                <w:sz w:val="24"/>
                <w:szCs w:val="24"/>
                <w:color w:val="auto"/>
              </w:rPr>
            </w:pP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1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Donald E. Stout</w:t>
            </w:r>
          </w:p>
        </w:tc>
        <w:tc>
          <w:tcPr>
            <w:tcW w:w="9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42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H. Van Sinclair</w:t>
            </w:r>
          </w:p>
        </w:tc>
        <w:tc>
          <w:tcPr>
            <w:tcW w:w="900" w:type="dxa"/>
            <w:vAlign w:val="bottom"/>
          </w:tcPr>
          <w:p>
            <w:pPr>
              <w:spacing w:after="0"/>
              <w:rPr>
                <w:sz w:val="24"/>
                <w:szCs w:val="24"/>
                <w:color w:val="auto"/>
              </w:rPr>
            </w:pP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24, 2012</w:t>
            </w:r>
          </w:p>
        </w:tc>
      </w:tr>
      <w:tr>
        <w:trPr>
          <w:trHeight w:val="21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 Van Sinclair</w:t>
            </w:r>
          </w:p>
        </w:tc>
        <w:tc>
          <w:tcPr>
            <w:tcW w:w="9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642"/>
        </w:trPr>
        <w:tc>
          <w:tcPr>
            <w:tcW w:w="2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2"/>
          </w:tcPr>
          <w:p>
            <w:pPr>
              <w:ind w:left="1800"/>
              <w:spacing w:after="0"/>
              <w:rPr>
                <w:sz w:val="20"/>
                <w:szCs w:val="20"/>
                <w:color w:val="auto"/>
              </w:rPr>
            </w:pPr>
            <w:r>
              <w:rPr>
                <w:rFonts w:ascii="Arial" w:cs="Arial" w:eastAsia="Arial" w:hAnsi="Arial"/>
                <w:sz w:val="18"/>
                <w:szCs w:val="18"/>
                <w:color w:val="auto"/>
              </w:rPr>
              <w:t>II-4</w:t>
            </w: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4"/>
                <w:szCs w:val="24"/>
                <w:color w:val="auto"/>
              </w:rPr>
            </w:pPr>
          </w:p>
        </w:tc>
      </w:t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1.1*</w:t>
            </w:r>
          </w:p>
        </w:tc>
        <w:tc>
          <w:tcPr>
            <w:tcW w:w="2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(incorporated by reference from our Registration Statement on Form S-1 filed on May 18,</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2010).</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3.1 to the Registrant’s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Current Report on Form 8-K, filed with the SEC on July 20, 2012).</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Certificate of Designations, Preferences and Rights of Series A Convertible Preferred Stock (Incorporated by reference to Exhibit 3.2 to the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Registrant’s Current Report on Form 8-K, filed with the SEC on July 20, 2012).</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Amended and Restated Bylaws (incorporated by reference from our Registration Statement on Form S-1 filed on January 29, 2010).</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Specimen Common Stock Certificate (Incorporated by reference to Exhibit 4.2 of Amendment No. 3 to the Registrant’s Registration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on Form S-1, filed with the SEC on May 18, 2010).</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Specimen Public Warrant Certificate (Incorporated by reference to Exhibit 4.3 of Amendment No. 3 to the Registrant’s Registration Statement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on Form S-1, filed with the SEC on May 18, 2010).</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Form of Warrant Agreement (Incorporated by reference to Exhibit 4.4 of Amendment No. 1 to the Registrant’s Registration Statement 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S-1, filed with the SEC on March 29, 2010).</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Certificate of Amendment or Designation with respect to Preferred Stock.</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Senior Debt Security.</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Subordinated Debt Security.</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Senior Indenture.</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Subordinated Indenture.</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Agreement and Warrant Certificate.</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4.10*</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Rights Agreement and Right Certificate.</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4.11*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Purchase Contract.</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4.12*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Unit Agreement and Unit.</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Mintz, Levin, Cohn, Ferris, Glovsky and Popeo, P.C. with respect to the legality of the securities being registered.</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12.1*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Somekh Chaikin, a member firm of KPMG International, Independent Registered Public Accounting Firm</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Grant Thornton LLP</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Mintz, Levin, Cohn, Ferris, Glovsky and Popeo, P.C. (included in the opinion filed as Exhibit 5.1).</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25.1*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The Statement of Eligibility on Form T-1 under the Trust Indenture Act of 1939, as amended, of the Trustee under the Senior Indenture will</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be incorporated herein by reference from a subsequent filing in accordance with Section 305(b)(2) of the Trust Indenture Act of 1939.</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25.2*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The Statement of Eligibility on Form T-1 under the Trust Indenture Act of 1939, as amended, of the Trustee under the Subordinated Indenture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will be incorporated herein by reference from a subsequent filing in accordance with Section 305(b)(2) of the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5580" w:right="1960" w:hanging="5572"/>
        <w:spacing w:after="0" w:line="810" w:lineRule="auto"/>
        <w:tabs>
          <w:tab w:leader="none" w:pos="6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be subsequently filed, if applicable, by an amendment to this registration statement or by a current report on Form 8-K. 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4.7</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960" w:hanging="956"/>
        <w:spacing w:after="0"/>
        <w:tabs>
          <w:tab w:leader="none" w:pos="4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80"/>
        <w:spacing w:after="0"/>
        <w:tabs>
          <w:tab w:leader="none" w:pos="538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240" w:type="dxa"/>
            <w:vAlign w:val="bottom"/>
            <w:gridSpan w:val="3"/>
          </w:tcPr>
          <w:p>
            <w:pPr>
              <w:ind w:left="200"/>
              <w:spacing w:after="0"/>
              <w:rPr>
                <w:sz w:val="20"/>
                <w:szCs w:val="20"/>
                <w:color w:val="auto"/>
              </w:rPr>
            </w:pPr>
            <w:r>
              <w:rPr>
                <w:rFonts w:ascii="Arial" w:cs="Arial" w:eastAsia="Arial" w:hAnsi="Arial"/>
                <w:sz w:val="18"/>
                <w:szCs w:val="18"/>
                <w:b w:val="1"/>
                <w:bCs w:val="1"/>
                <w:color w:val="auto"/>
              </w:rPr>
              <w:t>CROSS-REFERENCE TABLE (1)</w:t>
            </w:r>
          </w:p>
        </w:tc>
      </w:tr>
      <w:tr>
        <w:trPr>
          <w:trHeight w:val="414"/>
        </w:trPr>
        <w:tc>
          <w:tcPr>
            <w:tcW w:w="41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ind w:left="300"/>
              <w:spacing w:after="0"/>
              <w:rPr>
                <w:sz w:val="20"/>
                <w:szCs w:val="20"/>
                <w:color w:val="auto"/>
              </w:rPr>
            </w:pPr>
            <w:r>
              <w:rPr>
                <w:rFonts w:ascii="Arial" w:cs="Arial" w:eastAsia="Arial" w:hAnsi="Arial"/>
                <w:sz w:val="18"/>
                <w:szCs w:val="18"/>
                <w:b w:val="1"/>
                <w:bCs w:val="1"/>
                <w:color w:val="auto"/>
              </w:rPr>
              <w:t>Section of</w:t>
            </w:r>
          </w:p>
        </w:tc>
      </w:tr>
      <w:tr>
        <w:trPr>
          <w:trHeight w:val="234"/>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Section of Trust Indenture Act of 1939, as Amended</w:t>
            </w:r>
          </w:p>
        </w:tc>
        <w:tc>
          <w:tcPr>
            <w:tcW w:w="5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Indenture</w:t>
            </w:r>
          </w:p>
        </w:tc>
      </w:tr>
    </w:tbl>
    <w:p>
      <w:pPr>
        <w:ind w:left="300"/>
        <w:spacing w:after="0"/>
        <w:rPr>
          <w:sz w:val="20"/>
          <w:szCs w:val="20"/>
          <w:color w:val="auto"/>
        </w:rPr>
        <w:sectPr>
          <w:pgSz w:w="11900" w:h="16838" w:orient="portrait"/>
          <w:cols w:equalWidth="0" w:num="1">
            <w:col w:w="11420"/>
          </w:cols>
          <w:pgMar w:left="240" w:top="1256"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310(a).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310(b).</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310(c).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311(a).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311(b).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311(c).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312(a)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312(b).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312(c).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313(d).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314(a).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314(f).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315(a).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315(b).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315(c).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315(d).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315(e).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316(a).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316(b).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316(c).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317(a).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317(b).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0890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7.13(a)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7.13(b)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5.04(b)</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5.04(b)</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13.08</w:t>
      </w:r>
    </w:p>
    <w:p>
      <w:pPr>
        <w:spacing w:after="0" w:line="200" w:lineRule="exact"/>
        <w:rPr>
          <w:sz w:val="20"/>
          <w:szCs w:val="20"/>
          <w:color w:val="auto"/>
        </w:rPr>
      </w:pPr>
    </w:p>
    <w:p>
      <w:pPr>
        <w:sectPr>
          <w:pgSz w:w="11900" w:h="16838" w:orient="portrait"/>
          <w:cols w:equalWidth="0" w:num="2">
            <w:col w:w="9820" w:space="720"/>
            <w:col w:w="880"/>
          </w:cols>
          <w:pgMar w:left="240" w:top="1256" w:right="239" w:bottom="1440" w:gutter="0" w:footer="0" w:header="0"/>
          <w:type w:val="continuous"/>
        </w:sectPr>
      </w:pPr>
    </w:p>
    <w:p>
      <w:pPr>
        <w:spacing w:after="0" w:line="146" w:lineRule="exact"/>
        <w:rPr>
          <w:sz w:val="20"/>
          <w:szCs w:val="20"/>
          <w:color w:val="auto"/>
        </w:rPr>
      </w:pPr>
    </w:p>
    <w:p>
      <w:pPr>
        <w:ind w:left="460" w:right="74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860" w:type="dxa"/>
            <w:vAlign w:val="bottom"/>
          </w:tcPr>
          <w:p>
            <w:pPr>
              <w:ind w:left="2800"/>
              <w:spacing w:after="0"/>
              <w:rPr>
                <w:sz w:val="20"/>
                <w:szCs w:val="20"/>
                <w:color w:val="auto"/>
              </w:rPr>
            </w:pPr>
            <w:r>
              <w:rPr>
                <w:rFonts w:ascii="Arial" w:cs="Arial" w:eastAsia="Arial" w:hAnsi="Arial"/>
                <w:sz w:val="18"/>
                <w:szCs w:val="18"/>
                <w:color w:val="auto"/>
              </w:rPr>
              <w:t>TABLE OF CONTENTS (2)</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FFCC"/>
          </w:tcPr>
          <w:p>
            <w:pPr>
              <w:spacing w:after="0"/>
              <w:rPr>
                <w:sz w:val="20"/>
                <w:szCs w:val="20"/>
                <w:color w:val="auto"/>
              </w:rPr>
            </w:pPr>
            <w:r>
              <w:rPr>
                <w:rFonts w:ascii="Arial" w:cs="Arial" w:eastAsia="Arial" w:hAnsi="Arial"/>
                <w:sz w:val="18"/>
                <w:szCs w:val="18"/>
                <w:color w:val="auto"/>
              </w:rPr>
              <w:t>ARTICLE I</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DEFINITIONS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1.01</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Definitions of Terms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FFCC"/>
          </w:tcPr>
          <w:p>
            <w:pPr>
              <w:spacing w:after="0"/>
              <w:rPr>
                <w:sz w:val="20"/>
                <w:szCs w:val="20"/>
                <w:color w:val="auto"/>
              </w:rPr>
            </w:pPr>
            <w:r>
              <w:rPr>
                <w:rFonts w:ascii="Arial" w:cs="Arial" w:eastAsia="Arial" w:hAnsi="Arial"/>
                <w:sz w:val="18"/>
                <w:szCs w:val="18"/>
                <w:color w:val="auto"/>
              </w:rPr>
              <w:t>ARTICLE II</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ISSUE, DESCRIPTION, TERMS, EXECUTION, REGISTRATION AND EXCHANGE OF SECURITIES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2.01</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Designation and Terms of Securities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2.02</w:t>
            </w:r>
          </w:p>
        </w:tc>
        <w:tc>
          <w:tcPr>
            <w:tcW w:w="8860" w:type="dxa"/>
            <w:vAlign w:val="bottom"/>
          </w:tcPr>
          <w:p>
            <w:pPr>
              <w:ind w:left="420"/>
              <w:spacing w:after="0"/>
              <w:rPr>
                <w:sz w:val="20"/>
                <w:szCs w:val="20"/>
                <w:color w:val="auto"/>
              </w:rPr>
            </w:pPr>
            <w:r>
              <w:rPr>
                <w:rFonts w:ascii="Arial" w:cs="Arial" w:eastAsia="Arial" w:hAnsi="Arial"/>
                <w:sz w:val="18"/>
                <w:szCs w:val="18"/>
                <w:color w:val="auto"/>
              </w:rPr>
              <w:t>Form of Securities and Trustee’s Certificate</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2.03</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Denominations: Provisions for Payment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2.04</w:t>
            </w:r>
          </w:p>
        </w:tc>
        <w:tc>
          <w:tcPr>
            <w:tcW w:w="8860" w:type="dxa"/>
            <w:vAlign w:val="bottom"/>
          </w:tcPr>
          <w:p>
            <w:pPr>
              <w:ind w:left="420"/>
              <w:spacing w:after="0"/>
              <w:rPr>
                <w:sz w:val="20"/>
                <w:szCs w:val="20"/>
                <w:color w:val="auto"/>
              </w:rPr>
            </w:pPr>
            <w:r>
              <w:rPr>
                <w:rFonts w:ascii="Arial" w:cs="Arial" w:eastAsia="Arial" w:hAnsi="Arial"/>
                <w:sz w:val="18"/>
                <w:szCs w:val="18"/>
                <w:color w:val="auto"/>
              </w:rPr>
              <w:t>Execution and Authentications</w:t>
            </w: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2.05</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Registration of Transfer and Exchange</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2.06</w:t>
            </w:r>
          </w:p>
        </w:tc>
        <w:tc>
          <w:tcPr>
            <w:tcW w:w="8860" w:type="dxa"/>
            <w:vAlign w:val="bottom"/>
          </w:tcPr>
          <w:p>
            <w:pPr>
              <w:ind w:left="420"/>
              <w:spacing w:after="0"/>
              <w:rPr>
                <w:sz w:val="20"/>
                <w:szCs w:val="20"/>
                <w:color w:val="auto"/>
              </w:rPr>
            </w:pPr>
            <w:r>
              <w:rPr>
                <w:rFonts w:ascii="Arial" w:cs="Arial" w:eastAsia="Arial" w:hAnsi="Arial"/>
                <w:sz w:val="18"/>
                <w:szCs w:val="18"/>
                <w:color w:val="auto"/>
              </w:rPr>
              <w:t>Temporary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2.07</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Mutilated, Destroyed, Lost or Stolen Securities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2.08</w:t>
            </w:r>
          </w:p>
        </w:tc>
        <w:tc>
          <w:tcPr>
            <w:tcW w:w="8860" w:type="dxa"/>
            <w:vAlign w:val="bottom"/>
          </w:tcPr>
          <w:p>
            <w:pPr>
              <w:ind w:left="420"/>
              <w:spacing w:after="0"/>
              <w:rPr>
                <w:sz w:val="20"/>
                <w:szCs w:val="20"/>
                <w:color w:val="auto"/>
              </w:rPr>
            </w:pPr>
            <w:r>
              <w:rPr>
                <w:rFonts w:ascii="Arial" w:cs="Arial" w:eastAsia="Arial" w:hAnsi="Arial"/>
                <w:sz w:val="18"/>
                <w:szCs w:val="18"/>
                <w:color w:val="auto"/>
              </w:rPr>
              <w:t>Cancellation</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2.09</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Benefits of Indenture</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2.10</w:t>
            </w:r>
          </w:p>
        </w:tc>
        <w:tc>
          <w:tcPr>
            <w:tcW w:w="8860" w:type="dxa"/>
            <w:vAlign w:val="bottom"/>
          </w:tcPr>
          <w:p>
            <w:pPr>
              <w:ind w:left="420"/>
              <w:spacing w:after="0"/>
              <w:rPr>
                <w:sz w:val="20"/>
                <w:szCs w:val="20"/>
                <w:color w:val="auto"/>
              </w:rPr>
            </w:pPr>
            <w:r>
              <w:rPr>
                <w:rFonts w:ascii="Arial" w:cs="Arial" w:eastAsia="Arial" w:hAnsi="Arial"/>
                <w:sz w:val="18"/>
                <w:szCs w:val="18"/>
                <w:color w:val="auto"/>
              </w:rPr>
              <w:t>Authenticating Agent</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2.11</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Global Securities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FFCC"/>
          </w:tcPr>
          <w:p>
            <w:pPr>
              <w:spacing w:after="0"/>
              <w:rPr>
                <w:sz w:val="20"/>
                <w:szCs w:val="20"/>
                <w:color w:val="auto"/>
              </w:rPr>
            </w:pPr>
            <w:r>
              <w:rPr>
                <w:rFonts w:ascii="Arial" w:cs="Arial" w:eastAsia="Arial" w:hAnsi="Arial"/>
                <w:sz w:val="18"/>
                <w:szCs w:val="18"/>
                <w:color w:val="auto"/>
              </w:rPr>
              <w:t>ARTICLE III</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REDEMPTION OF SECURITIES AND SINKING FUND PROVISIONS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3.01</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Redemption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3.02</w:t>
            </w:r>
          </w:p>
        </w:tc>
        <w:tc>
          <w:tcPr>
            <w:tcW w:w="8860" w:type="dxa"/>
            <w:vAlign w:val="bottom"/>
          </w:tcPr>
          <w:p>
            <w:pPr>
              <w:ind w:left="420"/>
              <w:spacing w:after="0"/>
              <w:rPr>
                <w:sz w:val="20"/>
                <w:szCs w:val="20"/>
                <w:color w:val="auto"/>
              </w:rPr>
            </w:pPr>
            <w:r>
              <w:rPr>
                <w:rFonts w:ascii="Arial" w:cs="Arial" w:eastAsia="Arial" w:hAnsi="Arial"/>
                <w:sz w:val="18"/>
                <w:szCs w:val="18"/>
                <w:color w:val="auto"/>
              </w:rPr>
              <w:t>Notice of Redemption</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3.03</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Payment Upon Redemption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3.04</w:t>
            </w:r>
          </w:p>
        </w:tc>
        <w:tc>
          <w:tcPr>
            <w:tcW w:w="8860" w:type="dxa"/>
            <w:vAlign w:val="bottom"/>
          </w:tcPr>
          <w:p>
            <w:pPr>
              <w:ind w:left="420"/>
              <w:spacing w:after="0"/>
              <w:rPr>
                <w:sz w:val="20"/>
                <w:szCs w:val="20"/>
                <w:color w:val="auto"/>
              </w:rPr>
            </w:pPr>
            <w:r>
              <w:rPr>
                <w:rFonts w:ascii="Arial" w:cs="Arial" w:eastAsia="Arial" w:hAnsi="Arial"/>
                <w:sz w:val="18"/>
                <w:szCs w:val="18"/>
                <w:color w:val="auto"/>
              </w:rPr>
              <w:t>Sinking Fund</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3.05</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Satisfaction of Sinking Fund Payments with Securities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3.06</w:t>
            </w:r>
          </w:p>
        </w:tc>
        <w:tc>
          <w:tcPr>
            <w:tcW w:w="8860" w:type="dxa"/>
            <w:vAlign w:val="bottom"/>
          </w:tcPr>
          <w:p>
            <w:pPr>
              <w:ind w:left="420"/>
              <w:spacing w:after="0"/>
              <w:rPr>
                <w:sz w:val="20"/>
                <w:szCs w:val="20"/>
                <w:color w:val="auto"/>
              </w:rPr>
            </w:pPr>
            <w:r>
              <w:rPr>
                <w:rFonts w:ascii="Arial" w:cs="Arial" w:eastAsia="Arial" w:hAnsi="Arial"/>
                <w:sz w:val="18"/>
                <w:szCs w:val="18"/>
                <w:color w:val="auto"/>
              </w:rPr>
              <w:t>Redemption of Securities for Sinking Fund</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8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ARTICLE IV</w:t>
            </w:r>
          </w:p>
        </w:tc>
        <w:tc>
          <w:tcPr>
            <w:tcW w:w="8860" w:type="dxa"/>
            <w:vAlign w:val="bottom"/>
          </w:tcPr>
          <w:p>
            <w:pPr>
              <w:ind w:left="420"/>
              <w:spacing w:after="0"/>
              <w:rPr>
                <w:sz w:val="20"/>
                <w:szCs w:val="20"/>
                <w:color w:val="auto"/>
              </w:rPr>
            </w:pPr>
            <w:r>
              <w:rPr>
                <w:rFonts w:ascii="Arial" w:cs="Arial" w:eastAsia="Arial" w:hAnsi="Arial"/>
                <w:sz w:val="18"/>
                <w:szCs w:val="18"/>
                <w:color w:val="auto"/>
              </w:rPr>
              <w:t>COVENANTS</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8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4.01</w:t>
            </w:r>
          </w:p>
        </w:tc>
        <w:tc>
          <w:tcPr>
            <w:tcW w:w="8860" w:type="dxa"/>
            <w:vAlign w:val="bottom"/>
          </w:tcPr>
          <w:p>
            <w:pPr>
              <w:ind w:left="420"/>
              <w:spacing w:after="0"/>
              <w:rPr>
                <w:sz w:val="20"/>
                <w:szCs w:val="20"/>
                <w:color w:val="auto"/>
              </w:rPr>
            </w:pPr>
            <w:r>
              <w:rPr>
                <w:rFonts w:ascii="Arial" w:cs="Arial" w:eastAsia="Arial" w:hAnsi="Arial"/>
                <w:sz w:val="18"/>
                <w:szCs w:val="18"/>
                <w:color w:val="auto"/>
              </w:rPr>
              <w:t>Payment of Principal, Premium and Interest</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4.02</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Maintenance of Office or Agency</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4.03</w:t>
            </w:r>
          </w:p>
        </w:tc>
        <w:tc>
          <w:tcPr>
            <w:tcW w:w="8860" w:type="dxa"/>
            <w:vAlign w:val="bottom"/>
          </w:tcPr>
          <w:p>
            <w:pPr>
              <w:ind w:left="420"/>
              <w:spacing w:after="0"/>
              <w:rPr>
                <w:sz w:val="20"/>
                <w:szCs w:val="20"/>
                <w:color w:val="auto"/>
              </w:rPr>
            </w:pPr>
            <w:r>
              <w:rPr>
                <w:rFonts w:ascii="Arial" w:cs="Arial" w:eastAsia="Arial" w:hAnsi="Arial"/>
                <w:sz w:val="18"/>
                <w:szCs w:val="18"/>
                <w:color w:val="auto"/>
              </w:rPr>
              <w:t>Paying Agents</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4.04</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Appointment to Fill Vacancy in Office of Trustee</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4.05</w:t>
            </w:r>
          </w:p>
        </w:tc>
        <w:tc>
          <w:tcPr>
            <w:tcW w:w="8860" w:type="dxa"/>
            <w:vAlign w:val="bottom"/>
          </w:tcPr>
          <w:p>
            <w:pPr>
              <w:ind w:left="420"/>
              <w:spacing w:after="0"/>
              <w:rPr>
                <w:sz w:val="20"/>
                <w:szCs w:val="20"/>
                <w:color w:val="auto"/>
              </w:rPr>
            </w:pPr>
            <w:r>
              <w:rPr>
                <w:rFonts w:ascii="Arial" w:cs="Arial" w:eastAsia="Arial" w:hAnsi="Arial"/>
                <w:sz w:val="18"/>
                <w:szCs w:val="18"/>
                <w:color w:val="auto"/>
              </w:rPr>
              <w:t>Compliance with Consolidation Provisions</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8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ARTICLE V</w:t>
            </w:r>
          </w:p>
        </w:tc>
        <w:tc>
          <w:tcPr>
            <w:tcW w:w="8860" w:type="dxa"/>
            <w:vAlign w:val="bottom"/>
          </w:tcPr>
          <w:p>
            <w:pPr>
              <w:ind w:left="420"/>
              <w:spacing w:after="0"/>
              <w:rPr>
                <w:sz w:val="20"/>
                <w:szCs w:val="20"/>
                <w:color w:val="auto"/>
              </w:rPr>
            </w:pPr>
            <w:r>
              <w:rPr>
                <w:rFonts w:ascii="Arial" w:cs="Arial" w:eastAsia="Arial" w:hAnsi="Arial"/>
                <w:sz w:val="18"/>
                <w:szCs w:val="18"/>
                <w:color w:val="auto"/>
              </w:rPr>
              <w:t>SECURITYHOLDERS’ LISTS AND REPORTS BY THE COMPANY AND THE TRUSTEE</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8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5.01</w:t>
            </w:r>
          </w:p>
        </w:tc>
        <w:tc>
          <w:tcPr>
            <w:tcW w:w="8860" w:type="dxa"/>
            <w:vAlign w:val="bottom"/>
          </w:tcPr>
          <w:p>
            <w:pPr>
              <w:ind w:left="42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5.02</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Preservation Of Information; Communications With Securityholders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5.03</w:t>
            </w:r>
          </w:p>
        </w:tc>
        <w:tc>
          <w:tcPr>
            <w:tcW w:w="8860" w:type="dxa"/>
            <w:vAlign w:val="bottom"/>
          </w:tcPr>
          <w:p>
            <w:pPr>
              <w:ind w:left="420"/>
              <w:spacing w:after="0"/>
              <w:rPr>
                <w:sz w:val="20"/>
                <w:szCs w:val="20"/>
                <w:color w:val="auto"/>
              </w:rPr>
            </w:pPr>
            <w:r>
              <w:rPr>
                <w:rFonts w:ascii="Arial" w:cs="Arial" w:eastAsia="Arial" w:hAnsi="Arial"/>
                <w:sz w:val="18"/>
                <w:szCs w:val="18"/>
                <w:color w:val="auto"/>
              </w:rPr>
              <w:t>Reports by the Company</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5.04</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Reports by the Trustee</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FFCC"/>
          </w:tcPr>
          <w:p>
            <w:pPr>
              <w:spacing w:after="0"/>
              <w:rPr>
                <w:sz w:val="20"/>
                <w:szCs w:val="20"/>
                <w:color w:val="auto"/>
              </w:rPr>
            </w:pPr>
            <w:r>
              <w:rPr>
                <w:rFonts w:ascii="Arial" w:cs="Arial" w:eastAsia="Arial" w:hAnsi="Arial"/>
                <w:sz w:val="18"/>
                <w:szCs w:val="18"/>
                <w:color w:val="auto"/>
              </w:rPr>
              <w:t>ARTICLE VI</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REMEDIES OF THE TRUSTEE AND SECURITYHOLDERS ON EVENT OF DEFAULT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6.01</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Events of Default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6.02</w:t>
            </w:r>
          </w:p>
        </w:tc>
        <w:tc>
          <w:tcPr>
            <w:tcW w:w="8860" w:type="dxa"/>
            <w:vAlign w:val="bottom"/>
          </w:tcPr>
          <w:p>
            <w:pPr>
              <w:ind w:left="420"/>
              <w:spacing w:after="0"/>
              <w:rPr>
                <w:sz w:val="20"/>
                <w:szCs w:val="20"/>
                <w:color w:val="auto"/>
              </w:rPr>
            </w:pPr>
            <w:r>
              <w:rPr>
                <w:rFonts w:ascii="Arial" w:cs="Arial" w:eastAsia="Arial" w:hAnsi="Arial"/>
                <w:sz w:val="18"/>
                <w:szCs w:val="18"/>
                <w:color w:val="auto"/>
              </w:rPr>
              <w:t>Collection of Indebtedness and Suits for Enforcement by Trustee</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6.03</w:t>
            </w:r>
          </w:p>
        </w:tc>
        <w:tc>
          <w:tcPr>
            <w:tcW w:w="88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Application of Moneys Collected</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6.04</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Limitation on Suits</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6.05</w:t>
            </w:r>
          </w:p>
        </w:tc>
        <w:tc>
          <w:tcPr>
            <w:tcW w:w="7460" w:type="dxa"/>
            <w:vAlign w:val="bottom"/>
          </w:tcPr>
          <w:p>
            <w:pPr>
              <w:ind w:left="380"/>
              <w:spacing w:after="0"/>
              <w:rPr>
                <w:sz w:val="20"/>
                <w:szCs w:val="20"/>
                <w:color w:val="auto"/>
              </w:rPr>
            </w:pPr>
            <w:r>
              <w:rPr>
                <w:rFonts w:ascii="Arial" w:cs="Arial" w:eastAsia="Arial" w:hAnsi="Arial"/>
                <w:sz w:val="18"/>
                <w:szCs w:val="18"/>
                <w:color w:val="auto"/>
              </w:rPr>
              <w:t>Rights and Remedies Cumulative; Delay or Omission Not Waiver</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6.06</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Control by Securityholders</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6.07</w:t>
            </w:r>
          </w:p>
        </w:tc>
        <w:tc>
          <w:tcPr>
            <w:tcW w:w="7460" w:type="dxa"/>
            <w:vAlign w:val="bottom"/>
          </w:tcPr>
          <w:p>
            <w:pPr>
              <w:ind w:left="380"/>
              <w:spacing w:after="0"/>
              <w:rPr>
                <w:sz w:val="20"/>
                <w:szCs w:val="20"/>
                <w:color w:val="auto"/>
              </w:rPr>
            </w:pPr>
            <w:r>
              <w:rPr>
                <w:rFonts w:ascii="Arial" w:cs="Arial" w:eastAsia="Arial" w:hAnsi="Arial"/>
                <w:sz w:val="18"/>
                <w:szCs w:val="18"/>
                <w:color w:val="auto"/>
              </w:rPr>
              <w:t>Undertaking to Pay Costs</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ARTICLE VII</w:t>
            </w:r>
          </w:p>
        </w:tc>
        <w:tc>
          <w:tcPr>
            <w:tcW w:w="7460" w:type="dxa"/>
            <w:vAlign w:val="bottom"/>
          </w:tcPr>
          <w:p>
            <w:pPr>
              <w:ind w:left="380"/>
              <w:spacing w:after="0"/>
              <w:rPr>
                <w:sz w:val="20"/>
                <w:szCs w:val="20"/>
                <w:color w:val="auto"/>
              </w:rPr>
            </w:pPr>
            <w:r>
              <w:rPr>
                <w:rFonts w:ascii="Arial" w:cs="Arial" w:eastAsia="Arial" w:hAnsi="Arial"/>
                <w:sz w:val="18"/>
                <w:szCs w:val="18"/>
                <w:color w:val="auto"/>
              </w:rPr>
              <w:t>CONCERNING THE TRUSTEE</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7.01</w:t>
            </w:r>
          </w:p>
        </w:tc>
        <w:tc>
          <w:tcPr>
            <w:tcW w:w="7460" w:type="dxa"/>
            <w:vAlign w:val="bottom"/>
          </w:tcPr>
          <w:p>
            <w:pPr>
              <w:ind w:left="380"/>
              <w:spacing w:after="0"/>
              <w:rPr>
                <w:sz w:val="20"/>
                <w:szCs w:val="20"/>
                <w:color w:val="auto"/>
              </w:rPr>
            </w:pPr>
            <w:r>
              <w:rPr>
                <w:rFonts w:ascii="Arial" w:cs="Arial" w:eastAsia="Arial" w:hAnsi="Arial"/>
                <w:sz w:val="18"/>
                <w:szCs w:val="18"/>
                <w:color w:val="auto"/>
              </w:rPr>
              <w:t>Certain Duties and Responsibilities of Trustee</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7.02</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Certain Rights of Trustee</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7.03</w:t>
            </w:r>
          </w:p>
        </w:tc>
        <w:tc>
          <w:tcPr>
            <w:tcW w:w="7460" w:type="dxa"/>
            <w:vAlign w:val="bottom"/>
          </w:tcPr>
          <w:p>
            <w:pPr>
              <w:ind w:left="380"/>
              <w:spacing w:after="0"/>
              <w:rPr>
                <w:sz w:val="20"/>
                <w:szCs w:val="20"/>
                <w:color w:val="auto"/>
              </w:rPr>
            </w:pPr>
            <w:r>
              <w:rPr>
                <w:rFonts w:ascii="Arial" w:cs="Arial" w:eastAsia="Arial" w:hAnsi="Arial"/>
                <w:sz w:val="18"/>
                <w:szCs w:val="18"/>
                <w:color w:val="auto"/>
              </w:rPr>
              <w:t>Trustee Not Responsible for Recitals or Issuance of Securities</w:t>
            </w:r>
          </w:p>
        </w:tc>
        <w:tc>
          <w:tcPr>
            <w:tcW w:w="20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7.04</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May Hold Securities</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7.05</w:t>
            </w:r>
          </w:p>
        </w:tc>
        <w:tc>
          <w:tcPr>
            <w:tcW w:w="7460" w:type="dxa"/>
            <w:vAlign w:val="bottom"/>
          </w:tcPr>
          <w:p>
            <w:pPr>
              <w:ind w:left="380"/>
              <w:spacing w:after="0"/>
              <w:rPr>
                <w:sz w:val="20"/>
                <w:szCs w:val="20"/>
                <w:color w:val="auto"/>
              </w:rPr>
            </w:pPr>
            <w:r>
              <w:rPr>
                <w:rFonts w:ascii="Arial" w:cs="Arial" w:eastAsia="Arial" w:hAnsi="Arial"/>
                <w:sz w:val="18"/>
                <w:szCs w:val="18"/>
                <w:color w:val="auto"/>
              </w:rPr>
              <w:t>Moneys Held in Trust</w:t>
            </w:r>
          </w:p>
        </w:tc>
        <w:tc>
          <w:tcPr>
            <w:tcW w:w="20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7.06</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Compensation and Reimbursement</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7.07</w:t>
            </w:r>
          </w:p>
        </w:tc>
        <w:tc>
          <w:tcPr>
            <w:tcW w:w="7460" w:type="dxa"/>
            <w:vAlign w:val="bottom"/>
          </w:tcPr>
          <w:p>
            <w:pPr>
              <w:ind w:left="380"/>
              <w:spacing w:after="0"/>
              <w:rPr>
                <w:sz w:val="20"/>
                <w:szCs w:val="20"/>
                <w:color w:val="auto"/>
              </w:rPr>
            </w:pPr>
            <w:r>
              <w:rPr>
                <w:rFonts w:ascii="Arial" w:cs="Arial" w:eastAsia="Arial" w:hAnsi="Arial"/>
                <w:sz w:val="18"/>
                <w:szCs w:val="18"/>
                <w:color w:val="auto"/>
              </w:rPr>
              <w:t>Reliance on Officers’ Certificate</w:t>
            </w:r>
          </w:p>
        </w:tc>
        <w:tc>
          <w:tcPr>
            <w:tcW w:w="20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7.08</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Disqualification; Conflicting Interests</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7.09</w:t>
            </w:r>
          </w:p>
        </w:tc>
        <w:tc>
          <w:tcPr>
            <w:tcW w:w="7460" w:type="dxa"/>
            <w:vAlign w:val="bottom"/>
          </w:tcPr>
          <w:p>
            <w:pPr>
              <w:ind w:left="380"/>
              <w:spacing w:after="0"/>
              <w:rPr>
                <w:sz w:val="20"/>
                <w:szCs w:val="20"/>
                <w:color w:val="auto"/>
              </w:rPr>
            </w:pPr>
            <w:r>
              <w:rPr>
                <w:rFonts w:ascii="Arial" w:cs="Arial" w:eastAsia="Arial" w:hAnsi="Arial"/>
                <w:sz w:val="18"/>
                <w:szCs w:val="18"/>
                <w:color w:val="auto"/>
              </w:rPr>
              <w:t>Corporate Trustee Required; Eligibility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7.10</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Resignation and Removal; Appointment of Successor</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7.11</w:t>
            </w:r>
          </w:p>
        </w:tc>
        <w:tc>
          <w:tcPr>
            <w:tcW w:w="7460" w:type="dxa"/>
            <w:vAlign w:val="bottom"/>
          </w:tcPr>
          <w:p>
            <w:pPr>
              <w:ind w:left="380"/>
              <w:spacing w:after="0"/>
              <w:rPr>
                <w:sz w:val="20"/>
                <w:szCs w:val="20"/>
                <w:color w:val="auto"/>
              </w:rPr>
            </w:pPr>
            <w:r>
              <w:rPr>
                <w:rFonts w:ascii="Arial" w:cs="Arial" w:eastAsia="Arial" w:hAnsi="Arial"/>
                <w:sz w:val="18"/>
                <w:szCs w:val="18"/>
                <w:color w:val="auto"/>
              </w:rPr>
              <w:t>Acceptance of Appointment By Successor</w:t>
            </w: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7.12</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Merger, Conversion, Consolidation or Succession to Business</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7.13</w:t>
            </w:r>
          </w:p>
        </w:tc>
        <w:tc>
          <w:tcPr>
            <w:tcW w:w="7460" w:type="dxa"/>
            <w:vAlign w:val="bottom"/>
          </w:tcPr>
          <w:p>
            <w:pPr>
              <w:ind w:left="380"/>
              <w:spacing w:after="0"/>
              <w:rPr>
                <w:sz w:val="20"/>
                <w:szCs w:val="20"/>
                <w:color w:val="auto"/>
              </w:rPr>
            </w:pPr>
            <w:r>
              <w:rPr>
                <w:rFonts w:ascii="Arial" w:cs="Arial" w:eastAsia="Arial" w:hAnsi="Arial"/>
                <w:sz w:val="18"/>
                <w:szCs w:val="18"/>
                <w:color w:val="auto"/>
              </w:rPr>
              <w:t>Preferential Collection of Claims Against the Company</w:t>
            </w:r>
          </w:p>
        </w:tc>
        <w:tc>
          <w:tcPr>
            <w:tcW w:w="20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ARTICLE VIII</w:t>
            </w:r>
          </w:p>
        </w:tc>
        <w:tc>
          <w:tcPr>
            <w:tcW w:w="7460" w:type="dxa"/>
            <w:vAlign w:val="bottom"/>
          </w:tcPr>
          <w:p>
            <w:pPr>
              <w:ind w:left="380"/>
              <w:spacing w:after="0"/>
              <w:rPr>
                <w:sz w:val="20"/>
                <w:szCs w:val="20"/>
                <w:color w:val="auto"/>
              </w:rPr>
            </w:pPr>
            <w:r>
              <w:rPr>
                <w:rFonts w:ascii="Arial" w:cs="Arial" w:eastAsia="Arial" w:hAnsi="Arial"/>
                <w:sz w:val="18"/>
                <w:szCs w:val="18"/>
                <w:color w:val="auto"/>
              </w:rPr>
              <w:t>CONCERNING THE SECURITYHOLDERS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8.01</w:t>
            </w:r>
          </w:p>
        </w:tc>
        <w:tc>
          <w:tcPr>
            <w:tcW w:w="7460" w:type="dxa"/>
            <w:vAlign w:val="bottom"/>
          </w:tcPr>
          <w:p>
            <w:pPr>
              <w:ind w:left="380"/>
              <w:spacing w:after="0"/>
              <w:rPr>
                <w:sz w:val="20"/>
                <w:szCs w:val="20"/>
                <w:color w:val="auto"/>
              </w:rPr>
            </w:pPr>
            <w:r>
              <w:rPr>
                <w:rFonts w:ascii="Arial" w:cs="Arial" w:eastAsia="Arial" w:hAnsi="Arial"/>
                <w:sz w:val="18"/>
                <w:szCs w:val="18"/>
                <w:color w:val="auto"/>
              </w:rPr>
              <w:t>Evidence of Action by Securityholders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8.02</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Proof of Execution by Securityholders</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8.03</w:t>
            </w:r>
          </w:p>
        </w:tc>
        <w:tc>
          <w:tcPr>
            <w:tcW w:w="7460" w:type="dxa"/>
            <w:vAlign w:val="bottom"/>
          </w:tcPr>
          <w:p>
            <w:pPr>
              <w:ind w:left="380"/>
              <w:spacing w:after="0"/>
              <w:rPr>
                <w:sz w:val="20"/>
                <w:szCs w:val="20"/>
                <w:color w:val="auto"/>
              </w:rPr>
            </w:pPr>
            <w:r>
              <w:rPr>
                <w:rFonts w:ascii="Arial" w:cs="Arial" w:eastAsia="Arial" w:hAnsi="Arial"/>
                <w:sz w:val="18"/>
                <w:szCs w:val="18"/>
                <w:color w:val="auto"/>
              </w:rPr>
              <w:t>Who May be Deemed Owners</w:t>
            </w:r>
          </w:p>
        </w:tc>
        <w:tc>
          <w:tcPr>
            <w:tcW w:w="20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8.04</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Certain Securities Owned by Company Disregarded</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8.05</w:t>
            </w:r>
          </w:p>
        </w:tc>
        <w:tc>
          <w:tcPr>
            <w:tcW w:w="7460" w:type="dxa"/>
            <w:vAlign w:val="bottom"/>
          </w:tcPr>
          <w:p>
            <w:pPr>
              <w:ind w:left="380"/>
              <w:spacing w:after="0"/>
              <w:rPr>
                <w:sz w:val="20"/>
                <w:szCs w:val="20"/>
                <w:color w:val="auto"/>
              </w:rPr>
            </w:pPr>
            <w:r>
              <w:rPr>
                <w:rFonts w:ascii="Arial" w:cs="Arial" w:eastAsia="Arial" w:hAnsi="Arial"/>
                <w:sz w:val="18"/>
                <w:szCs w:val="18"/>
                <w:color w:val="auto"/>
              </w:rPr>
              <w:t>Actions Binding on Future Securityholders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8.06</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Purposes for Which Meetings May Be Called</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8.07</w:t>
            </w:r>
          </w:p>
        </w:tc>
        <w:tc>
          <w:tcPr>
            <w:tcW w:w="7460" w:type="dxa"/>
            <w:vAlign w:val="bottom"/>
          </w:tcPr>
          <w:p>
            <w:pPr>
              <w:ind w:left="380"/>
              <w:spacing w:after="0"/>
              <w:rPr>
                <w:sz w:val="20"/>
                <w:szCs w:val="20"/>
                <w:color w:val="auto"/>
              </w:rPr>
            </w:pPr>
            <w:r>
              <w:rPr>
                <w:rFonts w:ascii="Arial" w:cs="Arial" w:eastAsia="Arial" w:hAnsi="Arial"/>
                <w:sz w:val="18"/>
                <w:szCs w:val="18"/>
                <w:color w:val="auto"/>
              </w:rPr>
              <w:t>Call Notice and Place of Meetings</w:t>
            </w:r>
          </w:p>
        </w:tc>
        <w:tc>
          <w:tcPr>
            <w:tcW w:w="20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8.08</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Persons Entitled To Vote at Meetings</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8.09</w:t>
            </w:r>
          </w:p>
        </w:tc>
        <w:tc>
          <w:tcPr>
            <w:tcW w:w="7460" w:type="dxa"/>
            <w:vAlign w:val="bottom"/>
          </w:tcPr>
          <w:p>
            <w:pPr>
              <w:ind w:left="380"/>
              <w:spacing w:after="0"/>
              <w:rPr>
                <w:sz w:val="20"/>
                <w:szCs w:val="20"/>
                <w:color w:val="auto"/>
              </w:rPr>
            </w:pPr>
            <w:r>
              <w:rPr>
                <w:rFonts w:ascii="Arial" w:cs="Arial" w:eastAsia="Arial" w:hAnsi="Arial"/>
                <w:sz w:val="18"/>
                <w:szCs w:val="18"/>
                <w:color w:val="auto"/>
              </w:rPr>
              <w:t>Quorum; Action</w:t>
            </w:r>
          </w:p>
        </w:tc>
        <w:tc>
          <w:tcPr>
            <w:tcW w:w="20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8.10</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8.11</w:t>
            </w:r>
          </w:p>
        </w:tc>
        <w:tc>
          <w:tcPr>
            <w:tcW w:w="7460" w:type="dxa"/>
            <w:vAlign w:val="bottom"/>
          </w:tcPr>
          <w:p>
            <w:pPr>
              <w:ind w:left="380"/>
              <w:spacing w:after="0"/>
              <w:rPr>
                <w:sz w:val="20"/>
                <w:szCs w:val="20"/>
                <w:color w:val="auto"/>
              </w:rPr>
            </w:pPr>
            <w:r>
              <w:rPr>
                <w:rFonts w:ascii="Arial" w:cs="Arial" w:eastAsia="Arial" w:hAnsi="Arial"/>
                <w:sz w:val="18"/>
                <w:szCs w:val="18"/>
                <w:color w:val="auto"/>
              </w:rPr>
              <w:t>Counting Votes and Recording Action of Meetings</w:t>
            </w: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60" w:type="dxa"/>
            <w:vAlign w:val="bottom"/>
            <w:gridSpan w:val="2"/>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ARTICLE IX SUPPLEMENTAL INDENTURES</w:t>
            </w: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9.01</w:t>
            </w:r>
          </w:p>
        </w:tc>
        <w:tc>
          <w:tcPr>
            <w:tcW w:w="7460" w:type="dxa"/>
            <w:vAlign w:val="bottom"/>
          </w:tcPr>
          <w:p>
            <w:pPr>
              <w:ind w:left="380"/>
              <w:spacing w:after="0"/>
              <w:rPr>
                <w:sz w:val="20"/>
                <w:szCs w:val="20"/>
                <w:color w:val="auto"/>
              </w:rPr>
            </w:pPr>
            <w:r>
              <w:rPr>
                <w:rFonts w:ascii="Arial" w:cs="Arial" w:eastAsia="Arial" w:hAnsi="Arial"/>
                <w:sz w:val="18"/>
                <w:szCs w:val="18"/>
                <w:color w:val="auto"/>
              </w:rPr>
              <w:t>Supplemental Indentures Without the Consent of Securityholders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9.02</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Supplemental Indentures With Consent of Securityholders</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9.03</w:t>
            </w:r>
          </w:p>
        </w:tc>
        <w:tc>
          <w:tcPr>
            <w:tcW w:w="7460" w:type="dxa"/>
            <w:vAlign w:val="bottom"/>
          </w:tcPr>
          <w:p>
            <w:pPr>
              <w:ind w:left="380"/>
              <w:spacing w:after="0"/>
              <w:rPr>
                <w:sz w:val="20"/>
                <w:szCs w:val="20"/>
                <w:color w:val="auto"/>
              </w:rPr>
            </w:pPr>
            <w:r>
              <w:rPr>
                <w:rFonts w:ascii="Arial" w:cs="Arial" w:eastAsia="Arial" w:hAnsi="Arial"/>
                <w:sz w:val="18"/>
                <w:szCs w:val="18"/>
                <w:color w:val="auto"/>
              </w:rPr>
              <w:t>Effect of Supplemental Indentures</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9.04</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Securities Affected by Supplemental Indentures</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9.05</w:t>
            </w:r>
          </w:p>
        </w:tc>
        <w:tc>
          <w:tcPr>
            <w:tcW w:w="7460" w:type="dxa"/>
            <w:vAlign w:val="bottom"/>
          </w:tcPr>
          <w:p>
            <w:pPr>
              <w:ind w:left="380"/>
              <w:spacing w:after="0"/>
              <w:rPr>
                <w:sz w:val="20"/>
                <w:szCs w:val="20"/>
                <w:color w:val="auto"/>
              </w:rPr>
            </w:pPr>
            <w:r>
              <w:rPr>
                <w:rFonts w:ascii="Arial" w:cs="Arial" w:eastAsia="Arial" w:hAnsi="Arial"/>
                <w:sz w:val="18"/>
                <w:szCs w:val="18"/>
                <w:color w:val="auto"/>
              </w:rPr>
              <w:t>Execution of Supplemental Indentures</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60" w:type="dxa"/>
            <w:vAlign w:val="bottom"/>
            <w:gridSpan w:val="2"/>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ARTICLE X SUCCESSOR ENTITY</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10.01</w:t>
            </w:r>
          </w:p>
        </w:tc>
        <w:tc>
          <w:tcPr>
            <w:tcW w:w="7460" w:type="dxa"/>
            <w:vAlign w:val="bottom"/>
          </w:tcPr>
          <w:p>
            <w:pPr>
              <w:ind w:left="380"/>
              <w:spacing w:after="0"/>
              <w:rPr>
                <w:sz w:val="20"/>
                <w:szCs w:val="20"/>
                <w:color w:val="auto"/>
              </w:rPr>
            </w:pPr>
            <w:r>
              <w:rPr>
                <w:rFonts w:ascii="Arial" w:cs="Arial" w:eastAsia="Arial" w:hAnsi="Arial"/>
                <w:sz w:val="18"/>
                <w:szCs w:val="18"/>
                <w:color w:val="auto"/>
              </w:rPr>
              <w:t>Company May Consolidate, Etc</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10.02</w:t>
            </w:r>
          </w:p>
        </w:tc>
        <w:tc>
          <w:tcPr>
            <w:tcW w:w="74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Successor Entity Substituted</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4"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10.03</w:t>
            </w:r>
          </w:p>
        </w:tc>
        <w:tc>
          <w:tcPr>
            <w:tcW w:w="8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Evidence of Consolidation, Etc. to Trustee</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ARTICLE XI SATISFACTION AND DISCHARGE</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11.01</w:t>
            </w:r>
          </w:p>
        </w:tc>
        <w:tc>
          <w:tcPr>
            <w:tcW w:w="8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Satisfaction and Discharge of Indenture</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11.02</w:t>
            </w:r>
          </w:p>
        </w:tc>
        <w:tc>
          <w:tcPr>
            <w:tcW w:w="8180" w:type="dxa"/>
            <w:vAlign w:val="bottom"/>
          </w:tcPr>
          <w:p>
            <w:pPr>
              <w:ind w:left="380"/>
              <w:spacing w:after="0"/>
              <w:rPr>
                <w:sz w:val="20"/>
                <w:szCs w:val="20"/>
                <w:color w:val="auto"/>
              </w:rPr>
            </w:pPr>
            <w:r>
              <w:rPr>
                <w:rFonts w:ascii="Arial" w:cs="Arial" w:eastAsia="Arial" w:hAnsi="Arial"/>
                <w:sz w:val="18"/>
                <w:szCs w:val="18"/>
                <w:color w:val="auto"/>
              </w:rPr>
              <w:t>Discharge of Obligations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11.03</w:t>
            </w:r>
          </w:p>
        </w:tc>
        <w:tc>
          <w:tcPr>
            <w:tcW w:w="8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Deposited Moneys to be Held in Trust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11.04</w:t>
            </w:r>
          </w:p>
        </w:tc>
        <w:tc>
          <w:tcPr>
            <w:tcW w:w="8180" w:type="dxa"/>
            <w:vAlign w:val="bottom"/>
          </w:tcPr>
          <w:p>
            <w:pPr>
              <w:ind w:left="380"/>
              <w:spacing w:after="0"/>
              <w:rPr>
                <w:sz w:val="20"/>
                <w:szCs w:val="20"/>
                <w:color w:val="auto"/>
              </w:rPr>
            </w:pPr>
            <w:r>
              <w:rPr>
                <w:rFonts w:ascii="Arial" w:cs="Arial" w:eastAsia="Arial" w:hAnsi="Arial"/>
                <w:sz w:val="18"/>
                <w:szCs w:val="18"/>
                <w:color w:val="auto"/>
              </w:rPr>
              <w:t>Payment of Moneys Held by Paying Agents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11.05</w:t>
            </w:r>
          </w:p>
        </w:tc>
        <w:tc>
          <w:tcPr>
            <w:tcW w:w="8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Repayment to Company</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CCFFCC"/>
          </w:tcPr>
          <w:p>
            <w:pPr>
              <w:spacing w:after="0"/>
              <w:rPr>
                <w:sz w:val="20"/>
                <w:szCs w:val="20"/>
                <w:color w:val="auto"/>
              </w:rPr>
            </w:pPr>
            <w:r>
              <w:rPr>
                <w:rFonts w:ascii="Arial" w:cs="Arial" w:eastAsia="Arial" w:hAnsi="Arial"/>
                <w:sz w:val="18"/>
                <w:szCs w:val="18"/>
                <w:color w:val="auto"/>
              </w:rPr>
              <w:t>ARTICLE XII</w:t>
            </w:r>
          </w:p>
        </w:tc>
        <w:tc>
          <w:tcPr>
            <w:tcW w:w="8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IMMUNITY OF INCORPORATORS, STOCKHOLDERS, OFFICERS AND DIRECTORS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12.01</w:t>
            </w:r>
          </w:p>
        </w:tc>
        <w:tc>
          <w:tcPr>
            <w:tcW w:w="8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No Recourse</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ARTICLE XIII MISCELLANEOUS PROVISIONS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13.01</w:t>
            </w:r>
          </w:p>
        </w:tc>
        <w:tc>
          <w:tcPr>
            <w:tcW w:w="8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Effect on Successors and Assigns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13.02</w:t>
            </w:r>
          </w:p>
        </w:tc>
        <w:tc>
          <w:tcPr>
            <w:tcW w:w="8180" w:type="dxa"/>
            <w:vAlign w:val="bottom"/>
          </w:tcPr>
          <w:p>
            <w:pPr>
              <w:ind w:left="380"/>
              <w:spacing w:after="0"/>
              <w:rPr>
                <w:sz w:val="20"/>
                <w:szCs w:val="20"/>
                <w:color w:val="auto"/>
              </w:rPr>
            </w:pPr>
            <w:r>
              <w:rPr>
                <w:rFonts w:ascii="Arial" w:cs="Arial" w:eastAsia="Arial" w:hAnsi="Arial"/>
                <w:sz w:val="18"/>
                <w:szCs w:val="18"/>
                <w:color w:val="auto"/>
              </w:rPr>
              <w:t>Actions by Successor</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13.03</w:t>
            </w:r>
          </w:p>
        </w:tc>
        <w:tc>
          <w:tcPr>
            <w:tcW w:w="8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Surrender of Company Powers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13.04</w:t>
            </w:r>
          </w:p>
        </w:tc>
        <w:tc>
          <w:tcPr>
            <w:tcW w:w="8180" w:type="dxa"/>
            <w:vAlign w:val="bottom"/>
          </w:tcPr>
          <w:p>
            <w:pPr>
              <w:ind w:left="380"/>
              <w:spacing w:after="0"/>
              <w:rPr>
                <w:sz w:val="20"/>
                <w:szCs w:val="20"/>
                <w:color w:val="auto"/>
              </w:rPr>
            </w:pPr>
            <w:r>
              <w:rPr>
                <w:rFonts w:ascii="Arial" w:cs="Arial" w:eastAsia="Arial" w:hAnsi="Arial"/>
                <w:sz w:val="18"/>
                <w:szCs w:val="18"/>
                <w:color w:val="auto"/>
              </w:rPr>
              <w:t>Notices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13.05</w:t>
            </w:r>
          </w:p>
        </w:tc>
        <w:tc>
          <w:tcPr>
            <w:tcW w:w="8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Governing Law</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13.06</w:t>
            </w:r>
          </w:p>
        </w:tc>
        <w:tc>
          <w:tcPr>
            <w:tcW w:w="8180" w:type="dxa"/>
            <w:vAlign w:val="bottom"/>
          </w:tcPr>
          <w:p>
            <w:pPr>
              <w:ind w:left="380"/>
              <w:spacing w:after="0"/>
              <w:rPr>
                <w:sz w:val="20"/>
                <w:szCs w:val="20"/>
                <w:color w:val="auto"/>
              </w:rPr>
            </w:pPr>
            <w:r>
              <w:rPr>
                <w:rFonts w:ascii="Arial" w:cs="Arial" w:eastAsia="Arial" w:hAnsi="Arial"/>
                <w:sz w:val="18"/>
                <w:szCs w:val="18"/>
                <w:color w:val="auto"/>
              </w:rPr>
              <w:t>Treatment of Securities as Debt</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13.07</w:t>
            </w:r>
          </w:p>
        </w:tc>
        <w:tc>
          <w:tcPr>
            <w:tcW w:w="8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Compliance Certificates and Opinions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13.08</w:t>
            </w:r>
          </w:p>
        </w:tc>
        <w:tc>
          <w:tcPr>
            <w:tcW w:w="8180" w:type="dxa"/>
            <w:vAlign w:val="bottom"/>
          </w:tcPr>
          <w:p>
            <w:pPr>
              <w:ind w:left="380"/>
              <w:spacing w:after="0"/>
              <w:rPr>
                <w:sz w:val="20"/>
                <w:szCs w:val="20"/>
                <w:color w:val="auto"/>
              </w:rPr>
            </w:pPr>
            <w:r>
              <w:rPr>
                <w:rFonts w:ascii="Arial" w:cs="Arial" w:eastAsia="Arial" w:hAnsi="Arial"/>
                <w:sz w:val="18"/>
                <w:szCs w:val="18"/>
                <w:color w:val="auto"/>
              </w:rPr>
              <w:t>Payments on Business Days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13.09</w:t>
            </w:r>
          </w:p>
        </w:tc>
        <w:tc>
          <w:tcPr>
            <w:tcW w:w="8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Conflict with Trust Indenture Act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13.10</w:t>
            </w:r>
          </w:p>
        </w:tc>
        <w:tc>
          <w:tcPr>
            <w:tcW w:w="8180" w:type="dxa"/>
            <w:vAlign w:val="bottom"/>
          </w:tcPr>
          <w:p>
            <w:pPr>
              <w:ind w:left="380"/>
              <w:spacing w:after="0"/>
              <w:rPr>
                <w:sz w:val="20"/>
                <w:szCs w:val="20"/>
                <w:color w:val="auto"/>
              </w:rPr>
            </w:pPr>
            <w:r>
              <w:rPr>
                <w:rFonts w:ascii="Arial" w:cs="Arial" w:eastAsia="Arial" w:hAnsi="Arial"/>
                <w:sz w:val="18"/>
                <w:szCs w:val="18"/>
                <w:color w:val="auto"/>
              </w:rPr>
              <w:t>Counterparts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SECTION 13.11</w:t>
            </w:r>
          </w:p>
        </w:tc>
        <w:tc>
          <w:tcPr>
            <w:tcW w:w="81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Separability</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13.12</w:t>
            </w:r>
          </w:p>
        </w:tc>
        <w:tc>
          <w:tcPr>
            <w:tcW w:w="8180" w:type="dxa"/>
            <w:vAlign w:val="bottom"/>
          </w:tcPr>
          <w:p>
            <w:pPr>
              <w:ind w:left="380"/>
              <w:spacing w:after="0"/>
              <w:rPr>
                <w:sz w:val="20"/>
                <w:szCs w:val="20"/>
                <w:color w:val="auto"/>
              </w:rPr>
            </w:pPr>
            <w:r>
              <w:rPr>
                <w:rFonts w:ascii="Arial" w:cs="Arial" w:eastAsia="Arial" w:hAnsi="Arial"/>
                <w:sz w:val="18"/>
                <w:szCs w:val="18"/>
                <w:color w:val="auto"/>
              </w:rPr>
              <w:t>Assignment</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10890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02"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Table of Contents does not constitute part of the Indenture and shall not have any bearing on the interpretation of any of its terms and provisions.</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4"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INDENTURE, dated as of [</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by and between Vringo, Inc., a Delaware corporation (the “Company”),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-313055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-287020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as trustee (the</w:t>
      </w:r>
    </w:p>
    <w:p>
      <w:pPr>
        <w:spacing w:after="0" w:line="46" w:lineRule="exact"/>
        <w:rPr>
          <w:sz w:val="20"/>
          <w:szCs w:val="20"/>
          <w:color w:val="auto"/>
        </w:rPr>
      </w:pPr>
    </w:p>
    <w:p>
      <w:pPr>
        <w:sectPr>
          <w:pgSz w:w="11900" w:h="16838" w:orient="portrait"/>
          <w:cols w:equalWidth="0" w:num="3">
            <w:col w:w="2200" w:space="720"/>
            <w:col w:w="5880" w:space="720"/>
            <w:col w:w="1840"/>
          </w:cols>
          <w:pgMar w:left="240" w:top="1260" w:right="299" w:bottom="1440" w:gutter="0" w:footer="0" w:header="0"/>
        </w:sectPr>
      </w:pPr>
    </w:p>
    <w:p>
      <w:pPr>
        <w:spacing w:after="0"/>
        <w:rPr>
          <w:sz w:val="20"/>
          <w:szCs w:val="20"/>
          <w:color w:val="auto"/>
        </w:rPr>
      </w:pPr>
      <w:r>
        <w:rPr>
          <w:rFonts w:ascii="Arial" w:cs="Arial" w:eastAsia="Arial" w:hAnsi="Arial"/>
          <w:sz w:val="17"/>
          <w:szCs w:val="17"/>
          <w:color w:val="auto"/>
        </w:rPr>
        <w:t>“Trustee”):</w:t>
      </w:r>
    </w:p>
    <w:p>
      <w:pPr>
        <w:sectPr>
          <w:pgSz w:w="11900" w:h="16838" w:orient="portrait"/>
          <w:cols w:equalWidth="0" w:num="1">
            <w:col w:w="11360"/>
          </w:cols>
          <w:pgMar w:left="240" w:top="1260" w:right="299" w:bottom="1440" w:gutter="0" w:footer="0" w:header="0"/>
          <w:type w:val="continuous"/>
        </w:sectPr>
      </w:pPr>
    </w:p>
    <w:p>
      <w:pPr>
        <w:spacing w:after="0" w:line="22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Definitions of Terms.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“Bankruptcy Law”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means the Board of Directors of the Company or any duly authorized committee of such Board.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“Certificate” means a certificate signed by the principal executive officer, the principal financial officer or the principal accounting officer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Certificate need not comply with the provisions of Section 13.07.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 means the Securities and Exchange Commission.</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60" w:right="29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“Corporate Trust Office” means the office of the Trustee at which, at any particular time, its corporate trust business shall be principally administered, which</w:t>
      </w:r>
    </w:p>
    <w:p>
      <w:pPr>
        <w:spacing w:after="0" w:line="4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office at the date hereof is located at [ ], except that whenever a provision herein refers to an office or agency of the Trustee in the Borough of Manhattan, the City and State of New York, such office is located, at the date hereof, at [ ].</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“Default” means an event which is, or after notice or lapse of time, or both, would constitute an Event of Default.</w:t>
      </w:r>
    </w:p>
    <w:p>
      <w:pPr>
        <w:spacing w:after="0" w:line="22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“Event of Default” means, with respect to Securities of a particular series, any event specified in Section 6.01, continued for the period of time, if any, therein designated.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“Officers’ Certificate” means a certificate signed by the President or a Vice President and by the Chief Financial Officer,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60" w:right="259" w:bottom="1440" w:gutter="0" w:footer="0" w:header="0"/>
        </w:sectPr>
      </w:pPr>
    </w:p>
    <w:bookmarkStart w:id="54" w:name="page55"/>
    <w:bookmarkEnd w:id="5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66"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means the debt Securities authenticated and delivered under this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Register” has the meaning specified in Section 2.05.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Registrar” has the meaning specified in Section 2.05.</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6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ISSUE, DESCRIPTION, TERMS, EXECUTION,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REGISTRATION AND EXCHANGE OF SECURITIES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Designation and Terms of Securities.</w:t>
      </w:r>
    </w:p>
    <w:p>
      <w:pPr>
        <w:spacing w:after="0" w:line="225" w:lineRule="exact"/>
        <w:rPr>
          <w:sz w:val="20"/>
          <w:szCs w:val="20"/>
          <w:color w:val="auto"/>
        </w:rPr>
      </w:pPr>
    </w:p>
    <w:p>
      <w:pPr>
        <w:ind w:left="760" w:right="60" w:hanging="374"/>
        <w:spacing w:after="0" w:line="257"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88" w:lineRule="exact"/>
        <w:rPr>
          <w:rFonts w:ascii="Arial" w:cs="Arial" w:eastAsia="Arial" w:hAnsi="Arial"/>
          <w:sz w:val="18"/>
          <w:szCs w:val="18"/>
          <w:color w:val="auto"/>
        </w:rPr>
      </w:pPr>
    </w:p>
    <w:p>
      <w:pPr>
        <w:ind w:left="1300" w:hanging="522"/>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title of the Security of the series (which shall distinguish the Securities of the series from all other Securities);</w:t>
      </w:r>
    </w:p>
    <w:p>
      <w:pPr>
        <w:spacing w:after="0" w:line="225" w:lineRule="exact"/>
        <w:rPr>
          <w:rFonts w:ascii="Arial" w:cs="Arial" w:eastAsia="Arial" w:hAnsi="Arial"/>
          <w:sz w:val="18"/>
          <w:szCs w:val="18"/>
          <w:color w:val="auto"/>
        </w:rPr>
      </w:pPr>
    </w:p>
    <w:p>
      <w:pPr>
        <w:jc w:val="both"/>
        <w:ind w:left="1300" w:right="20" w:hanging="522"/>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81" w:lineRule="exact"/>
        <w:rPr>
          <w:rFonts w:ascii="Arial" w:cs="Arial" w:eastAsia="Arial" w:hAnsi="Arial"/>
          <w:sz w:val="18"/>
          <w:szCs w:val="18"/>
          <w:color w:val="auto"/>
        </w:rPr>
      </w:pPr>
    </w:p>
    <w:p>
      <w:pPr>
        <w:ind w:left="1300" w:right="180" w:hanging="522"/>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1300" w:hanging="522"/>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and the place(s) of payment;</w:t>
      </w:r>
    </w:p>
    <w:p>
      <w:pPr>
        <w:spacing w:after="0" w:line="225" w:lineRule="exact"/>
        <w:rPr>
          <w:rFonts w:ascii="Arial" w:cs="Arial" w:eastAsia="Arial" w:hAnsi="Arial"/>
          <w:sz w:val="18"/>
          <w:szCs w:val="18"/>
          <w:color w:val="auto"/>
        </w:rPr>
      </w:pPr>
    </w:p>
    <w:p>
      <w:pPr>
        <w:ind w:left="1300" w:hanging="522"/>
        <w:spacing w:after="0"/>
        <w:tabs>
          <w:tab w:leader="none" w:pos="13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or the manner of calculation of such rate or rates, if any;</w:t>
      </w:r>
    </w:p>
    <w:p>
      <w:pPr>
        <w:spacing w:after="0" w:line="236" w:lineRule="exact"/>
        <w:rPr>
          <w:rFonts w:ascii="Arial" w:cs="Arial" w:eastAsia="Arial" w:hAnsi="Arial"/>
          <w:sz w:val="17"/>
          <w:szCs w:val="17"/>
          <w:color w:val="auto"/>
        </w:rPr>
      </w:pPr>
    </w:p>
    <w:p>
      <w:pPr>
        <w:ind w:left="1300" w:hanging="522"/>
        <w:spacing w:after="0" w:line="286" w:lineRule="auto"/>
        <w:tabs>
          <w:tab w:leader="none" w:pos="13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65" w:lineRule="exact"/>
        <w:rPr>
          <w:rFonts w:ascii="Arial" w:cs="Arial" w:eastAsia="Arial" w:hAnsi="Arial"/>
          <w:sz w:val="17"/>
          <w:szCs w:val="17"/>
          <w:color w:val="auto"/>
        </w:rPr>
      </w:pPr>
    </w:p>
    <w:p>
      <w:pPr>
        <w:ind w:left="1300" w:hanging="522"/>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or to defer the payment of interest and the duration of such extension;</w:t>
      </w:r>
    </w:p>
    <w:p>
      <w:pPr>
        <w:spacing w:after="0" w:line="225" w:lineRule="exact"/>
        <w:rPr>
          <w:rFonts w:ascii="Arial" w:cs="Arial" w:eastAsia="Arial" w:hAnsi="Arial"/>
          <w:sz w:val="18"/>
          <w:szCs w:val="18"/>
          <w:color w:val="auto"/>
        </w:rPr>
      </w:pPr>
    </w:p>
    <w:p>
      <w:pPr>
        <w:ind w:left="1300" w:right="320" w:hanging="522"/>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70" w:lineRule="exact"/>
        <w:rPr>
          <w:rFonts w:ascii="Arial" w:cs="Arial" w:eastAsia="Arial" w:hAnsi="Arial"/>
          <w:sz w:val="18"/>
          <w:szCs w:val="18"/>
          <w:color w:val="auto"/>
        </w:rPr>
      </w:pPr>
    </w:p>
    <w:p>
      <w:pPr>
        <w:ind w:left="1300" w:right="220" w:hanging="522"/>
        <w:spacing w:after="0" w:line="259"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6" w:name="page57"/>
    <w:bookmarkEnd w:id="56"/>
    <w:p>
      <w:pPr>
        <w:ind w:left="1300" w:hanging="52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1300" w:hanging="52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left="1300" w:right="740" w:hanging="522"/>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70" w:lineRule="exact"/>
        <w:rPr>
          <w:rFonts w:ascii="Arial" w:cs="Arial" w:eastAsia="Arial" w:hAnsi="Arial"/>
          <w:sz w:val="18"/>
          <w:szCs w:val="18"/>
          <w:color w:val="auto"/>
        </w:rPr>
      </w:pPr>
    </w:p>
    <w:p>
      <w:pPr>
        <w:ind w:left="1300" w:hanging="522"/>
        <w:spacing w:after="0" w:line="264"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81" w:lineRule="exact"/>
        <w:rPr>
          <w:rFonts w:ascii="Arial" w:cs="Arial" w:eastAsia="Arial" w:hAnsi="Arial"/>
          <w:sz w:val="18"/>
          <w:szCs w:val="18"/>
          <w:color w:val="auto"/>
        </w:rPr>
      </w:pPr>
    </w:p>
    <w:p>
      <w:pPr>
        <w:ind w:left="1300" w:hanging="52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the Securities are issuable as a Global Security and, in such case, the identity of the Depositary for such series;</w:t>
      </w:r>
    </w:p>
    <w:p>
      <w:pPr>
        <w:spacing w:after="0" w:line="225" w:lineRule="exact"/>
        <w:rPr>
          <w:rFonts w:ascii="Arial" w:cs="Arial" w:eastAsia="Arial" w:hAnsi="Arial"/>
          <w:sz w:val="18"/>
          <w:szCs w:val="18"/>
          <w:color w:val="auto"/>
        </w:rPr>
      </w:pPr>
    </w:p>
    <w:p>
      <w:pPr>
        <w:ind w:left="1300" w:right="720" w:hanging="522"/>
        <w:spacing w:after="0" w:line="342"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123" w:lineRule="exact"/>
        <w:rPr>
          <w:rFonts w:ascii="Arial" w:cs="Arial" w:eastAsia="Arial" w:hAnsi="Arial"/>
          <w:sz w:val="16"/>
          <w:szCs w:val="16"/>
          <w:color w:val="auto"/>
        </w:rPr>
      </w:pPr>
    </w:p>
    <w:p>
      <w:pPr>
        <w:ind w:left="1300" w:right="600" w:hanging="522"/>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6.01; and</w:t>
      </w:r>
    </w:p>
    <w:p>
      <w:pPr>
        <w:spacing w:after="0" w:line="170" w:lineRule="exact"/>
        <w:rPr>
          <w:rFonts w:ascii="Arial" w:cs="Arial" w:eastAsia="Arial" w:hAnsi="Arial"/>
          <w:sz w:val="18"/>
          <w:szCs w:val="18"/>
          <w:color w:val="auto"/>
        </w:rPr>
      </w:pPr>
    </w:p>
    <w:p>
      <w:pPr>
        <w:ind w:left="1300" w:hanging="52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additional or different Events of Default or restrictive covenants provided for with respect to the Securities of the series.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Form of Securities and Trustee’s Certificate.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the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7" w:name="page58"/>
    <w:bookmarkEnd w:id="57"/>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2.03</w:t>
      </w:r>
      <w:r>
        <w:rPr>
          <w:sz w:val="20"/>
          <w:szCs w:val="20"/>
          <w:color w:val="auto"/>
        </w:rPr>
        <w:tab/>
      </w:r>
      <w:r>
        <w:rPr>
          <w:rFonts w:ascii="Arial" w:cs="Arial" w:eastAsia="Arial" w:hAnsi="Arial"/>
          <w:sz w:val="16"/>
          <w:szCs w:val="16"/>
          <w:color w:val="auto"/>
        </w:rPr>
        <w:t>Denominations: Provisions for Payment.</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 interest on such Security will be paid upon presentation and surrender of such Security as provided in Section 3.03.</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66" w:lineRule="exact"/>
        <w:rPr>
          <w:sz w:val="20"/>
          <w:szCs w:val="20"/>
          <w:color w:val="auto"/>
        </w:rPr>
      </w:pPr>
    </w:p>
    <w:p>
      <w:pPr>
        <w:ind w:left="1300" w:right="40" w:hanging="522"/>
        <w:spacing w:after="0" w:line="286"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71" w:lineRule="exact"/>
        <w:rPr>
          <w:rFonts w:ascii="Arial" w:cs="Arial" w:eastAsia="Arial" w:hAnsi="Arial"/>
          <w:sz w:val="16"/>
          <w:szCs w:val="16"/>
          <w:color w:val="auto"/>
        </w:rPr>
      </w:pPr>
    </w:p>
    <w:p>
      <w:pPr>
        <w:ind w:left="1300" w:hanging="522"/>
        <w:spacing w:after="0" w:line="259"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8" w:name="page59"/>
    <w:bookmarkEnd w:id="58"/>
    <w:p>
      <w:pPr>
        <w:ind w:right="2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7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Execution and Authentications.</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Registration of Transfer and Exchange.</w:t>
      </w:r>
    </w:p>
    <w:p>
      <w:pPr>
        <w:spacing w:after="0" w:line="225" w:lineRule="exact"/>
        <w:rPr>
          <w:sz w:val="20"/>
          <w:szCs w:val="20"/>
          <w:color w:val="auto"/>
        </w:rPr>
      </w:pPr>
    </w:p>
    <w:p>
      <w:pPr>
        <w:ind w:left="760" w:right="60" w:hanging="374"/>
        <w:spacing w:after="0" w:line="273" w:lineRule="auto"/>
        <w:tabs>
          <w:tab w:leader="none" w:pos="7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9" w:name="page60"/>
    <w:bookmarkEnd w:id="59"/>
    <w:p>
      <w:pPr>
        <w:ind w:left="760" w:right="20" w:hanging="374"/>
        <w:spacing w:after="0" w:line="297" w:lineRule="auto"/>
        <w:tabs>
          <w:tab w:leader="none" w:pos="760"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58" w:lineRule="exact"/>
        <w:rPr>
          <w:sz w:val="20"/>
          <w:szCs w:val="20"/>
          <w:color w:val="auto"/>
        </w:rPr>
      </w:pPr>
    </w:p>
    <w:p>
      <w:pPr>
        <w:jc w:val="both"/>
        <w:ind w:left="780" w:right="260"/>
        <w:spacing w:after="0" w:line="264"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1" w:lineRule="exact"/>
        <w:rPr>
          <w:sz w:val="20"/>
          <w:szCs w:val="20"/>
          <w:color w:val="auto"/>
        </w:rPr>
      </w:pPr>
    </w:p>
    <w:p>
      <w:pPr>
        <w:ind w:left="780" w:right="80"/>
        <w:spacing w:after="0" w:line="264"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1" w:lineRule="exact"/>
        <w:rPr>
          <w:sz w:val="20"/>
          <w:szCs w:val="20"/>
          <w:color w:val="auto"/>
        </w:rPr>
      </w:pPr>
    </w:p>
    <w:p>
      <w:pPr>
        <w:ind w:left="760" w:hanging="374"/>
        <w:spacing w:after="0" w:line="264"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81" w:lineRule="exact"/>
        <w:rPr>
          <w:rFonts w:ascii="Arial" w:cs="Arial" w:eastAsia="Arial" w:hAnsi="Arial"/>
          <w:sz w:val="18"/>
          <w:szCs w:val="18"/>
          <w:color w:val="auto"/>
        </w:rPr>
      </w:pPr>
    </w:p>
    <w:p>
      <w:pPr>
        <w:ind w:left="760" w:right="80" w:hanging="374"/>
        <w:spacing w:after="0" w:line="302" w:lineRule="auto"/>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Temporary Securities.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0" w:name="page61"/>
    <w:bookmarkEnd w:id="60"/>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2.07</w:t>
      </w:r>
      <w:r>
        <w:rPr>
          <w:sz w:val="20"/>
          <w:szCs w:val="20"/>
          <w:color w:val="auto"/>
        </w:rPr>
        <w:tab/>
      </w:r>
      <w:r>
        <w:rPr>
          <w:rFonts w:ascii="Arial" w:cs="Arial" w:eastAsia="Arial" w:hAnsi="Arial"/>
          <w:sz w:val="16"/>
          <w:szCs w:val="16"/>
          <w:color w:val="auto"/>
        </w:rPr>
        <w:t>Mutilated, Destroyed, Lost or Stolen Securities.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Cancellation.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color w:val="auto"/>
        </w:rPr>
        <w:t>Benefits of Indenture.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Authenticating Agent.</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61" w:name="page62"/>
    <w:bookmarkEnd w:id="61"/>
    <w:p>
      <w:pPr>
        <w:ind w:right="2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Global Securities</w:t>
      </w:r>
    </w:p>
    <w:p>
      <w:pPr>
        <w:spacing w:after="0" w:line="225" w:lineRule="exact"/>
        <w:rPr>
          <w:sz w:val="20"/>
          <w:szCs w:val="20"/>
          <w:color w:val="auto"/>
        </w:rPr>
      </w:pPr>
    </w:p>
    <w:p>
      <w:pPr>
        <w:ind w:left="760" w:hanging="374"/>
        <w:spacing w:after="0" w:line="272" w:lineRule="auto"/>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77" w:lineRule="exact"/>
        <w:rPr>
          <w:rFonts w:ascii="Arial" w:cs="Arial" w:eastAsia="Arial" w:hAnsi="Arial"/>
          <w:sz w:val="17"/>
          <w:szCs w:val="17"/>
          <w:color w:val="auto"/>
        </w:rPr>
      </w:pPr>
    </w:p>
    <w:p>
      <w:pPr>
        <w:ind w:left="760" w:right="460" w:hanging="374"/>
        <w:spacing w:after="0" w:line="264"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1" w:lineRule="exact"/>
        <w:rPr>
          <w:rFonts w:ascii="Arial" w:cs="Arial" w:eastAsia="Arial" w:hAnsi="Arial"/>
          <w:sz w:val="18"/>
          <w:szCs w:val="18"/>
          <w:color w:val="auto"/>
        </w:rPr>
      </w:pPr>
    </w:p>
    <w:p>
      <w:pPr>
        <w:ind w:left="760" w:right="20" w:hanging="374"/>
        <w:spacing w:after="0" w:line="285" w:lineRule="auto"/>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OF SECURITIES AND SINKING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FUND PROVISIONS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color w:val="auto"/>
        </w:rPr>
        <w:t>Redemption.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color w:val="auto"/>
        </w:rPr>
        <w:t>Notice of Redemption.</w:t>
      </w:r>
    </w:p>
    <w:p>
      <w:pPr>
        <w:spacing w:after="0" w:line="225" w:lineRule="exact"/>
        <w:rPr>
          <w:sz w:val="20"/>
          <w:szCs w:val="20"/>
          <w:color w:val="auto"/>
        </w:rPr>
      </w:pPr>
    </w:p>
    <w:p>
      <w:pPr>
        <w:ind w:left="760" w:hanging="374"/>
        <w:spacing w:after="0" w:line="288" w:lineRule="auto"/>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66" w:lineRule="exact"/>
        <w:rPr>
          <w:sz w:val="20"/>
          <w:szCs w:val="20"/>
          <w:color w:val="auto"/>
        </w:rPr>
      </w:pPr>
    </w:p>
    <w:p>
      <w:pPr>
        <w:ind w:left="760" w:right="20" w:hanging="374"/>
        <w:spacing w:after="0" w:line="270" w:lineRule="auto"/>
        <w:tabs>
          <w:tab w:leader="none" w:pos="7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3" w:name="page64"/>
    <w:bookmarkEnd w:id="63"/>
    <w:p>
      <w:pPr>
        <w:jc w:val="both"/>
        <w:ind w:left="7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t>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color w:val="auto"/>
        </w:rPr>
        <w:t>Payment Upon Redemption.</w:t>
      </w:r>
    </w:p>
    <w:p>
      <w:pPr>
        <w:spacing w:after="0" w:line="225" w:lineRule="exact"/>
        <w:rPr>
          <w:sz w:val="20"/>
          <w:szCs w:val="20"/>
          <w:color w:val="auto"/>
        </w:rPr>
      </w:pPr>
    </w:p>
    <w:p>
      <w:pPr>
        <w:ind w:left="760" w:right="20" w:hanging="374"/>
        <w:spacing w:after="0" w:line="290"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6" w:lineRule="exact"/>
        <w:rPr>
          <w:rFonts w:ascii="Arial" w:cs="Arial" w:eastAsia="Arial" w:hAnsi="Arial"/>
          <w:sz w:val="16"/>
          <w:szCs w:val="16"/>
          <w:color w:val="auto"/>
        </w:rPr>
      </w:pPr>
    </w:p>
    <w:p>
      <w:pPr>
        <w:ind w:left="760" w:right="200" w:hanging="374"/>
        <w:spacing w:after="0" w:line="312"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Sinking Fund.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color w:val="auto"/>
        </w:rPr>
        <w:t>Satisfaction of Sinking Fund Payments with Securities.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4" w:name="page65"/>
    <w:bookmarkEnd w:id="64"/>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3.06</w:t>
      </w:r>
      <w:r>
        <w:rPr>
          <w:sz w:val="20"/>
          <w:szCs w:val="20"/>
          <w:color w:val="auto"/>
        </w:rPr>
        <w:tab/>
      </w:r>
      <w:r>
        <w:rPr>
          <w:rFonts w:ascii="Arial" w:cs="Arial" w:eastAsia="Arial" w:hAnsi="Arial"/>
          <w:sz w:val="16"/>
          <w:szCs w:val="16"/>
          <w:color w:val="auto"/>
        </w:rPr>
        <w:t>Redemption of Securities for Sinking Fund.</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color w:val="auto"/>
        </w:rPr>
        <w:t>Payment of Principal, Premium and Interest.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color w:val="auto"/>
        </w:rPr>
        <w:t>Maintenance of Office or Agency.</w:t>
      </w:r>
    </w:p>
    <w:p>
      <w:pPr>
        <w:spacing w:after="0" w:line="22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w:t>
      </w:r>
    </w:p>
    <w:p>
      <w:pPr>
        <w:ind w:firstLine="8"/>
        <w:spacing w:after="0" w:line="252" w:lineRule="auto"/>
        <w:tabs>
          <w:tab w:leader="none" w:pos="2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color w:val="auto"/>
        </w:rPr>
        <w:t>Paying Agents.</w:t>
      </w:r>
    </w:p>
    <w:p>
      <w:pPr>
        <w:spacing w:after="0" w:line="225" w:lineRule="exact"/>
        <w:rPr>
          <w:sz w:val="20"/>
          <w:szCs w:val="20"/>
          <w:color w:val="auto"/>
        </w:rPr>
      </w:pPr>
    </w:p>
    <w:p>
      <w:pPr>
        <w:jc w:val="both"/>
        <w:ind w:left="760" w:right="80" w:hanging="374"/>
        <w:spacing w:after="0" w:line="264"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1" w:lineRule="exact"/>
        <w:rPr>
          <w:rFonts w:ascii="Arial" w:cs="Arial" w:eastAsia="Arial" w:hAnsi="Arial"/>
          <w:sz w:val="18"/>
          <w:szCs w:val="18"/>
          <w:color w:val="auto"/>
        </w:rPr>
      </w:pPr>
    </w:p>
    <w:p>
      <w:pPr>
        <w:ind w:left="1300" w:right="60" w:hanging="522"/>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1" w:lineRule="exact"/>
        <w:rPr>
          <w:rFonts w:ascii="Arial" w:cs="Arial" w:eastAsia="Arial" w:hAnsi="Arial"/>
          <w:sz w:val="18"/>
          <w:szCs w:val="18"/>
          <w:color w:val="auto"/>
        </w:rPr>
      </w:pPr>
    </w:p>
    <w:p>
      <w:pPr>
        <w:ind w:left="1300" w:right="240" w:hanging="522"/>
        <w:spacing w:after="0" w:line="308" w:lineRule="auto"/>
        <w:tabs>
          <w:tab w:leader="none" w:pos="13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6" w:lineRule="exact"/>
        <w:rPr>
          <w:rFonts w:ascii="Arial" w:cs="Arial" w:eastAsia="Arial" w:hAnsi="Arial"/>
          <w:sz w:val="17"/>
          <w:szCs w:val="17"/>
          <w:color w:val="auto"/>
        </w:rPr>
      </w:pPr>
    </w:p>
    <w:p>
      <w:pPr>
        <w:ind w:left="1300" w:right="40" w:hanging="522"/>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1300" w:hanging="522"/>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65" w:name="page66"/>
    <w:bookmarkEnd w:id="65"/>
    <w:p>
      <w:pPr>
        <w:ind w:left="760" w:right="20" w:hanging="374"/>
        <w:spacing w:after="0" w:line="270" w:lineRule="auto"/>
        <w:tabs>
          <w:tab w:leader="none" w:pos="760"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81" w:lineRule="exact"/>
        <w:rPr>
          <w:rFonts w:ascii="Arial" w:cs="Arial" w:eastAsia="Arial" w:hAnsi="Arial"/>
          <w:sz w:val="17"/>
          <w:szCs w:val="17"/>
          <w:color w:val="auto"/>
        </w:rPr>
      </w:pPr>
    </w:p>
    <w:p>
      <w:pPr>
        <w:ind w:left="760" w:right="20" w:hanging="374"/>
        <w:spacing w:after="0" w:line="297" w:lineRule="auto"/>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color w:val="auto"/>
        </w:rPr>
        <w:t>Appointment to Fill Vacancy in Office of Trustee.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color w:val="auto"/>
        </w:rPr>
        <w:t>Compliance with Consolidation Provisions.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SECURITYHOLDERS’ LISTS AND REPORTS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THE COMPANY AND THE TRUSTEE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color w:val="auto"/>
        </w:rPr>
        <w:t>Company to Furnish Trustee Names and Addresses of Securityholders.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color w:val="auto"/>
        </w:rPr>
        <w:t>Preservation Of Information; Communications With Securityholders.</w:t>
      </w:r>
    </w:p>
    <w:p>
      <w:pPr>
        <w:spacing w:after="0" w:line="225" w:lineRule="exact"/>
        <w:rPr>
          <w:sz w:val="20"/>
          <w:szCs w:val="20"/>
          <w:color w:val="auto"/>
        </w:rPr>
      </w:pPr>
    </w:p>
    <w:p>
      <w:pPr>
        <w:ind w:left="760" w:right="60" w:hanging="374"/>
        <w:spacing w:after="0" w:line="259"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6" w:name="page67"/>
    <w:bookmarkEnd w:id="66"/>
    <w:p>
      <w:pPr>
        <w:ind w:left="760" w:hanging="374"/>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Trustee may destroy any list furnished to it as provided in Section 5.01 upon receipt of a new list so furnished.</w:t>
      </w:r>
    </w:p>
    <w:p>
      <w:pPr>
        <w:spacing w:after="0" w:line="225"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color w:val="auto"/>
        </w:rPr>
        <w:t>Reports by the Company.</w:t>
      </w:r>
    </w:p>
    <w:p>
      <w:pPr>
        <w:spacing w:after="0" w:line="225" w:lineRule="exact"/>
        <w:rPr>
          <w:sz w:val="20"/>
          <w:szCs w:val="20"/>
          <w:color w:val="auto"/>
        </w:rPr>
      </w:pPr>
    </w:p>
    <w:p>
      <w:pPr>
        <w:ind w:left="760" w:right="100" w:hanging="374"/>
        <w:spacing w:after="0" w:line="270" w:lineRule="auto"/>
        <w:tabs>
          <w:tab w:leader="none" w:pos="7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77" w:lineRule="exact"/>
        <w:rPr>
          <w:rFonts w:ascii="Arial" w:cs="Arial" w:eastAsia="Arial" w:hAnsi="Arial"/>
          <w:sz w:val="17"/>
          <w:szCs w:val="17"/>
          <w:color w:val="auto"/>
        </w:rPr>
      </w:pPr>
    </w:p>
    <w:p>
      <w:pPr>
        <w:ind w:left="760" w:right="140" w:hanging="374"/>
        <w:spacing w:after="0" w:line="286" w:lineRule="auto"/>
        <w:tabs>
          <w:tab w:leader="none" w:pos="7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65" w:lineRule="exact"/>
        <w:rPr>
          <w:rFonts w:ascii="Arial" w:cs="Arial" w:eastAsia="Arial" w:hAnsi="Arial"/>
          <w:sz w:val="17"/>
          <w:szCs w:val="17"/>
          <w:color w:val="auto"/>
        </w:rPr>
      </w:pPr>
    </w:p>
    <w:p>
      <w:pPr>
        <w:ind w:left="760" w:right="200" w:hanging="374"/>
        <w:spacing w:after="0" w:line="288" w:lineRule="auto"/>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w:t>
      </w:r>
    </w:p>
    <w:p>
      <w:pPr>
        <w:ind w:left="760"/>
        <w:spacing w:after="0"/>
        <w:rPr>
          <w:rFonts w:ascii="Arial" w:cs="Arial" w:eastAsia="Arial" w:hAnsi="Arial"/>
          <w:sz w:val="16"/>
          <w:szCs w:val="16"/>
          <w:color w:val="auto"/>
        </w:rPr>
      </w:pPr>
      <w:r>
        <w:rPr>
          <w:rFonts w:ascii="Arial" w:cs="Arial" w:eastAsia="Arial" w:hAnsi="Arial"/>
          <w:sz w:val="18"/>
          <w:szCs w:val="18"/>
          <w:color w:val="auto"/>
        </w:rPr>
        <w:t>(b) of this Section as may be required by rules and regulations prescribed from time to time by the Commission.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color w:val="auto"/>
        </w:rPr>
        <w:t>Reports by the Trustee.</w:t>
      </w:r>
    </w:p>
    <w:p>
      <w:pPr>
        <w:spacing w:after="0" w:line="225" w:lineRule="exact"/>
        <w:rPr>
          <w:sz w:val="20"/>
          <w:szCs w:val="20"/>
          <w:color w:val="auto"/>
        </w:rPr>
      </w:pPr>
    </w:p>
    <w:p>
      <w:pPr>
        <w:ind w:left="760" w:hanging="374"/>
        <w:spacing w:after="0" w:line="342" w:lineRule="auto"/>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23" w:lineRule="exact"/>
        <w:rPr>
          <w:rFonts w:ascii="Arial" w:cs="Arial" w:eastAsia="Arial" w:hAnsi="Arial"/>
          <w:sz w:val="16"/>
          <w:szCs w:val="16"/>
          <w:color w:val="auto"/>
        </w:rPr>
      </w:pPr>
    </w:p>
    <w:p>
      <w:pPr>
        <w:ind w:left="760" w:right="200" w:hanging="374"/>
        <w:spacing w:after="0" w:line="286" w:lineRule="auto"/>
        <w:tabs>
          <w:tab w:leader="none" w:pos="7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 OF THE TRUSTEE AND SECURITYHOLDERS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EVENT OF DEFAULT</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color w:val="auto"/>
        </w:rPr>
        <w:t>Events of Default.</w:t>
      </w:r>
    </w:p>
    <w:p>
      <w:pPr>
        <w:spacing w:after="0" w:line="225" w:lineRule="exact"/>
        <w:rPr>
          <w:sz w:val="20"/>
          <w:szCs w:val="20"/>
          <w:color w:val="auto"/>
        </w:rPr>
      </w:pPr>
    </w:p>
    <w:p>
      <w:pPr>
        <w:ind w:left="760" w:right="200" w:hanging="374"/>
        <w:spacing w:after="0" w:line="277"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rFonts w:ascii="Arial" w:cs="Arial" w:eastAsia="Arial" w:hAnsi="Arial"/>
          <w:sz w:val="18"/>
          <w:szCs w:val="18"/>
          <w:color w:val="auto"/>
        </w:rPr>
      </w:pPr>
    </w:p>
    <w:p>
      <w:pPr>
        <w:ind w:left="1300" w:right="240" w:hanging="522"/>
        <w:spacing w:after="0" w:line="259"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color w:val="auto"/>
        </w:rPr>
      </w:pPr>
    </w:p>
    <w:p>
      <w:pPr>
        <w:ind w:left="1300" w:hanging="522"/>
        <w:spacing w:after="0" w:line="302"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54" w:lineRule="exact"/>
        <w:rPr>
          <w:rFonts w:ascii="Arial" w:cs="Arial" w:eastAsia="Arial" w:hAnsi="Arial"/>
          <w:sz w:val="16"/>
          <w:szCs w:val="16"/>
          <w:color w:val="auto"/>
        </w:rPr>
      </w:pPr>
    </w:p>
    <w:p>
      <w:pPr>
        <w:ind w:left="1300" w:right="40" w:hanging="522"/>
        <w:spacing w:after="0" w:line="284"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 (4)the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w:t>
      </w:r>
    </w:p>
    <w:p>
      <w:pPr>
        <w:spacing w:after="0" w:line="1" w:lineRule="exact"/>
        <w:rPr>
          <w:rFonts w:ascii="Arial" w:cs="Arial" w:eastAsia="Arial" w:hAnsi="Arial"/>
          <w:sz w:val="16"/>
          <w:szCs w:val="16"/>
          <w:color w:val="auto"/>
        </w:rPr>
      </w:pPr>
    </w:p>
    <w:p>
      <w:pPr>
        <w:ind w:left="1300" w:right="60"/>
        <w:spacing w:after="0" w:line="302" w:lineRule="auto"/>
        <w:rPr>
          <w:rFonts w:ascii="Arial" w:cs="Arial" w:eastAsia="Arial" w:hAnsi="Arial"/>
          <w:sz w:val="16"/>
          <w:szCs w:val="16"/>
          <w:color w:val="auto"/>
        </w:rPr>
      </w:pPr>
      <w:r>
        <w:rPr>
          <w:rFonts w:ascii="Arial" w:cs="Arial" w:eastAsia="Arial" w:hAnsi="Arial"/>
          <w:sz w:val="16"/>
          <w:szCs w:val="16"/>
          <w:color w:val="auto"/>
        </w:rPr>
        <w:t>(iv) makes a general assignment for the benefit of its creditors; or (5)a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155" w:lineRule="exact"/>
        <w:rPr>
          <w:rFonts w:ascii="Arial" w:cs="Arial" w:eastAsia="Arial" w:hAnsi="Arial"/>
          <w:sz w:val="16"/>
          <w:szCs w:val="16"/>
          <w:color w:val="auto"/>
        </w:rPr>
      </w:pPr>
    </w:p>
    <w:p>
      <w:pPr>
        <w:ind w:left="760" w:right="20" w:hanging="374"/>
        <w:spacing w:after="0" w:line="273" w:lineRule="auto"/>
        <w:tabs>
          <w:tab w:leader="none" w:pos="7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hall become and shall be immediately due and payable.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8" w:name="page69"/>
    <w:bookmarkEnd w:id="68"/>
    <w:p>
      <w:pPr>
        <w:ind w:left="760" w:right="20" w:hanging="374"/>
        <w:spacing w:after="0" w:line="269" w:lineRule="auto"/>
        <w:tabs>
          <w:tab w:leader="none" w:pos="760"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82" w:lineRule="exact"/>
        <w:rPr>
          <w:rFonts w:ascii="Arial" w:cs="Arial" w:eastAsia="Arial" w:hAnsi="Arial"/>
          <w:sz w:val="17"/>
          <w:szCs w:val="17"/>
          <w:color w:val="auto"/>
        </w:rPr>
      </w:pPr>
    </w:p>
    <w:p>
      <w:pPr>
        <w:ind w:left="760" w:right="380" w:hanging="374"/>
        <w:spacing w:after="0" w:line="257"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color w:val="auto"/>
        </w:rPr>
        <w:t>Collection of Indebtedness and Suits for Enforcement by Trustee.</w:t>
      </w:r>
    </w:p>
    <w:p>
      <w:pPr>
        <w:spacing w:after="0" w:line="225" w:lineRule="exact"/>
        <w:rPr>
          <w:sz w:val="20"/>
          <w:szCs w:val="20"/>
          <w:color w:val="auto"/>
        </w:rPr>
      </w:pPr>
    </w:p>
    <w:p>
      <w:pPr>
        <w:ind w:left="760" w:right="40" w:hanging="374"/>
        <w:spacing w:after="0" w:line="270" w:lineRule="auto"/>
        <w:tabs>
          <w:tab w:leader="none" w:pos="7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77" w:lineRule="exact"/>
        <w:rPr>
          <w:rFonts w:ascii="Arial" w:cs="Arial" w:eastAsia="Arial" w:hAnsi="Arial"/>
          <w:sz w:val="17"/>
          <w:szCs w:val="17"/>
          <w:color w:val="auto"/>
        </w:rPr>
      </w:pPr>
    </w:p>
    <w:p>
      <w:pPr>
        <w:ind w:left="760" w:right="80" w:hanging="374"/>
        <w:spacing w:after="0" w:line="276" w:lineRule="auto"/>
        <w:tabs>
          <w:tab w:leader="none" w:pos="7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72" w:lineRule="exact"/>
        <w:rPr>
          <w:rFonts w:ascii="Arial" w:cs="Arial" w:eastAsia="Arial" w:hAnsi="Arial"/>
          <w:sz w:val="17"/>
          <w:szCs w:val="17"/>
          <w:color w:val="auto"/>
        </w:rPr>
      </w:pPr>
    </w:p>
    <w:p>
      <w:pPr>
        <w:ind w:left="760" w:hanging="374"/>
        <w:spacing w:after="0" w:line="270" w:lineRule="auto"/>
        <w:tabs>
          <w:tab w:leader="none" w:pos="7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9" w:name="page70"/>
    <w:bookmarkEnd w:id="69"/>
    <w:p>
      <w:pPr>
        <w:ind w:left="760" w:hanging="374"/>
        <w:spacing w:after="0" w:line="257"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color w:val="auto"/>
        </w:rPr>
        <w:t>Application of Moneys Collected.</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FIRST: To the payment of costs and expenses of collection and of all amounts payable to the Trustee under Section 7.06; and</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7"/>
          <w:szCs w:val="17"/>
          <w:color w:val="auto"/>
        </w:rPr>
        <w:t>Limitation on Suits.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0" w:name="page71"/>
    <w:bookmarkEnd w:id="7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color w:val="auto"/>
        </w:rPr>
        <w:t>Rights and Remedies Cumulative; Delay or Omission Not Waiver.</w:t>
      </w:r>
    </w:p>
    <w:p>
      <w:pPr>
        <w:spacing w:after="0" w:line="225" w:lineRule="exact"/>
        <w:rPr>
          <w:sz w:val="20"/>
          <w:szCs w:val="20"/>
          <w:color w:val="auto"/>
        </w:rPr>
      </w:pPr>
    </w:p>
    <w:p>
      <w:pPr>
        <w:ind w:left="760" w:right="240" w:hanging="374"/>
        <w:spacing w:after="0" w:line="259"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color w:val="auto"/>
        </w:rPr>
      </w:pPr>
    </w:p>
    <w:p>
      <w:pPr>
        <w:ind w:left="760" w:right="200" w:hanging="374"/>
        <w:spacing w:after="0" w:line="302" w:lineRule="auto"/>
        <w:tabs>
          <w:tab w:leader="none" w:pos="7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color w:val="auto"/>
        </w:rPr>
        <w:t>Control by Securityholders.</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 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71" w:name="page72"/>
    <w:bookmarkEnd w:id="71"/>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6.07</w:t>
      </w:r>
      <w:r>
        <w:rPr>
          <w:sz w:val="20"/>
          <w:szCs w:val="20"/>
          <w:color w:val="auto"/>
        </w:rPr>
        <w:tab/>
      </w:r>
      <w:r>
        <w:rPr>
          <w:rFonts w:ascii="Arial" w:cs="Arial" w:eastAsia="Arial" w:hAnsi="Arial"/>
          <w:sz w:val="16"/>
          <w:szCs w:val="16"/>
          <w:color w:val="auto"/>
        </w:rPr>
        <w:t>Undertaking to Pay Costs.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CONCERNING THE TRUSTEE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color w:val="auto"/>
        </w:rPr>
        <w:t>Certain Duties and Responsibilities of Trustee.</w:t>
      </w:r>
    </w:p>
    <w:p>
      <w:pPr>
        <w:spacing w:after="0" w:line="225" w:lineRule="exact"/>
        <w:rPr>
          <w:sz w:val="20"/>
          <w:szCs w:val="20"/>
          <w:color w:val="auto"/>
        </w:rPr>
      </w:pPr>
    </w:p>
    <w:p>
      <w:pPr>
        <w:ind w:left="760" w:right="280" w:hanging="374"/>
        <w:spacing w:after="0" w:line="293" w:lineRule="auto"/>
        <w:tabs>
          <w:tab w:leader="none" w:pos="7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64" w:lineRule="exact"/>
        <w:rPr>
          <w:rFonts w:ascii="Arial" w:cs="Arial" w:eastAsia="Arial" w:hAnsi="Arial"/>
          <w:sz w:val="16"/>
          <w:szCs w:val="16"/>
          <w:color w:val="auto"/>
        </w:rPr>
      </w:pPr>
    </w:p>
    <w:p>
      <w:pPr>
        <w:ind w:left="760" w:hanging="374"/>
        <w:spacing w:after="0" w:line="277" w:lineRule="auto"/>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300" w:right="120" w:hanging="522"/>
        <w:spacing w:after="0" w:line="277"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color w:val="auto"/>
        </w:rPr>
      </w:pPr>
    </w:p>
    <w:p>
      <w:pPr>
        <w:ind w:left="1820" w:right="300" w:hanging="515"/>
        <w:spacing w:after="0" w:line="259" w:lineRule="auto"/>
        <w:tabs>
          <w:tab w:leader="none" w:pos="18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72" w:name="page73"/>
    <w:bookmarkEnd w:id="72"/>
    <w:p>
      <w:pPr>
        <w:ind w:left="1820" w:right="120" w:hanging="515"/>
        <w:spacing w:after="0" w:line="276" w:lineRule="auto"/>
        <w:tabs>
          <w:tab w:leader="none" w:pos="1820" w:val="left"/>
        </w:tabs>
        <w:numPr>
          <w:ilvl w:val="1"/>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72" w:lineRule="exact"/>
        <w:rPr>
          <w:rFonts w:ascii="Arial" w:cs="Arial" w:eastAsia="Arial" w:hAnsi="Arial"/>
          <w:sz w:val="17"/>
          <w:szCs w:val="17"/>
          <w:color w:val="auto"/>
        </w:rPr>
      </w:pPr>
    </w:p>
    <w:p>
      <w:pPr>
        <w:ind w:left="1300" w:right="40" w:hanging="522"/>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ind w:left="1300" w:hanging="522"/>
        <w:spacing w:after="0" w:line="259"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86" w:lineRule="exact"/>
        <w:rPr>
          <w:rFonts w:ascii="Arial" w:cs="Arial" w:eastAsia="Arial" w:hAnsi="Arial"/>
          <w:sz w:val="18"/>
          <w:szCs w:val="18"/>
          <w:color w:val="auto"/>
        </w:rPr>
      </w:pPr>
    </w:p>
    <w:p>
      <w:pPr>
        <w:ind w:left="1300" w:hanging="522"/>
        <w:spacing w:after="0" w:line="259"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color w:val="auto"/>
        </w:rPr>
        <w:t>Certain Rights of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ind w:left="760" w:right="120" w:hanging="374"/>
        <w:spacing w:after="0" w:line="264" w:lineRule="auto"/>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left="760" w:right="120" w:hanging="374"/>
        <w:spacing w:after="0" w:line="286" w:lineRule="auto"/>
        <w:tabs>
          <w:tab w:leader="none" w:pos="7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165" w:lineRule="exact"/>
        <w:rPr>
          <w:rFonts w:ascii="Arial" w:cs="Arial" w:eastAsia="Arial" w:hAnsi="Arial"/>
          <w:sz w:val="17"/>
          <w:szCs w:val="17"/>
          <w:color w:val="auto"/>
        </w:rPr>
      </w:pPr>
    </w:p>
    <w:p>
      <w:pPr>
        <w:ind w:left="760" w:right="220" w:hanging="374"/>
        <w:spacing w:after="0" w:line="277" w:lineRule="auto"/>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70" w:lineRule="exact"/>
        <w:rPr>
          <w:rFonts w:ascii="Arial" w:cs="Arial" w:eastAsia="Arial" w:hAnsi="Arial"/>
          <w:sz w:val="18"/>
          <w:szCs w:val="18"/>
          <w:color w:val="auto"/>
        </w:rPr>
      </w:pPr>
    </w:p>
    <w:p>
      <w:pPr>
        <w:ind w:left="760" w:hanging="374"/>
        <w:spacing w:after="0" w:line="293" w:lineRule="auto"/>
        <w:tabs>
          <w:tab w:leader="none" w:pos="7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73" w:name="page74"/>
    <w:bookmarkEnd w:id="73"/>
    <w:p>
      <w:pPr>
        <w:ind w:left="760" w:right="480" w:hanging="374"/>
        <w:spacing w:after="0" w:line="277"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760" w:right="20" w:hanging="374"/>
        <w:spacing w:after="0" w:line="254"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92" w:lineRule="exact"/>
        <w:rPr>
          <w:rFonts w:ascii="Arial" w:cs="Arial" w:eastAsia="Arial" w:hAnsi="Arial"/>
          <w:sz w:val="18"/>
          <w:szCs w:val="18"/>
          <w:color w:val="auto"/>
        </w:rPr>
      </w:pPr>
    </w:p>
    <w:p>
      <w:pPr>
        <w:ind w:left="760" w:right="20" w:hanging="374"/>
        <w:spacing w:after="0" w:line="264"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color w:val="auto"/>
        </w:rPr>
        <w:t>Trustee Not Responsible for Recitals or Issuance of Securities.</w:t>
      </w:r>
    </w:p>
    <w:p>
      <w:pPr>
        <w:spacing w:after="0" w:line="225" w:lineRule="exact"/>
        <w:rPr>
          <w:sz w:val="20"/>
          <w:szCs w:val="20"/>
          <w:color w:val="auto"/>
        </w:rPr>
      </w:pPr>
    </w:p>
    <w:p>
      <w:pPr>
        <w:ind w:left="760" w:right="160" w:hanging="374"/>
        <w:spacing w:after="0" w:line="277" w:lineRule="auto"/>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color w:val="auto"/>
        </w:rPr>
      </w:pPr>
    </w:p>
    <w:p>
      <w:pPr>
        <w:ind w:left="760" w:hanging="374"/>
        <w:spacing w:after="0" w:line="286" w:lineRule="auto"/>
        <w:tabs>
          <w:tab w:leader="none" w:pos="7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color w:val="auto"/>
        </w:rPr>
        <w:t>May Hold Securities.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color w:val="auto"/>
        </w:rPr>
        <w:t>Moneys Held in Trust.</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74" w:name="page75"/>
    <w:bookmarkEnd w:id="74"/>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7.06</w:t>
      </w:r>
      <w:r>
        <w:rPr>
          <w:sz w:val="20"/>
          <w:szCs w:val="20"/>
          <w:color w:val="auto"/>
        </w:rPr>
        <w:tab/>
      </w:r>
      <w:r>
        <w:rPr>
          <w:rFonts w:ascii="Arial" w:cs="Arial" w:eastAsia="Arial" w:hAnsi="Arial"/>
          <w:sz w:val="16"/>
          <w:szCs w:val="16"/>
          <w:color w:val="auto"/>
        </w:rPr>
        <w:t>Compensation and Reimbursement.</w:t>
      </w:r>
    </w:p>
    <w:p>
      <w:pPr>
        <w:spacing w:after="0" w:line="225" w:lineRule="exact"/>
        <w:rPr>
          <w:sz w:val="20"/>
          <w:szCs w:val="20"/>
          <w:color w:val="auto"/>
        </w:rPr>
      </w:pPr>
    </w:p>
    <w:p>
      <w:pPr>
        <w:ind w:left="760" w:right="60" w:hanging="374"/>
        <w:spacing w:after="0" w:line="288" w:lineRule="auto"/>
        <w:tabs>
          <w:tab w:leader="none" w:pos="7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169" w:lineRule="exact"/>
        <w:rPr>
          <w:rFonts w:ascii="Arial" w:cs="Arial" w:eastAsia="Arial" w:hAnsi="Arial"/>
          <w:sz w:val="16"/>
          <w:szCs w:val="16"/>
          <w:color w:val="auto"/>
        </w:rPr>
      </w:pPr>
    </w:p>
    <w:p>
      <w:pPr>
        <w:ind w:left="760" w:hanging="374"/>
        <w:spacing w:after="0" w:line="259" w:lineRule="auto"/>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color w:val="auto"/>
        </w:rPr>
        <w:t>Reliance on Officers’ Certificate.</w:t>
      </w:r>
    </w:p>
    <w:p>
      <w:pPr>
        <w:spacing w:after="0" w:line="22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7"/>
          <w:szCs w:val="17"/>
          <w:color w:val="auto"/>
        </w:rPr>
        <w:t>Disqualification; Conflicting Interests.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color w:val="auto"/>
        </w:rPr>
        <w:t>Corporate Trustee Required; Eligibility.</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75" w:name="page76"/>
    <w:bookmarkEnd w:id="75"/>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7.10</w:t>
      </w:r>
      <w:r>
        <w:rPr>
          <w:sz w:val="20"/>
          <w:szCs w:val="20"/>
          <w:color w:val="auto"/>
        </w:rPr>
        <w:tab/>
      </w:r>
      <w:r>
        <w:rPr>
          <w:rFonts w:ascii="Arial" w:cs="Arial" w:eastAsia="Arial" w:hAnsi="Arial"/>
          <w:sz w:val="16"/>
          <w:szCs w:val="16"/>
          <w:color w:val="auto"/>
        </w:rPr>
        <w:t>Resignation and Removal; Appointment of Successor.</w:t>
      </w:r>
    </w:p>
    <w:p>
      <w:pPr>
        <w:spacing w:after="0" w:line="225" w:lineRule="exact"/>
        <w:rPr>
          <w:sz w:val="20"/>
          <w:szCs w:val="20"/>
          <w:color w:val="auto"/>
        </w:rPr>
      </w:pPr>
    </w:p>
    <w:p>
      <w:pPr>
        <w:ind w:left="760" w:right="20" w:hanging="374"/>
        <w:spacing w:after="0" w:line="270" w:lineRule="auto"/>
        <w:tabs>
          <w:tab w:leader="none" w:pos="7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77" w:lineRule="exact"/>
        <w:rPr>
          <w:rFonts w:ascii="Arial" w:cs="Arial" w:eastAsia="Arial" w:hAnsi="Arial"/>
          <w:sz w:val="17"/>
          <w:szCs w:val="17"/>
          <w:color w:val="auto"/>
        </w:rPr>
      </w:pPr>
    </w:p>
    <w:p>
      <w:pPr>
        <w:ind w:left="760" w:hanging="374"/>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left="1300" w:right="160" w:hanging="522"/>
        <w:spacing w:after="0" w:line="277"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color w:val="auto"/>
        </w:rPr>
      </w:pPr>
    </w:p>
    <w:p>
      <w:pPr>
        <w:ind w:left="1300" w:right="160" w:hanging="522"/>
        <w:spacing w:after="0" w:line="277"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ind w:left="1300" w:hanging="522"/>
        <w:spacing w:after="0" w:line="270" w:lineRule="auto"/>
        <w:tabs>
          <w:tab w:leader="none" w:pos="13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1" w:lineRule="exact"/>
        <w:rPr>
          <w:rFonts w:ascii="Arial" w:cs="Arial" w:eastAsia="Arial" w:hAnsi="Arial"/>
          <w:sz w:val="17"/>
          <w:szCs w:val="17"/>
          <w:color w:val="auto"/>
        </w:rPr>
      </w:pPr>
    </w:p>
    <w:p>
      <w:pPr>
        <w:ind w:left="760" w:right="20" w:hanging="374"/>
        <w:spacing w:after="0" w:line="264"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1" w:lineRule="exact"/>
        <w:rPr>
          <w:rFonts w:ascii="Arial" w:cs="Arial" w:eastAsia="Arial" w:hAnsi="Arial"/>
          <w:sz w:val="18"/>
          <w:szCs w:val="18"/>
          <w:color w:val="auto"/>
        </w:rPr>
      </w:pPr>
    </w:p>
    <w:p>
      <w:pPr>
        <w:ind w:left="760" w:right="300" w:hanging="374"/>
        <w:spacing w:after="0" w:line="342" w:lineRule="auto"/>
        <w:tabs>
          <w:tab w:leader="none" w:pos="7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3" w:lineRule="exact"/>
        <w:rPr>
          <w:rFonts w:ascii="Arial" w:cs="Arial" w:eastAsia="Arial" w:hAnsi="Arial"/>
          <w:sz w:val="16"/>
          <w:szCs w:val="16"/>
          <w:color w:val="auto"/>
        </w:rPr>
      </w:pPr>
    </w:p>
    <w:p>
      <w:pPr>
        <w:ind w:left="760" w:right="80" w:hanging="374"/>
        <w:spacing w:after="0" w:line="277"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color w:val="auto"/>
        </w:rPr>
        <w:t>Acceptance of Appointment By Successor.</w:t>
      </w:r>
    </w:p>
    <w:p>
      <w:pPr>
        <w:spacing w:after="0" w:line="225" w:lineRule="exact"/>
        <w:rPr>
          <w:sz w:val="20"/>
          <w:szCs w:val="20"/>
          <w:color w:val="auto"/>
        </w:rPr>
      </w:pPr>
    </w:p>
    <w:p>
      <w:pPr>
        <w:ind w:left="760" w:right="60" w:hanging="374"/>
        <w:spacing w:after="0" w:line="255" w:lineRule="auto"/>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6" w:name="page77"/>
    <w:bookmarkEnd w:id="76"/>
    <w:p>
      <w:pPr>
        <w:ind w:left="760" w:hanging="374"/>
        <w:spacing w:after="0" w:line="285" w:lineRule="auto"/>
        <w:tabs>
          <w:tab w:leader="none" w:pos="760"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70" w:lineRule="exact"/>
        <w:rPr>
          <w:rFonts w:ascii="Arial" w:cs="Arial" w:eastAsia="Arial" w:hAnsi="Arial"/>
          <w:sz w:val="16"/>
          <w:szCs w:val="16"/>
          <w:color w:val="auto"/>
        </w:rPr>
      </w:pPr>
    </w:p>
    <w:p>
      <w:pPr>
        <w:ind w:left="760" w:right="600" w:hanging="374"/>
        <w:spacing w:after="0" w:line="342" w:lineRule="auto"/>
        <w:tabs>
          <w:tab w:leader="none" w:pos="7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left="760" w:right="140" w:hanging="374"/>
        <w:spacing w:after="0" w:line="277" w:lineRule="auto"/>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color w:val="auto"/>
        </w:rPr>
      </w:pPr>
    </w:p>
    <w:p>
      <w:pPr>
        <w:ind w:left="760" w:right="60" w:hanging="374"/>
        <w:spacing w:after="0" w:line="259" w:lineRule="auto"/>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color w:val="auto"/>
        </w:rPr>
        <w:t>Merger, Conversion, Consolidation or Succession to Business.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77" w:name="page78"/>
    <w:bookmarkEnd w:id="77"/>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7.13</w:t>
      </w:r>
      <w:r>
        <w:rPr>
          <w:sz w:val="20"/>
          <w:szCs w:val="20"/>
          <w:color w:val="auto"/>
        </w:rPr>
        <w:tab/>
      </w:r>
      <w:r>
        <w:rPr>
          <w:rFonts w:ascii="Arial" w:cs="Arial" w:eastAsia="Arial" w:hAnsi="Arial"/>
          <w:sz w:val="16"/>
          <w:szCs w:val="16"/>
          <w:color w:val="auto"/>
        </w:rPr>
        <w:t>Preferential Collection of Claims Against the Company.</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CONCERNING THE SECURITYHOLDERS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color w:val="auto"/>
        </w:rPr>
        <w:t>Evidence of Action by Securityholders.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color w:val="auto"/>
        </w:rPr>
        <w:t>Proof of Execution by Securityholders.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47" w:lineRule="exact"/>
        <w:rPr>
          <w:sz w:val="20"/>
          <w:szCs w:val="20"/>
          <w:color w:val="auto"/>
        </w:rPr>
      </w:pPr>
    </w:p>
    <w:p>
      <w:pPr>
        <w:ind w:left="760" w:hanging="374"/>
        <w:spacing w:after="0"/>
        <w:tabs>
          <w:tab w:leader="none" w:pos="7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fact and date of the execution by any such Person of any instrument may be proved in any reasonable manner acceptable to the Trustee.</w:t>
      </w:r>
    </w:p>
    <w:p>
      <w:pPr>
        <w:spacing w:after="0" w:line="248" w:lineRule="exact"/>
        <w:rPr>
          <w:rFonts w:ascii="Arial" w:cs="Arial" w:eastAsia="Arial" w:hAnsi="Arial"/>
          <w:sz w:val="16"/>
          <w:szCs w:val="16"/>
          <w:color w:val="auto"/>
        </w:rPr>
      </w:pPr>
    </w:p>
    <w:p>
      <w:pPr>
        <w:ind w:left="760" w:hanging="374"/>
        <w:spacing w:after="0"/>
        <w:tabs>
          <w:tab w:leader="none" w:pos="7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ownership of Securities shall be proved by the Security Register of such Securities or by a certificate of the Security Registrar thereof.</w:t>
      </w:r>
    </w:p>
    <w:p>
      <w:pPr>
        <w:spacing w:after="0" w:line="236" w:lineRule="exact"/>
        <w:rPr>
          <w:rFonts w:ascii="Arial" w:cs="Arial" w:eastAsia="Arial" w:hAnsi="Arial"/>
          <w:sz w:val="17"/>
          <w:szCs w:val="17"/>
          <w:color w:val="auto"/>
        </w:rPr>
      </w:pPr>
    </w:p>
    <w:p>
      <w:pPr>
        <w:ind w:left="760" w:hanging="374"/>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78" w:name="page79"/>
    <w:bookmarkEnd w:id="78"/>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8.03</w:t>
      </w:r>
      <w:r>
        <w:rPr>
          <w:sz w:val="20"/>
          <w:szCs w:val="20"/>
          <w:color w:val="auto"/>
        </w:rPr>
        <w:tab/>
      </w:r>
      <w:r>
        <w:rPr>
          <w:rFonts w:ascii="Arial" w:cs="Arial" w:eastAsia="Arial" w:hAnsi="Arial"/>
          <w:sz w:val="16"/>
          <w:szCs w:val="16"/>
          <w:color w:val="auto"/>
        </w:rPr>
        <w:t>Who May be Deemed Owners.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color w:val="auto"/>
        </w:rPr>
        <w:t>Certain Securities Owned by Company Disregarded.</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color w:val="auto"/>
        </w:rPr>
        <w:t>Actions Binding on Future Securityholders.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color w:val="auto"/>
        </w:rPr>
        <w:t>Purposes for Which Meetings May Be Called.</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color w:val="auto"/>
        </w:rPr>
        <w:t>Call Notice and Place of Meetings.</w:t>
      </w:r>
    </w:p>
    <w:p>
      <w:pPr>
        <w:spacing w:after="0" w:line="225" w:lineRule="exact"/>
        <w:rPr>
          <w:sz w:val="20"/>
          <w:szCs w:val="20"/>
          <w:color w:val="auto"/>
        </w:rPr>
      </w:pPr>
    </w:p>
    <w:p>
      <w:pPr>
        <w:ind w:left="760" w:right="20" w:hanging="374"/>
        <w:spacing w:after="0" w:line="255" w:lineRule="auto"/>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9" w:name="page80"/>
    <w:bookmarkEnd w:id="79"/>
    <w:p>
      <w:pPr>
        <w:ind w:left="760" w:right="100" w:hanging="374"/>
        <w:spacing w:after="0" w:line="272" w:lineRule="auto"/>
        <w:tabs>
          <w:tab w:leader="none" w:pos="760" w:val="left"/>
        </w:tabs>
        <w:numPr>
          <w:ilvl w:val="0"/>
          <w:numId w:val="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color w:val="auto"/>
        </w:rPr>
        <w:t>Persons Entitled To Vote at Meetings.</w:t>
      </w:r>
    </w:p>
    <w:p>
      <w:pPr>
        <w:spacing w:after="0" w:line="22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7"/>
          <w:szCs w:val="17"/>
          <w:color w:val="auto"/>
        </w:rPr>
        <w:t>Quorum; Action.</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color w:val="auto"/>
        </w:rPr>
        <w:t>Determination of Voting Rights; Conduct and Adjournment of Meetings.</w:t>
      </w:r>
    </w:p>
    <w:p>
      <w:pPr>
        <w:spacing w:after="0" w:line="225" w:lineRule="exact"/>
        <w:rPr>
          <w:sz w:val="20"/>
          <w:szCs w:val="20"/>
          <w:color w:val="auto"/>
        </w:rPr>
      </w:pPr>
    </w:p>
    <w:p>
      <w:pPr>
        <w:ind w:left="760" w:right="180" w:hanging="374"/>
        <w:spacing w:after="0" w:line="259" w:lineRule="auto"/>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0" w:name="page81"/>
    <w:bookmarkEnd w:id="80"/>
    <w:p>
      <w:pPr>
        <w:ind w:left="760" w:right="40" w:hanging="374"/>
        <w:spacing w:after="0" w:line="257" w:lineRule="auto"/>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8" w:lineRule="exact"/>
        <w:rPr>
          <w:rFonts w:ascii="Arial" w:cs="Arial" w:eastAsia="Arial" w:hAnsi="Arial"/>
          <w:sz w:val="18"/>
          <w:szCs w:val="18"/>
          <w:color w:val="auto"/>
        </w:rPr>
      </w:pPr>
    </w:p>
    <w:p>
      <w:pPr>
        <w:ind w:left="760" w:right="20" w:hanging="374"/>
        <w:spacing w:after="0" w:line="279" w:lineRule="auto"/>
        <w:tabs>
          <w:tab w:leader="none" w:pos="7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71" w:lineRule="exact"/>
        <w:rPr>
          <w:rFonts w:ascii="Arial" w:cs="Arial" w:eastAsia="Arial" w:hAnsi="Arial"/>
          <w:sz w:val="17"/>
          <w:szCs w:val="17"/>
          <w:color w:val="auto"/>
        </w:rPr>
      </w:pPr>
    </w:p>
    <w:p>
      <w:pPr>
        <w:jc w:val="both"/>
        <w:ind w:left="760" w:right="60" w:hanging="374"/>
        <w:spacing w:after="0" w:line="264" w:lineRule="auto"/>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color w:val="auto"/>
        </w:rPr>
        <w:t>Counting Votes and Recording Action of Meetings.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SUPPLEMENTAL INDENTURES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Supplemental Indentures Without the Consent of Securityholders.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1" w:lineRule="exact"/>
        <w:rPr>
          <w:sz w:val="20"/>
          <w:szCs w:val="20"/>
          <w:color w:val="auto"/>
        </w:rPr>
      </w:pPr>
    </w:p>
    <w:p>
      <w:pPr>
        <w:jc w:val="both"/>
        <w:ind w:left="760" w:right="160" w:hanging="374"/>
        <w:spacing w:after="0" w:line="286" w:lineRule="auto"/>
        <w:tabs>
          <w:tab w:leader="none" w:pos="7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81" w:name="page82"/>
    <w:bookmarkEnd w:id="81"/>
    <w:p>
      <w:pPr>
        <w:ind w:left="760" w:hanging="374"/>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t>to comply with Article X;</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jc w:val="both"/>
        <w:ind w:left="760" w:right="440" w:hanging="374"/>
        <w:spacing w:after="0" w:line="264" w:lineRule="auto"/>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81"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color w:val="auto"/>
        </w:rPr>
      </w:pPr>
    </w:p>
    <w:p>
      <w:pPr>
        <w:ind w:left="760" w:right="180" w:hanging="374"/>
        <w:spacing w:after="0" w:line="264" w:lineRule="auto"/>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181" w:lineRule="exact"/>
        <w:rPr>
          <w:rFonts w:ascii="Arial" w:cs="Arial" w:eastAsia="Arial" w:hAnsi="Arial"/>
          <w:sz w:val="18"/>
          <w:szCs w:val="18"/>
          <w:color w:val="auto"/>
        </w:rPr>
      </w:pPr>
    </w:p>
    <w:p>
      <w:pPr>
        <w:ind w:left="760" w:hanging="374"/>
        <w:spacing w:after="0"/>
        <w:tabs>
          <w:tab w:leader="none" w:pos="7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comply with the requirements of the Commission in order to effect or maintain the qualification of this Indenture under the Trust Indenture Act.</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Supplemental Indentures With Consent of Securityholders.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82" w:name="page83"/>
    <w:bookmarkEnd w:id="82"/>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Effect of Supplemental Indentures.</w:t>
      </w:r>
    </w:p>
    <w:p>
      <w:pPr>
        <w:spacing w:after="0" w:line="225"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color w:val="auto"/>
        </w:rPr>
        <w:t>Securities Affected by Supplemental Indentures.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color w:val="auto"/>
        </w:rPr>
        <w:t>Execution of Supplemental Indentures.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ARTICLE 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SUCCESSOR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10.01 Company May Consolidate, Etc.</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SECTION 10.02 Successor Entity Substituted.</w:t>
      </w:r>
    </w:p>
    <w:p>
      <w:pPr>
        <w:spacing w:after="0" w:line="225" w:lineRule="exact"/>
        <w:rPr>
          <w:sz w:val="20"/>
          <w:szCs w:val="20"/>
          <w:color w:val="auto"/>
        </w:rPr>
      </w:pPr>
    </w:p>
    <w:p>
      <w:pPr>
        <w:ind w:left="760" w:right="20" w:hanging="374"/>
        <w:spacing w:after="0" w:line="255" w:lineRule="auto"/>
        <w:tabs>
          <w:tab w:leader="none" w:pos="7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9" w:lineRule="exact"/>
        <w:rPr>
          <w:rFonts w:ascii="Arial" w:cs="Arial" w:eastAsia="Arial" w:hAnsi="Arial"/>
          <w:sz w:val="18"/>
          <w:szCs w:val="18"/>
          <w:color w:val="auto"/>
        </w:rPr>
      </w:pPr>
    </w:p>
    <w:p>
      <w:pPr>
        <w:ind w:left="760" w:right="640" w:hanging="374"/>
        <w:spacing w:after="0" w:line="277" w:lineRule="auto"/>
        <w:tabs>
          <w:tab w:leader="none" w:pos="7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ind w:left="760" w:right="20" w:hanging="374"/>
        <w:spacing w:after="0" w:line="264" w:lineRule="auto"/>
        <w:tabs>
          <w:tab w:leader="none" w:pos="7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10.03 Evidence of Consolidation, Etc. to Trustee.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11.01 Satisfaction and Discharge of Indenture.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11.02 Discharge of Obligations.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SECTION 11.03 Deposited Moneys to be Held in Trust.</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SECTION 11.04 Payment of Moneys Held by Paying Agents.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11.05 Repayment to Company.</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12.01 No Recourse.</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13.01 Effect on Successors and Assigns.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contained by or on behalf of the Company shall bind its successors and assigns, whether so expressed or not.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13.02 Actions by Successor.</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13.03 Surrender of Company Powers.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SECTION 13.04 Notices.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w:t>
      </w:r>
    </w:p>
    <w:p>
      <w:pPr>
        <w:spacing w:after="0" w:line="268" w:lineRule="auto"/>
        <w:rPr>
          <w:sz w:val="20"/>
          <w:szCs w:val="20"/>
          <w:color w:val="auto"/>
        </w:rPr>
      </w:pPr>
      <w:r>
        <w:rPr>
          <w:rFonts w:ascii="Arial" w:cs="Arial" w:eastAsia="Arial" w:hAnsi="Arial"/>
          <w:sz w:val="17"/>
          <w:szCs w:val="17"/>
          <w:color w:val="auto"/>
        </w:rPr>
        <w:t>letterbox addressed (until another address is filed in writing by the Company with the Trustee), as follows: [ ].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13.05 Governing Law.</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This Indenture and each Security shall be deemed to be a contract made under the internal laws of the State of New York, and for all purposes shall be construed in accordance with the laws of said State.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13.06 Treatment of Securities as Debt.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13.07 Compliance Certificates and Opinions.</w:t>
      </w:r>
    </w:p>
    <w:p>
      <w:pPr>
        <w:spacing w:after="0" w:line="225" w:lineRule="exact"/>
        <w:rPr>
          <w:sz w:val="20"/>
          <w:szCs w:val="20"/>
          <w:color w:val="auto"/>
        </w:rPr>
      </w:pPr>
    </w:p>
    <w:p>
      <w:pPr>
        <w:ind w:left="760" w:hanging="374"/>
        <w:spacing w:after="0" w:line="297" w:lineRule="auto"/>
        <w:tabs>
          <w:tab w:leader="none" w:pos="7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58" w:lineRule="exact"/>
        <w:rPr>
          <w:rFonts w:ascii="Arial" w:cs="Arial" w:eastAsia="Arial" w:hAnsi="Arial"/>
          <w:sz w:val="16"/>
          <w:szCs w:val="16"/>
          <w:color w:val="auto"/>
        </w:rPr>
      </w:pPr>
    </w:p>
    <w:p>
      <w:pPr>
        <w:ind w:left="760" w:hanging="374"/>
        <w:spacing w:after="0" w:line="273" w:lineRule="auto"/>
        <w:tabs>
          <w:tab w:leader="none" w:pos="7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SECTION 13.08 Payments on Business Days.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SECTION 13.09 Conflict with Trust Indenture Act.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13.10 Counterparts.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13.11 Separability.</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SECTION 13.12 Assignment.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ind w:left="6300"/>
              <w:spacing w:after="0"/>
              <w:rPr>
                <w:sz w:val="20"/>
                <w:szCs w:val="20"/>
                <w:color w:val="auto"/>
              </w:rPr>
            </w:pPr>
            <w:r>
              <w:rPr>
                <w:rFonts w:ascii="Arial" w:cs="Arial" w:eastAsia="Arial" w:hAnsi="Arial"/>
                <w:sz w:val="18"/>
                <w:szCs w:val="18"/>
                <w:color w:val="auto"/>
                <w:w w:val="95"/>
              </w:rPr>
              <w:t>Vringo, INC.</w:t>
            </w:r>
          </w:p>
        </w:tc>
        <w:tc>
          <w:tcPr>
            <w:tcW w:w="2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60" w:type="dxa"/>
            <w:vAlign w:val="bottom"/>
          </w:tcPr>
          <w:p>
            <w:pPr>
              <w:ind w:left="630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7260" w:type="dxa"/>
            <w:vAlign w:val="bottom"/>
            <w:vMerge w:val="restart"/>
          </w:tcPr>
          <w:p>
            <w:pPr>
              <w:ind w:left="630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396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2"/>
        </w:trPr>
        <w:tc>
          <w:tcPr>
            <w:tcW w:w="72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300"/>
              <w:spacing w:after="0"/>
              <w:rPr>
                <w:sz w:val="20"/>
                <w:szCs w:val="20"/>
                <w:color w:val="auto"/>
              </w:rPr>
            </w:pPr>
            <w:r>
              <w:rPr>
                <w:rFonts w:ascii="Arial" w:cs="Arial" w:eastAsia="Arial" w:hAnsi="Arial"/>
                <w:sz w:val="18"/>
                <w:szCs w:val="18"/>
                <w:color w:val="auto"/>
              </w:rPr>
              <w:t>As Trustee</w:t>
            </w:r>
          </w:p>
        </w:tc>
        <w:tc>
          <w:tcPr>
            <w:tcW w:w="2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60" w:type="dxa"/>
            <w:vAlign w:val="bottom"/>
          </w:tcPr>
          <w:p>
            <w:pPr>
              <w:ind w:left="630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648"/>
        </w:trPr>
        <w:tc>
          <w:tcPr>
            <w:tcW w:w="726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4.8</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680" w:hanging="963"/>
        <w:spacing w:after="0"/>
        <w:tabs>
          <w:tab w:leader="none" w:pos="4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Trustee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80"/>
        <w:spacing w:after="0"/>
        <w:tabs>
          <w:tab w:leader="none" w:pos="538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240" w:type="dxa"/>
            <w:vAlign w:val="bottom"/>
            <w:gridSpan w:val="3"/>
          </w:tcPr>
          <w:p>
            <w:pPr>
              <w:ind w:left="200"/>
              <w:spacing w:after="0"/>
              <w:rPr>
                <w:sz w:val="20"/>
                <w:szCs w:val="20"/>
                <w:color w:val="auto"/>
              </w:rPr>
            </w:pPr>
            <w:r>
              <w:rPr>
                <w:rFonts w:ascii="Arial" w:cs="Arial" w:eastAsia="Arial" w:hAnsi="Arial"/>
                <w:sz w:val="18"/>
                <w:szCs w:val="18"/>
                <w:b w:val="1"/>
                <w:bCs w:val="1"/>
                <w:color w:val="auto"/>
              </w:rPr>
              <w:t>CROSS-REFERENCE TABLE (1)</w:t>
            </w:r>
          </w:p>
        </w:tc>
      </w:tr>
      <w:tr>
        <w:trPr>
          <w:trHeight w:val="414"/>
        </w:trPr>
        <w:tc>
          <w:tcPr>
            <w:tcW w:w="41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ind w:left="600"/>
              <w:spacing w:after="0"/>
              <w:rPr>
                <w:sz w:val="20"/>
                <w:szCs w:val="20"/>
                <w:color w:val="auto"/>
              </w:rPr>
            </w:pPr>
            <w:r>
              <w:rPr>
                <w:rFonts w:ascii="Arial" w:cs="Arial" w:eastAsia="Arial" w:hAnsi="Arial"/>
                <w:sz w:val="18"/>
                <w:szCs w:val="18"/>
                <w:b w:val="1"/>
                <w:bCs w:val="1"/>
                <w:color w:val="auto"/>
              </w:rPr>
              <w:t>Section of</w:t>
            </w:r>
          </w:p>
        </w:tc>
      </w:tr>
      <w:tr>
        <w:trPr>
          <w:trHeight w:val="234"/>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Section of Trust Indenture Act of 1939, as Amended</w:t>
            </w:r>
          </w:p>
        </w:tc>
        <w:tc>
          <w:tcPr>
            <w:tcW w:w="5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Indenture</w:t>
            </w:r>
          </w:p>
        </w:tc>
      </w:tr>
    </w:tbl>
    <w:p>
      <w:pPr>
        <w:ind w:left="560"/>
        <w:spacing w:after="0"/>
        <w:rPr>
          <w:sz w:val="20"/>
          <w:szCs w:val="20"/>
          <w:color w:val="auto"/>
        </w:rPr>
        <w:sectPr>
          <w:pgSz w:w="11900" w:h="16838" w:orient="portrait"/>
          <w:cols w:equalWidth="0" w:num="1">
            <w:col w:w="11420"/>
          </w:cols>
          <w:pgMar w:left="240" w:top="702"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310(a).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310(b).</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310(c).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311(a).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311(b).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311(c).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312(a).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312(b).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312(c).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313(d).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314(a).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314(f).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315(a).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315(b).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315(c).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315(d).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315(e).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316(a).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316(b).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316(c).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317(a).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317(b).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Inapplicable</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7.13(a)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7.13(b)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5.02(a)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5.02(b)</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5.02(c)</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5.04(b)</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5.04(b)</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13.08</w:t>
      </w:r>
    </w:p>
    <w:p>
      <w:pPr>
        <w:spacing w:after="0" w:line="200" w:lineRule="exact"/>
        <w:rPr>
          <w:sz w:val="20"/>
          <w:szCs w:val="20"/>
          <w:color w:val="auto"/>
        </w:rPr>
      </w:pPr>
    </w:p>
    <w:p>
      <w:pPr>
        <w:sectPr>
          <w:pgSz w:w="11900" w:h="16838" w:orient="portrait"/>
          <w:cols w:equalWidth="0" w:num="2">
            <w:col w:w="9820" w:space="720"/>
            <w:col w:w="880"/>
          </w:cols>
          <w:pgMar w:left="240" w:top="702" w:right="239" w:bottom="1440" w:gutter="0" w:footer="0" w:header="0"/>
          <w:type w:val="continuous"/>
        </w:sectPr>
      </w:pPr>
    </w:p>
    <w:p>
      <w:pPr>
        <w:spacing w:after="0" w:line="38" w:lineRule="exact"/>
        <w:rPr>
          <w:sz w:val="20"/>
          <w:szCs w:val="20"/>
          <w:color w:val="auto"/>
        </w:rPr>
      </w:pPr>
    </w:p>
    <w:p>
      <w:pPr>
        <w:ind w:left="460" w:right="740" w:hanging="452"/>
        <w:spacing w:after="0" w:line="277"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060" w:type="dxa"/>
            <w:vAlign w:val="bottom"/>
          </w:tcPr>
          <w:p>
            <w:pPr>
              <w:ind w:left="2820"/>
              <w:spacing w:after="0"/>
              <w:rPr>
                <w:sz w:val="20"/>
                <w:szCs w:val="20"/>
                <w:color w:val="auto"/>
              </w:rPr>
            </w:pPr>
            <w:r>
              <w:rPr>
                <w:rFonts w:ascii="Arial" w:cs="Arial" w:eastAsia="Arial" w:hAnsi="Arial"/>
                <w:sz w:val="18"/>
                <w:szCs w:val="18"/>
                <w:b w:val="1"/>
                <w:bCs w:val="1"/>
                <w:color w:val="auto"/>
              </w:rPr>
              <w:t>TABLE OF CONTENTS (2)</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8"/>
                <w:szCs w:val="18"/>
                <w:color w:val="auto"/>
              </w:rPr>
              <w:t>ARTICLE I</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DEFINITIONS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1.01</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Definitions of Terms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8"/>
                <w:szCs w:val="18"/>
                <w:color w:val="auto"/>
              </w:rPr>
              <w:t>ARTICLE II</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ISSUE, DESCRIPTION, TERMS, EXECUTION, REGISTRATION AND EXCHANGE OF SECURITIES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2.01</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Designation and Terms of Securities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2.02</w:t>
            </w:r>
          </w:p>
        </w:tc>
        <w:tc>
          <w:tcPr>
            <w:tcW w:w="9060" w:type="dxa"/>
            <w:vAlign w:val="bottom"/>
          </w:tcPr>
          <w:p>
            <w:pPr>
              <w:ind w:left="500"/>
              <w:spacing w:after="0"/>
              <w:rPr>
                <w:sz w:val="20"/>
                <w:szCs w:val="20"/>
                <w:color w:val="auto"/>
              </w:rPr>
            </w:pPr>
            <w:r>
              <w:rPr>
                <w:rFonts w:ascii="Arial" w:cs="Arial" w:eastAsia="Arial" w:hAnsi="Arial"/>
                <w:sz w:val="18"/>
                <w:szCs w:val="18"/>
                <w:color w:val="auto"/>
              </w:rPr>
              <w:t>Form of Securities and Trustee’s Certificate</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2.03</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Denominations: Provisions for Payment</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2.04</w:t>
            </w:r>
          </w:p>
        </w:tc>
        <w:tc>
          <w:tcPr>
            <w:tcW w:w="9060" w:type="dxa"/>
            <w:vAlign w:val="bottom"/>
          </w:tcPr>
          <w:p>
            <w:pPr>
              <w:ind w:left="500"/>
              <w:spacing w:after="0"/>
              <w:rPr>
                <w:sz w:val="20"/>
                <w:szCs w:val="20"/>
                <w:color w:val="auto"/>
              </w:rPr>
            </w:pPr>
            <w:r>
              <w:rPr>
                <w:rFonts w:ascii="Arial" w:cs="Arial" w:eastAsia="Arial" w:hAnsi="Arial"/>
                <w:sz w:val="18"/>
                <w:szCs w:val="18"/>
                <w:color w:val="auto"/>
              </w:rPr>
              <w:t>Execution and Authentications</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2.05</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Registration of Transfer and Exchange</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2.06</w:t>
            </w:r>
          </w:p>
        </w:tc>
        <w:tc>
          <w:tcPr>
            <w:tcW w:w="9060" w:type="dxa"/>
            <w:vAlign w:val="bottom"/>
          </w:tcPr>
          <w:p>
            <w:pPr>
              <w:ind w:left="500"/>
              <w:spacing w:after="0"/>
              <w:rPr>
                <w:sz w:val="20"/>
                <w:szCs w:val="20"/>
                <w:color w:val="auto"/>
              </w:rPr>
            </w:pPr>
            <w:r>
              <w:rPr>
                <w:rFonts w:ascii="Arial" w:cs="Arial" w:eastAsia="Arial" w:hAnsi="Arial"/>
                <w:sz w:val="18"/>
                <w:szCs w:val="18"/>
                <w:color w:val="auto"/>
              </w:rPr>
              <w:t>Temporary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2.07</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Mutilated, Destroyed, Lost or Stolen Securities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2.08</w:t>
            </w:r>
          </w:p>
        </w:tc>
        <w:tc>
          <w:tcPr>
            <w:tcW w:w="9060" w:type="dxa"/>
            <w:vAlign w:val="bottom"/>
          </w:tcPr>
          <w:p>
            <w:pPr>
              <w:ind w:left="500"/>
              <w:spacing w:after="0"/>
              <w:rPr>
                <w:sz w:val="20"/>
                <w:szCs w:val="20"/>
                <w:color w:val="auto"/>
              </w:rPr>
            </w:pPr>
            <w:r>
              <w:rPr>
                <w:rFonts w:ascii="Arial" w:cs="Arial" w:eastAsia="Arial" w:hAnsi="Arial"/>
                <w:sz w:val="18"/>
                <w:szCs w:val="18"/>
                <w:color w:val="auto"/>
              </w:rPr>
              <w:t>Cancellation</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2.09</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Benefits of Indenture</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2.10</w:t>
            </w:r>
          </w:p>
        </w:tc>
        <w:tc>
          <w:tcPr>
            <w:tcW w:w="9060" w:type="dxa"/>
            <w:vAlign w:val="bottom"/>
          </w:tcPr>
          <w:p>
            <w:pPr>
              <w:ind w:left="500"/>
              <w:spacing w:after="0"/>
              <w:rPr>
                <w:sz w:val="20"/>
                <w:szCs w:val="20"/>
                <w:color w:val="auto"/>
              </w:rPr>
            </w:pPr>
            <w:r>
              <w:rPr>
                <w:rFonts w:ascii="Arial" w:cs="Arial" w:eastAsia="Arial" w:hAnsi="Arial"/>
                <w:sz w:val="18"/>
                <w:szCs w:val="18"/>
                <w:color w:val="auto"/>
              </w:rPr>
              <w:t>Authenticating Agent</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2.11</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Global Securities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8"/>
                <w:szCs w:val="18"/>
                <w:color w:val="auto"/>
              </w:rPr>
              <w:t>ARTICLE III</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REDEMPTION OF SECURITIES AND SINKING FUND PROVISIONS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3.01</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Redemption</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3.02</w:t>
            </w:r>
          </w:p>
        </w:tc>
        <w:tc>
          <w:tcPr>
            <w:tcW w:w="9060" w:type="dxa"/>
            <w:vAlign w:val="bottom"/>
          </w:tcPr>
          <w:p>
            <w:pPr>
              <w:ind w:left="500"/>
              <w:spacing w:after="0"/>
              <w:rPr>
                <w:sz w:val="20"/>
                <w:szCs w:val="20"/>
                <w:color w:val="auto"/>
              </w:rPr>
            </w:pPr>
            <w:r>
              <w:rPr>
                <w:rFonts w:ascii="Arial" w:cs="Arial" w:eastAsia="Arial" w:hAnsi="Arial"/>
                <w:sz w:val="18"/>
                <w:szCs w:val="18"/>
                <w:color w:val="auto"/>
              </w:rPr>
              <w:t>Notice of Redemption</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3.03</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Payment Upon Redemption</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3.04</w:t>
            </w:r>
          </w:p>
        </w:tc>
        <w:tc>
          <w:tcPr>
            <w:tcW w:w="9060" w:type="dxa"/>
            <w:vAlign w:val="bottom"/>
          </w:tcPr>
          <w:p>
            <w:pPr>
              <w:ind w:left="500"/>
              <w:spacing w:after="0"/>
              <w:rPr>
                <w:sz w:val="20"/>
                <w:szCs w:val="20"/>
                <w:color w:val="auto"/>
              </w:rPr>
            </w:pPr>
            <w:r>
              <w:rPr>
                <w:rFonts w:ascii="Arial" w:cs="Arial" w:eastAsia="Arial" w:hAnsi="Arial"/>
                <w:sz w:val="18"/>
                <w:szCs w:val="18"/>
                <w:color w:val="auto"/>
              </w:rPr>
              <w:t>Sinking Fund</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3.05</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Satisfaction of Sinking Fund Payments with Securities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3.06</w:t>
            </w:r>
          </w:p>
        </w:tc>
        <w:tc>
          <w:tcPr>
            <w:tcW w:w="9060" w:type="dxa"/>
            <w:vAlign w:val="bottom"/>
          </w:tcPr>
          <w:p>
            <w:pPr>
              <w:ind w:left="500"/>
              <w:spacing w:after="0"/>
              <w:rPr>
                <w:sz w:val="20"/>
                <w:szCs w:val="20"/>
                <w:color w:val="auto"/>
              </w:rPr>
            </w:pPr>
            <w:r>
              <w:rPr>
                <w:rFonts w:ascii="Arial" w:cs="Arial" w:eastAsia="Arial" w:hAnsi="Arial"/>
                <w:sz w:val="18"/>
                <w:szCs w:val="18"/>
                <w:color w:val="auto"/>
              </w:rPr>
              <w:t>Redemption of Securities for Sinking Fund</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90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ARTICLE IV</w:t>
            </w:r>
          </w:p>
        </w:tc>
        <w:tc>
          <w:tcPr>
            <w:tcW w:w="9060" w:type="dxa"/>
            <w:vAlign w:val="bottom"/>
          </w:tcPr>
          <w:p>
            <w:pPr>
              <w:ind w:left="500"/>
              <w:spacing w:after="0"/>
              <w:rPr>
                <w:sz w:val="20"/>
                <w:szCs w:val="20"/>
                <w:color w:val="auto"/>
              </w:rPr>
            </w:pPr>
            <w:r>
              <w:rPr>
                <w:rFonts w:ascii="Arial" w:cs="Arial" w:eastAsia="Arial" w:hAnsi="Arial"/>
                <w:sz w:val="18"/>
                <w:szCs w:val="18"/>
                <w:color w:val="auto"/>
              </w:rPr>
              <w:t>COVENANTS</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90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4.01</w:t>
            </w:r>
          </w:p>
        </w:tc>
        <w:tc>
          <w:tcPr>
            <w:tcW w:w="9060" w:type="dxa"/>
            <w:vAlign w:val="bottom"/>
          </w:tcPr>
          <w:p>
            <w:pPr>
              <w:ind w:left="500"/>
              <w:spacing w:after="0"/>
              <w:rPr>
                <w:sz w:val="20"/>
                <w:szCs w:val="20"/>
                <w:color w:val="auto"/>
              </w:rPr>
            </w:pPr>
            <w:r>
              <w:rPr>
                <w:rFonts w:ascii="Arial" w:cs="Arial" w:eastAsia="Arial" w:hAnsi="Arial"/>
                <w:sz w:val="18"/>
                <w:szCs w:val="18"/>
                <w:color w:val="auto"/>
              </w:rPr>
              <w:t>Payment of Principal, Premium and Interest</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4.02</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Maintenance of Office or Agency</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4.03</w:t>
            </w:r>
          </w:p>
        </w:tc>
        <w:tc>
          <w:tcPr>
            <w:tcW w:w="9060" w:type="dxa"/>
            <w:vAlign w:val="bottom"/>
          </w:tcPr>
          <w:p>
            <w:pPr>
              <w:ind w:left="500"/>
              <w:spacing w:after="0"/>
              <w:rPr>
                <w:sz w:val="20"/>
                <w:szCs w:val="20"/>
                <w:color w:val="auto"/>
              </w:rPr>
            </w:pPr>
            <w:r>
              <w:rPr>
                <w:rFonts w:ascii="Arial" w:cs="Arial" w:eastAsia="Arial" w:hAnsi="Arial"/>
                <w:sz w:val="18"/>
                <w:szCs w:val="18"/>
                <w:color w:val="auto"/>
              </w:rPr>
              <w:t>Paying Agents</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4.04</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Appointment to Fill Vacancy in Office of Trustee</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4.05</w:t>
            </w:r>
          </w:p>
        </w:tc>
        <w:tc>
          <w:tcPr>
            <w:tcW w:w="9060" w:type="dxa"/>
            <w:vAlign w:val="bottom"/>
          </w:tcPr>
          <w:p>
            <w:pPr>
              <w:ind w:left="500"/>
              <w:spacing w:after="0"/>
              <w:rPr>
                <w:sz w:val="20"/>
                <w:szCs w:val="20"/>
                <w:color w:val="auto"/>
              </w:rPr>
            </w:pPr>
            <w:r>
              <w:rPr>
                <w:rFonts w:ascii="Arial" w:cs="Arial" w:eastAsia="Arial" w:hAnsi="Arial"/>
                <w:sz w:val="18"/>
                <w:szCs w:val="18"/>
                <w:color w:val="auto"/>
              </w:rPr>
              <w:t>Compliance with Consolidation Provisions</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90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ARTICLE V</w:t>
            </w:r>
          </w:p>
        </w:tc>
        <w:tc>
          <w:tcPr>
            <w:tcW w:w="9060" w:type="dxa"/>
            <w:vAlign w:val="bottom"/>
          </w:tcPr>
          <w:p>
            <w:pPr>
              <w:ind w:left="500"/>
              <w:spacing w:after="0"/>
              <w:rPr>
                <w:sz w:val="20"/>
                <w:szCs w:val="20"/>
                <w:color w:val="auto"/>
              </w:rPr>
            </w:pPr>
            <w:r>
              <w:rPr>
                <w:rFonts w:ascii="Arial" w:cs="Arial" w:eastAsia="Arial" w:hAnsi="Arial"/>
                <w:sz w:val="18"/>
                <w:szCs w:val="18"/>
                <w:color w:val="auto"/>
              </w:rPr>
              <w:t>SECURITYHOLDERS’ LISTS AND REPORTS BY THE COMPANY AND THE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90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5.01</w:t>
            </w:r>
          </w:p>
        </w:tc>
        <w:tc>
          <w:tcPr>
            <w:tcW w:w="9060" w:type="dxa"/>
            <w:vAlign w:val="bottom"/>
          </w:tcPr>
          <w:p>
            <w:pPr>
              <w:ind w:left="50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5.02</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Preservation Of Information; Communications With Securityholders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5.03</w:t>
            </w:r>
          </w:p>
        </w:tc>
        <w:tc>
          <w:tcPr>
            <w:tcW w:w="9060" w:type="dxa"/>
            <w:vAlign w:val="bottom"/>
          </w:tcPr>
          <w:p>
            <w:pPr>
              <w:ind w:left="500"/>
              <w:spacing w:after="0"/>
              <w:rPr>
                <w:sz w:val="20"/>
                <w:szCs w:val="20"/>
                <w:color w:val="auto"/>
              </w:rPr>
            </w:pPr>
            <w:r>
              <w:rPr>
                <w:rFonts w:ascii="Arial" w:cs="Arial" w:eastAsia="Arial" w:hAnsi="Arial"/>
                <w:sz w:val="18"/>
                <w:szCs w:val="18"/>
                <w:color w:val="auto"/>
              </w:rPr>
              <w:t>Reports by the Company</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5.04</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Reports by the Trustee</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8"/>
                <w:szCs w:val="18"/>
                <w:color w:val="auto"/>
              </w:rPr>
              <w:t>ARTICLE VI</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REMEDIES OF THE TRUSTEE AND SECURITYHOLDERS ON EVENT OF DEFAULT</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6.01</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Events of Default</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6.02</w:t>
            </w:r>
          </w:p>
        </w:tc>
        <w:tc>
          <w:tcPr>
            <w:tcW w:w="9060" w:type="dxa"/>
            <w:vAlign w:val="bottom"/>
          </w:tcPr>
          <w:p>
            <w:pPr>
              <w:ind w:left="500"/>
              <w:spacing w:after="0"/>
              <w:rPr>
                <w:sz w:val="20"/>
                <w:szCs w:val="20"/>
                <w:color w:val="auto"/>
              </w:rPr>
            </w:pPr>
            <w:r>
              <w:rPr>
                <w:rFonts w:ascii="Arial" w:cs="Arial" w:eastAsia="Arial" w:hAnsi="Arial"/>
                <w:sz w:val="18"/>
                <w:szCs w:val="18"/>
                <w:color w:val="auto"/>
              </w:rPr>
              <w:t>Collection of Indebtedness and Suits for Enforcement by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6.03</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Application of Moneys Collected</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6.04</w:t>
            </w:r>
          </w:p>
        </w:tc>
        <w:tc>
          <w:tcPr>
            <w:tcW w:w="9060" w:type="dxa"/>
            <w:vAlign w:val="bottom"/>
          </w:tcPr>
          <w:p>
            <w:pPr>
              <w:ind w:left="500"/>
              <w:spacing w:after="0"/>
              <w:rPr>
                <w:sz w:val="20"/>
                <w:szCs w:val="20"/>
                <w:color w:val="auto"/>
              </w:rPr>
            </w:pPr>
            <w:r>
              <w:rPr>
                <w:rFonts w:ascii="Arial" w:cs="Arial" w:eastAsia="Arial" w:hAnsi="Arial"/>
                <w:sz w:val="18"/>
                <w:szCs w:val="18"/>
                <w:color w:val="auto"/>
              </w:rPr>
              <w:t>Limitation on Suits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6.05</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Rights and Remedies Cumulative; Delay or Omission Not Waiver</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6.06</w:t>
            </w:r>
          </w:p>
        </w:tc>
        <w:tc>
          <w:tcPr>
            <w:tcW w:w="9060" w:type="dxa"/>
            <w:vAlign w:val="bottom"/>
          </w:tcPr>
          <w:p>
            <w:pPr>
              <w:ind w:left="500"/>
              <w:spacing w:after="0"/>
              <w:rPr>
                <w:sz w:val="20"/>
                <w:szCs w:val="20"/>
                <w:color w:val="auto"/>
              </w:rPr>
            </w:pPr>
            <w:r>
              <w:rPr>
                <w:rFonts w:ascii="Arial" w:cs="Arial" w:eastAsia="Arial" w:hAnsi="Arial"/>
                <w:sz w:val="18"/>
                <w:szCs w:val="18"/>
                <w:color w:val="auto"/>
              </w:rPr>
              <w:t>Control by Securityholders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6.07</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Undertaking to Pay Costs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8"/>
                <w:szCs w:val="18"/>
                <w:color w:val="auto"/>
              </w:rPr>
              <w:t>ARTICLE VII</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CONCERNING THE TRUSTEE</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7.01</w:t>
            </w:r>
          </w:p>
        </w:tc>
        <w:tc>
          <w:tcPr>
            <w:tcW w:w="90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Certain Duties and Responsibilities of Trustee</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7.02</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Certain Rights of Trustee</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7.03</w:t>
            </w:r>
          </w:p>
        </w:tc>
        <w:tc>
          <w:tcPr>
            <w:tcW w:w="8260" w:type="dxa"/>
            <w:vAlign w:val="bottom"/>
          </w:tcPr>
          <w:p>
            <w:pPr>
              <w:ind w:left="460"/>
              <w:spacing w:after="0"/>
              <w:rPr>
                <w:sz w:val="20"/>
                <w:szCs w:val="20"/>
                <w:color w:val="auto"/>
              </w:rPr>
            </w:pPr>
            <w:r>
              <w:rPr>
                <w:rFonts w:ascii="Arial" w:cs="Arial" w:eastAsia="Arial" w:hAnsi="Arial"/>
                <w:sz w:val="18"/>
                <w:szCs w:val="18"/>
                <w:color w:val="auto"/>
              </w:rPr>
              <w:t>Trustee Not Responsible for Recitals or Issuance of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7.04</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May Hold Securities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7.05</w:t>
            </w:r>
          </w:p>
        </w:tc>
        <w:tc>
          <w:tcPr>
            <w:tcW w:w="8260" w:type="dxa"/>
            <w:vAlign w:val="bottom"/>
          </w:tcPr>
          <w:p>
            <w:pPr>
              <w:ind w:left="460"/>
              <w:spacing w:after="0"/>
              <w:rPr>
                <w:sz w:val="20"/>
                <w:szCs w:val="20"/>
                <w:color w:val="auto"/>
              </w:rPr>
            </w:pPr>
            <w:r>
              <w:rPr>
                <w:rFonts w:ascii="Arial" w:cs="Arial" w:eastAsia="Arial" w:hAnsi="Arial"/>
                <w:sz w:val="18"/>
                <w:szCs w:val="18"/>
                <w:color w:val="auto"/>
              </w:rPr>
              <w:t>Moneys Held in Trust</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7.06</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Compensation and Reimbursement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7.07</w:t>
            </w:r>
          </w:p>
        </w:tc>
        <w:tc>
          <w:tcPr>
            <w:tcW w:w="8260" w:type="dxa"/>
            <w:vAlign w:val="bottom"/>
          </w:tcPr>
          <w:p>
            <w:pPr>
              <w:ind w:left="460"/>
              <w:spacing w:after="0"/>
              <w:rPr>
                <w:sz w:val="20"/>
                <w:szCs w:val="20"/>
                <w:color w:val="auto"/>
              </w:rPr>
            </w:pPr>
            <w:r>
              <w:rPr>
                <w:rFonts w:ascii="Arial" w:cs="Arial" w:eastAsia="Arial" w:hAnsi="Arial"/>
                <w:sz w:val="18"/>
                <w:szCs w:val="18"/>
                <w:color w:val="auto"/>
              </w:rPr>
              <w:t>Reliance on Officers’ Certificate</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7.08</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Disqualification; Conflicting Interests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7.09</w:t>
            </w:r>
          </w:p>
        </w:tc>
        <w:tc>
          <w:tcPr>
            <w:tcW w:w="8260" w:type="dxa"/>
            <w:vAlign w:val="bottom"/>
          </w:tcPr>
          <w:p>
            <w:pPr>
              <w:ind w:left="460"/>
              <w:spacing w:after="0"/>
              <w:rPr>
                <w:sz w:val="20"/>
                <w:szCs w:val="20"/>
                <w:color w:val="auto"/>
              </w:rPr>
            </w:pPr>
            <w:r>
              <w:rPr>
                <w:rFonts w:ascii="Arial" w:cs="Arial" w:eastAsia="Arial" w:hAnsi="Arial"/>
                <w:sz w:val="18"/>
                <w:szCs w:val="18"/>
                <w:color w:val="auto"/>
              </w:rPr>
              <w:t>Corporate Trustee Required; Eligibility</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7.10</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Resignation and Removal; Appointment of Successor</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7.11</w:t>
            </w:r>
          </w:p>
        </w:tc>
        <w:tc>
          <w:tcPr>
            <w:tcW w:w="8260" w:type="dxa"/>
            <w:vAlign w:val="bottom"/>
          </w:tcPr>
          <w:p>
            <w:pPr>
              <w:ind w:left="460"/>
              <w:spacing w:after="0"/>
              <w:rPr>
                <w:sz w:val="20"/>
                <w:szCs w:val="20"/>
                <w:color w:val="auto"/>
              </w:rPr>
            </w:pPr>
            <w:r>
              <w:rPr>
                <w:rFonts w:ascii="Arial" w:cs="Arial" w:eastAsia="Arial" w:hAnsi="Arial"/>
                <w:sz w:val="18"/>
                <w:szCs w:val="18"/>
                <w:color w:val="auto"/>
              </w:rPr>
              <w:t>Acceptance of Appointment By Successor</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7.12</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Merger, Conversion, Consolidation or Succession to Business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7.13</w:t>
            </w:r>
          </w:p>
        </w:tc>
        <w:tc>
          <w:tcPr>
            <w:tcW w:w="8260" w:type="dxa"/>
            <w:vAlign w:val="bottom"/>
          </w:tcPr>
          <w:p>
            <w:pPr>
              <w:ind w:left="460"/>
              <w:spacing w:after="0"/>
              <w:rPr>
                <w:sz w:val="20"/>
                <w:szCs w:val="20"/>
                <w:color w:val="auto"/>
              </w:rPr>
            </w:pPr>
            <w:r>
              <w:rPr>
                <w:rFonts w:ascii="Arial" w:cs="Arial" w:eastAsia="Arial" w:hAnsi="Arial"/>
                <w:sz w:val="18"/>
                <w:szCs w:val="18"/>
                <w:color w:val="auto"/>
              </w:rPr>
              <w:t>Preferential Collection of Claims Against the Company</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gridSpan w:val="2"/>
            <w:shd w:val="clear" w:color="auto" w:fill="CCFFCC"/>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tcPr>
          <w:p>
            <w:pPr>
              <w:jc w:val="center"/>
              <w:ind w:right="630"/>
              <w:spacing w:after="0"/>
              <w:rPr>
                <w:sz w:val="20"/>
                <w:szCs w:val="20"/>
                <w:color w:val="auto"/>
              </w:rPr>
            </w:pPr>
            <w:r>
              <w:rPr>
                <w:rFonts w:ascii="Arial" w:cs="Arial" w:eastAsia="Arial" w:hAnsi="Arial"/>
                <w:sz w:val="18"/>
                <w:szCs w:val="18"/>
                <w:color w:val="auto"/>
              </w:rPr>
              <w:t>ARTICLE VIII</w:t>
            </w:r>
          </w:p>
        </w:tc>
        <w:tc>
          <w:tcPr>
            <w:tcW w:w="8260" w:type="dxa"/>
            <w:vAlign w:val="bottom"/>
          </w:tcPr>
          <w:p>
            <w:pPr>
              <w:ind w:left="460"/>
              <w:spacing w:after="0"/>
              <w:rPr>
                <w:sz w:val="20"/>
                <w:szCs w:val="20"/>
                <w:color w:val="auto"/>
              </w:rPr>
            </w:pPr>
            <w:r>
              <w:rPr>
                <w:rFonts w:ascii="Arial" w:cs="Arial" w:eastAsia="Arial" w:hAnsi="Arial"/>
                <w:sz w:val="18"/>
                <w:szCs w:val="18"/>
                <w:color w:val="auto"/>
              </w:rPr>
              <w:t>CONCERNING THE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8.01</w:t>
            </w:r>
          </w:p>
        </w:tc>
        <w:tc>
          <w:tcPr>
            <w:tcW w:w="8260" w:type="dxa"/>
            <w:vAlign w:val="bottom"/>
          </w:tcPr>
          <w:p>
            <w:pPr>
              <w:ind w:left="460"/>
              <w:spacing w:after="0"/>
              <w:rPr>
                <w:sz w:val="20"/>
                <w:szCs w:val="20"/>
                <w:color w:val="auto"/>
              </w:rPr>
            </w:pPr>
            <w:r>
              <w:rPr>
                <w:rFonts w:ascii="Arial" w:cs="Arial" w:eastAsia="Arial" w:hAnsi="Arial"/>
                <w:sz w:val="18"/>
                <w:szCs w:val="18"/>
                <w:color w:val="auto"/>
              </w:rPr>
              <w:t>Evidence of Action by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8.02</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Proof of Execution by Securityholders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8.03</w:t>
            </w:r>
          </w:p>
        </w:tc>
        <w:tc>
          <w:tcPr>
            <w:tcW w:w="8260" w:type="dxa"/>
            <w:vAlign w:val="bottom"/>
          </w:tcPr>
          <w:p>
            <w:pPr>
              <w:ind w:left="460"/>
              <w:spacing w:after="0"/>
              <w:rPr>
                <w:sz w:val="20"/>
                <w:szCs w:val="20"/>
                <w:color w:val="auto"/>
              </w:rPr>
            </w:pPr>
            <w:r>
              <w:rPr>
                <w:rFonts w:ascii="Arial" w:cs="Arial" w:eastAsia="Arial" w:hAnsi="Arial"/>
                <w:sz w:val="18"/>
                <w:szCs w:val="18"/>
                <w:color w:val="auto"/>
              </w:rPr>
              <w:t>Who May be Deemed Owners</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8.04</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Certain Securities Owned by Company Disregarded</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8.05</w:t>
            </w:r>
          </w:p>
        </w:tc>
        <w:tc>
          <w:tcPr>
            <w:tcW w:w="8260" w:type="dxa"/>
            <w:vAlign w:val="bottom"/>
          </w:tcPr>
          <w:p>
            <w:pPr>
              <w:ind w:left="460"/>
              <w:spacing w:after="0"/>
              <w:rPr>
                <w:sz w:val="20"/>
                <w:szCs w:val="20"/>
                <w:color w:val="auto"/>
              </w:rPr>
            </w:pPr>
            <w:r>
              <w:rPr>
                <w:rFonts w:ascii="Arial" w:cs="Arial" w:eastAsia="Arial" w:hAnsi="Arial"/>
                <w:sz w:val="18"/>
                <w:szCs w:val="18"/>
                <w:color w:val="auto"/>
              </w:rPr>
              <w:t>Actions Binding on Future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8.06</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Purposes for Which Meetings May Be Called</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8.07</w:t>
            </w:r>
          </w:p>
        </w:tc>
        <w:tc>
          <w:tcPr>
            <w:tcW w:w="8260" w:type="dxa"/>
            <w:vAlign w:val="bottom"/>
          </w:tcPr>
          <w:p>
            <w:pPr>
              <w:ind w:left="460"/>
              <w:spacing w:after="0"/>
              <w:rPr>
                <w:sz w:val="20"/>
                <w:szCs w:val="20"/>
                <w:color w:val="auto"/>
              </w:rPr>
            </w:pPr>
            <w:r>
              <w:rPr>
                <w:rFonts w:ascii="Arial" w:cs="Arial" w:eastAsia="Arial" w:hAnsi="Arial"/>
                <w:sz w:val="18"/>
                <w:szCs w:val="18"/>
                <w:color w:val="auto"/>
              </w:rPr>
              <w:t>Call Notice and Place of Meetings</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8.08</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Persons Entitled To Vote at Meetings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8.09</w:t>
            </w:r>
          </w:p>
        </w:tc>
        <w:tc>
          <w:tcPr>
            <w:tcW w:w="8260" w:type="dxa"/>
            <w:vAlign w:val="bottom"/>
          </w:tcPr>
          <w:p>
            <w:pPr>
              <w:ind w:left="460"/>
              <w:spacing w:after="0"/>
              <w:rPr>
                <w:sz w:val="20"/>
                <w:szCs w:val="20"/>
                <w:color w:val="auto"/>
              </w:rPr>
            </w:pPr>
            <w:r>
              <w:rPr>
                <w:rFonts w:ascii="Arial" w:cs="Arial" w:eastAsia="Arial" w:hAnsi="Arial"/>
                <w:sz w:val="18"/>
                <w:szCs w:val="18"/>
                <w:color w:val="auto"/>
              </w:rPr>
              <w:t>Quorum; Action</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8.10</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8.11</w:t>
            </w:r>
          </w:p>
        </w:tc>
        <w:tc>
          <w:tcPr>
            <w:tcW w:w="8260" w:type="dxa"/>
            <w:vAlign w:val="bottom"/>
          </w:tcPr>
          <w:p>
            <w:pPr>
              <w:ind w:left="460"/>
              <w:spacing w:after="0"/>
              <w:rPr>
                <w:sz w:val="20"/>
                <w:szCs w:val="20"/>
                <w:color w:val="auto"/>
              </w:rPr>
            </w:pPr>
            <w:r>
              <w:rPr>
                <w:rFonts w:ascii="Arial" w:cs="Arial" w:eastAsia="Arial" w:hAnsi="Arial"/>
                <w:sz w:val="18"/>
                <w:szCs w:val="18"/>
                <w:color w:val="auto"/>
              </w:rPr>
              <w:t>Counting Votes and Recording Action of Meetings</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gridSpan w:val="2"/>
            <w:shd w:val="clear" w:color="auto" w:fill="CCFFCC"/>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ARTICLE IX</w:t>
            </w:r>
          </w:p>
        </w:tc>
        <w:tc>
          <w:tcPr>
            <w:tcW w:w="8260" w:type="dxa"/>
            <w:vAlign w:val="bottom"/>
          </w:tcPr>
          <w:p>
            <w:pPr>
              <w:ind w:left="460"/>
              <w:spacing w:after="0"/>
              <w:rPr>
                <w:sz w:val="20"/>
                <w:szCs w:val="20"/>
                <w:color w:val="auto"/>
              </w:rPr>
            </w:pPr>
            <w:r>
              <w:rPr>
                <w:rFonts w:ascii="Arial" w:cs="Arial" w:eastAsia="Arial" w:hAnsi="Arial"/>
                <w:sz w:val="18"/>
                <w:szCs w:val="18"/>
                <w:color w:val="auto"/>
              </w:rPr>
              <w:t>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9.01</w:t>
            </w:r>
          </w:p>
        </w:tc>
        <w:tc>
          <w:tcPr>
            <w:tcW w:w="8260" w:type="dxa"/>
            <w:vAlign w:val="bottom"/>
          </w:tcPr>
          <w:p>
            <w:pPr>
              <w:ind w:left="460"/>
              <w:spacing w:after="0"/>
              <w:rPr>
                <w:sz w:val="20"/>
                <w:szCs w:val="20"/>
                <w:color w:val="auto"/>
              </w:rPr>
            </w:pPr>
            <w:r>
              <w:rPr>
                <w:rFonts w:ascii="Arial" w:cs="Arial" w:eastAsia="Arial" w:hAnsi="Arial"/>
                <w:sz w:val="18"/>
                <w:szCs w:val="18"/>
                <w:color w:val="auto"/>
              </w:rPr>
              <w:t>Supplemental Indentures Without the Consent of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9.02</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Supplemental Indentures With Consent of Securityholders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9.03</w:t>
            </w:r>
          </w:p>
        </w:tc>
        <w:tc>
          <w:tcPr>
            <w:tcW w:w="8260" w:type="dxa"/>
            <w:vAlign w:val="bottom"/>
          </w:tcPr>
          <w:p>
            <w:pPr>
              <w:ind w:left="460"/>
              <w:spacing w:after="0"/>
              <w:rPr>
                <w:sz w:val="20"/>
                <w:szCs w:val="20"/>
                <w:color w:val="auto"/>
              </w:rPr>
            </w:pPr>
            <w:r>
              <w:rPr>
                <w:rFonts w:ascii="Arial" w:cs="Arial" w:eastAsia="Arial" w:hAnsi="Arial"/>
                <w:sz w:val="18"/>
                <w:szCs w:val="18"/>
                <w:color w:val="auto"/>
              </w:rPr>
              <w:t>Effect of 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9.04</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Securities Affected by Supplemental Indentures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9.05</w:t>
            </w:r>
          </w:p>
        </w:tc>
        <w:tc>
          <w:tcPr>
            <w:tcW w:w="8260" w:type="dxa"/>
            <w:vAlign w:val="bottom"/>
          </w:tcPr>
          <w:p>
            <w:pPr>
              <w:ind w:left="460"/>
              <w:spacing w:after="0"/>
              <w:rPr>
                <w:sz w:val="20"/>
                <w:szCs w:val="20"/>
                <w:color w:val="auto"/>
              </w:rPr>
            </w:pPr>
            <w:r>
              <w:rPr>
                <w:rFonts w:ascii="Arial" w:cs="Arial" w:eastAsia="Arial" w:hAnsi="Arial"/>
                <w:sz w:val="18"/>
                <w:szCs w:val="18"/>
                <w:color w:val="auto"/>
              </w:rPr>
              <w:t>Execution of 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8"/>
              </w:rPr>
              <w:t>ARTICLE X</w:t>
            </w:r>
          </w:p>
        </w:tc>
        <w:tc>
          <w:tcPr>
            <w:tcW w:w="88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SUCCESSOR ENTITY</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10.01</w:t>
            </w:r>
          </w:p>
        </w:tc>
        <w:tc>
          <w:tcPr>
            <w:tcW w:w="8260" w:type="dxa"/>
            <w:vAlign w:val="bottom"/>
          </w:tcPr>
          <w:p>
            <w:pPr>
              <w:ind w:left="460"/>
              <w:spacing w:after="0"/>
              <w:rPr>
                <w:sz w:val="20"/>
                <w:szCs w:val="20"/>
                <w:color w:val="auto"/>
              </w:rPr>
            </w:pPr>
            <w:r>
              <w:rPr>
                <w:rFonts w:ascii="Arial" w:cs="Arial" w:eastAsia="Arial" w:hAnsi="Arial"/>
                <w:sz w:val="18"/>
                <w:szCs w:val="18"/>
                <w:color w:val="auto"/>
              </w:rPr>
              <w:t>Company May Consolidate, Etc</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10.02</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Successor Entity Substituted</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10.03</w:t>
            </w:r>
          </w:p>
        </w:tc>
        <w:tc>
          <w:tcPr>
            <w:tcW w:w="8260" w:type="dxa"/>
            <w:vAlign w:val="bottom"/>
          </w:tcPr>
          <w:p>
            <w:pPr>
              <w:ind w:left="460"/>
              <w:spacing w:after="0"/>
              <w:rPr>
                <w:sz w:val="20"/>
                <w:szCs w:val="20"/>
                <w:color w:val="auto"/>
              </w:rPr>
            </w:pPr>
            <w:r>
              <w:rPr>
                <w:rFonts w:ascii="Arial" w:cs="Arial" w:eastAsia="Arial" w:hAnsi="Arial"/>
                <w:sz w:val="18"/>
                <w:szCs w:val="18"/>
                <w:color w:val="auto"/>
              </w:rPr>
              <w:t>Evidence of Consolidation, Etc</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gridSpan w:val="2"/>
            <w:shd w:val="clear" w:color="auto" w:fill="CCFFCC"/>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ARTICLE XI</w:t>
            </w:r>
          </w:p>
        </w:tc>
        <w:tc>
          <w:tcPr>
            <w:tcW w:w="8260" w:type="dxa"/>
            <w:vAlign w:val="bottom"/>
          </w:tcPr>
          <w:p>
            <w:pPr>
              <w:ind w:left="460"/>
              <w:spacing w:after="0"/>
              <w:rPr>
                <w:sz w:val="20"/>
                <w:szCs w:val="20"/>
                <w:color w:val="auto"/>
              </w:rPr>
            </w:pPr>
            <w:r>
              <w:rPr>
                <w:rFonts w:ascii="Arial" w:cs="Arial" w:eastAsia="Arial" w:hAnsi="Arial"/>
                <w:sz w:val="18"/>
                <w:szCs w:val="18"/>
                <w:color w:val="auto"/>
              </w:rPr>
              <w:t>SATISFACTION AND DISCHARGE</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11.01</w:t>
            </w:r>
          </w:p>
        </w:tc>
        <w:tc>
          <w:tcPr>
            <w:tcW w:w="8260" w:type="dxa"/>
            <w:vAlign w:val="bottom"/>
          </w:tcPr>
          <w:p>
            <w:pPr>
              <w:ind w:left="460"/>
              <w:spacing w:after="0"/>
              <w:rPr>
                <w:sz w:val="20"/>
                <w:szCs w:val="20"/>
                <w:color w:val="auto"/>
              </w:rPr>
            </w:pPr>
            <w:r>
              <w:rPr>
                <w:rFonts w:ascii="Arial" w:cs="Arial" w:eastAsia="Arial" w:hAnsi="Arial"/>
                <w:sz w:val="18"/>
                <w:szCs w:val="18"/>
                <w:color w:val="auto"/>
              </w:rPr>
              <w:t>Satisfaction and Discharge of Indenture</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11.02</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Discharge of Obligations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11.03</w:t>
            </w:r>
          </w:p>
        </w:tc>
        <w:tc>
          <w:tcPr>
            <w:tcW w:w="8260" w:type="dxa"/>
            <w:vAlign w:val="bottom"/>
          </w:tcPr>
          <w:p>
            <w:pPr>
              <w:ind w:left="460"/>
              <w:spacing w:after="0"/>
              <w:rPr>
                <w:sz w:val="20"/>
                <w:szCs w:val="20"/>
                <w:color w:val="auto"/>
              </w:rPr>
            </w:pPr>
            <w:r>
              <w:rPr>
                <w:rFonts w:ascii="Arial" w:cs="Arial" w:eastAsia="Arial" w:hAnsi="Arial"/>
                <w:sz w:val="18"/>
                <w:szCs w:val="18"/>
                <w:color w:val="auto"/>
              </w:rPr>
              <w:t>Deposited Moneys to be Held in Trust</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11.04</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Payment of Moneys Held by Paying Agents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11.05</w:t>
            </w:r>
          </w:p>
        </w:tc>
        <w:tc>
          <w:tcPr>
            <w:tcW w:w="8260" w:type="dxa"/>
            <w:vAlign w:val="bottom"/>
          </w:tcPr>
          <w:p>
            <w:pPr>
              <w:ind w:left="460"/>
              <w:spacing w:after="0"/>
              <w:rPr>
                <w:sz w:val="20"/>
                <w:szCs w:val="20"/>
                <w:color w:val="auto"/>
              </w:rPr>
            </w:pPr>
            <w:r>
              <w:rPr>
                <w:rFonts w:ascii="Arial" w:cs="Arial" w:eastAsia="Arial" w:hAnsi="Arial"/>
                <w:sz w:val="18"/>
                <w:szCs w:val="18"/>
                <w:color w:val="auto"/>
              </w:rPr>
              <w:t>Repayment to Company</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gridSpan w:val="2"/>
            <w:shd w:val="clear" w:color="auto" w:fill="CCFFCC"/>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tcPr>
          <w:p>
            <w:pPr>
              <w:jc w:val="center"/>
              <w:ind w:right="690"/>
              <w:spacing w:after="0"/>
              <w:rPr>
                <w:sz w:val="20"/>
                <w:szCs w:val="20"/>
                <w:color w:val="auto"/>
              </w:rPr>
            </w:pPr>
            <w:r>
              <w:rPr>
                <w:rFonts w:ascii="Arial" w:cs="Arial" w:eastAsia="Arial" w:hAnsi="Arial"/>
                <w:sz w:val="18"/>
                <w:szCs w:val="18"/>
                <w:color w:val="auto"/>
              </w:rPr>
              <w:t>ARTICLE XII</w:t>
            </w:r>
          </w:p>
        </w:tc>
        <w:tc>
          <w:tcPr>
            <w:tcW w:w="8260" w:type="dxa"/>
            <w:vAlign w:val="bottom"/>
          </w:tcPr>
          <w:p>
            <w:pPr>
              <w:ind w:left="460"/>
              <w:spacing w:after="0"/>
              <w:rPr>
                <w:sz w:val="20"/>
                <w:szCs w:val="20"/>
                <w:color w:val="auto"/>
              </w:rPr>
            </w:pPr>
            <w:r>
              <w:rPr>
                <w:rFonts w:ascii="Arial" w:cs="Arial" w:eastAsia="Arial" w:hAnsi="Arial"/>
                <w:sz w:val="18"/>
                <w:szCs w:val="18"/>
                <w:color w:val="auto"/>
              </w:rPr>
              <w:t>IMMUNITY OF INCORPORATORS, STOCKHOLDERS, OFFICERS AND DIRECTORS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12.01</w:t>
            </w:r>
          </w:p>
        </w:tc>
        <w:tc>
          <w:tcPr>
            <w:tcW w:w="8260" w:type="dxa"/>
            <w:vAlign w:val="bottom"/>
          </w:tcPr>
          <w:p>
            <w:pPr>
              <w:ind w:left="460"/>
              <w:spacing w:after="0"/>
              <w:rPr>
                <w:sz w:val="20"/>
                <w:szCs w:val="20"/>
                <w:color w:val="auto"/>
              </w:rPr>
            </w:pPr>
            <w:r>
              <w:rPr>
                <w:rFonts w:ascii="Arial" w:cs="Arial" w:eastAsia="Arial" w:hAnsi="Arial"/>
                <w:sz w:val="18"/>
                <w:szCs w:val="18"/>
                <w:color w:val="auto"/>
              </w:rPr>
              <w:t>No Recourse</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gridSpan w:val="2"/>
            <w:shd w:val="clear" w:color="auto" w:fill="CCFFCC"/>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tcPr>
          <w:p>
            <w:pPr>
              <w:jc w:val="center"/>
              <w:ind w:right="630"/>
              <w:spacing w:after="0"/>
              <w:rPr>
                <w:sz w:val="20"/>
                <w:szCs w:val="20"/>
                <w:color w:val="auto"/>
              </w:rPr>
            </w:pPr>
            <w:r>
              <w:rPr>
                <w:rFonts w:ascii="Arial" w:cs="Arial" w:eastAsia="Arial" w:hAnsi="Arial"/>
                <w:sz w:val="18"/>
                <w:szCs w:val="18"/>
                <w:color w:val="auto"/>
              </w:rPr>
              <w:t>ARTICLE XIII</w:t>
            </w:r>
          </w:p>
        </w:tc>
        <w:tc>
          <w:tcPr>
            <w:tcW w:w="8260" w:type="dxa"/>
            <w:vAlign w:val="bottom"/>
          </w:tcPr>
          <w:p>
            <w:pPr>
              <w:ind w:left="460"/>
              <w:spacing w:after="0"/>
              <w:rPr>
                <w:sz w:val="20"/>
                <w:szCs w:val="20"/>
                <w:color w:val="auto"/>
              </w:rPr>
            </w:pPr>
            <w:r>
              <w:rPr>
                <w:rFonts w:ascii="Arial" w:cs="Arial" w:eastAsia="Arial" w:hAnsi="Arial"/>
                <w:sz w:val="18"/>
                <w:szCs w:val="18"/>
                <w:color w:val="auto"/>
              </w:rPr>
              <w:t>MISCELLANEOUS PROVISIONS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13.01</w:t>
            </w:r>
          </w:p>
        </w:tc>
        <w:tc>
          <w:tcPr>
            <w:tcW w:w="8260" w:type="dxa"/>
            <w:vAlign w:val="bottom"/>
          </w:tcPr>
          <w:p>
            <w:pPr>
              <w:ind w:left="460"/>
              <w:spacing w:after="0"/>
              <w:rPr>
                <w:sz w:val="20"/>
                <w:szCs w:val="20"/>
                <w:color w:val="auto"/>
              </w:rPr>
            </w:pPr>
            <w:r>
              <w:rPr>
                <w:rFonts w:ascii="Arial" w:cs="Arial" w:eastAsia="Arial" w:hAnsi="Arial"/>
                <w:sz w:val="18"/>
                <w:szCs w:val="18"/>
                <w:color w:val="auto"/>
              </w:rPr>
              <w:t>Effect on Successors and Assigns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13.02</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Actions by Successor</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13.03</w:t>
            </w:r>
          </w:p>
        </w:tc>
        <w:tc>
          <w:tcPr>
            <w:tcW w:w="8260" w:type="dxa"/>
            <w:vAlign w:val="bottom"/>
          </w:tcPr>
          <w:p>
            <w:pPr>
              <w:ind w:left="460"/>
              <w:spacing w:after="0"/>
              <w:rPr>
                <w:sz w:val="20"/>
                <w:szCs w:val="20"/>
                <w:color w:val="auto"/>
              </w:rPr>
            </w:pPr>
            <w:r>
              <w:rPr>
                <w:rFonts w:ascii="Arial" w:cs="Arial" w:eastAsia="Arial" w:hAnsi="Arial"/>
                <w:sz w:val="18"/>
                <w:szCs w:val="18"/>
                <w:color w:val="auto"/>
              </w:rPr>
              <w:t>Surrender of Company Powers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13.04</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Notices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13.05</w:t>
            </w:r>
          </w:p>
        </w:tc>
        <w:tc>
          <w:tcPr>
            <w:tcW w:w="8260" w:type="dxa"/>
            <w:vAlign w:val="bottom"/>
          </w:tcPr>
          <w:p>
            <w:pPr>
              <w:ind w:left="460"/>
              <w:spacing w:after="0"/>
              <w:rPr>
                <w:sz w:val="20"/>
                <w:szCs w:val="20"/>
                <w:color w:val="auto"/>
              </w:rPr>
            </w:pPr>
            <w:r>
              <w:rPr>
                <w:rFonts w:ascii="Arial" w:cs="Arial" w:eastAsia="Arial" w:hAnsi="Arial"/>
                <w:sz w:val="18"/>
                <w:szCs w:val="18"/>
                <w:color w:val="auto"/>
              </w:rPr>
              <w:t>Governing Law</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13.06</w:t>
            </w:r>
          </w:p>
        </w:tc>
        <w:tc>
          <w:tcPr>
            <w:tcW w:w="8260" w:type="dxa"/>
            <w:vAlign w:val="bottom"/>
            <w:shd w:val="clear" w:color="auto" w:fill="CCFFCC"/>
          </w:tcPr>
          <w:p>
            <w:pPr>
              <w:ind w:left="460"/>
              <w:spacing w:after="0"/>
              <w:rPr>
                <w:sz w:val="20"/>
                <w:szCs w:val="20"/>
                <w:color w:val="auto"/>
              </w:rPr>
            </w:pPr>
            <w:r>
              <w:rPr>
                <w:rFonts w:ascii="Arial" w:cs="Arial" w:eastAsia="Arial" w:hAnsi="Arial"/>
                <w:sz w:val="18"/>
                <w:szCs w:val="18"/>
                <w:color w:val="auto"/>
              </w:rPr>
              <w:t>Treatment of Securities as Debt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13.07</w:t>
            </w:r>
          </w:p>
        </w:tc>
        <w:tc>
          <w:tcPr>
            <w:tcW w:w="6340" w:type="dxa"/>
            <w:vAlign w:val="bottom"/>
            <w:shd w:val="clear" w:color="auto" w:fill="CCFFCC"/>
          </w:tcPr>
          <w:p>
            <w:pPr>
              <w:ind w:left="460"/>
              <w:spacing w:after="0"/>
              <w:rPr>
                <w:sz w:val="20"/>
                <w:szCs w:val="20"/>
                <w:color w:val="auto"/>
              </w:rPr>
            </w:pPr>
            <w:r>
              <w:rPr>
                <w:rFonts w:ascii="Arial" w:cs="Arial" w:eastAsia="Arial" w:hAnsi="Arial"/>
                <w:sz w:val="18"/>
                <w:szCs w:val="18"/>
                <w:color w:val="auto"/>
              </w:rPr>
              <w:t>Compliance Certificates and Opinions</w:t>
            </w:r>
          </w:p>
        </w:tc>
        <w:tc>
          <w:tcPr>
            <w:tcW w:w="3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SECTION 13.08</w:t>
            </w:r>
          </w:p>
        </w:tc>
        <w:tc>
          <w:tcPr>
            <w:tcW w:w="6340" w:type="dxa"/>
            <w:vAlign w:val="bottom"/>
          </w:tcPr>
          <w:p>
            <w:pPr>
              <w:ind w:left="460"/>
              <w:spacing w:after="0"/>
              <w:rPr>
                <w:sz w:val="20"/>
                <w:szCs w:val="20"/>
                <w:color w:val="auto"/>
              </w:rPr>
            </w:pPr>
            <w:r>
              <w:rPr>
                <w:rFonts w:ascii="Arial" w:cs="Arial" w:eastAsia="Arial" w:hAnsi="Arial"/>
                <w:sz w:val="18"/>
                <w:szCs w:val="18"/>
                <w:color w:val="auto"/>
              </w:rPr>
              <w:t>Payments on Business Days</w:t>
            </w:r>
          </w:p>
        </w:tc>
        <w:tc>
          <w:tcPr>
            <w:tcW w:w="32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13.09</w:t>
            </w:r>
          </w:p>
        </w:tc>
        <w:tc>
          <w:tcPr>
            <w:tcW w:w="6340" w:type="dxa"/>
            <w:vAlign w:val="bottom"/>
            <w:shd w:val="clear" w:color="auto" w:fill="CCFFCC"/>
          </w:tcPr>
          <w:p>
            <w:pPr>
              <w:ind w:left="460"/>
              <w:spacing w:after="0"/>
              <w:rPr>
                <w:sz w:val="20"/>
                <w:szCs w:val="20"/>
                <w:color w:val="auto"/>
              </w:rPr>
            </w:pPr>
            <w:r>
              <w:rPr>
                <w:rFonts w:ascii="Arial" w:cs="Arial" w:eastAsia="Arial" w:hAnsi="Arial"/>
                <w:sz w:val="18"/>
                <w:szCs w:val="18"/>
                <w:color w:val="auto"/>
              </w:rPr>
              <w:t>Conflict with Trust Indenture Act</w:t>
            </w:r>
          </w:p>
        </w:tc>
        <w:tc>
          <w:tcPr>
            <w:tcW w:w="3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SECTION 13.10</w:t>
            </w:r>
          </w:p>
        </w:tc>
        <w:tc>
          <w:tcPr>
            <w:tcW w:w="6340" w:type="dxa"/>
            <w:vAlign w:val="bottom"/>
          </w:tcPr>
          <w:p>
            <w:pPr>
              <w:ind w:left="460"/>
              <w:spacing w:after="0"/>
              <w:rPr>
                <w:sz w:val="20"/>
                <w:szCs w:val="20"/>
                <w:color w:val="auto"/>
              </w:rPr>
            </w:pPr>
            <w:r>
              <w:rPr>
                <w:rFonts w:ascii="Arial" w:cs="Arial" w:eastAsia="Arial" w:hAnsi="Arial"/>
                <w:sz w:val="18"/>
                <w:szCs w:val="18"/>
                <w:color w:val="auto"/>
              </w:rPr>
              <w:t>Counterparts</w:t>
            </w:r>
          </w:p>
        </w:tc>
        <w:tc>
          <w:tcPr>
            <w:tcW w:w="32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SECTION 13.11</w:t>
            </w:r>
          </w:p>
        </w:tc>
        <w:tc>
          <w:tcPr>
            <w:tcW w:w="6340" w:type="dxa"/>
            <w:vAlign w:val="bottom"/>
            <w:shd w:val="clear" w:color="auto" w:fill="CCFFCC"/>
          </w:tcPr>
          <w:p>
            <w:pPr>
              <w:ind w:left="460"/>
              <w:spacing w:after="0"/>
              <w:rPr>
                <w:sz w:val="20"/>
                <w:szCs w:val="20"/>
                <w:color w:val="auto"/>
              </w:rPr>
            </w:pPr>
            <w:r>
              <w:rPr>
                <w:rFonts w:ascii="Arial" w:cs="Arial" w:eastAsia="Arial" w:hAnsi="Arial"/>
                <w:sz w:val="18"/>
                <w:szCs w:val="18"/>
                <w:color w:val="auto"/>
              </w:rPr>
              <w:t>Separability</w:t>
            </w:r>
          </w:p>
        </w:tc>
        <w:tc>
          <w:tcPr>
            <w:tcW w:w="3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SECTION 13.12</w:t>
            </w:r>
          </w:p>
        </w:tc>
        <w:tc>
          <w:tcPr>
            <w:tcW w:w="6340" w:type="dxa"/>
            <w:vAlign w:val="bottom"/>
          </w:tcPr>
          <w:p>
            <w:pPr>
              <w:ind w:left="460"/>
              <w:spacing w:after="0"/>
              <w:rPr>
                <w:sz w:val="20"/>
                <w:szCs w:val="20"/>
                <w:color w:val="auto"/>
              </w:rPr>
            </w:pPr>
            <w:r>
              <w:rPr>
                <w:rFonts w:ascii="Arial" w:cs="Arial" w:eastAsia="Arial" w:hAnsi="Arial"/>
                <w:sz w:val="18"/>
                <w:szCs w:val="18"/>
                <w:color w:val="auto"/>
              </w:rPr>
              <w:t>Assignment</w:t>
            </w:r>
          </w:p>
        </w:tc>
        <w:tc>
          <w:tcPr>
            <w:tcW w:w="32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6340" w:type="dxa"/>
            <w:vAlign w:val="bottom"/>
            <w:shd w:val="clear" w:color="auto" w:fill="CCFFCC"/>
          </w:tcPr>
          <w:p>
            <w:pPr>
              <w:spacing w:after="0"/>
              <w:rPr>
                <w:sz w:val="18"/>
                <w:szCs w:val="18"/>
                <w:color w:val="auto"/>
              </w:rPr>
            </w:pPr>
          </w:p>
        </w:tc>
        <w:tc>
          <w:tcPr>
            <w:tcW w:w="32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ARTICLE XIV</w:t>
            </w:r>
          </w:p>
        </w:tc>
        <w:tc>
          <w:tcPr>
            <w:tcW w:w="6340" w:type="dxa"/>
            <w:vAlign w:val="bottom"/>
          </w:tcPr>
          <w:p>
            <w:pPr>
              <w:ind w:left="460"/>
              <w:spacing w:after="0"/>
              <w:rPr>
                <w:sz w:val="20"/>
                <w:szCs w:val="20"/>
                <w:color w:val="auto"/>
              </w:rPr>
            </w:pPr>
            <w:r>
              <w:rPr>
                <w:rFonts w:ascii="Arial" w:cs="Arial" w:eastAsia="Arial" w:hAnsi="Arial"/>
                <w:sz w:val="18"/>
                <w:szCs w:val="18"/>
                <w:color w:val="auto"/>
              </w:rPr>
              <w:t>SUBORDINATION OF SECURITIES</w:t>
            </w:r>
          </w:p>
        </w:tc>
        <w:tc>
          <w:tcPr>
            <w:tcW w:w="32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6340" w:type="dxa"/>
            <w:vAlign w:val="bottom"/>
            <w:shd w:val="clear" w:color="auto" w:fill="CCFFCC"/>
          </w:tcPr>
          <w:p>
            <w:pPr>
              <w:spacing w:after="0"/>
              <w:rPr>
                <w:sz w:val="18"/>
                <w:szCs w:val="18"/>
                <w:color w:val="auto"/>
              </w:rPr>
            </w:pPr>
          </w:p>
        </w:tc>
        <w:tc>
          <w:tcPr>
            <w:tcW w:w="32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SECTION 14.01</w:t>
            </w:r>
          </w:p>
        </w:tc>
        <w:tc>
          <w:tcPr>
            <w:tcW w:w="6340" w:type="dxa"/>
            <w:vAlign w:val="bottom"/>
          </w:tcPr>
          <w:p>
            <w:pPr>
              <w:ind w:left="460"/>
              <w:spacing w:after="0"/>
              <w:rPr>
                <w:sz w:val="20"/>
                <w:szCs w:val="20"/>
                <w:color w:val="auto"/>
              </w:rPr>
            </w:pPr>
            <w:r>
              <w:rPr>
                <w:rFonts w:ascii="Arial" w:cs="Arial" w:eastAsia="Arial" w:hAnsi="Arial"/>
                <w:sz w:val="18"/>
                <w:szCs w:val="18"/>
                <w:color w:val="auto"/>
              </w:rPr>
              <w:t>Subordination Terms</w:t>
            </w:r>
          </w:p>
        </w:tc>
        <w:tc>
          <w:tcPr>
            <w:tcW w:w="32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This Table of Contents does not constitute part of the Indenture and shall not have any bearing on the interpretation of any of its terms or provisions.</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93" w:name="page94"/>
    <w:bookmarkEnd w:id="93"/>
    <w:p>
      <w:pPr>
        <w:ind w:left="420"/>
        <w:spacing w:after="0"/>
        <w:rPr>
          <w:sz w:val="20"/>
          <w:szCs w:val="20"/>
          <w:color w:val="auto"/>
        </w:rPr>
      </w:pPr>
      <w:r>
        <w:rPr>
          <w:rFonts w:ascii="Arial" w:cs="Arial" w:eastAsia="Arial" w:hAnsi="Arial"/>
          <w:sz w:val="16"/>
          <w:szCs w:val="16"/>
          <w:color w:val="auto"/>
        </w:rPr>
        <w:t>INDENTURE, dated as of [</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by and between Vringo, Inc., a Delaware corporation (the “Company”),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-269875</wp:posOffset>
            </wp:positionV>
            <wp:extent cx="724662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as trustee (the</w:t>
      </w:r>
    </w:p>
    <w:p>
      <w:pPr>
        <w:spacing w:after="0" w:line="57" w:lineRule="exact"/>
        <w:rPr>
          <w:sz w:val="20"/>
          <w:szCs w:val="20"/>
          <w:color w:val="auto"/>
        </w:rPr>
      </w:pPr>
    </w:p>
    <w:p>
      <w:pPr>
        <w:sectPr>
          <w:pgSz w:w="11900" w:h="16838" w:orient="portrait"/>
          <w:cols w:equalWidth="0" w:num="3">
            <w:col w:w="2600" w:space="720"/>
            <w:col w:w="5900" w:space="720"/>
            <w:col w:w="1480"/>
          </w:cols>
          <w:pgMar w:left="240" w:top="706" w:right="239" w:bottom="1440" w:gutter="0" w:footer="0" w:header="0"/>
        </w:sectPr>
      </w:pPr>
    </w:p>
    <w:p>
      <w:pPr>
        <w:spacing w:after="0"/>
        <w:rPr>
          <w:sz w:val="20"/>
          <w:szCs w:val="20"/>
          <w:color w:val="auto"/>
        </w:rPr>
      </w:pPr>
      <w:r>
        <w:rPr>
          <w:rFonts w:ascii="Arial" w:cs="Arial" w:eastAsia="Arial" w:hAnsi="Arial"/>
          <w:sz w:val="17"/>
          <w:szCs w:val="17"/>
          <w:color w:val="auto"/>
        </w:rPr>
        <w:t>“Trustee”):</w:t>
      </w:r>
    </w:p>
    <w:p>
      <w:pPr>
        <w:sectPr>
          <w:pgSz w:w="11900" w:h="16838" w:orient="portrait"/>
          <w:cols w:equalWidth="0" w:num="1">
            <w:col w:w="11420"/>
          </w:cols>
          <w:pgMar w:left="240" w:top="706" w:right="239" w:bottom="1440" w:gutter="0" w:footer="0" w:header="0"/>
          <w:type w:val="continuous"/>
        </w:sectPr>
      </w:pPr>
    </w:p>
    <w:p>
      <w:pPr>
        <w:spacing w:after="0" w:line="222" w:lineRule="exact"/>
        <w:rPr>
          <w:sz w:val="20"/>
          <w:szCs w:val="20"/>
          <w:color w:val="auto"/>
        </w:rPr>
      </w:pPr>
    </w:p>
    <w:p>
      <w:pPr>
        <w:jc w:val="both"/>
        <w:ind w:firstLine="414"/>
        <w:spacing w:after="0" w:line="312" w:lineRule="auto"/>
        <w:rPr>
          <w:sz w:val="20"/>
          <w:szCs w:val="20"/>
          <w:color w:val="auto"/>
        </w:rPr>
      </w:pPr>
      <w:r>
        <w:rPr>
          <w:rFonts w:ascii="Arial" w:cs="Arial" w:eastAsia="Arial" w:hAnsi="Arial"/>
          <w:sz w:val="16"/>
          <w:szCs w:val="16"/>
          <w:color w:val="auto"/>
        </w:rPr>
        <w:t>WHEREAS,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47" w:lineRule="exact"/>
        <w:rPr>
          <w:sz w:val="20"/>
          <w:szCs w:val="20"/>
          <w:color w:val="auto"/>
        </w:rPr>
      </w:pPr>
    </w:p>
    <w:p>
      <w:pPr>
        <w:ind w:right="660" w:firstLine="414"/>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ind w:right="40" w:firstLine="414"/>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Definitions of Terms.</w:t>
      </w:r>
    </w:p>
    <w:p>
      <w:pPr>
        <w:spacing w:after="0" w:line="225" w:lineRule="exact"/>
        <w:rPr>
          <w:sz w:val="20"/>
          <w:szCs w:val="20"/>
          <w:color w:val="auto"/>
        </w:rPr>
      </w:pPr>
    </w:p>
    <w:p>
      <w:pPr>
        <w:ind w:right="60" w:firstLine="414"/>
        <w:spacing w:after="0" w:line="297" w:lineRule="auto"/>
        <w:rPr>
          <w:sz w:val="20"/>
          <w:szCs w:val="20"/>
          <w:color w:val="auto"/>
        </w:rPr>
      </w:pPr>
      <w:r>
        <w:rPr>
          <w:rFonts w:ascii="Arial" w:cs="Arial" w:eastAsia="Arial" w:hAnsi="Arial"/>
          <w:sz w:val="16"/>
          <w:szCs w:val="16"/>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58" w:lineRule="exact"/>
        <w:rPr>
          <w:sz w:val="20"/>
          <w:szCs w:val="20"/>
          <w:color w:val="auto"/>
        </w:rPr>
      </w:pPr>
    </w:p>
    <w:p>
      <w:pPr>
        <w:ind w:right="140" w:firstLine="414"/>
        <w:spacing w:after="0" w:line="277" w:lineRule="auto"/>
        <w:rPr>
          <w:sz w:val="20"/>
          <w:szCs w:val="20"/>
          <w:color w:val="auto"/>
        </w:rPr>
      </w:pPr>
      <w:r>
        <w:rPr>
          <w:rFonts w:ascii="Arial" w:cs="Arial" w:eastAsia="Arial" w:hAnsi="Arial"/>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“Bankruptcy Law” means Title 11, U.S. Code, or any similar federal or state law for the relief of debtors.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“Board of Directors” means the Board of Directors of the Company or any duly authorized committee of such Board.</w:t>
      </w:r>
    </w:p>
    <w:p>
      <w:pPr>
        <w:spacing w:after="0" w:line="225" w:lineRule="exact"/>
        <w:rPr>
          <w:sz w:val="20"/>
          <w:szCs w:val="20"/>
          <w:color w:val="auto"/>
        </w:rPr>
      </w:pPr>
    </w:p>
    <w:p>
      <w:pPr>
        <w:ind w:right="140" w:firstLine="414"/>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ind w:right="140" w:firstLine="414"/>
        <w:spacing w:after="0" w:line="277" w:lineRule="auto"/>
        <w:rPr>
          <w:sz w:val="20"/>
          <w:szCs w:val="20"/>
          <w:color w:val="auto"/>
        </w:rPr>
      </w:pPr>
      <w:r>
        <w:rPr>
          <w:rFonts w:ascii="Arial" w:cs="Arial" w:eastAsia="Arial" w:hAnsi="Arial"/>
          <w:sz w:val="18"/>
          <w:szCs w:val="18"/>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70" w:lineRule="exact"/>
        <w:rPr>
          <w:sz w:val="20"/>
          <w:szCs w:val="20"/>
          <w:color w:val="auto"/>
        </w:rPr>
      </w:pPr>
    </w:p>
    <w:p>
      <w:pPr>
        <w:ind w:right="600" w:firstLine="414"/>
        <w:spacing w:after="0" w:line="277" w:lineRule="auto"/>
        <w:rPr>
          <w:sz w:val="20"/>
          <w:szCs w:val="20"/>
          <w:color w:val="auto"/>
        </w:rPr>
      </w:pPr>
      <w:r>
        <w:rPr>
          <w:rFonts w:ascii="Arial" w:cs="Arial" w:eastAsia="Arial" w:hAnsi="Arial"/>
          <w:sz w:val="18"/>
          <w:szCs w:val="18"/>
          <w:color w:val="auto"/>
        </w:rPr>
        <w:t>“Certificate” means a certificate signed by the principal executive officer, the principal financial officer or the principal accounting officer of the Company. The Certificate need not comply with the provisions of Section 13.07.</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“Commission” means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type w:val="continuous"/>
        </w:sectPr>
      </w:pPr>
    </w:p>
    <w:bookmarkStart w:id="94" w:name="page95"/>
    <w:bookmarkEnd w:id="94"/>
    <w:p>
      <w:pPr>
        <w:ind w:right="240" w:firstLine="41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“Corporate Trust Office” means the office of the Trustee at which, at any particular time, its corporate trust business shall be principally administered,</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which office at the date hereof is located at [ ], except that whenever a provision herein refers to an office or agency of the Trustee in the Borough of Manhattan, the City and State of New York, such office is located, at the date hereof, at [ ].</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“Default” means an event which is, or after notice or lapse of time, or both, would constitute an Event of Default.</w:t>
      </w:r>
    </w:p>
    <w:p>
      <w:pPr>
        <w:spacing w:after="0" w:line="225" w:lineRule="exact"/>
        <w:rPr>
          <w:sz w:val="20"/>
          <w:szCs w:val="20"/>
          <w:color w:val="auto"/>
        </w:rPr>
      </w:pPr>
    </w:p>
    <w:p>
      <w:pPr>
        <w:ind w:right="380" w:firstLine="414"/>
        <w:spacing w:after="0" w:line="259" w:lineRule="auto"/>
        <w:rPr>
          <w:sz w:val="20"/>
          <w:szCs w:val="20"/>
          <w:color w:val="auto"/>
        </w:rPr>
      </w:pPr>
      <w:r>
        <w:rPr>
          <w:rFonts w:ascii="Arial" w:cs="Arial" w:eastAsia="Arial" w:hAnsi="Arial"/>
          <w:sz w:val="18"/>
          <w:szCs w:val="18"/>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87"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color w:val="auto"/>
        </w:rPr>
        <w:t>“Event of Default” means, with respect to Securities of a particular series, any event specified in Section 6.01, continued for the period of time, if any, therein designated.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right="20" w:firstLine="414"/>
        <w:spacing w:after="0" w:line="342" w:lineRule="auto"/>
        <w:rPr>
          <w:sz w:val="20"/>
          <w:szCs w:val="20"/>
          <w:color w:val="auto"/>
        </w:rPr>
      </w:pPr>
      <w:r>
        <w:rPr>
          <w:rFonts w:ascii="Arial" w:cs="Arial" w:eastAsia="Arial" w:hAnsi="Arial"/>
          <w:sz w:val="16"/>
          <w:szCs w:val="16"/>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24" w:lineRule="exact"/>
        <w:rPr>
          <w:sz w:val="20"/>
          <w:szCs w:val="20"/>
          <w:color w:val="auto"/>
        </w:rPr>
      </w:pPr>
    </w:p>
    <w:p>
      <w:pPr>
        <w:ind w:firstLine="414"/>
        <w:spacing w:after="0" w:line="253" w:lineRule="auto"/>
        <w:rPr>
          <w:sz w:val="20"/>
          <w:szCs w:val="20"/>
          <w:color w:val="auto"/>
        </w:rPr>
      </w:pPr>
      <w:r>
        <w:rPr>
          <w:rFonts w:ascii="Arial" w:cs="Arial" w:eastAsia="Arial" w:hAnsi="Arial"/>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97" w:lineRule="exact"/>
        <w:rPr>
          <w:sz w:val="20"/>
          <w:szCs w:val="20"/>
          <w:color w:val="auto"/>
        </w:rPr>
      </w:pPr>
    </w:p>
    <w:p>
      <w:pPr>
        <w:ind w:right="280" w:firstLine="414"/>
        <w:spacing w:after="0" w:line="277" w:lineRule="auto"/>
        <w:rPr>
          <w:sz w:val="20"/>
          <w:szCs w:val="20"/>
          <w:color w:val="auto"/>
        </w:rPr>
      </w:pPr>
      <w:r>
        <w:rPr>
          <w:rFonts w:ascii="Arial" w:cs="Arial" w:eastAsia="Arial" w:hAnsi="Arial"/>
          <w:sz w:val="18"/>
          <w:szCs w:val="18"/>
          <w:color w:val="auto"/>
        </w:rPr>
        <w:t>“herein,”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right="600" w:firstLine="414"/>
        <w:spacing w:after="0" w:line="277"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70"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1" w:lineRule="exact"/>
        <w:rPr>
          <w:sz w:val="20"/>
          <w:szCs w:val="20"/>
          <w:color w:val="auto"/>
        </w:rPr>
      </w:pPr>
    </w:p>
    <w:p>
      <w:pPr>
        <w:ind w:right="80" w:firstLine="414"/>
        <w:spacing w:after="0" w:line="312" w:lineRule="auto"/>
        <w:rPr>
          <w:sz w:val="20"/>
          <w:szCs w:val="20"/>
          <w:color w:val="auto"/>
        </w:rPr>
      </w:pPr>
      <w:r>
        <w:rPr>
          <w:rFonts w:ascii="Arial" w:cs="Arial" w:eastAsia="Arial" w:hAnsi="Arial"/>
          <w:sz w:val="16"/>
          <w:szCs w:val="16"/>
          <w:color w:val="auto"/>
        </w:rPr>
        <w:t>“Officers’ Certificate” means a certificate signed by the President or a Vice President and by the Chief Financial Officer,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95" w:name="page96"/>
    <w:bookmarkEnd w:id="95"/>
    <w:p>
      <w:pPr>
        <w:ind w:right="660" w:firstLine="41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170" w:lineRule="exact"/>
        <w:rPr>
          <w:sz w:val="20"/>
          <w:szCs w:val="20"/>
          <w:color w:val="auto"/>
        </w:rPr>
      </w:pPr>
    </w:p>
    <w:p>
      <w:pPr>
        <w:ind w:right="160" w:firstLine="414"/>
        <w:spacing w:after="0" w:line="284" w:lineRule="auto"/>
        <w:rPr>
          <w:sz w:val="20"/>
          <w:szCs w:val="20"/>
          <w:color w:val="auto"/>
        </w:rPr>
      </w:pPr>
      <w:r>
        <w:rPr>
          <w:rFonts w:ascii="Arial" w:cs="Arial" w:eastAsia="Arial" w:hAnsi="Arial"/>
          <w:sz w:val="16"/>
          <w:szCs w:val="16"/>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 Securities in lieu of or in substitution for which other Securities shall have been authenticated and delivered pursuant to the terms of Section 2.07.</w:t>
      </w:r>
    </w:p>
    <w:p>
      <w:pPr>
        <w:spacing w:after="0" w:line="222" w:lineRule="exact"/>
        <w:rPr>
          <w:sz w:val="20"/>
          <w:szCs w:val="20"/>
          <w:color w:val="auto"/>
        </w:rPr>
      </w:pPr>
    </w:p>
    <w:p>
      <w:pPr>
        <w:ind w:right="620" w:firstLine="414"/>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70" w:lineRule="exact"/>
        <w:rPr>
          <w:sz w:val="20"/>
          <w:szCs w:val="20"/>
          <w:color w:val="auto"/>
        </w:rPr>
      </w:pPr>
    </w:p>
    <w:p>
      <w:pPr>
        <w:jc w:val="both"/>
        <w:ind w:right="120" w:firstLine="414"/>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right="140" w:firstLine="414"/>
        <w:spacing w:after="0" w:line="279" w:lineRule="auto"/>
        <w:rPr>
          <w:sz w:val="20"/>
          <w:szCs w:val="20"/>
          <w:color w:val="auto"/>
        </w:rPr>
      </w:pPr>
      <w:r>
        <w:rPr>
          <w:rFonts w:ascii="Arial" w:cs="Arial" w:eastAsia="Arial" w:hAnsi="Arial"/>
          <w:sz w:val="17"/>
          <w:szCs w:val="17"/>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means the debt Securities authenticated and delivered under this Indenture.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“Security Register” has the meaning specified in Section 2.05.</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“Security Registrar” has the meaning specified in Section 2.05.</w:t>
      </w:r>
    </w:p>
    <w:p>
      <w:pPr>
        <w:spacing w:after="0" w:line="225" w:lineRule="exact"/>
        <w:rPr>
          <w:sz w:val="20"/>
          <w:szCs w:val="20"/>
          <w:color w:val="auto"/>
        </w:rPr>
      </w:pPr>
    </w:p>
    <w:p>
      <w:pPr>
        <w:ind w:right="260" w:firstLine="414"/>
        <w:spacing w:after="0" w:line="277" w:lineRule="auto"/>
        <w:rPr>
          <w:sz w:val="20"/>
          <w:szCs w:val="20"/>
          <w:color w:val="auto"/>
        </w:rPr>
      </w:pPr>
      <w:r>
        <w:rPr>
          <w:rFonts w:ascii="Arial" w:cs="Arial" w:eastAsia="Arial" w:hAnsi="Arial"/>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70"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8" w:lineRule="exact"/>
        <w:rPr>
          <w:sz w:val="20"/>
          <w:szCs w:val="20"/>
          <w:color w:val="auto"/>
        </w:rPr>
      </w:pPr>
    </w:p>
    <w:p>
      <w:pPr>
        <w:jc w:val="both"/>
        <w:ind w:firstLine="414"/>
        <w:spacing w:after="0" w:line="264"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96" w:name="page97"/>
    <w:bookmarkEnd w:id="96"/>
    <w:p>
      <w:pPr>
        <w:ind w:right="80" w:firstLine="41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66"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ISSUE, DESCRIPTION, TERMS, EXECUTION,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REGISTRATION AND EXCHANGE OF SECURITIES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Designation and Terms of Securities.</w:t>
      </w:r>
    </w:p>
    <w:p>
      <w:pPr>
        <w:spacing w:after="0" w:line="225" w:lineRule="exact"/>
        <w:rPr>
          <w:sz w:val="20"/>
          <w:szCs w:val="20"/>
          <w:color w:val="auto"/>
        </w:rPr>
      </w:pPr>
    </w:p>
    <w:p>
      <w:pPr>
        <w:ind w:left="660" w:right="20" w:hanging="328"/>
        <w:spacing w:after="0" w:line="25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title of the Security of the series (which shall distinguish the Securities of the series from all other Securities);</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81" w:lineRule="exact"/>
        <w:rPr>
          <w:rFonts w:ascii="Arial" w:cs="Arial" w:eastAsia="Arial" w:hAnsi="Arial"/>
          <w:sz w:val="18"/>
          <w:szCs w:val="18"/>
          <w:color w:val="auto"/>
        </w:rPr>
      </w:pPr>
    </w:p>
    <w:p>
      <w:pPr>
        <w:ind w:left="1300" w:right="160" w:hanging="644"/>
        <w:spacing w:after="0" w:line="277"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and the place(s) of payment;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or the manner of calculation of such rate or rates, if any;</w:t>
      </w:r>
    </w:p>
    <w:p>
      <w:pPr>
        <w:spacing w:after="0" w:line="236" w:lineRule="exact"/>
        <w:rPr>
          <w:rFonts w:ascii="Arial" w:cs="Arial" w:eastAsia="Arial" w:hAnsi="Arial"/>
          <w:sz w:val="17"/>
          <w:szCs w:val="17"/>
          <w:color w:val="auto"/>
        </w:rPr>
      </w:pPr>
    </w:p>
    <w:p>
      <w:pPr>
        <w:ind w:left="1300" w:right="140" w:hanging="644"/>
        <w:spacing w:after="0" w:line="286" w:lineRule="auto"/>
        <w:tabs>
          <w:tab w:leader="none" w:pos="13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or to defer the payment of interest and the duration of such extension;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97" w:name="page98"/>
    <w:bookmarkEnd w:id="97"/>
    <w:p>
      <w:pPr>
        <w:ind w:left="1300" w:right="240" w:hanging="644"/>
        <w:spacing w:after="0" w:line="27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the period or periods within which, the price or prices at which and the terms and conditions upon which, Securities of the series may be redeemed, in whole or in part, at the option of the Company;</w:t>
      </w:r>
    </w:p>
    <w:p>
      <w:pPr>
        <w:spacing w:after="0" w:line="170" w:lineRule="exact"/>
        <w:rPr>
          <w:rFonts w:ascii="Arial" w:cs="Arial" w:eastAsia="Arial" w:hAnsi="Arial"/>
          <w:sz w:val="18"/>
          <w:szCs w:val="18"/>
          <w:color w:val="auto"/>
        </w:rPr>
      </w:pPr>
    </w:p>
    <w:p>
      <w:pPr>
        <w:ind w:left="1300" w:right="140" w:hanging="644"/>
        <w:spacing w:after="0" w:line="259"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left="1300" w:right="680" w:hanging="644"/>
        <w:spacing w:after="0" w:line="27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70" w:lineRule="exact"/>
        <w:rPr>
          <w:rFonts w:ascii="Arial" w:cs="Arial" w:eastAsia="Arial" w:hAnsi="Arial"/>
          <w:sz w:val="18"/>
          <w:szCs w:val="18"/>
          <w:color w:val="auto"/>
        </w:rPr>
      </w:pPr>
    </w:p>
    <w:p>
      <w:pPr>
        <w:ind w:left="1300" w:right="240" w:hanging="644"/>
        <w:spacing w:after="0" w:line="264"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whether the Securities are issuable as a Global Security and, in such case, the identity of the Depositary for such series;</w:t>
      </w:r>
    </w:p>
    <w:p>
      <w:pPr>
        <w:spacing w:after="0" w:line="225" w:lineRule="exact"/>
        <w:rPr>
          <w:rFonts w:ascii="Arial" w:cs="Arial" w:eastAsia="Arial" w:hAnsi="Arial"/>
          <w:sz w:val="18"/>
          <w:szCs w:val="18"/>
          <w:color w:val="auto"/>
        </w:rPr>
      </w:pPr>
    </w:p>
    <w:p>
      <w:pPr>
        <w:ind w:left="1300" w:right="640" w:hanging="644"/>
        <w:spacing w:after="0" w:line="342" w:lineRule="auto"/>
        <w:tabs>
          <w:tab w:leader="none" w:pos="13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123" w:lineRule="exact"/>
        <w:rPr>
          <w:rFonts w:ascii="Arial" w:cs="Arial" w:eastAsia="Arial" w:hAnsi="Arial"/>
          <w:sz w:val="16"/>
          <w:szCs w:val="16"/>
          <w:color w:val="auto"/>
        </w:rPr>
      </w:pPr>
    </w:p>
    <w:p>
      <w:pPr>
        <w:ind w:left="1300" w:right="520" w:hanging="644"/>
        <w:spacing w:after="0" w:line="27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6.01;</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additional or different Events of Default or restrictive covenants provided for with respect to the Securities of the series;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subordination terms of the Securities of the series.</w:t>
      </w:r>
    </w:p>
    <w:p>
      <w:pPr>
        <w:spacing w:after="0" w:line="225"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70" w:lineRule="exact"/>
        <w:rPr>
          <w:sz w:val="20"/>
          <w:szCs w:val="20"/>
          <w:color w:val="auto"/>
        </w:rPr>
      </w:pPr>
    </w:p>
    <w:p>
      <w:pPr>
        <w:ind w:right="40" w:firstLine="414"/>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1" w:lineRule="exact"/>
        <w:rPr>
          <w:sz w:val="20"/>
          <w:szCs w:val="20"/>
          <w:color w:val="auto"/>
        </w:rPr>
      </w:pPr>
    </w:p>
    <w:p>
      <w:pPr>
        <w:jc w:val="both"/>
        <w:ind w:right="100" w:firstLine="414"/>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98" w:name="page99"/>
    <w:bookmarkEnd w:id="98"/>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2.02</w:t>
      </w:r>
      <w:r>
        <w:rPr>
          <w:sz w:val="20"/>
          <w:szCs w:val="20"/>
          <w:color w:val="auto"/>
        </w:rPr>
        <w:tab/>
      </w:r>
      <w:r>
        <w:rPr>
          <w:rFonts w:ascii="Arial" w:cs="Arial" w:eastAsia="Arial" w:hAnsi="Arial"/>
          <w:sz w:val="16"/>
          <w:szCs w:val="16"/>
          <w:color w:val="auto"/>
        </w:rPr>
        <w:t>Form of Securities and Trustee’s Certificate.</w:t>
      </w:r>
    </w:p>
    <w:p>
      <w:pPr>
        <w:spacing w:after="0" w:line="225"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the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color w:val="auto"/>
        </w:rPr>
        <w:t>Denominations: Provisions for Payment.</w:t>
      </w:r>
    </w:p>
    <w:p>
      <w:pPr>
        <w:spacing w:after="0" w:line="225" w:lineRule="exact"/>
        <w:rPr>
          <w:sz w:val="20"/>
          <w:szCs w:val="20"/>
          <w:color w:val="auto"/>
        </w:rPr>
      </w:pPr>
    </w:p>
    <w:p>
      <w:pPr>
        <w:ind w:right="80" w:firstLine="414"/>
        <w:spacing w:after="0" w:line="273" w:lineRule="auto"/>
        <w:rPr>
          <w:sz w:val="20"/>
          <w:szCs w:val="20"/>
          <w:color w:val="auto"/>
        </w:rPr>
      </w:pPr>
      <w:r>
        <w:rPr>
          <w:rFonts w:ascii="Arial" w:cs="Arial" w:eastAsia="Arial" w:hAnsi="Arial"/>
          <w:sz w:val="17"/>
          <w:szCs w:val="17"/>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78" w:lineRule="exact"/>
        <w:rPr>
          <w:sz w:val="20"/>
          <w:szCs w:val="20"/>
          <w:color w:val="auto"/>
        </w:rPr>
      </w:pPr>
    </w:p>
    <w:p>
      <w:pPr>
        <w:ind w:right="20" w:firstLine="414"/>
        <w:spacing w:after="0" w:line="276"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73" w:lineRule="exact"/>
        <w:rPr>
          <w:sz w:val="20"/>
          <w:szCs w:val="20"/>
          <w:color w:val="auto"/>
        </w:rPr>
      </w:pPr>
    </w:p>
    <w:p>
      <w:pPr>
        <w:ind w:right="220" w:firstLine="414"/>
        <w:spacing w:after="0" w:line="312"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47" w:lineRule="exact"/>
        <w:rPr>
          <w:sz w:val="20"/>
          <w:szCs w:val="20"/>
          <w:color w:val="auto"/>
        </w:rPr>
      </w:pPr>
    </w:p>
    <w:p>
      <w:pPr>
        <w:ind w:left="1300" w:right="40" w:hanging="644"/>
        <w:spacing w:after="0" w:line="286" w:lineRule="auto"/>
        <w:tabs>
          <w:tab w:leader="none" w:pos="1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99" w:name="page100"/>
    <w:bookmarkEnd w:id="99"/>
    <w:p>
      <w:pPr>
        <w:ind w:left="1300" w:right="220" w:hanging="644"/>
        <w:spacing w:after="0" w:line="259"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80" w:firstLine="414"/>
        <w:spacing w:after="0" w:line="273" w:lineRule="auto"/>
        <w:rPr>
          <w:sz w:val="20"/>
          <w:szCs w:val="20"/>
          <w:color w:val="auto"/>
        </w:rPr>
      </w:pPr>
      <w:r>
        <w:rPr>
          <w:rFonts w:ascii="Arial" w:cs="Arial" w:eastAsia="Arial" w:hAnsi="Arial"/>
          <w:sz w:val="17"/>
          <w:szCs w:val="17"/>
          <w:color w:val="auto"/>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78" w:lineRule="exact"/>
        <w:rPr>
          <w:sz w:val="20"/>
          <w:szCs w:val="20"/>
          <w:color w:val="auto"/>
        </w:rPr>
      </w:pPr>
    </w:p>
    <w:p>
      <w:pPr>
        <w:ind w:right="20" w:firstLine="414"/>
        <w:spacing w:after="0" w:line="308" w:lineRule="auto"/>
        <w:rPr>
          <w:sz w:val="20"/>
          <w:szCs w:val="20"/>
          <w:color w:val="auto"/>
        </w:rPr>
      </w:pPr>
      <w:r>
        <w:rPr>
          <w:rFonts w:ascii="Arial" w:cs="Arial" w:eastAsia="Arial" w:hAnsi="Arial"/>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Execution and Authentications.</w:t>
      </w:r>
    </w:p>
    <w:p>
      <w:pPr>
        <w:spacing w:after="0" w:line="225" w:lineRule="exact"/>
        <w:rPr>
          <w:sz w:val="20"/>
          <w:szCs w:val="20"/>
          <w:color w:val="auto"/>
        </w:rPr>
      </w:pPr>
    </w:p>
    <w:p>
      <w:pPr>
        <w:ind w:right="60" w:firstLine="414"/>
        <w:spacing w:after="0" w:line="270" w:lineRule="auto"/>
        <w:rPr>
          <w:sz w:val="20"/>
          <w:szCs w:val="20"/>
          <w:color w:val="auto"/>
        </w:rPr>
      </w:pPr>
      <w:r>
        <w:rPr>
          <w:rFonts w:ascii="Arial" w:cs="Arial" w:eastAsia="Arial" w:hAnsi="Arial"/>
          <w:sz w:val="17"/>
          <w:szCs w:val="17"/>
          <w:color w:val="auto"/>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182"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78" w:lineRule="exact"/>
        <w:rPr>
          <w:sz w:val="20"/>
          <w:szCs w:val="20"/>
          <w:color w:val="auto"/>
        </w:rPr>
      </w:pPr>
    </w:p>
    <w:p>
      <w:pPr>
        <w:ind w:right="140" w:firstLine="414"/>
        <w:spacing w:after="0" w:line="264"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100" w:name="page101"/>
    <w:bookmarkEnd w:id="100"/>
    <w:p>
      <w:pPr>
        <w:ind w:right="220" w:firstLine="414"/>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Registration of Transfer and Exchange.</w:t>
      </w:r>
    </w:p>
    <w:p>
      <w:pPr>
        <w:spacing w:after="0" w:line="225" w:lineRule="exact"/>
        <w:rPr>
          <w:sz w:val="20"/>
          <w:szCs w:val="20"/>
          <w:color w:val="auto"/>
        </w:rPr>
      </w:pPr>
    </w:p>
    <w:p>
      <w:pPr>
        <w:ind w:left="660" w:right="40" w:hanging="328"/>
        <w:spacing w:after="0" w:line="255"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93" w:lineRule="exact"/>
        <w:rPr>
          <w:rFonts w:ascii="Arial" w:cs="Arial" w:eastAsia="Arial" w:hAnsi="Arial"/>
          <w:sz w:val="18"/>
          <w:szCs w:val="18"/>
          <w:color w:val="auto"/>
        </w:rPr>
      </w:pPr>
    </w:p>
    <w:p>
      <w:pPr>
        <w:ind w:left="660" w:hanging="328"/>
        <w:spacing w:after="0" w:line="297"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58" w:lineRule="exact"/>
        <w:rPr>
          <w:rFonts w:ascii="Arial" w:cs="Arial" w:eastAsia="Arial" w:hAnsi="Arial"/>
          <w:sz w:val="16"/>
          <w:szCs w:val="16"/>
          <w:color w:val="auto"/>
        </w:rPr>
      </w:pPr>
    </w:p>
    <w:p>
      <w:pPr>
        <w:ind w:left="660" w:right="20"/>
        <w:spacing w:after="0" w:line="264" w:lineRule="auto"/>
        <w:rPr>
          <w:rFonts w:ascii="Arial" w:cs="Arial" w:eastAsia="Arial" w:hAnsi="Arial"/>
          <w:sz w:val="16"/>
          <w:szCs w:val="16"/>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1" w:lineRule="exact"/>
        <w:rPr>
          <w:rFonts w:ascii="Arial" w:cs="Arial" w:eastAsia="Arial" w:hAnsi="Arial"/>
          <w:sz w:val="16"/>
          <w:szCs w:val="16"/>
          <w:color w:val="auto"/>
        </w:rPr>
      </w:pPr>
    </w:p>
    <w:p>
      <w:pPr>
        <w:ind w:left="660" w:right="160"/>
        <w:spacing w:after="0" w:line="264" w:lineRule="auto"/>
        <w:rPr>
          <w:rFonts w:ascii="Arial" w:cs="Arial" w:eastAsia="Arial" w:hAnsi="Arial"/>
          <w:sz w:val="16"/>
          <w:szCs w:val="16"/>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1" w:lineRule="exact"/>
        <w:rPr>
          <w:rFonts w:ascii="Arial" w:cs="Arial" w:eastAsia="Arial" w:hAnsi="Arial"/>
          <w:sz w:val="16"/>
          <w:szCs w:val="16"/>
          <w:color w:val="auto"/>
        </w:rPr>
      </w:pPr>
    </w:p>
    <w:p>
      <w:pPr>
        <w:ind w:left="660" w:right="80" w:hanging="328"/>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81" w:lineRule="exact"/>
        <w:rPr>
          <w:rFonts w:ascii="Arial" w:cs="Arial" w:eastAsia="Arial" w:hAnsi="Arial"/>
          <w:sz w:val="18"/>
          <w:szCs w:val="18"/>
          <w:color w:val="auto"/>
        </w:rPr>
      </w:pPr>
    </w:p>
    <w:p>
      <w:pPr>
        <w:ind w:left="660" w:right="60" w:hanging="328"/>
        <w:spacing w:after="0" w:line="302"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01" w:name="page102"/>
    <w:bookmarkEnd w:id="101"/>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2.06</w:t>
      </w:r>
      <w:r>
        <w:rPr>
          <w:sz w:val="20"/>
          <w:szCs w:val="20"/>
          <w:color w:val="auto"/>
        </w:rPr>
        <w:tab/>
      </w:r>
      <w:r>
        <w:rPr>
          <w:rFonts w:ascii="Arial" w:cs="Arial" w:eastAsia="Arial" w:hAnsi="Arial"/>
          <w:sz w:val="16"/>
          <w:szCs w:val="16"/>
          <w:color w:val="auto"/>
        </w:rPr>
        <w:t>Temporary Securities.</w:t>
      </w:r>
    </w:p>
    <w:p>
      <w:pPr>
        <w:spacing w:after="0" w:line="225"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color w:val="auto"/>
        </w:rPr>
        <w:t>Mutilated, Destroyed, Lost or Stolen Securities.</w:t>
      </w:r>
    </w:p>
    <w:p>
      <w:pPr>
        <w:spacing w:after="0" w:line="225" w:lineRule="exact"/>
        <w:rPr>
          <w:sz w:val="20"/>
          <w:szCs w:val="20"/>
          <w:color w:val="auto"/>
        </w:rPr>
      </w:pPr>
    </w:p>
    <w:p>
      <w:pPr>
        <w:ind w:right="20" w:firstLine="414"/>
        <w:spacing w:after="0" w:line="286"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5" w:lineRule="exact"/>
        <w:rPr>
          <w:sz w:val="20"/>
          <w:szCs w:val="20"/>
          <w:color w:val="auto"/>
        </w:rPr>
      </w:pPr>
    </w:p>
    <w:p>
      <w:pPr>
        <w:ind w:firstLine="414"/>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Cancellation.</w:t>
      </w:r>
    </w:p>
    <w:p>
      <w:pPr>
        <w:spacing w:after="0" w:line="225"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02" w:name="page103"/>
    <w:bookmarkEnd w:id="102"/>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2.09</w:t>
      </w:r>
      <w:r>
        <w:rPr>
          <w:sz w:val="20"/>
          <w:szCs w:val="20"/>
          <w:color w:val="auto"/>
        </w:rPr>
        <w:tab/>
      </w:r>
      <w:r>
        <w:rPr>
          <w:rFonts w:ascii="Arial" w:cs="Arial" w:eastAsia="Arial" w:hAnsi="Arial"/>
          <w:sz w:val="16"/>
          <w:szCs w:val="16"/>
          <w:color w:val="auto"/>
        </w:rPr>
        <w:t>Benefits of Indenture.</w:t>
      </w:r>
    </w:p>
    <w:p>
      <w:pPr>
        <w:spacing w:after="0" w:line="225"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Nothing in this Indenture or in the Securities, express or implied, shall give or be construed to give to any Person, other than the parties hereto and the holders of the Securities (and, with respect to the provisions of Article XIV, the holders of Senior Indebtedness, as defined in any supplement to this Indenture pursuant to Article XIV)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XIV, the holders of Senior Indebtedness).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Authenticating Agent.</w:t>
      </w:r>
    </w:p>
    <w:p>
      <w:pPr>
        <w:spacing w:after="0" w:line="22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2" w:lineRule="exact"/>
        <w:rPr>
          <w:sz w:val="20"/>
          <w:szCs w:val="20"/>
          <w:color w:val="auto"/>
        </w:rPr>
      </w:pPr>
    </w:p>
    <w:p>
      <w:pPr>
        <w:ind w:right="140" w:firstLine="414"/>
        <w:spacing w:after="0" w:line="297"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Global Securities</w:t>
      </w:r>
    </w:p>
    <w:p>
      <w:pPr>
        <w:spacing w:after="0" w:line="225" w:lineRule="exact"/>
        <w:rPr>
          <w:sz w:val="20"/>
          <w:szCs w:val="20"/>
          <w:color w:val="auto"/>
        </w:rPr>
      </w:pPr>
    </w:p>
    <w:p>
      <w:pPr>
        <w:ind w:left="660" w:right="120" w:hanging="328"/>
        <w:spacing w:after="0" w:line="272"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77" w:lineRule="exact"/>
        <w:rPr>
          <w:rFonts w:ascii="Arial" w:cs="Arial" w:eastAsia="Arial" w:hAnsi="Arial"/>
          <w:sz w:val="17"/>
          <w:szCs w:val="17"/>
          <w:color w:val="auto"/>
        </w:rPr>
      </w:pPr>
    </w:p>
    <w:p>
      <w:pPr>
        <w:ind w:left="660" w:right="40" w:hanging="328"/>
        <w:spacing w:after="0" w:line="264"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03" w:name="page104"/>
    <w:bookmarkEnd w:id="103"/>
    <w:p>
      <w:pPr>
        <w:ind w:left="660" w:hanging="328"/>
        <w:spacing w:after="0" w:line="283"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w:t>
      </w:r>
    </w:p>
    <w:p>
      <w:pPr>
        <w:spacing w:after="0" w:line="3" w:lineRule="exact"/>
        <w:rPr>
          <w:rFonts w:ascii="Arial" w:cs="Arial" w:eastAsia="Arial" w:hAnsi="Arial"/>
          <w:sz w:val="16"/>
          <w:szCs w:val="16"/>
          <w:color w:val="auto"/>
        </w:rPr>
      </w:pPr>
    </w:p>
    <w:p>
      <w:pPr>
        <w:jc w:val="both"/>
        <w:ind w:left="660" w:right="80"/>
        <w:spacing w:after="0" w:line="255" w:lineRule="auto"/>
        <w:rPr>
          <w:rFonts w:ascii="Arial" w:cs="Arial" w:eastAsia="Arial" w:hAnsi="Arial"/>
          <w:sz w:val="16"/>
          <w:szCs w:val="16"/>
          <w:color w:val="auto"/>
        </w:rPr>
      </w:pPr>
      <w:r>
        <w:rPr>
          <w:rFonts w:ascii="Arial" w:cs="Arial" w:eastAsia="Arial" w:hAnsi="Arial"/>
          <w:sz w:val="18"/>
          <w:szCs w:val="18"/>
          <w:color w:val="auto"/>
        </w:rPr>
        <w:t>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OF SECURITIES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SINKING FUND PROVISIONS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color w:val="auto"/>
        </w:rPr>
        <w:t>Redemption.</w:t>
      </w:r>
    </w:p>
    <w:p>
      <w:pPr>
        <w:spacing w:after="0" w:line="225" w:lineRule="exact"/>
        <w:rPr>
          <w:sz w:val="20"/>
          <w:szCs w:val="20"/>
          <w:color w:val="auto"/>
        </w:rPr>
      </w:pPr>
    </w:p>
    <w:p>
      <w:pPr>
        <w:ind w:right="320" w:firstLine="414"/>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color w:val="auto"/>
        </w:rPr>
        <w:t>Notice of Redemption.</w:t>
      </w:r>
    </w:p>
    <w:p>
      <w:pPr>
        <w:spacing w:after="0" w:line="225" w:lineRule="exact"/>
        <w:rPr>
          <w:sz w:val="20"/>
          <w:szCs w:val="20"/>
          <w:color w:val="auto"/>
        </w:rPr>
      </w:pPr>
    </w:p>
    <w:p>
      <w:pPr>
        <w:ind w:left="660" w:right="60" w:hanging="328"/>
        <w:spacing w:after="0" w:line="270"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78" w:lineRule="exact"/>
        <w:rPr>
          <w:sz w:val="20"/>
          <w:szCs w:val="20"/>
          <w:color w:val="auto"/>
        </w:rPr>
      </w:pPr>
    </w:p>
    <w:p>
      <w:pPr>
        <w:ind w:right="40" w:firstLine="414"/>
        <w:spacing w:after="0" w:line="290" w:lineRule="auto"/>
        <w:rPr>
          <w:sz w:val="20"/>
          <w:szCs w:val="20"/>
          <w:color w:val="auto"/>
        </w:rPr>
      </w:pPr>
      <w:r>
        <w:rPr>
          <w:rFonts w:ascii="Arial" w:cs="Arial" w:eastAsia="Arial" w:hAnsi="Arial"/>
          <w:sz w:val="16"/>
          <w:szCs w:val="16"/>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04" w:name="page105"/>
    <w:bookmarkEnd w:id="104"/>
    <w:p>
      <w:pPr>
        <w:ind w:left="660" w:hanging="328"/>
        <w:spacing w:after="0" w:line="269"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color w:val="auto"/>
        </w:rPr>
        <w:t>Payment Upon Redemption.</w:t>
      </w:r>
    </w:p>
    <w:p>
      <w:pPr>
        <w:spacing w:after="0" w:line="225" w:lineRule="exact"/>
        <w:rPr>
          <w:sz w:val="20"/>
          <w:szCs w:val="20"/>
          <w:color w:val="auto"/>
        </w:rPr>
      </w:pPr>
    </w:p>
    <w:p>
      <w:pPr>
        <w:ind w:left="660" w:right="40" w:hanging="328"/>
        <w:spacing w:after="0" w:line="290"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6" w:lineRule="exact"/>
        <w:rPr>
          <w:rFonts w:ascii="Arial" w:cs="Arial" w:eastAsia="Arial" w:hAnsi="Arial"/>
          <w:sz w:val="16"/>
          <w:szCs w:val="16"/>
          <w:color w:val="auto"/>
        </w:rPr>
      </w:pPr>
    </w:p>
    <w:p>
      <w:pPr>
        <w:ind w:left="660" w:right="280" w:hanging="328"/>
        <w:spacing w:after="0" w:line="312"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Sinking Fund.</w:t>
      </w:r>
    </w:p>
    <w:p>
      <w:pPr>
        <w:spacing w:after="0" w:line="225" w:lineRule="exact"/>
        <w:rPr>
          <w:sz w:val="20"/>
          <w:szCs w:val="20"/>
          <w:color w:val="auto"/>
        </w:rPr>
      </w:pPr>
    </w:p>
    <w:p>
      <w:pPr>
        <w:ind w:right="280" w:firstLine="414"/>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05" w:name="page106"/>
    <w:bookmarkEnd w:id="105"/>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3.05</w:t>
      </w:r>
      <w:r>
        <w:rPr>
          <w:sz w:val="20"/>
          <w:szCs w:val="20"/>
          <w:color w:val="auto"/>
        </w:rPr>
        <w:tab/>
      </w:r>
      <w:r>
        <w:rPr>
          <w:rFonts w:ascii="Arial" w:cs="Arial" w:eastAsia="Arial" w:hAnsi="Arial"/>
          <w:sz w:val="16"/>
          <w:szCs w:val="16"/>
          <w:color w:val="auto"/>
        </w:rPr>
        <w:t>Satisfaction of Sinking Fund Payments with Securities.</w:t>
      </w:r>
    </w:p>
    <w:p>
      <w:pPr>
        <w:spacing w:after="0" w:line="225" w:lineRule="exact"/>
        <w:rPr>
          <w:sz w:val="20"/>
          <w:szCs w:val="20"/>
          <w:color w:val="auto"/>
        </w:rPr>
      </w:pPr>
    </w:p>
    <w:p>
      <w:pPr>
        <w:ind w:right="120" w:firstLine="414"/>
        <w:spacing w:after="0" w:line="255" w:lineRule="auto"/>
        <w:rPr>
          <w:sz w:val="20"/>
          <w:szCs w:val="20"/>
          <w:color w:val="auto"/>
        </w:rPr>
      </w:pPr>
      <w:r>
        <w:rPr>
          <w:rFonts w:ascii="Arial" w:cs="Arial" w:eastAsia="Arial" w:hAnsi="Arial"/>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color w:val="auto"/>
        </w:rPr>
        <w:t>Redemption of Securities for Sinking Fund.</w:t>
      </w:r>
    </w:p>
    <w:p>
      <w:pPr>
        <w:spacing w:after="0" w:line="225"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color w:val="auto"/>
        </w:rPr>
        <w:t>Payment of Principal, Premium and Interest.</w:t>
      </w:r>
    </w:p>
    <w:p>
      <w:pPr>
        <w:spacing w:after="0" w:line="225"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color w:val="auto"/>
        </w:rPr>
        <w:t>Maintenance of Office or Agency.</w:t>
      </w:r>
    </w:p>
    <w:p>
      <w:pPr>
        <w:spacing w:after="0" w:line="225" w:lineRule="exact"/>
        <w:rPr>
          <w:sz w:val="20"/>
          <w:szCs w:val="20"/>
          <w:color w:val="auto"/>
        </w:rPr>
      </w:pPr>
    </w:p>
    <w:p>
      <w:pPr>
        <w:ind w:right="140" w:firstLine="414"/>
        <w:spacing w:after="0" w:line="291"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w:t>
      </w:r>
    </w:p>
    <w:p>
      <w:pPr>
        <w:ind w:firstLine="8"/>
        <w:spacing w:after="0" w:line="252" w:lineRule="auto"/>
        <w:tabs>
          <w:tab w:leader="none" w:pos="2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color w:val="auto"/>
        </w:rPr>
        <w:t>Paying Agents.</w:t>
      </w:r>
    </w:p>
    <w:p>
      <w:pPr>
        <w:spacing w:after="0" w:line="225" w:lineRule="exact"/>
        <w:rPr>
          <w:sz w:val="20"/>
          <w:szCs w:val="20"/>
          <w:color w:val="auto"/>
        </w:rPr>
      </w:pPr>
    </w:p>
    <w:p>
      <w:pPr>
        <w:jc w:val="both"/>
        <w:ind w:left="660" w:right="180" w:hanging="328"/>
        <w:spacing w:after="0" w:line="26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1" w:lineRule="exact"/>
        <w:rPr>
          <w:rFonts w:ascii="Arial" w:cs="Arial" w:eastAsia="Arial" w:hAnsi="Arial"/>
          <w:sz w:val="18"/>
          <w:szCs w:val="18"/>
          <w:color w:val="auto"/>
        </w:rPr>
      </w:pPr>
    </w:p>
    <w:p>
      <w:pPr>
        <w:ind w:left="1300" w:right="40" w:hanging="644"/>
        <w:spacing w:after="0" w:line="264"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06" w:name="page107"/>
    <w:bookmarkEnd w:id="106"/>
    <w:p>
      <w:pPr>
        <w:ind w:left="1300" w:right="220" w:hanging="644"/>
        <w:spacing w:after="0" w:line="308" w:lineRule="auto"/>
        <w:tabs>
          <w:tab w:leader="none" w:pos="1300" w:val="left"/>
        </w:tabs>
        <w:numPr>
          <w:ilvl w:val="1"/>
          <w:numId w:val="1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25" w:lineRule="exact"/>
        <w:rPr>
          <w:rFonts w:ascii="Arial" w:cs="Arial" w:eastAsia="Arial" w:hAnsi="Arial"/>
          <w:sz w:val="18"/>
          <w:szCs w:val="18"/>
          <w:color w:val="auto"/>
        </w:rPr>
      </w:pPr>
    </w:p>
    <w:p>
      <w:pPr>
        <w:ind w:left="660" w:hanging="328"/>
        <w:spacing w:after="0" w:line="270"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81" w:lineRule="exact"/>
        <w:rPr>
          <w:rFonts w:ascii="Arial" w:cs="Arial" w:eastAsia="Arial" w:hAnsi="Arial"/>
          <w:sz w:val="17"/>
          <w:szCs w:val="17"/>
          <w:color w:val="auto"/>
        </w:rPr>
      </w:pPr>
    </w:p>
    <w:p>
      <w:pPr>
        <w:ind w:left="660" w:hanging="328"/>
        <w:spacing w:after="0" w:line="297"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color w:val="auto"/>
        </w:rPr>
        <w:t>Appointment to Fill Vacancy in Office of Trustee.</w:t>
      </w:r>
    </w:p>
    <w:p>
      <w:pPr>
        <w:spacing w:after="0" w:line="225" w:lineRule="exact"/>
        <w:rPr>
          <w:sz w:val="20"/>
          <w:szCs w:val="20"/>
          <w:color w:val="auto"/>
        </w:rPr>
      </w:pPr>
    </w:p>
    <w:p>
      <w:pPr>
        <w:ind w:right="60" w:firstLine="414"/>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color w:val="auto"/>
        </w:rPr>
        <w:t>Compliance with Consolidation Provisions.</w:t>
      </w:r>
    </w:p>
    <w:p>
      <w:pPr>
        <w:spacing w:after="0" w:line="225" w:lineRule="exact"/>
        <w:rPr>
          <w:sz w:val="20"/>
          <w:szCs w:val="20"/>
          <w:color w:val="auto"/>
        </w:rPr>
      </w:pPr>
    </w:p>
    <w:p>
      <w:pPr>
        <w:ind w:right="80" w:firstLine="414"/>
        <w:spacing w:after="0" w:line="264"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ARTICLE V</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SECURITYHOLDERS’ LISTS AND REPORTS BY THE COMPANY AND THE TRUSTEE</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color w:val="auto"/>
        </w:rPr>
        <w:t>Company to Furnish Trustee Names and Addresses of Securityholders.</w:t>
      </w:r>
    </w:p>
    <w:p>
      <w:pPr>
        <w:spacing w:after="0" w:line="225"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color w:val="auto"/>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color w:val="auto"/>
        </w:rPr>
        <w:t>Preservation Of Information; Communications With Securityholders.</w:t>
      </w:r>
    </w:p>
    <w:p>
      <w:pPr>
        <w:spacing w:after="0" w:line="225" w:lineRule="exact"/>
        <w:rPr>
          <w:sz w:val="20"/>
          <w:szCs w:val="20"/>
          <w:color w:val="auto"/>
        </w:rPr>
      </w:pPr>
    </w:p>
    <w:p>
      <w:pPr>
        <w:ind w:left="840" w:right="220" w:hanging="413"/>
        <w:spacing w:after="0" w:line="259" w:lineRule="auto"/>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186" w:lineRule="exact"/>
        <w:rPr>
          <w:rFonts w:ascii="Arial" w:cs="Arial" w:eastAsia="Arial" w:hAnsi="Arial"/>
          <w:sz w:val="18"/>
          <w:szCs w:val="18"/>
          <w:color w:val="auto"/>
        </w:rPr>
      </w:pPr>
    </w:p>
    <w:p>
      <w:pPr>
        <w:ind w:left="840" w:hanging="413"/>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rFonts w:ascii="Arial" w:cs="Arial" w:eastAsia="Arial" w:hAnsi="Arial"/>
          <w:sz w:val="18"/>
          <w:szCs w:val="18"/>
          <w:color w:val="auto"/>
        </w:rPr>
      </w:pPr>
    </w:p>
    <w:p>
      <w:pPr>
        <w:ind w:left="840" w:right="80" w:hanging="413"/>
        <w:spacing w:after="0" w:line="277" w:lineRule="auto"/>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color w:val="auto"/>
        </w:rPr>
        <w:t>Reports by the Company.</w:t>
      </w:r>
    </w:p>
    <w:p>
      <w:pPr>
        <w:spacing w:after="0" w:line="225" w:lineRule="exact"/>
        <w:rPr>
          <w:sz w:val="20"/>
          <w:szCs w:val="20"/>
          <w:color w:val="auto"/>
        </w:rPr>
      </w:pPr>
    </w:p>
    <w:p>
      <w:pPr>
        <w:ind w:left="840" w:hanging="413"/>
        <w:spacing w:after="0" w:line="270" w:lineRule="auto"/>
        <w:tabs>
          <w:tab w:leader="none" w:pos="8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77" w:lineRule="exact"/>
        <w:rPr>
          <w:rFonts w:ascii="Arial" w:cs="Arial" w:eastAsia="Arial" w:hAnsi="Arial"/>
          <w:sz w:val="17"/>
          <w:szCs w:val="17"/>
          <w:color w:val="auto"/>
        </w:rPr>
      </w:pPr>
    </w:p>
    <w:p>
      <w:pPr>
        <w:ind w:left="840" w:right="40" w:hanging="413"/>
        <w:spacing w:after="0" w:line="286" w:lineRule="auto"/>
        <w:tabs>
          <w:tab w:leader="none" w:pos="8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65" w:lineRule="exact"/>
        <w:rPr>
          <w:rFonts w:ascii="Arial" w:cs="Arial" w:eastAsia="Arial" w:hAnsi="Arial"/>
          <w:sz w:val="17"/>
          <w:szCs w:val="17"/>
          <w:color w:val="auto"/>
        </w:rPr>
      </w:pPr>
    </w:p>
    <w:p>
      <w:pPr>
        <w:ind w:left="840" w:right="100" w:hanging="413"/>
        <w:spacing w:after="0" w:line="288" w:lineRule="auto"/>
        <w:tabs>
          <w:tab w:leader="none" w:pos="8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w:t>
      </w:r>
    </w:p>
    <w:p>
      <w:pPr>
        <w:ind w:left="840"/>
        <w:spacing w:after="0"/>
        <w:rPr>
          <w:rFonts w:ascii="Arial" w:cs="Arial" w:eastAsia="Arial" w:hAnsi="Arial"/>
          <w:sz w:val="16"/>
          <w:szCs w:val="16"/>
          <w:color w:val="auto"/>
        </w:rPr>
      </w:pPr>
      <w:r>
        <w:rPr>
          <w:rFonts w:ascii="Arial" w:cs="Arial" w:eastAsia="Arial" w:hAnsi="Arial"/>
          <w:sz w:val="18"/>
          <w:szCs w:val="18"/>
          <w:color w:val="auto"/>
        </w:rPr>
        <w:t>(b) of this Section as may be required by rules and regulations prescribed from time to time by the Commission.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08" w:name="page109"/>
    <w:bookmarkEnd w:id="108"/>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5.04</w:t>
      </w:r>
      <w:r>
        <w:rPr>
          <w:sz w:val="20"/>
          <w:szCs w:val="20"/>
          <w:color w:val="auto"/>
        </w:rPr>
        <w:tab/>
      </w:r>
      <w:r>
        <w:rPr>
          <w:rFonts w:ascii="Arial" w:cs="Arial" w:eastAsia="Arial" w:hAnsi="Arial"/>
          <w:sz w:val="16"/>
          <w:szCs w:val="16"/>
          <w:color w:val="auto"/>
        </w:rPr>
        <w:t>Reports by the Trustee.</w:t>
      </w:r>
    </w:p>
    <w:p>
      <w:pPr>
        <w:spacing w:after="0" w:line="225" w:lineRule="exact"/>
        <w:rPr>
          <w:sz w:val="20"/>
          <w:szCs w:val="20"/>
          <w:color w:val="auto"/>
        </w:rPr>
      </w:pPr>
    </w:p>
    <w:p>
      <w:pPr>
        <w:ind w:left="840" w:right="80" w:hanging="413"/>
        <w:spacing w:after="0" w:line="264" w:lineRule="auto"/>
        <w:tabs>
          <w:tab w:leader="none" w:pos="8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81" w:lineRule="exact"/>
        <w:rPr>
          <w:rFonts w:ascii="Arial" w:cs="Arial" w:eastAsia="Arial" w:hAnsi="Arial"/>
          <w:sz w:val="18"/>
          <w:szCs w:val="18"/>
          <w:color w:val="auto"/>
        </w:rPr>
      </w:pPr>
    </w:p>
    <w:p>
      <w:pPr>
        <w:ind w:left="840" w:right="60" w:hanging="413"/>
        <w:spacing w:after="0" w:line="286" w:lineRule="auto"/>
        <w:tabs>
          <w:tab w:leader="none" w:pos="8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REMEDIES OF THE TRUSTEE AND SECURITYHOLDERS ON EVENT OF DEFAULT</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color w:val="auto"/>
        </w:rPr>
        <w:t>Events of Default.</w:t>
      </w:r>
    </w:p>
    <w:p>
      <w:pPr>
        <w:spacing w:after="0" w:line="225" w:lineRule="exact"/>
        <w:rPr>
          <w:sz w:val="20"/>
          <w:szCs w:val="20"/>
          <w:color w:val="auto"/>
        </w:rPr>
      </w:pPr>
    </w:p>
    <w:p>
      <w:pPr>
        <w:ind w:left="840" w:right="60" w:hanging="413"/>
        <w:spacing w:after="0" w:line="277" w:lineRule="auto"/>
        <w:tabs>
          <w:tab w:leader="none" w:pos="8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rFonts w:ascii="Arial" w:cs="Arial" w:eastAsia="Arial" w:hAnsi="Arial"/>
          <w:sz w:val="18"/>
          <w:szCs w:val="18"/>
          <w:color w:val="auto"/>
        </w:rPr>
      </w:pPr>
    </w:p>
    <w:p>
      <w:pPr>
        <w:ind w:left="1380" w:right="100" w:hanging="521"/>
        <w:spacing w:after="0" w:line="259" w:lineRule="auto"/>
        <w:tabs>
          <w:tab w:leader="none" w:pos="13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color w:val="auto"/>
        </w:rPr>
      </w:pPr>
    </w:p>
    <w:p>
      <w:pPr>
        <w:ind w:left="1380" w:right="60" w:hanging="521"/>
        <w:spacing w:after="0" w:line="257" w:lineRule="auto"/>
        <w:tabs>
          <w:tab w:leader="none" w:pos="13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88" w:lineRule="exact"/>
        <w:rPr>
          <w:rFonts w:ascii="Arial" w:cs="Arial" w:eastAsia="Arial" w:hAnsi="Arial"/>
          <w:sz w:val="18"/>
          <w:szCs w:val="18"/>
          <w:color w:val="auto"/>
        </w:rPr>
      </w:pPr>
    </w:p>
    <w:p>
      <w:pPr>
        <w:ind w:left="1380" w:hanging="521"/>
        <w:spacing w:after="0" w:line="293" w:lineRule="auto"/>
        <w:tabs>
          <w:tab w:leader="none" w:pos="13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164" w:lineRule="exact"/>
        <w:rPr>
          <w:rFonts w:ascii="Arial" w:cs="Arial" w:eastAsia="Arial" w:hAnsi="Arial"/>
          <w:sz w:val="16"/>
          <w:szCs w:val="16"/>
          <w:color w:val="auto"/>
        </w:rPr>
      </w:pPr>
    </w:p>
    <w:p>
      <w:pPr>
        <w:ind w:left="1380" w:right="200" w:hanging="521"/>
        <w:spacing w:after="0" w:line="264" w:lineRule="auto"/>
        <w:tabs>
          <w:tab w:leader="none" w:pos="13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109" w:name="page110"/>
    <w:bookmarkEnd w:id="109"/>
    <w:p>
      <w:pPr>
        <w:ind w:left="960" w:right="20" w:hanging="521"/>
        <w:spacing w:after="0" w:line="264" w:lineRule="auto"/>
        <w:tabs>
          <w:tab w:leader="none" w:pos="9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181" w:lineRule="exact"/>
        <w:rPr>
          <w:rFonts w:ascii="Arial" w:cs="Arial" w:eastAsia="Arial" w:hAnsi="Arial"/>
          <w:sz w:val="18"/>
          <w:szCs w:val="18"/>
          <w:color w:val="auto"/>
        </w:rPr>
      </w:pPr>
    </w:p>
    <w:p>
      <w:pPr>
        <w:ind w:left="420" w:right="80" w:hanging="413"/>
        <w:spacing w:after="0" w:line="270" w:lineRule="auto"/>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 Notwithstanding the foregoing, the payment of such principal (or, if any Securities of that series are discount securities, that portion of the principal amount as may be specified in the terms of that series pursuant to Section 2.01(a)(16)) of (and premium, if any, on) and accrued and unpaid interest, if any, on the Securities of such series shall remain subordinated to the extent provided in Article XIV.</w:t>
      </w:r>
    </w:p>
    <w:p>
      <w:pPr>
        <w:spacing w:after="0" w:line="181" w:lineRule="exact"/>
        <w:rPr>
          <w:rFonts w:ascii="Arial" w:cs="Arial" w:eastAsia="Arial" w:hAnsi="Arial"/>
          <w:sz w:val="17"/>
          <w:szCs w:val="17"/>
          <w:color w:val="auto"/>
        </w:rPr>
      </w:pPr>
    </w:p>
    <w:p>
      <w:pPr>
        <w:ind w:left="420" w:hanging="413"/>
        <w:spacing w:after="0" w:line="269" w:lineRule="auto"/>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82" w:lineRule="exact"/>
        <w:rPr>
          <w:rFonts w:ascii="Arial" w:cs="Arial" w:eastAsia="Arial" w:hAnsi="Arial"/>
          <w:sz w:val="17"/>
          <w:szCs w:val="17"/>
          <w:color w:val="auto"/>
        </w:rPr>
      </w:pPr>
    </w:p>
    <w:p>
      <w:pPr>
        <w:ind w:left="420" w:right="260" w:hanging="413"/>
        <w:spacing w:after="0" w:line="257"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200" w:lineRule="exact"/>
        <w:rPr>
          <w:sz w:val="20"/>
          <w:szCs w:val="20"/>
          <w:color w:val="auto"/>
        </w:rPr>
      </w:pPr>
    </w:p>
    <w:p>
      <w:pPr>
        <w:spacing w:after="0" w:line="2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660" w:top="706" w:right="279" w:bottom="1440" w:gutter="0" w:footer="0" w:header="0"/>
        </w:sectPr>
      </w:pPr>
    </w:p>
    <w:bookmarkStart w:id="110" w:name="page111"/>
    <w:bookmarkEnd w:id="110"/>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6.02</w:t>
      </w:r>
      <w:r>
        <w:rPr>
          <w:sz w:val="20"/>
          <w:szCs w:val="20"/>
          <w:color w:val="auto"/>
        </w:rPr>
        <w:tab/>
      </w:r>
      <w:r>
        <w:rPr>
          <w:rFonts w:ascii="Arial" w:cs="Arial" w:eastAsia="Arial" w:hAnsi="Arial"/>
          <w:sz w:val="16"/>
          <w:szCs w:val="16"/>
          <w:color w:val="auto"/>
        </w:rPr>
        <w:t>Collection of Indebtedness and Suits for Enforcement by Trustee.</w:t>
      </w:r>
    </w:p>
    <w:p>
      <w:pPr>
        <w:spacing w:after="0" w:line="225" w:lineRule="exact"/>
        <w:rPr>
          <w:sz w:val="20"/>
          <w:szCs w:val="20"/>
          <w:color w:val="auto"/>
        </w:rPr>
      </w:pPr>
    </w:p>
    <w:p>
      <w:pPr>
        <w:ind w:left="840" w:right="40" w:hanging="413"/>
        <w:spacing w:after="0" w:line="270" w:lineRule="auto"/>
        <w:tabs>
          <w:tab w:leader="none" w:pos="8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77" w:lineRule="exact"/>
        <w:rPr>
          <w:rFonts w:ascii="Arial" w:cs="Arial" w:eastAsia="Arial" w:hAnsi="Arial"/>
          <w:sz w:val="17"/>
          <w:szCs w:val="17"/>
          <w:color w:val="auto"/>
        </w:rPr>
      </w:pPr>
    </w:p>
    <w:p>
      <w:pPr>
        <w:ind w:left="840" w:right="60" w:hanging="413"/>
        <w:spacing w:after="0" w:line="276" w:lineRule="auto"/>
        <w:tabs>
          <w:tab w:leader="none" w:pos="8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72" w:lineRule="exact"/>
        <w:rPr>
          <w:rFonts w:ascii="Arial" w:cs="Arial" w:eastAsia="Arial" w:hAnsi="Arial"/>
          <w:sz w:val="17"/>
          <w:szCs w:val="17"/>
          <w:color w:val="auto"/>
        </w:rPr>
      </w:pPr>
    </w:p>
    <w:p>
      <w:pPr>
        <w:ind w:left="840" w:right="40" w:hanging="413"/>
        <w:spacing w:after="0" w:line="270" w:lineRule="auto"/>
        <w:tabs>
          <w:tab w:leader="none" w:pos="8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77" w:lineRule="exact"/>
        <w:rPr>
          <w:rFonts w:ascii="Arial" w:cs="Arial" w:eastAsia="Arial" w:hAnsi="Arial"/>
          <w:sz w:val="17"/>
          <w:szCs w:val="17"/>
          <w:color w:val="auto"/>
        </w:rPr>
      </w:pPr>
    </w:p>
    <w:p>
      <w:pPr>
        <w:ind w:left="840" w:hanging="413"/>
        <w:spacing w:after="0" w:line="257" w:lineRule="auto"/>
        <w:tabs>
          <w:tab w:leader="none" w:pos="8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40" w:firstLine="414"/>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1" w:lineRule="exact"/>
        <w:rPr>
          <w:sz w:val="20"/>
          <w:szCs w:val="20"/>
          <w:color w:val="auto"/>
        </w:rPr>
      </w:pPr>
    </w:p>
    <w:p>
      <w:pPr>
        <w:jc w:val="both"/>
        <w:ind w:right="20" w:firstLine="414"/>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1" w:name="page112"/>
    <w:bookmarkEnd w:id="111"/>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6.03</w:t>
      </w:r>
      <w:r>
        <w:rPr>
          <w:sz w:val="20"/>
          <w:szCs w:val="20"/>
          <w:color w:val="auto"/>
        </w:rPr>
        <w:tab/>
      </w:r>
      <w:r>
        <w:rPr>
          <w:rFonts w:ascii="Arial" w:cs="Arial" w:eastAsia="Arial" w:hAnsi="Arial"/>
          <w:sz w:val="16"/>
          <w:szCs w:val="16"/>
          <w:color w:val="auto"/>
        </w:rPr>
        <w:t>Application of Moneys Collected.</w:t>
      </w:r>
    </w:p>
    <w:p>
      <w:pPr>
        <w:spacing w:after="0" w:line="225" w:lineRule="exact"/>
        <w:rPr>
          <w:sz w:val="20"/>
          <w:szCs w:val="20"/>
          <w:color w:val="auto"/>
        </w:rPr>
      </w:pPr>
    </w:p>
    <w:p>
      <w:pPr>
        <w:ind w:right="200" w:firstLine="414"/>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ectPr>
          <w:pgSz w:w="11900" w:h="16838" w:orient="portrait"/>
          <w:cols w:equalWidth="0" w:num="1">
            <w:col w:w="11380"/>
          </w:cols>
          <w:pgMar w:left="240" w:top="706" w:right="279" w:bottom="1440" w:gutter="0" w:footer="0" w:header="0"/>
        </w:sectPr>
      </w:pP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FIRST: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To the payment of costs and expenses of collection and of all amounts payable to the Trustee under Section 7.06;</w:t>
      </w:r>
    </w:p>
    <w:p>
      <w:pPr>
        <w:spacing w:after="0" w:line="200" w:lineRule="exact"/>
        <w:rPr>
          <w:sz w:val="20"/>
          <w:szCs w:val="20"/>
          <w:color w:val="auto"/>
        </w:rPr>
      </w:pPr>
    </w:p>
    <w:p>
      <w:pPr>
        <w:sectPr>
          <w:pgSz w:w="11900" w:h="16838" w:orient="portrait"/>
          <w:cols w:equalWidth="0" w:num="2">
            <w:col w:w="980" w:space="720"/>
            <w:col w:w="9680"/>
          </w:cols>
          <w:pgMar w:left="240" w:top="706" w:right="279" w:bottom="1440" w:gutter="0" w:footer="0" w:header="0"/>
          <w:type w:val="continuous"/>
        </w:sectPr>
      </w:pPr>
    </w:p>
    <w:p>
      <w:pPr>
        <w:spacing w:after="0" w:line="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SECOND: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To the payment of all Senior Indebtedness of the Company if and to the extent required by Article XIV; and</w:t>
      </w:r>
    </w:p>
    <w:p>
      <w:pPr>
        <w:spacing w:after="0" w:line="200" w:lineRule="exact"/>
        <w:rPr>
          <w:sz w:val="20"/>
          <w:szCs w:val="20"/>
          <w:color w:val="auto"/>
        </w:rPr>
      </w:pPr>
    </w:p>
    <w:p>
      <w:pPr>
        <w:sectPr>
          <w:pgSz w:w="11900" w:h="16838" w:orient="portrait"/>
          <w:cols w:equalWidth="0" w:num="2">
            <w:col w:w="1180" w:space="520"/>
            <w:col w:w="9680"/>
          </w:cols>
          <w:pgMar w:left="240" w:top="706" w:right="279" w:bottom="1440" w:gutter="0" w:footer="0" w:header="0"/>
          <w:type w:val="continuous"/>
        </w:sectPr>
      </w:pPr>
    </w:p>
    <w:p>
      <w:pPr>
        <w:spacing w:after="0" w:line="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THIRD: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47" w:lineRule="exact"/>
        <w:rPr>
          <w:sz w:val="20"/>
          <w:szCs w:val="20"/>
          <w:color w:val="auto"/>
        </w:rPr>
      </w:pPr>
    </w:p>
    <w:p>
      <w:pPr>
        <w:sectPr>
          <w:pgSz w:w="11900" w:h="16838" w:orient="portrait"/>
          <w:cols w:equalWidth="0" w:num="2">
            <w:col w:w="1020" w:space="680"/>
            <w:col w:w="9680"/>
          </w:cols>
          <w:pgMar w:left="240" w:top="706"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SECTION 6.04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Limitation on Suits.</w:t>
      </w:r>
    </w:p>
    <w:p>
      <w:pPr>
        <w:spacing w:after="0" w:line="200" w:lineRule="exact"/>
        <w:rPr>
          <w:sz w:val="20"/>
          <w:szCs w:val="20"/>
          <w:color w:val="auto"/>
        </w:rPr>
      </w:pPr>
    </w:p>
    <w:p>
      <w:pPr>
        <w:sectPr>
          <w:pgSz w:w="11900" w:h="16838" w:orient="portrait"/>
          <w:cols w:equalWidth="0" w:num="2">
            <w:col w:w="1120" w:space="280"/>
            <w:col w:w="9980"/>
          </w:cols>
          <w:pgMar w:left="240" w:top="706" w:right="279" w:bottom="1440" w:gutter="0" w:footer="0" w:header="0"/>
          <w:type w:val="continuous"/>
        </w:sectPr>
      </w:pPr>
    </w:p>
    <w:p>
      <w:pPr>
        <w:spacing w:after="0" w:line="37"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183"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type w:val="continuous"/>
        </w:sectPr>
      </w:pPr>
    </w:p>
    <w:bookmarkStart w:id="112" w:name="page113"/>
    <w:bookmarkEnd w:id="112"/>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6.05</w:t>
      </w:r>
      <w:r>
        <w:rPr>
          <w:sz w:val="20"/>
          <w:szCs w:val="20"/>
          <w:color w:val="auto"/>
        </w:rPr>
        <w:tab/>
      </w:r>
      <w:r>
        <w:rPr>
          <w:rFonts w:ascii="Arial" w:cs="Arial" w:eastAsia="Arial" w:hAnsi="Arial"/>
          <w:sz w:val="16"/>
          <w:szCs w:val="16"/>
          <w:color w:val="auto"/>
        </w:rPr>
        <w:t>Rights and Remedies Cumulative; Delay or Omission Not Waiver.</w:t>
      </w:r>
    </w:p>
    <w:p>
      <w:pPr>
        <w:spacing w:after="0" w:line="225" w:lineRule="exact"/>
        <w:rPr>
          <w:sz w:val="20"/>
          <w:szCs w:val="20"/>
          <w:color w:val="auto"/>
        </w:rPr>
      </w:pPr>
    </w:p>
    <w:p>
      <w:pPr>
        <w:ind w:left="840" w:right="180" w:hanging="413"/>
        <w:spacing w:after="0" w:line="259" w:lineRule="auto"/>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color w:val="auto"/>
        </w:rPr>
      </w:pPr>
    </w:p>
    <w:p>
      <w:pPr>
        <w:ind w:left="840" w:right="140" w:hanging="413"/>
        <w:spacing w:after="0" w:line="302" w:lineRule="auto"/>
        <w:tabs>
          <w:tab w:leader="none" w:pos="8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5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color w:val="auto"/>
        </w:rPr>
        <w:t>Control by Securityholders.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holders of a majority in aggregate principal amount of the Securities of any series at the time Outstanding, determined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8.01, shall have the right to direct the time, method and place of conducting any proceeding for any remedy available to the Trustee, or exercising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or power conferred on the Trustee with respect to such series; provided, however, that such direction shall not be in conflict with any rule of law or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Indenture or be unduly prejudicial to the rights of holders of Securities of any other series at the time Outstanding determined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8.01. Subject to the provisions of Section 7.01, the Trustee shall have the right to decline to follow any such direction if the Trustee in good faith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shall, by a Responsible Officer or Officers of the Trustee, determine that the proceeding so directed would involve the Trustee in personal liability.</w:t>
      </w:r>
    </w:p>
    <w:p>
      <w:pPr>
        <w:spacing w:after="0" w:line="222" w:lineRule="exact"/>
        <w:rPr>
          <w:sz w:val="20"/>
          <w:szCs w:val="20"/>
          <w:color w:val="auto"/>
        </w:rPr>
      </w:pPr>
    </w:p>
    <w:p>
      <w:pPr>
        <w:ind w:firstLine="414"/>
        <w:spacing w:after="0" w:line="283" w:lineRule="auto"/>
        <w:rPr>
          <w:sz w:val="20"/>
          <w:szCs w:val="20"/>
          <w:color w:val="auto"/>
        </w:rPr>
      </w:pPr>
      <w:r>
        <w:rPr>
          <w:rFonts w:ascii="Arial" w:cs="Arial" w:eastAsia="Arial" w:hAnsi="Arial"/>
          <w:sz w:val="16"/>
          <w:szCs w:val="16"/>
          <w:color w:val="auto"/>
        </w:rPr>
        <w:t>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w:t>
      </w:r>
    </w:p>
    <w:p>
      <w:pPr>
        <w:spacing w:after="0" w:line="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19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color w:val="auto"/>
        </w:rPr>
        <w:t>Undertaking to Pay Costs.</w:t>
      </w:r>
    </w:p>
    <w:p>
      <w:pPr>
        <w:spacing w:after="0" w:line="225" w:lineRule="exact"/>
        <w:rPr>
          <w:sz w:val="20"/>
          <w:szCs w:val="20"/>
          <w:color w:val="auto"/>
        </w:rPr>
      </w:pPr>
    </w:p>
    <w:p>
      <w:pPr>
        <w:ind w:right="20" w:firstLine="414"/>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ARTICLE VII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CONCERNING THE TRUSTEE</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color w:val="auto"/>
        </w:rPr>
        <w:t>Certain Duties and Responsibilities of Trustee.</w:t>
      </w:r>
    </w:p>
    <w:p>
      <w:pPr>
        <w:spacing w:after="0" w:line="225" w:lineRule="exact"/>
        <w:rPr>
          <w:sz w:val="20"/>
          <w:szCs w:val="20"/>
          <w:color w:val="auto"/>
        </w:rPr>
      </w:pPr>
    </w:p>
    <w:p>
      <w:pPr>
        <w:ind w:left="840" w:right="220" w:hanging="413"/>
        <w:spacing w:after="0" w:line="293" w:lineRule="auto"/>
        <w:tabs>
          <w:tab w:leader="none" w:pos="8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64" w:lineRule="exact"/>
        <w:rPr>
          <w:rFonts w:ascii="Arial" w:cs="Arial" w:eastAsia="Arial" w:hAnsi="Arial"/>
          <w:sz w:val="16"/>
          <w:szCs w:val="16"/>
          <w:color w:val="auto"/>
        </w:rPr>
      </w:pPr>
    </w:p>
    <w:p>
      <w:pPr>
        <w:ind w:left="840" w:right="140" w:hanging="413"/>
        <w:spacing w:after="0" w:line="277" w:lineRule="auto"/>
        <w:tabs>
          <w:tab w:leader="none" w:pos="8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380" w:right="60" w:hanging="521"/>
        <w:spacing w:after="0" w:line="277" w:lineRule="auto"/>
        <w:tabs>
          <w:tab w:leader="none" w:pos="13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color w:val="auto"/>
        </w:rPr>
      </w:pPr>
    </w:p>
    <w:p>
      <w:pPr>
        <w:ind w:left="1880" w:right="260" w:hanging="481"/>
        <w:spacing w:after="0" w:line="259" w:lineRule="auto"/>
        <w:tabs>
          <w:tab w:leader="none" w:pos="188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86" w:lineRule="exact"/>
        <w:rPr>
          <w:rFonts w:ascii="Arial" w:cs="Arial" w:eastAsia="Arial" w:hAnsi="Arial"/>
          <w:sz w:val="18"/>
          <w:szCs w:val="18"/>
          <w:color w:val="auto"/>
        </w:rPr>
      </w:pPr>
    </w:p>
    <w:p>
      <w:pPr>
        <w:ind w:left="1880" w:right="80" w:hanging="481"/>
        <w:spacing w:after="0" w:line="276" w:lineRule="auto"/>
        <w:tabs>
          <w:tab w:leader="none" w:pos="1880" w:val="left"/>
        </w:tabs>
        <w:numPr>
          <w:ilvl w:val="2"/>
          <w:numId w:val="114"/>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72" w:lineRule="exact"/>
        <w:rPr>
          <w:rFonts w:ascii="Arial" w:cs="Arial" w:eastAsia="Arial" w:hAnsi="Arial"/>
          <w:sz w:val="17"/>
          <w:szCs w:val="17"/>
          <w:color w:val="auto"/>
        </w:rPr>
      </w:pPr>
    </w:p>
    <w:p>
      <w:pPr>
        <w:ind w:left="1380" w:right="600" w:hanging="521"/>
        <w:spacing w:after="0" w:line="277" w:lineRule="auto"/>
        <w:tabs>
          <w:tab w:leader="none" w:pos="13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ind w:left="1380" w:right="80" w:hanging="521"/>
        <w:spacing w:after="0" w:line="279" w:lineRule="auto"/>
        <w:tabs>
          <w:tab w:leader="none" w:pos="138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1" w:lineRule="exact"/>
        <w:rPr>
          <w:rFonts w:ascii="Arial" w:cs="Arial" w:eastAsia="Arial" w:hAnsi="Arial"/>
          <w:sz w:val="17"/>
          <w:szCs w:val="17"/>
          <w:color w:val="auto"/>
        </w:rPr>
      </w:pPr>
    </w:p>
    <w:p>
      <w:pPr>
        <w:ind w:left="1380" w:hanging="521"/>
        <w:spacing w:after="0"/>
        <w:tabs>
          <w:tab w:leader="none" w:pos="13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None of the provisions contained in this Indenture shall require the Trustee to expend or risk its own funds or otherwise incur personal</w:t>
      </w:r>
    </w:p>
    <w:p>
      <w:pPr>
        <w:spacing w:after="0" w:line="46" w:lineRule="exact"/>
        <w:rPr>
          <w:sz w:val="20"/>
          <w:szCs w:val="20"/>
          <w:color w:val="auto"/>
        </w:rPr>
      </w:pPr>
    </w:p>
    <w:p>
      <w:pPr>
        <w:jc w:val="both"/>
        <w:ind w:left="1380"/>
        <w:spacing w:after="0" w:line="255" w:lineRule="auto"/>
        <w:rPr>
          <w:sz w:val="20"/>
          <w:szCs w:val="20"/>
          <w:color w:val="auto"/>
        </w:rPr>
      </w:pPr>
      <w:r>
        <w:rPr>
          <w:rFonts w:ascii="Arial" w:cs="Arial" w:eastAsia="Arial" w:hAnsi="Arial"/>
          <w:sz w:val="18"/>
          <w:szCs w:val="18"/>
          <w:color w:val="auto"/>
        </w:rPr>
        <w:t>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4" w:name="page115"/>
    <w:bookmarkEnd w:id="114"/>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7.02</w:t>
      </w:r>
      <w:r>
        <w:rPr>
          <w:sz w:val="20"/>
          <w:szCs w:val="20"/>
          <w:color w:val="auto"/>
        </w:rPr>
        <w:tab/>
      </w:r>
      <w:r>
        <w:rPr>
          <w:rFonts w:ascii="Arial" w:cs="Arial" w:eastAsia="Arial" w:hAnsi="Arial"/>
          <w:sz w:val="16"/>
          <w:szCs w:val="16"/>
          <w:color w:val="auto"/>
        </w:rPr>
        <w:t>Certain Rights of Trustee.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ind w:left="860" w:hanging="447"/>
        <w:spacing w:after="0" w:line="264" w:lineRule="auto"/>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left="860" w:right="20" w:hanging="447"/>
        <w:spacing w:after="0" w:line="286" w:lineRule="auto"/>
        <w:tabs>
          <w:tab w:leader="none" w:pos="8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165" w:lineRule="exact"/>
        <w:rPr>
          <w:rFonts w:ascii="Arial" w:cs="Arial" w:eastAsia="Arial" w:hAnsi="Arial"/>
          <w:sz w:val="17"/>
          <w:szCs w:val="17"/>
          <w:color w:val="auto"/>
        </w:rPr>
      </w:pPr>
    </w:p>
    <w:p>
      <w:pPr>
        <w:ind w:left="860" w:right="120" w:hanging="447"/>
        <w:spacing w:after="0" w:line="277" w:lineRule="auto"/>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70" w:lineRule="exact"/>
        <w:rPr>
          <w:rFonts w:ascii="Arial" w:cs="Arial" w:eastAsia="Arial" w:hAnsi="Arial"/>
          <w:sz w:val="18"/>
          <w:szCs w:val="18"/>
          <w:color w:val="auto"/>
        </w:rPr>
      </w:pPr>
    </w:p>
    <w:p>
      <w:pPr>
        <w:ind w:left="860" w:right="80" w:hanging="447"/>
        <w:spacing w:after="0" w:line="293" w:lineRule="auto"/>
        <w:tabs>
          <w:tab w:leader="none" w:pos="8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64" w:lineRule="exact"/>
        <w:rPr>
          <w:rFonts w:ascii="Arial" w:cs="Arial" w:eastAsia="Arial" w:hAnsi="Arial"/>
          <w:sz w:val="16"/>
          <w:szCs w:val="16"/>
          <w:color w:val="auto"/>
        </w:rPr>
      </w:pPr>
    </w:p>
    <w:p>
      <w:pPr>
        <w:ind w:left="860" w:right="400" w:hanging="447"/>
        <w:spacing w:after="0" w:line="277" w:lineRule="auto"/>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860" w:hanging="447"/>
        <w:spacing w:after="0" w:line="271" w:lineRule="auto"/>
        <w:tabs>
          <w:tab w:leader="none" w:pos="8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78" w:lineRule="exact"/>
        <w:rPr>
          <w:rFonts w:ascii="Arial" w:cs="Arial" w:eastAsia="Arial" w:hAnsi="Arial"/>
          <w:sz w:val="17"/>
          <w:szCs w:val="17"/>
          <w:color w:val="auto"/>
        </w:rPr>
      </w:pPr>
    </w:p>
    <w:p>
      <w:pPr>
        <w:ind w:left="860" w:right="180" w:hanging="447"/>
        <w:spacing w:after="0" w:line="264" w:lineRule="auto"/>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15" w:name="page116"/>
    <w:bookmarkEnd w:id="115"/>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7.03</w:t>
      </w:r>
      <w:r>
        <w:rPr>
          <w:sz w:val="20"/>
          <w:szCs w:val="20"/>
          <w:color w:val="auto"/>
        </w:rPr>
        <w:tab/>
      </w:r>
      <w:r>
        <w:rPr>
          <w:rFonts w:ascii="Arial" w:cs="Arial" w:eastAsia="Arial" w:hAnsi="Arial"/>
          <w:sz w:val="16"/>
          <w:szCs w:val="16"/>
          <w:color w:val="auto"/>
        </w:rPr>
        <w:t>Trustee Not Responsible for Recitals or Issuance of Securities.</w:t>
      </w:r>
    </w:p>
    <w:p>
      <w:pPr>
        <w:spacing w:after="0" w:line="225" w:lineRule="exact"/>
        <w:rPr>
          <w:sz w:val="20"/>
          <w:szCs w:val="20"/>
          <w:color w:val="auto"/>
        </w:rPr>
      </w:pPr>
    </w:p>
    <w:p>
      <w:pPr>
        <w:ind w:left="840" w:right="140" w:hanging="413"/>
        <w:spacing w:after="0" w:line="277" w:lineRule="auto"/>
        <w:tabs>
          <w:tab w:leader="none" w:pos="8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840" w:hanging="413"/>
        <w:spacing w:after="0"/>
        <w:tabs>
          <w:tab w:leader="none" w:pos="8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color w:val="auto"/>
        </w:rPr>
      </w:pPr>
    </w:p>
    <w:p>
      <w:pPr>
        <w:ind w:left="840" w:right="240" w:hanging="413"/>
        <w:spacing w:after="0" w:line="286" w:lineRule="auto"/>
        <w:tabs>
          <w:tab w:leader="none" w:pos="8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6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color w:val="auto"/>
        </w:rPr>
        <w:t>May Hold Securities.</w:t>
      </w:r>
    </w:p>
    <w:p>
      <w:pPr>
        <w:spacing w:after="0" w:line="225" w:lineRule="exact"/>
        <w:rPr>
          <w:sz w:val="20"/>
          <w:szCs w:val="20"/>
          <w:color w:val="auto"/>
        </w:rPr>
      </w:pPr>
    </w:p>
    <w:p>
      <w:pPr>
        <w:ind w:right="220" w:firstLine="414"/>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color w:val="auto"/>
        </w:rPr>
        <w:t>Moneys Held in Trust.</w:t>
      </w:r>
    </w:p>
    <w:p>
      <w:pPr>
        <w:spacing w:after="0" w:line="225" w:lineRule="exact"/>
        <w:rPr>
          <w:sz w:val="20"/>
          <w:szCs w:val="20"/>
          <w:color w:val="auto"/>
        </w:rPr>
      </w:pPr>
    </w:p>
    <w:p>
      <w:pPr>
        <w:ind w:right="380" w:firstLine="414"/>
        <w:spacing w:after="0" w:line="286" w:lineRule="auto"/>
        <w:rPr>
          <w:sz w:val="20"/>
          <w:szCs w:val="20"/>
          <w:color w:val="auto"/>
        </w:rPr>
      </w:pPr>
      <w:r>
        <w:rPr>
          <w:rFonts w:ascii="Arial" w:cs="Arial" w:eastAsia="Arial" w:hAnsi="Arial"/>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6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color w:val="auto"/>
        </w:rPr>
        <w:t>Compensation and Reimbursement.</w:t>
      </w:r>
    </w:p>
    <w:p>
      <w:pPr>
        <w:spacing w:after="0" w:line="225" w:lineRule="exact"/>
        <w:rPr>
          <w:sz w:val="20"/>
          <w:szCs w:val="20"/>
          <w:color w:val="auto"/>
        </w:rPr>
      </w:pPr>
    </w:p>
    <w:p>
      <w:pPr>
        <w:ind w:left="840" w:hanging="413"/>
        <w:spacing w:after="0" w:line="288" w:lineRule="auto"/>
        <w:tabs>
          <w:tab w:leader="none" w:pos="8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169" w:lineRule="exact"/>
        <w:rPr>
          <w:rFonts w:ascii="Arial" w:cs="Arial" w:eastAsia="Arial" w:hAnsi="Arial"/>
          <w:sz w:val="16"/>
          <w:szCs w:val="16"/>
          <w:color w:val="auto"/>
        </w:rPr>
      </w:pPr>
    </w:p>
    <w:p>
      <w:pPr>
        <w:ind w:left="840" w:right="160" w:hanging="413"/>
        <w:spacing w:after="0" w:line="259" w:lineRule="auto"/>
        <w:tabs>
          <w:tab w:leader="none" w:pos="8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7.07 Reliance on Officers’ Certificate.</w:t>
      </w:r>
    </w:p>
    <w:p>
      <w:pPr>
        <w:spacing w:after="0" w:line="225" w:lineRule="exact"/>
        <w:rPr>
          <w:sz w:val="20"/>
          <w:szCs w:val="20"/>
          <w:color w:val="auto"/>
        </w:rPr>
      </w:pPr>
    </w:p>
    <w:p>
      <w:pPr>
        <w:ind w:right="140" w:firstLine="414"/>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93"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7"/>
          <w:szCs w:val="17"/>
          <w:color w:val="auto"/>
        </w:rPr>
        <w:t>Disqualification; Conflicting Interests.</w:t>
      </w:r>
    </w:p>
    <w:p>
      <w:pPr>
        <w:spacing w:after="0" w:line="225" w:lineRule="exact"/>
        <w:rPr>
          <w:sz w:val="20"/>
          <w:szCs w:val="20"/>
          <w:color w:val="auto"/>
        </w:rPr>
      </w:pPr>
    </w:p>
    <w:p>
      <w:pPr>
        <w:ind w:right="580" w:firstLine="414"/>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color w:val="auto"/>
        </w:rPr>
        <w:t>Corporate Trustee Required; Eligibility.</w:t>
      </w:r>
    </w:p>
    <w:p>
      <w:pPr>
        <w:spacing w:after="0" w:line="225"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color w:val="auto"/>
        </w:rPr>
        <w:t>Resignation and Removal; Appointment of Successor.</w:t>
      </w:r>
    </w:p>
    <w:p>
      <w:pPr>
        <w:spacing w:after="0" w:line="225" w:lineRule="exact"/>
        <w:rPr>
          <w:sz w:val="20"/>
          <w:szCs w:val="20"/>
          <w:color w:val="auto"/>
        </w:rPr>
      </w:pPr>
    </w:p>
    <w:p>
      <w:pPr>
        <w:ind w:left="840" w:hanging="413"/>
        <w:spacing w:after="0" w:line="270" w:lineRule="auto"/>
        <w:tabs>
          <w:tab w:leader="none" w:pos="8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77" w:lineRule="exact"/>
        <w:rPr>
          <w:rFonts w:ascii="Arial" w:cs="Arial" w:eastAsia="Arial" w:hAnsi="Arial"/>
          <w:sz w:val="17"/>
          <w:szCs w:val="17"/>
          <w:color w:val="auto"/>
        </w:rPr>
      </w:pPr>
    </w:p>
    <w:p>
      <w:pPr>
        <w:ind w:left="840" w:hanging="413"/>
        <w:spacing w:after="0"/>
        <w:tabs>
          <w:tab w:leader="none" w:pos="8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left="1380" w:right="20" w:hanging="521"/>
        <w:spacing w:after="0" w:line="277" w:lineRule="auto"/>
        <w:tabs>
          <w:tab w:leader="none" w:pos="13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color w:val="auto"/>
        </w:rPr>
      </w:pPr>
    </w:p>
    <w:p>
      <w:pPr>
        <w:ind w:left="1380" w:right="40" w:hanging="521"/>
        <w:spacing w:after="0" w:line="277" w:lineRule="auto"/>
        <w:tabs>
          <w:tab w:leader="none" w:pos="13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17" w:name="page118"/>
    <w:bookmarkEnd w:id="117"/>
    <w:p>
      <w:pPr>
        <w:ind w:left="1380" w:right="40" w:hanging="521"/>
        <w:spacing w:after="0" w:line="289" w:lineRule="auto"/>
        <w:tabs>
          <w:tab w:leader="none" w:pos="13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6" w:lineRule="exact"/>
        <w:rPr>
          <w:rFonts w:ascii="Arial" w:cs="Arial" w:eastAsia="Arial" w:hAnsi="Arial"/>
          <w:sz w:val="16"/>
          <w:szCs w:val="16"/>
          <w:color w:val="auto"/>
        </w:rPr>
      </w:pPr>
    </w:p>
    <w:p>
      <w:pPr>
        <w:ind w:left="840" w:right="20" w:hanging="413"/>
        <w:spacing w:after="0" w:line="264" w:lineRule="auto"/>
        <w:tabs>
          <w:tab w:leader="none" w:pos="8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1" w:lineRule="exact"/>
        <w:rPr>
          <w:rFonts w:ascii="Arial" w:cs="Arial" w:eastAsia="Arial" w:hAnsi="Arial"/>
          <w:sz w:val="18"/>
          <w:szCs w:val="18"/>
          <w:color w:val="auto"/>
        </w:rPr>
      </w:pPr>
    </w:p>
    <w:p>
      <w:pPr>
        <w:ind w:left="840" w:right="200" w:hanging="413"/>
        <w:spacing w:after="0" w:line="342" w:lineRule="auto"/>
        <w:tabs>
          <w:tab w:leader="none" w:pos="8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3" w:lineRule="exact"/>
        <w:rPr>
          <w:rFonts w:ascii="Arial" w:cs="Arial" w:eastAsia="Arial" w:hAnsi="Arial"/>
          <w:sz w:val="16"/>
          <w:szCs w:val="16"/>
          <w:color w:val="auto"/>
        </w:rPr>
      </w:pPr>
    </w:p>
    <w:p>
      <w:pPr>
        <w:ind w:left="840" w:hanging="413"/>
        <w:spacing w:after="0" w:line="277" w:lineRule="auto"/>
        <w:tabs>
          <w:tab w:leader="none" w:pos="8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color w:val="auto"/>
        </w:rPr>
        <w:t>Acceptance of Appointment By Successor.</w:t>
      </w:r>
    </w:p>
    <w:p>
      <w:pPr>
        <w:spacing w:after="0" w:line="225" w:lineRule="exact"/>
        <w:rPr>
          <w:sz w:val="20"/>
          <w:szCs w:val="20"/>
          <w:color w:val="auto"/>
        </w:rPr>
      </w:pPr>
    </w:p>
    <w:p>
      <w:pPr>
        <w:ind w:left="840" w:right="120" w:hanging="413"/>
        <w:spacing w:after="0" w:line="255" w:lineRule="auto"/>
        <w:tabs>
          <w:tab w:leader="none" w:pos="8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9" w:lineRule="exact"/>
        <w:rPr>
          <w:rFonts w:ascii="Arial" w:cs="Arial" w:eastAsia="Arial" w:hAnsi="Arial"/>
          <w:sz w:val="18"/>
          <w:szCs w:val="18"/>
          <w:color w:val="auto"/>
        </w:rPr>
      </w:pPr>
    </w:p>
    <w:p>
      <w:pPr>
        <w:ind w:left="840" w:hanging="413"/>
        <w:spacing w:after="0" w:line="285" w:lineRule="auto"/>
        <w:tabs>
          <w:tab w:leader="none" w:pos="8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8" w:name="page119"/>
    <w:bookmarkEnd w:id="118"/>
    <w:p>
      <w:pPr>
        <w:ind w:left="840" w:right="540" w:hanging="413"/>
        <w:spacing w:after="0" w:line="342" w:lineRule="auto"/>
        <w:tabs>
          <w:tab w:leader="none" w:pos="8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left="840" w:right="80" w:hanging="413"/>
        <w:spacing w:after="0" w:line="277" w:lineRule="auto"/>
        <w:tabs>
          <w:tab w:leader="none" w:pos="8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color w:val="auto"/>
        </w:rPr>
      </w:pPr>
    </w:p>
    <w:p>
      <w:pPr>
        <w:ind w:left="840" w:hanging="413"/>
        <w:spacing w:after="0" w:line="259" w:lineRule="auto"/>
        <w:tabs>
          <w:tab w:leader="none" w:pos="8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color w:val="auto"/>
        </w:rPr>
        <w:t>Merger, Conversion, Consolidation or Succession to Business.</w:t>
      </w:r>
    </w:p>
    <w:p>
      <w:pPr>
        <w:spacing w:after="0" w:line="225" w:lineRule="exact"/>
        <w:rPr>
          <w:sz w:val="20"/>
          <w:szCs w:val="20"/>
          <w:color w:val="auto"/>
        </w:rPr>
      </w:pPr>
    </w:p>
    <w:p>
      <w:pPr>
        <w:ind w:right="20" w:firstLine="414"/>
        <w:spacing w:after="0" w:line="272" w:lineRule="auto"/>
        <w:rPr>
          <w:sz w:val="20"/>
          <w:szCs w:val="20"/>
          <w:color w:val="auto"/>
        </w:rPr>
      </w:pPr>
      <w:r>
        <w:rPr>
          <w:rFonts w:ascii="Arial" w:cs="Arial" w:eastAsia="Arial" w:hAnsi="Arial"/>
          <w:sz w:val="17"/>
          <w:szCs w:val="17"/>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color w:val="auto"/>
        </w:rPr>
        <w:t>Preferential Collection of Claims Against the Company.</w:t>
      </w:r>
    </w:p>
    <w:p>
      <w:pPr>
        <w:spacing w:after="0" w:line="225" w:lineRule="exact"/>
        <w:rPr>
          <w:sz w:val="20"/>
          <w:szCs w:val="20"/>
          <w:color w:val="auto"/>
        </w:rPr>
      </w:pPr>
    </w:p>
    <w:p>
      <w:pPr>
        <w:ind w:right="280" w:firstLine="414"/>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CONCERNING THE SECURITYHOLDERS</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color w:val="auto"/>
        </w:rPr>
        <w:t>Evidence of Action by Securityholders.</w:t>
      </w:r>
    </w:p>
    <w:p>
      <w:pPr>
        <w:spacing w:after="0" w:line="225"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9" w:name="page120"/>
    <w:bookmarkEnd w:id="119"/>
    <w:p>
      <w:pPr>
        <w:ind w:right="20" w:firstLine="41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6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color w:val="auto"/>
        </w:rPr>
        <w:t>Proof of Execution by Securityholders.</w:t>
      </w:r>
    </w:p>
    <w:p>
      <w:pPr>
        <w:spacing w:after="0" w:line="225" w:lineRule="exact"/>
        <w:rPr>
          <w:sz w:val="20"/>
          <w:szCs w:val="20"/>
          <w:color w:val="auto"/>
        </w:rPr>
      </w:pPr>
    </w:p>
    <w:p>
      <w:pPr>
        <w:ind w:right="180" w:firstLine="414"/>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47" w:lineRule="exact"/>
        <w:rPr>
          <w:sz w:val="20"/>
          <w:szCs w:val="20"/>
          <w:color w:val="auto"/>
        </w:rPr>
      </w:pPr>
    </w:p>
    <w:p>
      <w:pPr>
        <w:ind w:left="860" w:hanging="447"/>
        <w:spacing w:after="0"/>
        <w:tabs>
          <w:tab w:leader="none" w:pos="8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fact and date of the execution by any such Person of any instrument may be proved in any reasonable manner acceptable to the Trustee.</w:t>
      </w:r>
    </w:p>
    <w:p>
      <w:pPr>
        <w:spacing w:after="0" w:line="248" w:lineRule="exact"/>
        <w:rPr>
          <w:rFonts w:ascii="Arial" w:cs="Arial" w:eastAsia="Arial" w:hAnsi="Arial"/>
          <w:sz w:val="16"/>
          <w:szCs w:val="16"/>
          <w:color w:val="auto"/>
        </w:rPr>
      </w:pPr>
    </w:p>
    <w:p>
      <w:pPr>
        <w:ind w:left="860" w:hanging="447"/>
        <w:spacing w:after="0"/>
        <w:tabs>
          <w:tab w:leader="none" w:pos="8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ownership of Securities shall be proved by the Security Register of such Securities or by a certificate of the Security Registrar thereof.</w:t>
      </w:r>
    </w:p>
    <w:p>
      <w:pPr>
        <w:spacing w:after="0" w:line="236" w:lineRule="exact"/>
        <w:rPr>
          <w:rFonts w:ascii="Arial" w:cs="Arial" w:eastAsia="Arial" w:hAnsi="Arial"/>
          <w:sz w:val="17"/>
          <w:szCs w:val="17"/>
          <w:color w:val="auto"/>
        </w:rPr>
      </w:pPr>
    </w:p>
    <w:p>
      <w:pPr>
        <w:ind w:left="860" w:hanging="447"/>
        <w:spacing w:after="0"/>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color w:val="auto"/>
        </w:rPr>
        <w:t>Who May be Deemed Owners.</w:t>
      </w:r>
    </w:p>
    <w:p>
      <w:pPr>
        <w:spacing w:after="0" w:line="225" w:lineRule="exact"/>
        <w:rPr>
          <w:sz w:val="20"/>
          <w:szCs w:val="20"/>
          <w:color w:val="auto"/>
        </w:rPr>
      </w:pPr>
    </w:p>
    <w:p>
      <w:pPr>
        <w:ind w:firstLine="414"/>
        <w:spacing w:after="0" w:line="297" w:lineRule="auto"/>
        <w:rPr>
          <w:sz w:val="20"/>
          <w:szCs w:val="20"/>
          <w:color w:val="auto"/>
        </w:rPr>
      </w:pPr>
      <w:r>
        <w:rPr>
          <w:rFonts w:ascii="Arial" w:cs="Arial" w:eastAsia="Arial" w:hAnsi="Arial"/>
          <w:sz w:val="16"/>
          <w:szCs w:val="16"/>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5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color w:val="auto"/>
        </w:rPr>
        <w:t>Certain Securities Owned by Company Disregarded.</w:t>
      </w:r>
    </w:p>
    <w:p>
      <w:pPr>
        <w:spacing w:after="0" w:line="225" w:lineRule="exact"/>
        <w:rPr>
          <w:sz w:val="20"/>
          <w:szCs w:val="20"/>
          <w:color w:val="auto"/>
        </w:rPr>
      </w:pPr>
    </w:p>
    <w:p>
      <w:pPr>
        <w:ind w:firstLine="414"/>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20" w:name="page121"/>
    <w:bookmarkEnd w:id="120"/>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8.05</w:t>
      </w:r>
      <w:r>
        <w:rPr>
          <w:sz w:val="20"/>
          <w:szCs w:val="20"/>
          <w:color w:val="auto"/>
        </w:rPr>
        <w:tab/>
      </w:r>
      <w:r>
        <w:rPr>
          <w:rFonts w:ascii="Arial" w:cs="Arial" w:eastAsia="Arial" w:hAnsi="Arial"/>
          <w:sz w:val="16"/>
          <w:szCs w:val="16"/>
          <w:color w:val="auto"/>
        </w:rPr>
        <w:t>Actions Binding on Future Securityholders.</w:t>
      </w:r>
    </w:p>
    <w:p>
      <w:pPr>
        <w:spacing w:after="0" w:line="22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color w:val="auto"/>
        </w:rPr>
        <w:t>Purposes for Which Meetings May Be Called.</w:t>
      </w:r>
    </w:p>
    <w:p>
      <w:pPr>
        <w:spacing w:after="0" w:line="225" w:lineRule="exact"/>
        <w:rPr>
          <w:sz w:val="20"/>
          <w:szCs w:val="20"/>
          <w:color w:val="auto"/>
        </w:rPr>
      </w:pPr>
    </w:p>
    <w:p>
      <w:pPr>
        <w:ind w:right="340" w:firstLine="414"/>
        <w:spacing w:after="0" w:line="264" w:lineRule="auto"/>
        <w:rPr>
          <w:sz w:val="20"/>
          <w:szCs w:val="20"/>
          <w:color w:val="auto"/>
        </w:rPr>
      </w:pPr>
      <w:r>
        <w:rPr>
          <w:rFonts w:ascii="Arial" w:cs="Arial" w:eastAsia="Arial" w:hAnsi="Arial"/>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81" w:lineRule="exact"/>
        <w:rPr>
          <w:sz w:val="20"/>
          <w:szCs w:val="20"/>
          <w:color w:val="auto"/>
        </w:rPr>
      </w:pPr>
    </w:p>
    <w:p>
      <w:pPr>
        <w:ind w:right="360" w:firstLine="414"/>
        <w:spacing w:after="0" w:line="277" w:lineRule="auto"/>
        <w:rPr>
          <w:sz w:val="20"/>
          <w:szCs w:val="20"/>
          <w:color w:val="auto"/>
        </w:rPr>
      </w:pPr>
      <w:r>
        <w:rPr>
          <w:rFonts w:ascii="Arial" w:cs="Arial" w:eastAsia="Arial" w:hAnsi="Arial"/>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color w:val="auto"/>
        </w:rPr>
        <w:t>Call Notice and Place of Meetings.</w:t>
      </w:r>
    </w:p>
    <w:p>
      <w:pPr>
        <w:spacing w:after="0" w:line="225" w:lineRule="exact"/>
        <w:rPr>
          <w:sz w:val="20"/>
          <w:szCs w:val="20"/>
          <w:color w:val="auto"/>
        </w:rPr>
      </w:pPr>
    </w:p>
    <w:p>
      <w:pPr>
        <w:ind w:left="840" w:right="300" w:hanging="413"/>
        <w:spacing w:after="0" w:line="255" w:lineRule="auto"/>
        <w:tabs>
          <w:tab w:leader="none" w:pos="8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193" w:lineRule="exact"/>
        <w:rPr>
          <w:rFonts w:ascii="Arial" w:cs="Arial" w:eastAsia="Arial" w:hAnsi="Arial"/>
          <w:sz w:val="18"/>
          <w:szCs w:val="18"/>
          <w:color w:val="auto"/>
        </w:rPr>
      </w:pPr>
    </w:p>
    <w:p>
      <w:pPr>
        <w:ind w:left="840" w:right="20" w:hanging="413"/>
        <w:spacing w:after="0" w:line="272" w:lineRule="auto"/>
        <w:tabs>
          <w:tab w:leader="none" w:pos="8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spacing w:after="0" w:line="17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color w:val="auto"/>
        </w:rPr>
        <w:t>Persons Entitled To Vote at Meetings.</w:t>
      </w:r>
    </w:p>
    <w:p>
      <w:pPr>
        <w:spacing w:after="0" w:line="225" w:lineRule="exact"/>
        <w:rPr>
          <w:sz w:val="20"/>
          <w:szCs w:val="20"/>
          <w:color w:val="auto"/>
        </w:rPr>
      </w:pPr>
    </w:p>
    <w:p>
      <w:pPr>
        <w:ind w:right="20" w:firstLine="414"/>
        <w:spacing w:after="0" w:line="302" w:lineRule="auto"/>
        <w:rPr>
          <w:sz w:val="20"/>
          <w:szCs w:val="20"/>
          <w:color w:val="auto"/>
        </w:rPr>
      </w:pPr>
      <w:r>
        <w:rPr>
          <w:rFonts w:ascii="Arial" w:cs="Arial" w:eastAsia="Arial" w:hAnsi="Arial"/>
          <w:sz w:val="16"/>
          <w:szCs w:val="16"/>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21" w:name="page122"/>
    <w:bookmarkEnd w:id="121"/>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8.09</w:t>
      </w:r>
      <w:r>
        <w:rPr>
          <w:sz w:val="20"/>
          <w:szCs w:val="20"/>
          <w:color w:val="auto"/>
        </w:rPr>
        <w:tab/>
      </w:r>
      <w:r>
        <w:rPr>
          <w:rFonts w:ascii="Arial" w:cs="Arial" w:eastAsia="Arial" w:hAnsi="Arial"/>
          <w:sz w:val="16"/>
          <w:szCs w:val="16"/>
          <w:color w:val="auto"/>
        </w:rPr>
        <w:t>Quorum; Action.</w:t>
      </w:r>
    </w:p>
    <w:p>
      <w:pPr>
        <w:spacing w:after="0" w:line="225" w:lineRule="exact"/>
        <w:rPr>
          <w:sz w:val="20"/>
          <w:szCs w:val="20"/>
          <w:color w:val="auto"/>
        </w:rPr>
      </w:pPr>
    </w:p>
    <w:p>
      <w:pPr>
        <w:ind w:firstLine="414"/>
        <w:spacing w:after="0" w:line="291" w:lineRule="auto"/>
        <w:rPr>
          <w:sz w:val="20"/>
          <w:szCs w:val="20"/>
          <w:color w:val="auto"/>
        </w:rPr>
      </w:pPr>
      <w:r>
        <w:rPr>
          <w:rFonts w:ascii="Arial" w:cs="Arial" w:eastAsia="Arial" w:hAnsi="Arial"/>
          <w:sz w:val="16"/>
          <w:szCs w:val="16"/>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167" w:lineRule="exact"/>
        <w:rPr>
          <w:sz w:val="20"/>
          <w:szCs w:val="20"/>
          <w:color w:val="auto"/>
        </w:rPr>
      </w:pPr>
    </w:p>
    <w:p>
      <w:pPr>
        <w:ind w:right="160" w:firstLine="414"/>
        <w:spacing w:after="0" w:line="259" w:lineRule="auto"/>
        <w:rPr>
          <w:sz w:val="20"/>
          <w:szCs w:val="20"/>
          <w:color w:val="auto"/>
        </w:rPr>
      </w:pPr>
      <w:r>
        <w:rPr>
          <w:rFonts w:ascii="Arial" w:cs="Arial" w:eastAsia="Arial" w:hAnsi="Arial"/>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87" w:lineRule="exact"/>
        <w:rPr>
          <w:sz w:val="20"/>
          <w:szCs w:val="20"/>
          <w:color w:val="auto"/>
        </w:rPr>
      </w:pPr>
    </w:p>
    <w:p>
      <w:pPr>
        <w:ind w:right="300" w:firstLine="414"/>
        <w:spacing w:after="0" w:line="277" w:lineRule="auto"/>
        <w:rPr>
          <w:sz w:val="20"/>
          <w:szCs w:val="20"/>
          <w:color w:val="auto"/>
        </w:rPr>
      </w:pPr>
      <w:r>
        <w:rPr>
          <w:rFonts w:ascii="Arial" w:cs="Arial" w:eastAsia="Arial" w:hAnsi="Arial"/>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color w:val="auto"/>
        </w:rPr>
        <w:t>Determination of Voting Rights; Conduct and Adjournment of Meetings.</w:t>
      </w:r>
    </w:p>
    <w:p>
      <w:pPr>
        <w:spacing w:after="0" w:line="225" w:lineRule="exact"/>
        <w:rPr>
          <w:sz w:val="20"/>
          <w:szCs w:val="20"/>
          <w:color w:val="auto"/>
        </w:rPr>
      </w:pPr>
    </w:p>
    <w:p>
      <w:pPr>
        <w:ind w:left="840" w:right="100" w:hanging="413"/>
        <w:spacing w:after="0" w:line="259" w:lineRule="auto"/>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86" w:lineRule="exact"/>
        <w:rPr>
          <w:rFonts w:ascii="Arial" w:cs="Arial" w:eastAsia="Arial" w:hAnsi="Arial"/>
          <w:sz w:val="18"/>
          <w:szCs w:val="18"/>
          <w:color w:val="auto"/>
        </w:rPr>
      </w:pPr>
    </w:p>
    <w:p>
      <w:pPr>
        <w:ind w:left="840" w:hanging="413"/>
        <w:spacing w:after="0" w:line="257" w:lineRule="auto"/>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8" w:lineRule="exact"/>
        <w:rPr>
          <w:rFonts w:ascii="Arial" w:cs="Arial" w:eastAsia="Arial" w:hAnsi="Arial"/>
          <w:sz w:val="18"/>
          <w:szCs w:val="18"/>
          <w:color w:val="auto"/>
        </w:rPr>
      </w:pPr>
    </w:p>
    <w:p>
      <w:pPr>
        <w:ind w:left="840" w:right="200" w:hanging="413"/>
        <w:spacing w:after="0" w:line="279" w:lineRule="auto"/>
        <w:tabs>
          <w:tab w:leader="none" w:pos="8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71" w:lineRule="exact"/>
        <w:rPr>
          <w:rFonts w:ascii="Arial" w:cs="Arial" w:eastAsia="Arial" w:hAnsi="Arial"/>
          <w:sz w:val="17"/>
          <w:szCs w:val="17"/>
          <w:color w:val="auto"/>
        </w:rPr>
      </w:pPr>
    </w:p>
    <w:p>
      <w:pPr>
        <w:ind w:left="840" w:right="20" w:hanging="413"/>
        <w:spacing w:after="0" w:line="264" w:lineRule="auto"/>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22" w:name="page123"/>
    <w:bookmarkEnd w:id="122"/>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8.11</w:t>
      </w:r>
      <w:r>
        <w:rPr>
          <w:sz w:val="20"/>
          <w:szCs w:val="20"/>
          <w:color w:val="auto"/>
        </w:rPr>
        <w:tab/>
      </w:r>
      <w:r>
        <w:rPr>
          <w:rFonts w:ascii="Arial" w:cs="Arial" w:eastAsia="Arial" w:hAnsi="Arial"/>
          <w:sz w:val="16"/>
          <w:szCs w:val="16"/>
          <w:color w:val="auto"/>
        </w:rPr>
        <w:t>Counting Votes and Recording Action of Meetings.</w:t>
      </w:r>
    </w:p>
    <w:p>
      <w:pPr>
        <w:spacing w:after="0" w:line="225" w:lineRule="exact"/>
        <w:rPr>
          <w:sz w:val="20"/>
          <w:szCs w:val="20"/>
          <w:color w:val="auto"/>
        </w:rPr>
      </w:pPr>
    </w:p>
    <w:p>
      <w:pPr>
        <w:ind w:firstLine="414"/>
        <w:spacing w:after="0" w:line="288" w:lineRule="auto"/>
        <w:rPr>
          <w:sz w:val="20"/>
          <w:szCs w:val="20"/>
          <w:color w:val="auto"/>
        </w:rPr>
      </w:pPr>
      <w:r>
        <w:rPr>
          <w:rFonts w:ascii="Arial" w:cs="Arial" w:eastAsia="Arial" w:hAnsi="Arial"/>
          <w:sz w:val="16"/>
          <w:szCs w:val="16"/>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SUPPLEMENTAL INDENTURES</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Supplemental Indentures Without the Consent of Securityholders.</w:t>
      </w:r>
    </w:p>
    <w:p>
      <w:pPr>
        <w:spacing w:after="0" w:line="225"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1" w:lineRule="exact"/>
        <w:rPr>
          <w:sz w:val="20"/>
          <w:szCs w:val="20"/>
          <w:color w:val="auto"/>
        </w:rPr>
      </w:pPr>
    </w:p>
    <w:p>
      <w:pPr>
        <w:jc w:val="both"/>
        <w:ind w:left="860" w:right="20" w:hanging="447"/>
        <w:spacing w:after="0" w:line="286" w:lineRule="auto"/>
        <w:tabs>
          <w:tab w:leader="none" w:pos="8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165" w:lineRule="exact"/>
        <w:rPr>
          <w:rFonts w:ascii="Arial" w:cs="Arial" w:eastAsia="Arial" w:hAnsi="Arial"/>
          <w:sz w:val="17"/>
          <w:szCs w:val="17"/>
          <w:color w:val="auto"/>
        </w:rPr>
      </w:pPr>
    </w:p>
    <w:p>
      <w:pPr>
        <w:ind w:left="860" w:hanging="447"/>
        <w:spacing w:after="0"/>
        <w:tabs>
          <w:tab w:leader="none" w:pos="8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comply with Article X;</w:t>
      </w:r>
    </w:p>
    <w:p>
      <w:pPr>
        <w:spacing w:after="0" w:line="225" w:lineRule="exact"/>
        <w:rPr>
          <w:rFonts w:ascii="Arial" w:cs="Arial" w:eastAsia="Arial" w:hAnsi="Arial"/>
          <w:sz w:val="18"/>
          <w:szCs w:val="18"/>
          <w:color w:val="auto"/>
        </w:rPr>
      </w:pPr>
    </w:p>
    <w:p>
      <w:pPr>
        <w:ind w:left="860" w:hanging="447"/>
        <w:spacing w:after="0"/>
        <w:tabs>
          <w:tab w:leader="none" w:pos="8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jc w:val="both"/>
        <w:ind w:left="860" w:right="340" w:hanging="447"/>
        <w:spacing w:after="0" w:line="264" w:lineRule="auto"/>
        <w:tabs>
          <w:tab w:leader="none" w:pos="8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81" w:lineRule="exact"/>
        <w:rPr>
          <w:rFonts w:ascii="Arial" w:cs="Arial" w:eastAsia="Arial" w:hAnsi="Arial"/>
          <w:sz w:val="18"/>
          <w:szCs w:val="18"/>
          <w:color w:val="auto"/>
        </w:rPr>
      </w:pPr>
    </w:p>
    <w:p>
      <w:pPr>
        <w:ind w:left="860" w:right="80" w:hanging="447"/>
        <w:spacing w:after="0" w:line="277" w:lineRule="auto"/>
        <w:tabs>
          <w:tab w:leader="none" w:pos="8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color w:val="auto"/>
        </w:rPr>
      </w:pPr>
    </w:p>
    <w:p>
      <w:pPr>
        <w:ind w:left="860" w:hanging="447"/>
        <w:spacing w:after="0"/>
        <w:tabs>
          <w:tab w:leader="none" w:pos="8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color w:val="auto"/>
        </w:rPr>
      </w:pPr>
    </w:p>
    <w:p>
      <w:pPr>
        <w:ind w:left="860" w:right="80" w:hanging="447"/>
        <w:spacing w:after="0" w:line="264" w:lineRule="auto"/>
        <w:tabs>
          <w:tab w:leader="none" w:pos="8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123" w:name="page124"/>
    <w:bookmarkEnd w:id="123"/>
    <w:p>
      <w:pPr>
        <w:ind w:left="860" w:hanging="447"/>
        <w:spacing w:after="0"/>
        <w:tabs>
          <w:tab w:leader="none" w:pos="8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comply with the requirements of the Commission in order to effect or maintain the qualification of this Indenture under the Trust Indenture Act.</w:t>
      </w:r>
    </w:p>
    <w:p>
      <w:pPr>
        <w:spacing w:after="0" w:line="248" w:lineRule="exact"/>
        <w:rPr>
          <w:sz w:val="20"/>
          <w:szCs w:val="20"/>
          <w:color w:val="auto"/>
        </w:rPr>
      </w:pPr>
    </w:p>
    <w:p>
      <w:pPr>
        <w:ind w:right="60" w:firstLine="414"/>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1" w:lineRule="exact"/>
        <w:rPr>
          <w:sz w:val="20"/>
          <w:szCs w:val="20"/>
          <w:color w:val="auto"/>
        </w:rPr>
      </w:pPr>
    </w:p>
    <w:p>
      <w:pPr>
        <w:ind w:right="240" w:firstLine="414"/>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Supplemental Indentures With Consent of Securityholders.</w:t>
      </w:r>
    </w:p>
    <w:p>
      <w:pPr>
        <w:spacing w:after="0" w:line="225" w:lineRule="exact"/>
        <w:rPr>
          <w:sz w:val="20"/>
          <w:szCs w:val="20"/>
          <w:color w:val="auto"/>
        </w:rPr>
      </w:pPr>
    </w:p>
    <w:p>
      <w:pPr>
        <w:ind w:right="60" w:firstLine="414"/>
        <w:spacing w:after="0" w:line="269" w:lineRule="auto"/>
        <w:rPr>
          <w:sz w:val="20"/>
          <w:szCs w:val="20"/>
          <w:color w:val="auto"/>
        </w:rPr>
      </w:pPr>
      <w:r>
        <w:rPr>
          <w:rFonts w:ascii="Arial" w:cs="Arial" w:eastAsia="Arial" w:hAnsi="Arial"/>
          <w:sz w:val="17"/>
          <w:szCs w:val="17"/>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180" w:lineRule="exact"/>
        <w:rPr>
          <w:sz w:val="20"/>
          <w:szCs w:val="20"/>
          <w:color w:val="auto"/>
        </w:rPr>
      </w:pPr>
    </w:p>
    <w:p>
      <w:pPr>
        <w:ind w:right="300" w:firstLine="414"/>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Effect of Supplemental Indentures.</w:t>
      </w:r>
    </w:p>
    <w:p>
      <w:pPr>
        <w:spacing w:after="0" w:line="225" w:lineRule="exact"/>
        <w:rPr>
          <w:sz w:val="20"/>
          <w:szCs w:val="20"/>
          <w:color w:val="auto"/>
        </w:rPr>
      </w:pPr>
    </w:p>
    <w:p>
      <w:pPr>
        <w:ind w:right="280" w:firstLine="414"/>
        <w:spacing w:after="0" w:line="297"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5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color w:val="auto"/>
        </w:rPr>
        <w:t>Securities Affected by Supplemental Indentures.</w:t>
      </w:r>
    </w:p>
    <w:p>
      <w:pPr>
        <w:spacing w:after="0" w:line="225"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24" w:name="page125"/>
    <w:bookmarkEnd w:id="124"/>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9.05</w:t>
      </w:r>
      <w:r>
        <w:rPr>
          <w:sz w:val="20"/>
          <w:szCs w:val="20"/>
          <w:color w:val="auto"/>
        </w:rPr>
        <w:tab/>
      </w:r>
      <w:r>
        <w:rPr>
          <w:rFonts w:ascii="Arial" w:cs="Arial" w:eastAsia="Arial" w:hAnsi="Arial"/>
          <w:sz w:val="16"/>
          <w:szCs w:val="16"/>
          <w:color w:val="auto"/>
        </w:rPr>
        <w:t>Execution of Supplemental Indentures.</w:t>
      </w:r>
    </w:p>
    <w:p>
      <w:pPr>
        <w:spacing w:after="0" w:line="225" w:lineRule="exact"/>
        <w:rPr>
          <w:sz w:val="20"/>
          <w:szCs w:val="20"/>
          <w:color w:val="auto"/>
        </w:rPr>
      </w:pPr>
    </w:p>
    <w:p>
      <w:pPr>
        <w:ind w:right="160" w:firstLine="414"/>
        <w:spacing w:after="0" w:line="271" w:lineRule="auto"/>
        <w:rPr>
          <w:sz w:val="20"/>
          <w:szCs w:val="20"/>
          <w:color w:val="auto"/>
        </w:rPr>
      </w:pPr>
      <w:r>
        <w:rPr>
          <w:rFonts w:ascii="Arial" w:cs="Arial" w:eastAsia="Arial" w:hAnsi="Arial"/>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79" w:lineRule="exact"/>
        <w:rPr>
          <w:sz w:val="20"/>
          <w:szCs w:val="20"/>
          <w:color w:val="auto"/>
        </w:rPr>
      </w:pPr>
    </w:p>
    <w:p>
      <w:pPr>
        <w:ind w:right="20" w:firstLine="414"/>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SUCCESSOR ENTITY</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color w:val="auto"/>
        </w:rPr>
        <w:t>Company May Consolidate, Etc.</w:t>
      </w:r>
    </w:p>
    <w:p>
      <w:pPr>
        <w:spacing w:after="0" w:line="225" w:lineRule="exact"/>
        <w:rPr>
          <w:sz w:val="20"/>
          <w:szCs w:val="20"/>
          <w:color w:val="auto"/>
        </w:rPr>
      </w:pPr>
    </w:p>
    <w:p>
      <w:pPr>
        <w:ind w:firstLine="414"/>
        <w:spacing w:after="0" w:line="287" w:lineRule="auto"/>
        <w:rPr>
          <w:sz w:val="20"/>
          <w:szCs w:val="20"/>
          <w:color w:val="auto"/>
        </w:rPr>
      </w:pPr>
      <w:r>
        <w:rPr>
          <w:rFonts w:ascii="Arial" w:cs="Arial" w:eastAsia="Arial" w:hAnsi="Arial"/>
          <w:sz w:val="16"/>
          <w:szCs w:val="16"/>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17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color w:val="auto"/>
        </w:rPr>
        <w:t>Successor Entity Substituted.</w:t>
      </w:r>
    </w:p>
    <w:p>
      <w:pPr>
        <w:spacing w:after="0" w:line="225" w:lineRule="exact"/>
        <w:rPr>
          <w:sz w:val="20"/>
          <w:szCs w:val="20"/>
          <w:color w:val="auto"/>
        </w:rPr>
      </w:pPr>
    </w:p>
    <w:p>
      <w:pPr>
        <w:ind w:left="840" w:right="80" w:hanging="413"/>
        <w:spacing w:after="0" w:line="255" w:lineRule="auto"/>
        <w:tabs>
          <w:tab w:leader="none" w:pos="8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25" w:name="page126"/>
    <w:bookmarkEnd w:id="125"/>
    <w:p>
      <w:pPr>
        <w:ind w:left="840" w:right="580" w:hanging="413"/>
        <w:spacing w:after="0" w:line="277" w:lineRule="auto"/>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ind w:left="840" w:right="140" w:hanging="413"/>
        <w:spacing w:after="0" w:line="264" w:lineRule="auto"/>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8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color w:val="auto"/>
        </w:rPr>
        <w:t>Evidence of Consolidation, Etc. to Trustee.</w:t>
      </w:r>
    </w:p>
    <w:p>
      <w:pPr>
        <w:spacing w:after="0" w:line="225"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color w:val="auto"/>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SATISFACTION AND DISCHARGE</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color w:val="auto"/>
        </w:rPr>
        <w:t>Satisfaction and Discharge of Indenture.</w:t>
      </w:r>
    </w:p>
    <w:p>
      <w:pPr>
        <w:spacing w:after="0" w:line="225" w:lineRule="exact"/>
        <w:rPr>
          <w:sz w:val="20"/>
          <w:szCs w:val="20"/>
          <w:color w:val="auto"/>
        </w:rPr>
      </w:pPr>
    </w:p>
    <w:p>
      <w:pPr>
        <w:ind w:right="20" w:firstLine="414"/>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6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color w:val="auto"/>
        </w:rPr>
        <w:t>Discharge of Obligations.</w:t>
      </w:r>
    </w:p>
    <w:p>
      <w:pPr>
        <w:spacing w:after="0" w:line="225" w:lineRule="exact"/>
        <w:rPr>
          <w:sz w:val="20"/>
          <w:szCs w:val="20"/>
          <w:color w:val="auto"/>
        </w:rPr>
      </w:pPr>
    </w:p>
    <w:p>
      <w:pPr>
        <w:ind w:firstLine="414"/>
        <w:spacing w:after="0" w:line="290" w:lineRule="auto"/>
        <w:rPr>
          <w:sz w:val="20"/>
          <w:szCs w:val="20"/>
          <w:color w:val="auto"/>
        </w:rPr>
      </w:pPr>
      <w:r>
        <w:rPr>
          <w:rFonts w:ascii="Arial" w:cs="Arial" w:eastAsia="Arial" w:hAnsi="Arial"/>
          <w:sz w:val="16"/>
          <w:szCs w:val="16"/>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26" w:name="page127"/>
    <w:bookmarkEnd w:id="126"/>
    <w:p>
      <w:pPr>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11.03</w:t>
      </w:r>
      <w:r>
        <w:rPr>
          <w:sz w:val="20"/>
          <w:szCs w:val="20"/>
          <w:color w:val="auto"/>
        </w:rPr>
        <w:tab/>
      </w:r>
      <w:r>
        <w:rPr>
          <w:rFonts w:ascii="Arial" w:cs="Arial" w:eastAsia="Arial" w:hAnsi="Arial"/>
          <w:sz w:val="16"/>
          <w:szCs w:val="16"/>
          <w:color w:val="auto"/>
        </w:rPr>
        <w:t>Deposited Moneys to be Held in Trust.</w:t>
      </w:r>
    </w:p>
    <w:p>
      <w:pPr>
        <w:spacing w:after="0" w:line="225" w:lineRule="exact"/>
        <w:rPr>
          <w:sz w:val="20"/>
          <w:szCs w:val="20"/>
          <w:color w:val="auto"/>
        </w:rPr>
      </w:pPr>
    </w:p>
    <w:p>
      <w:pPr>
        <w:jc w:val="both"/>
        <w:ind w:firstLine="414"/>
        <w:spacing w:after="0" w:line="312" w:lineRule="auto"/>
        <w:rPr>
          <w:sz w:val="20"/>
          <w:szCs w:val="20"/>
          <w:color w:val="auto"/>
        </w:rPr>
      </w:pPr>
      <w:r>
        <w:rPr>
          <w:rFonts w:ascii="Arial" w:cs="Arial" w:eastAsia="Arial" w:hAnsi="Arial"/>
          <w:sz w:val="16"/>
          <w:szCs w:val="16"/>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color w:val="auto"/>
        </w:rPr>
        <w:t>Payment of Moneys Held by Paying Agents.</w:t>
      </w:r>
    </w:p>
    <w:p>
      <w:pPr>
        <w:spacing w:after="0" w:line="225" w:lineRule="exact"/>
        <w:rPr>
          <w:sz w:val="20"/>
          <w:szCs w:val="20"/>
          <w:color w:val="auto"/>
        </w:rPr>
      </w:pPr>
    </w:p>
    <w:p>
      <w:pPr>
        <w:jc w:val="both"/>
        <w:ind w:right="300" w:firstLine="414"/>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color w:val="auto"/>
        </w:rPr>
        <w:t>Repayment to Company.</w:t>
      </w:r>
    </w:p>
    <w:p>
      <w:pPr>
        <w:spacing w:after="0" w:line="225" w:lineRule="exact"/>
        <w:rPr>
          <w:sz w:val="20"/>
          <w:szCs w:val="20"/>
          <w:color w:val="auto"/>
        </w:rPr>
      </w:pPr>
    </w:p>
    <w:p>
      <w:pPr>
        <w:ind w:right="20" w:firstLine="414"/>
        <w:spacing w:after="0" w:line="272" w:lineRule="auto"/>
        <w:rPr>
          <w:sz w:val="20"/>
          <w:szCs w:val="20"/>
          <w:color w:val="auto"/>
        </w:rPr>
      </w:pPr>
      <w:r>
        <w:rPr>
          <w:rFonts w:ascii="Arial" w:cs="Arial" w:eastAsia="Arial" w:hAnsi="Arial"/>
          <w:sz w:val="17"/>
          <w:szCs w:val="17"/>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color w:val="auto"/>
        </w:rPr>
        <w:t>No Recourse.</w:t>
      </w:r>
    </w:p>
    <w:p>
      <w:pPr>
        <w:spacing w:after="0" w:line="225" w:lineRule="exact"/>
        <w:rPr>
          <w:sz w:val="20"/>
          <w:szCs w:val="20"/>
          <w:color w:val="auto"/>
        </w:rPr>
      </w:pPr>
    </w:p>
    <w:p>
      <w:pPr>
        <w:ind w:right="20" w:firstLine="414"/>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5"/>
          <w:szCs w:val="15"/>
          <w:color w:val="auto"/>
        </w:rPr>
        <w:t>Effect on Successors and Assigns.</w:t>
      </w:r>
    </w:p>
    <w:p>
      <w:pPr>
        <w:spacing w:after="0" w:line="225" w:lineRule="exact"/>
        <w:rPr>
          <w:sz w:val="20"/>
          <w:szCs w:val="20"/>
          <w:color w:val="auto"/>
        </w:rPr>
      </w:pPr>
    </w:p>
    <w:p>
      <w:pPr>
        <w:ind w:right="520" w:firstLine="414"/>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contained by or on behalf of the Company shall bind its successors and assigns, whether so expressed or not.</w:t>
      </w:r>
    </w:p>
    <w:p>
      <w:pPr>
        <w:spacing w:after="0" w:line="1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color w:val="auto"/>
        </w:rPr>
        <w:t>Actions by Successor.</w:t>
      </w:r>
    </w:p>
    <w:p>
      <w:pPr>
        <w:spacing w:after="0" w:line="225" w:lineRule="exact"/>
        <w:rPr>
          <w:sz w:val="20"/>
          <w:szCs w:val="20"/>
          <w:color w:val="auto"/>
        </w:rPr>
      </w:pPr>
    </w:p>
    <w:p>
      <w:pPr>
        <w:ind w:firstLine="414"/>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color w:val="auto"/>
        </w:rPr>
        <w:t>Surrender of Company Powers.</w:t>
      </w:r>
    </w:p>
    <w:p>
      <w:pPr>
        <w:spacing w:after="0" w:line="225" w:lineRule="exact"/>
        <w:rPr>
          <w:sz w:val="20"/>
          <w:szCs w:val="20"/>
          <w:color w:val="auto"/>
        </w:rPr>
      </w:pPr>
    </w:p>
    <w:p>
      <w:pPr>
        <w:ind w:right="320" w:firstLine="414"/>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color w:val="auto"/>
        </w:rPr>
        <w:t>Notices.</w:t>
      </w:r>
    </w:p>
    <w:p>
      <w:pPr>
        <w:spacing w:after="0" w:line="225" w:lineRule="exact"/>
        <w:rPr>
          <w:sz w:val="20"/>
          <w:szCs w:val="20"/>
          <w:color w:val="auto"/>
        </w:rPr>
      </w:pPr>
    </w:p>
    <w:p>
      <w:pPr>
        <w:ind w:right="40" w:firstLine="414"/>
        <w:spacing w:after="0" w:line="270" w:lineRule="auto"/>
        <w:rPr>
          <w:sz w:val="20"/>
          <w:szCs w:val="20"/>
          <w:color w:val="auto"/>
        </w:rPr>
      </w:pPr>
      <w:r>
        <w:rPr>
          <w:rFonts w:ascii="Arial" w:cs="Arial" w:eastAsia="Arial" w:hAnsi="Arial"/>
          <w:sz w:val="17"/>
          <w:szCs w:val="17"/>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 ].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17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color w:val="auto"/>
        </w:rPr>
        <w:t>Governing Law.</w:t>
      </w:r>
    </w:p>
    <w:p>
      <w:pPr>
        <w:spacing w:after="0" w:line="225" w:lineRule="exact"/>
        <w:rPr>
          <w:sz w:val="20"/>
          <w:szCs w:val="20"/>
          <w:color w:val="auto"/>
        </w:rPr>
      </w:pPr>
    </w:p>
    <w:p>
      <w:pPr>
        <w:ind w:right="180" w:firstLine="414"/>
        <w:spacing w:after="0" w:line="277" w:lineRule="auto"/>
        <w:rPr>
          <w:sz w:val="20"/>
          <w:szCs w:val="20"/>
          <w:color w:val="auto"/>
        </w:rPr>
      </w:pPr>
      <w:r>
        <w:rPr>
          <w:rFonts w:ascii="Arial" w:cs="Arial" w:eastAsia="Arial" w:hAnsi="Arial"/>
          <w:sz w:val="18"/>
          <w:szCs w:val="18"/>
          <w:color w:val="auto"/>
        </w:rPr>
        <w:t>This Indenture and each Security shall be deemed to be a contract made under the internal laws of the State of New York, and for all purposes shall be construed in accordance with the laws of said State.</w:t>
      </w:r>
    </w:p>
    <w:p>
      <w:pPr>
        <w:spacing w:after="0" w:line="1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6"/>
          <w:szCs w:val="16"/>
          <w:color w:val="auto"/>
        </w:rPr>
        <w:t>Treatment of Securities as Debt.</w:t>
      </w:r>
    </w:p>
    <w:p>
      <w:pPr>
        <w:spacing w:after="0" w:line="225" w:lineRule="exact"/>
        <w:rPr>
          <w:sz w:val="20"/>
          <w:szCs w:val="20"/>
          <w:color w:val="auto"/>
        </w:rPr>
      </w:pPr>
    </w:p>
    <w:p>
      <w:pPr>
        <w:ind w:right="100" w:firstLine="414"/>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13.07</w:t>
      </w:r>
      <w:r>
        <w:rPr>
          <w:sz w:val="20"/>
          <w:szCs w:val="20"/>
          <w:color w:val="auto"/>
        </w:rPr>
        <w:tab/>
      </w:r>
      <w:r>
        <w:rPr>
          <w:rFonts w:ascii="Arial" w:cs="Arial" w:eastAsia="Arial" w:hAnsi="Arial"/>
          <w:sz w:val="16"/>
          <w:szCs w:val="16"/>
          <w:color w:val="auto"/>
        </w:rPr>
        <w:t>Compliance Certificates and Opinions.</w:t>
      </w:r>
    </w:p>
    <w:p>
      <w:pPr>
        <w:spacing w:after="0" w:line="225" w:lineRule="exact"/>
        <w:rPr>
          <w:sz w:val="20"/>
          <w:szCs w:val="20"/>
          <w:color w:val="auto"/>
        </w:rPr>
      </w:pPr>
    </w:p>
    <w:p>
      <w:pPr>
        <w:ind w:left="840" w:right="120" w:hanging="413"/>
        <w:spacing w:after="0" w:line="297" w:lineRule="auto"/>
        <w:tabs>
          <w:tab w:leader="none" w:pos="8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28" w:name="page129"/>
    <w:bookmarkEnd w:id="128"/>
    <w:p>
      <w:pPr>
        <w:ind w:left="840" w:hanging="413"/>
        <w:spacing w:after="0" w:line="273" w:lineRule="auto"/>
        <w:tabs>
          <w:tab w:leader="none" w:pos="8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7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5"/>
          <w:szCs w:val="15"/>
          <w:color w:val="auto"/>
        </w:rPr>
        <w:t>Payments on Business Days.</w:t>
      </w:r>
    </w:p>
    <w:p>
      <w:pPr>
        <w:spacing w:after="0" w:line="225" w:lineRule="exact"/>
        <w:rPr>
          <w:sz w:val="20"/>
          <w:szCs w:val="20"/>
          <w:color w:val="auto"/>
        </w:rPr>
      </w:pPr>
    </w:p>
    <w:p>
      <w:pPr>
        <w:ind w:right="60" w:firstLine="414"/>
        <w:spacing w:after="0" w:line="302" w:lineRule="auto"/>
        <w:rPr>
          <w:sz w:val="20"/>
          <w:szCs w:val="20"/>
          <w:color w:val="auto"/>
        </w:rPr>
      </w:pPr>
      <w:r>
        <w:rPr>
          <w:rFonts w:ascii="Arial" w:cs="Arial" w:eastAsia="Arial" w:hAnsi="Arial"/>
          <w:sz w:val="16"/>
          <w:szCs w:val="16"/>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5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13.09</w:t>
      </w:r>
      <w:r>
        <w:rPr>
          <w:sz w:val="20"/>
          <w:szCs w:val="20"/>
          <w:color w:val="auto"/>
        </w:rPr>
        <w:tab/>
      </w:r>
      <w:r>
        <w:rPr>
          <w:rFonts w:ascii="Arial" w:cs="Arial" w:eastAsia="Arial" w:hAnsi="Arial"/>
          <w:sz w:val="17"/>
          <w:szCs w:val="17"/>
          <w:color w:val="auto"/>
        </w:rPr>
        <w:t>Conflict with Trust Indenture Act.</w:t>
      </w:r>
    </w:p>
    <w:p>
      <w:pPr>
        <w:spacing w:after="0" w:line="225" w:lineRule="exact"/>
        <w:rPr>
          <w:sz w:val="20"/>
          <w:szCs w:val="20"/>
          <w:color w:val="auto"/>
        </w:rPr>
      </w:pPr>
    </w:p>
    <w:p>
      <w:pPr>
        <w:ind w:right="300" w:firstLine="414"/>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6"/>
          <w:szCs w:val="16"/>
          <w:color w:val="auto"/>
        </w:rPr>
        <w:t>Counterparts.</w:t>
      </w:r>
    </w:p>
    <w:p>
      <w:pPr>
        <w:spacing w:after="0" w:line="225" w:lineRule="exact"/>
        <w:rPr>
          <w:sz w:val="20"/>
          <w:szCs w:val="20"/>
          <w:color w:val="auto"/>
        </w:rPr>
      </w:pPr>
    </w:p>
    <w:p>
      <w:pPr>
        <w:ind w:right="240" w:firstLine="414"/>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color w:val="auto"/>
        </w:rPr>
        <w:t>Separability.</w:t>
      </w:r>
    </w:p>
    <w:p>
      <w:pPr>
        <w:spacing w:after="0" w:line="225" w:lineRule="exact"/>
        <w:rPr>
          <w:sz w:val="20"/>
          <w:szCs w:val="20"/>
          <w:color w:val="auto"/>
        </w:rPr>
      </w:pPr>
    </w:p>
    <w:p>
      <w:pPr>
        <w:jc w:val="both"/>
        <w:ind w:right="120" w:firstLine="414"/>
        <w:spacing w:after="0" w:line="312"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color w:val="auto"/>
        </w:rPr>
        <w:t>Assignment.</w:t>
      </w:r>
    </w:p>
    <w:p>
      <w:pPr>
        <w:spacing w:after="0" w:line="225" w:lineRule="exact"/>
        <w:rPr>
          <w:sz w:val="20"/>
          <w:szCs w:val="20"/>
          <w:color w:val="auto"/>
        </w:rPr>
      </w:pPr>
    </w:p>
    <w:p>
      <w:pPr>
        <w:ind w:right="200" w:firstLine="414"/>
        <w:spacing w:after="0" w:line="259" w:lineRule="auto"/>
        <w:rPr>
          <w:sz w:val="20"/>
          <w:szCs w:val="20"/>
          <w:color w:val="auto"/>
        </w:rPr>
      </w:pPr>
      <w:r>
        <w:rPr>
          <w:rFonts w:ascii="Arial" w:cs="Arial" w:eastAsia="Arial" w:hAnsi="Arial"/>
          <w:sz w:val="18"/>
          <w:szCs w:val="18"/>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29" w:name="page130"/>
    <w:bookmarkEnd w:id="129"/>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ARTICLE XIV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SUBORDINATION OF SECURITIES</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14.01</w:t>
      </w:r>
      <w:r>
        <w:rPr>
          <w:sz w:val="20"/>
          <w:szCs w:val="20"/>
          <w:color w:val="auto"/>
        </w:rPr>
        <w:tab/>
      </w:r>
      <w:r>
        <w:rPr>
          <w:rFonts w:ascii="Arial" w:cs="Arial" w:eastAsia="Arial" w:hAnsi="Arial"/>
          <w:sz w:val="16"/>
          <w:szCs w:val="16"/>
          <w:color w:val="auto"/>
        </w:rPr>
        <w:t>Subordination Terms.</w:t>
      </w:r>
    </w:p>
    <w:p>
      <w:pPr>
        <w:spacing w:after="0" w:line="225"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The payment by the Company of the principal of, premium, if any, and interest on any series of Securities issued hereunder shall be subordinated to the extent set forth in an indenture supplemental hereto relating to the Securities of such series.</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06"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IN WITNESS WHEREOF, the parties hereto have caused this Indenture to be duly executed all as of the day and year first above written.</w:t>
      </w:r>
    </w:p>
    <w:p>
      <w:pPr>
        <w:spacing w:after="0" w:line="200" w:lineRule="exact"/>
        <w:rPr>
          <w:sz w:val="20"/>
          <w:szCs w:val="20"/>
          <w:color w:val="auto"/>
        </w:rPr>
      </w:pPr>
    </w:p>
    <w:p>
      <w:pPr>
        <w:spacing w:after="0" w:line="241"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VRINGO, INC.</w:t>
            </w:r>
          </w:p>
        </w:tc>
        <w:tc>
          <w:tcPr>
            <w:tcW w:w="308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4"/>
                <w:szCs w:val="24"/>
                <w:color w:val="auto"/>
              </w:rPr>
            </w:pPr>
          </w:p>
        </w:tc>
      </w:tr>
      <w:tr>
        <w:trPr>
          <w:trHeight w:val="195"/>
        </w:trPr>
        <w:tc>
          <w:tcPr>
            <w:tcW w:w="1360" w:type="dxa"/>
            <w:vAlign w:val="bottom"/>
          </w:tcPr>
          <w:p>
            <w:pPr>
              <w:spacing w:after="0"/>
              <w:rPr>
                <w:sz w:val="16"/>
                <w:szCs w:val="16"/>
                <w:color w:val="auto"/>
              </w:rPr>
            </w:pPr>
          </w:p>
        </w:tc>
        <w:tc>
          <w:tcPr>
            <w:tcW w:w="3080" w:type="dxa"/>
            <w:vAlign w:val="bottom"/>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136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Title:</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As Trustee</w:t>
            </w:r>
          </w:p>
        </w:tc>
        <w:tc>
          <w:tcPr>
            <w:tcW w:w="308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4"/>
                <w:szCs w:val="24"/>
                <w:color w:val="auto"/>
              </w:rPr>
            </w:pPr>
          </w:p>
        </w:tc>
      </w:tr>
      <w:tr>
        <w:trPr>
          <w:trHeight w:val="195"/>
        </w:trPr>
        <w:tc>
          <w:tcPr>
            <w:tcW w:w="1360" w:type="dxa"/>
            <w:vAlign w:val="bottom"/>
          </w:tcPr>
          <w:p>
            <w:pPr>
              <w:spacing w:after="0"/>
              <w:rPr>
                <w:sz w:val="16"/>
                <w:szCs w:val="16"/>
                <w:color w:val="auto"/>
              </w:rPr>
            </w:pPr>
          </w:p>
        </w:tc>
        <w:tc>
          <w:tcPr>
            <w:tcW w:w="3080" w:type="dxa"/>
            <w:vAlign w:val="bottom"/>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136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200" w:lineRule="exact"/>
        <w:rPr>
          <w:sz w:val="20"/>
          <w:szCs w:val="20"/>
          <w:color w:val="auto"/>
        </w:rPr>
      </w:pPr>
    </w:p>
    <w:p>
      <w:pPr>
        <w:spacing w:after="0" w:line="2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660" w:top="706"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18005" cy="3600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1818005" cy="360045"/>
                    </a:xfrm>
                    <a:prstGeom prst="rect">
                      <a:avLst/>
                    </a:prstGeom>
                    <a:noFill/>
                  </pic:spPr>
                </pic:pic>
              </a:graphicData>
            </a:graphic>
          </wp:anchor>
        </w:drawing>
        <w:t>666 Third Avenue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New York, New York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212-935-3000</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6"/>
          <w:szCs w:val="16"/>
          <w:i w:val="1"/>
          <w:iCs w:val="1"/>
          <w:color w:val="auto"/>
        </w:rPr>
        <w:t>212-983-3115 fax</w:t>
      </w:r>
    </w:p>
    <w:p>
      <w:pPr>
        <w:spacing w:after="0" w:line="32" w:lineRule="exact"/>
        <w:rPr>
          <w:sz w:val="20"/>
          <w:szCs w:val="20"/>
          <w:color w:val="auto"/>
        </w:rPr>
      </w:pPr>
    </w:p>
    <w:p>
      <w:pPr>
        <w:ind w:left="10300"/>
        <w:spacing w:after="0"/>
        <w:rPr>
          <w:sz w:val="20"/>
          <w:szCs w:val="20"/>
          <w:color w:val="auto"/>
        </w:rPr>
      </w:pPr>
      <w:r>
        <w:rPr>
          <w:rFonts w:ascii="Arial" w:cs="Arial" w:eastAsia="Arial" w:hAnsi="Arial"/>
          <w:sz w:val="16"/>
          <w:szCs w:val="16"/>
          <w:i w:val="1"/>
          <w:iCs w:val="1"/>
          <w:color w:val="auto"/>
        </w:rPr>
        <w:t>www.mintz.com</w:t>
      </w:r>
    </w:p>
    <w:p>
      <w:pPr>
        <w:spacing w:after="0" w:line="23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July 24,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186" w:lineRule="auto"/>
        <w:rPr>
          <w:sz w:val="20"/>
          <w:szCs w:val="20"/>
          <w:color w:val="auto"/>
        </w:rPr>
      </w:pPr>
      <w:r>
        <w:rPr>
          <w:rFonts w:ascii="Arial" w:cs="Arial" w:eastAsia="Arial" w:hAnsi="Arial"/>
          <w:sz w:val="18"/>
          <w:szCs w:val="18"/>
          <w:color w:val="auto"/>
        </w:rPr>
        <w:t>44 W.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w:t>
      </w:r>
    </w:p>
    <w:p>
      <w:pPr>
        <w:spacing w:after="0"/>
        <w:rPr>
          <w:sz w:val="20"/>
          <w:szCs w:val="20"/>
          <w:color w:val="auto"/>
        </w:rPr>
      </w:pPr>
      <w:r>
        <w:rPr>
          <w:rFonts w:ascii="Arial" w:cs="Arial" w:eastAsia="Arial" w:hAnsi="Arial"/>
          <w:sz w:val="18"/>
          <w:szCs w:val="18"/>
          <w:color w:val="auto"/>
        </w:rPr>
        <w:t>New York, NY 10001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40" w:firstLine="414"/>
        <w:spacing w:after="0" w:line="264" w:lineRule="auto"/>
        <w:rPr>
          <w:sz w:val="20"/>
          <w:szCs w:val="20"/>
          <w:color w:val="auto"/>
        </w:rPr>
      </w:pPr>
      <w:r>
        <w:rPr>
          <w:rFonts w:ascii="Arial" w:cs="Arial" w:eastAsia="Arial" w:hAnsi="Arial"/>
          <w:sz w:val="18"/>
          <w:szCs w:val="18"/>
          <w:color w:val="auto"/>
        </w:rPr>
        <w:t>We have acted as legal counsel to Vringo, Inc., a Delaware corporation (the “Company”), in connection with the preparation and filing with the Securities and Exchange Commission (the “Commission”) of a Registration Statement on Form S-3 (the “Registration Statement”), pursuant to which the Company is registering under the Securities Act of 1933, as amended (the “Securities Act”), the following:</w:t>
      </w:r>
    </w:p>
    <w:p>
      <w:pPr>
        <w:spacing w:after="0" w:line="181" w:lineRule="exact"/>
        <w:rPr>
          <w:sz w:val="20"/>
          <w:szCs w:val="20"/>
          <w:color w:val="auto"/>
        </w:rPr>
      </w:pPr>
    </w:p>
    <w:p>
      <w:pPr>
        <w:ind w:left="860" w:hanging="447"/>
        <w:spacing w:after="0"/>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common stock, $0.01 par value per share (the “Common Stock”);</w:t>
      </w:r>
    </w:p>
    <w:p>
      <w:pPr>
        <w:spacing w:after="0" w:line="225" w:lineRule="exact"/>
        <w:rPr>
          <w:rFonts w:ascii="Arial" w:cs="Arial" w:eastAsia="Arial" w:hAnsi="Arial"/>
          <w:sz w:val="18"/>
          <w:szCs w:val="18"/>
          <w:color w:val="auto"/>
        </w:rPr>
      </w:pPr>
    </w:p>
    <w:p>
      <w:pPr>
        <w:ind w:left="860" w:hanging="447"/>
        <w:spacing w:after="0"/>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preferred stock, $0.01 par value per share (the “Preferred Stock”);</w:t>
      </w:r>
    </w:p>
    <w:p>
      <w:pPr>
        <w:spacing w:after="0" w:line="225" w:lineRule="exact"/>
        <w:rPr>
          <w:rFonts w:ascii="Arial" w:cs="Arial" w:eastAsia="Arial" w:hAnsi="Arial"/>
          <w:sz w:val="18"/>
          <w:szCs w:val="18"/>
          <w:color w:val="auto"/>
        </w:rPr>
      </w:pPr>
    </w:p>
    <w:p>
      <w:pPr>
        <w:ind w:left="860" w:right="40" w:hanging="447"/>
        <w:spacing w:after="0" w:line="259" w:lineRule="auto"/>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senior debt securities, in one or more series (the “Senior Debt Securities”), which may be issued pursuant to an indenture to be dated on or about the date of the first issuance of Senior Debt Securities thereunder, by and between the Company and a trustee to be selected by the Company, in the form attached as Exhibit 4.7 to the Registration Statement, as such indenture may be amended or supplemented from time to time (the “Senior Indenture”);</w:t>
      </w:r>
    </w:p>
    <w:p>
      <w:pPr>
        <w:spacing w:after="0" w:line="186" w:lineRule="exact"/>
        <w:rPr>
          <w:rFonts w:ascii="Arial" w:cs="Arial" w:eastAsia="Arial" w:hAnsi="Arial"/>
          <w:sz w:val="18"/>
          <w:szCs w:val="18"/>
          <w:color w:val="auto"/>
        </w:rPr>
      </w:pPr>
    </w:p>
    <w:p>
      <w:pPr>
        <w:ind w:left="860" w:right="220" w:hanging="447"/>
        <w:spacing w:after="0" w:line="279" w:lineRule="auto"/>
        <w:tabs>
          <w:tab w:leader="none" w:pos="8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subordinated debt securities, in one or more series (the “Subordinated Debt Securities” and, together with the Senior Debt Securities, the “Debt Securities”), which may be issued pursuant to an indenture to be dated on or about the date of the first issuance of Subordinated Debt Securities thereunder, by and between the Company and a trustee to be selected by the Company, in the form attached as Exhibit 4.8 to the Registration Statement, as such indenture may be amended or supplemented from time to time (the “Subordinated Indenture”);</w:t>
      </w:r>
    </w:p>
    <w:p>
      <w:pPr>
        <w:spacing w:after="0" w:line="171" w:lineRule="exact"/>
        <w:rPr>
          <w:rFonts w:ascii="Arial" w:cs="Arial" w:eastAsia="Arial" w:hAnsi="Arial"/>
          <w:sz w:val="17"/>
          <w:szCs w:val="17"/>
          <w:color w:val="auto"/>
        </w:rPr>
      </w:pPr>
    </w:p>
    <w:p>
      <w:pPr>
        <w:ind w:left="860" w:right="20" w:hanging="447"/>
        <w:spacing w:after="0" w:line="264" w:lineRule="auto"/>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and/or Debt Securities (the “Warrants”), which may be issued under warrant agreements, to be dated on or about the date of the first issuance of the applicable Warrants thereunder, by and between the Company and a warrant agent to be selected by the Company (each, a “Warrant Agreement”);</w:t>
      </w:r>
    </w:p>
    <w:p>
      <w:pPr>
        <w:spacing w:after="0" w:line="181" w:lineRule="exact"/>
        <w:rPr>
          <w:rFonts w:ascii="Arial" w:cs="Arial" w:eastAsia="Arial" w:hAnsi="Arial"/>
          <w:sz w:val="18"/>
          <w:szCs w:val="18"/>
          <w:color w:val="auto"/>
        </w:rPr>
      </w:pPr>
    </w:p>
    <w:p>
      <w:pPr>
        <w:ind w:left="860" w:right="360" w:hanging="447"/>
        <w:spacing w:after="0" w:line="264" w:lineRule="auto"/>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rights to purchase Common Stock, Preferred Stock or Debt Securities (the “Rights”), which may be issued pursuant to a rights agreement and certificates issued thereunder, to be dated on or about the date of the first issuance of the applicable Rights thereunder, by and between the Company and a rights agent to be selected by the Company (each, a “Rights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Boston | Washington | New York | Stamford | Los Angeles | Palo Alto | San Diego |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M</w:t>
      </w:r>
      <w:r>
        <w:rPr>
          <w:rFonts w:ascii="Arial" w:cs="Arial" w:eastAsia="Arial" w:hAnsi="Arial"/>
          <w:sz w:val="12"/>
          <w:szCs w:val="12"/>
          <w:color w:val="auto"/>
        </w:rPr>
        <w:t>INTZ</w:t>
      </w:r>
      <w:r>
        <w:rPr>
          <w:rFonts w:ascii="Arial" w:cs="Arial" w:eastAsia="Arial" w:hAnsi="Arial"/>
          <w:sz w:val="18"/>
          <w:szCs w:val="18"/>
          <w:color w:val="auto"/>
        </w:rPr>
        <w:t>, L</w:t>
      </w:r>
      <w:r>
        <w:rPr>
          <w:rFonts w:ascii="Arial" w:cs="Arial" w:eastAsia="Arial" w:hAnsi="Arial"/>
          <w:sz w:val="12"/>
          <w:szCs w:val="12"/>
          <w:color w:val="auto"/>
        </w:rPr>
        <w:t>EVIN</w:t>
      </w:r>
      <w:r>
        <w:rPr>
          <w:rFonts w:ascii="Arial" w:cs="Arial" w:eastAsia="Arial" w:hAnsi="Arial"/>
          <w:sz w:val="18"/>
          <w:szCs w:val="18"/>
          <w:color w:val="auto"/>
        </w:rPr>
        <w:t>, C</w:t>
      </w:r>
      <w:r>
        <w:rPr>
          <w:rFonts w:ascii="Arial" w:cs="Arial" w:eastAsia="Arial" w:hAnsi="Arial"/>
          <w:sz w:val="12"/>
          <w:szCs w:val="12"/>
          <w:color w:val="auto"/>
        </w:rPr>
        <w:t>OHN</w:t>
      </w:r>
      <w:r>
        <w:rPr>
          <w:rFonts w:ascii="Arial" w:cs="Arial" w:eastAsia="Arial" w:hAnsi="Arial"/>
          <w:sz w:val="18"/>
          <w:szCs w:val="18"/>
          <w:color w:val="auto"/>
        </w:rPr>
        <w:t>, F</w:t>
      </w:r>
      <w:r>
        <w:rPr>
          <w:rFonts w:ascii="Arial" w:cs="Arial" w:eastAsia="Arial" w:hAnsi="Arial"/>
          <w:sz w:val="12"/>
          <w:szCs w:val="12"/>
          <w:color w:val="auto"/>
        </w:rPr>
        <w:t>ERRIS</w:t>
      </w:r>
      <w:r>
        <w:rPr>
          <w:rFonts w:ascii="Arial" w:cs="Arial" w:eastAsia="Arial" w:hAnsi="Arial"/>
          <w:sz w:val="18"/>
          <w:szCs w:val="18"/>
          <w:color w:val="auto"/>
        </w:rPr>
        <w:t>, G</w:t>
      </w:r>
      <w:r>
        <w:rPr>
          <w:rFonts w:ascii="Arial" w:cs="Arial" w:eastAsia="Arial" w:hAnsi="Arial"/>
          <w:sz w:val="12"/>
          <w:szCs w:val="12"/>
          <w:color w:val="auto"/>
        </w:rPr>
        <w:t>LOVSKY AND</w:t>
      </w:r>
      <w:r>
        <w:rPr>
          <w:rFonts w:ascii="Arial" w:cs="Arial" w:eastAsia="Arial" w:hAnsi="Arial"/>
          <w:sz w:val="18"/>
          <w:szCs w:val="18"/>
          <w:color w:val="auto"/>
        </w:rPr>
        <w:t xml:space="preserve"> P</w:t>
      </w:r>
      <w:r>
        <w:rPr>
          <w:rFonts w:ascii="Arial" w:cs="Arial" w:eastAsia="Arial" w:hAnsi="Arial"/>
          <w:sz w:val="12"/>
          <w:szCs w:val="12"/>
          <w:color w:val="auto"/>
        </w:rPr>
        <w:t>OPEO</w:t>
      </w:r>
      <w:r>
        <w:rPr>
          <w:rFonts w:ascii="Arial" w:cs="Arial" w:eastAsia="Arial" w:hAnsi="Arial"/>
          <w:sz w:val="18"/>
          <w:szCs w:val="18"/>
          <w:color w:val="auto"/>
        </w:rPr>
        <w:t>,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ind w:left="880" w:right="660" w:hanging="453"/>
        <w:spacing w:after="0" w:line="279" w:lineRule="auto"/>
        <w:tabs>
          <w:tab w:leader="none" w:pos="8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purchase contracts, including contracts obligating holders to purchase from the Company and for the Company to sell to such holders, or obligating the Company to purchase from holders and for such holders to sell to the Company, a specific or variable number of the Debt Securities, shares of Common Stock, Preferred Stock, Warrants or Rights, or securities of an entity unaffiliated with the Company, or any combination thereof, at a future date or dates (each, a “Purchase Contract”); and</w:t>
      </w:r>
    </w:p>
    <w:p>
      <w:pPr>
        <w:spacing w:after="0" w:line="171" w:lineRule="exact"/>
        <w:rPr>
          <w:rFonts w:ascii="Arial" w:cs="Arial" w:eastAsia="Arial" w:hAnsi="Arial"/>
          <w:sz w:val="17"/>
          <w:szCs w:val="17"/>
          <w:color w:val="auto"/>
        </w:rPr>
      </w:pPr>
    </w:p>
    <w:p>
      <w:pPr>
        <w:jc w:val="both"/>
        <w:ind w:left="880" w:right="60" w:hanging="453"/>
        <w:spacing w:after="0" w:line="312" w:lineRule="auto"/>
        <w:tabs>
          <w:tab w:leader="none" w:pos="8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units comprised of one or more Debt Securities, shares of Common Stock, shares of Preferred Stock, Rights, Purchase Contracts and Warrants, in any combination (the “Units”), which may be issued under unit agreements, to be dated on or about the date of the first issuance of the applicable Units thereunder, by and between the Company and a unit agent to be selected by the Company (each, a “Unit Agreement”).</w:t>
      </w:r>
    </w:p>
    <w:p>
      <w:pPr>
        <w:spacing w:after="0" w:line="147" w:lineRule="exact"/>
        <w:rPr>
          <w:sz w:val="20"/>
          <w:szCs w:val="20"/>
          <w:color w:val="auto"/>
        </w:rPr>
      </w:pPr>
    </w:p>
    <w:p>
      <w:pPr>
        <w:ind w:right="100" w:firstLine="414"/>
        <w:spacing w:after="0" w:line="297" w:lineRule="auto"/>
        <w:rPr>
          <w:sz w:val="20"/>
          <w:szCs w:val="20"/>
          <w:color w:val="auto"/>
        </w:rPr>
      </w:pPr>
      <w:r>
        <w:rPr>
          <w:rFonts w:ascii="Arial" w:cs="Arial" w:eastAsia="Arial" w:hAnsi="Arial"/>
          <w:sz w:val="16"/>
          <w:szCs w:val="16"/>
          <w:color w:val="auto"/>
        </w:rPr>
        <w:t>The Common Stock, the Preferred Stock, the Debt Securities, the Warrants, the Rights, the Purchase Contracts and the Units are collectively referred to herein as the “Securities.” The Registration Statement relates to the registration of the Securities to be offered and sold by the Company from time to time on a delayed or continuous basis pursuant to Rule 415 under the Securities Act. The maximum aggregate public offering price of the Securities being registered is $100,000,000.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58" w:lineRule="exact"/>
        <w:rPr>
          <w:sz w:val="20"/>
          <w:szCs w:val="20"/>
          <w:color w:val="auto"/>
        </w:rPr>
      </w:pPr>
    </w:p>
    <w:p>
      <w:pPr>
        <w:ind w:right="140" w:firstLine="414"/>
        <w:spacing w:after="0" w:line="264" w:lineRule="auto"/>
        <w:rPr>
          <w:sz w:val="20"/>
          <w:szCs w:val="20"/>
          <w:color w:val="auto"/>
        </w:rPr>
      </w:pPr>
      <w:r>
        <w:rPr>
          <w:rFonts w:ascii="Arial" w:cs="Arial" w:eastAsia="Arial" w:hAnsi="Arial"/>
          <w:sz w:val="18"/>
          <w:szCs w:val="18"/>
          <w:color w:val="auto"/>
        </w:rPr>
        <w:t>In connection with this opinion, we have examined the Company’s Certificate of Incorporation and Bylaws, each as currently in effect; such other records of the corporate proceedings of the Company and certificates of the Company’s officers as we have deemed relevant; and the Registration Statement and the exhibits thereto.</w:t>
      </w:r>
    </w:p>
    <w:p>
      <w:pPr>
        <w:spacing w:after="0" w:line="181" w:lineRule="exact"/>
        <w:rPr>
          <w:sz w:val="20"/>
          <w:szCs w:val="20"/>
          <w:color w:val="auto"/>
        </w:rPr>
      </w:pPr>
    </w:p>
    <w:p>
      <w:pPr>
        <w:jc w:val="both"/>
        <w:ind w:firstLine="414"/>
        <w:spacing w:after="0" w:line="264"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w:t>
      </w:r>
    </w:p>
    <w:p>
      <w:pPr>
        <w:spacing w:after="0" w:line="181" w:lineRule="exact"/>
        <w:rPr>
          <w:sz w:val="20"/>
          <w:szCs w:val="20"/>
          <w:color w:val="auto"/>
        </w:rPr>
      </w:pPr>
    </w:p>
    <w:p>
      <w:pPr>
        <w:jc w:val="both"/>
        <w:ind w:right="20" w:firstLine="414"/>
        <w:spacing w:after="0" w:line="312" w:lineRule="auto"/>
        <w:rPr>
          <w:sz w:val="20"/>
          <w:szCs w:val="20"/>
          <w:color w:val="auto"/>
        </w:rPr>
      </w:pPr>
      <w:r>
        <w:rPr>
          <w:rFonts w:ascii="Arial" w:cs="Arial" w:eastAsia="Arial" w:hAnsi="Arial"/>
          <w:sz w:val="16"/>
          <w:szCs w:val="16"/>
          <w:color w:val="auto"/>
        </w:rPr>
        <w:t>In our capacity as counsel to the Company in connection with such registration, we are familiar with the proceedings taken and proposed to be taken by the Company in connection with the authorization and issuance of the Securities. For purposes of this opinion, we have assumed that such proceedings will be timely and properly completed, in accordance with all requirements of applicable federal and Delaware laws, in the manner presently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M</w:t>
      </w:r>
      <w:r>
        <w:rPr>
          <w:rFonts w:ascii="Arial" w:cs="Arial" w:eastAsia="Arial" w:hAnsi="Arial"/>
          <w:sz w:val="12"/>
          <w:szCs w:val="12"/>
          <w:color w:val="auto"/>
        </w:rPr>
        <w:t>INTZ</w:t>
      </w:r>
      <w:r>
        <w:rPr>
          <w:rFonts w:ascii="Arial" w:cs="Arial" w:eastAsia="Arial" w:hAnsi="Arial"/>
          <w:sz w:val="18"/>
          <w:szCs w:val="18"/>
          <w:color w:val="auto"/>
        </w:rPr>
        <w:t>, L</w:t>
      </w:r>
      <w:r>
        <w:rPr>
          <w:rFonts w:ascii="Arial" w:cs="Arial" w:eastAsia="Arial" w:hAnsi="Arial"/>
          <w:sz w:val="12"/>
          <w:szCs w:val="12"/>
          <w:color w:val="auto"/>
        </w:rPr>
        <w:t>EVIN</w:t>
      </w:r>
      <w:r>
        <w:rPr>
          <w:rFonts w:ascii="Arial" w:cs="Arial" w:eastAsia="Arial" w:hAnsi="Arial"/>
          <w:sz w:val="18"/>
          <w:szCs w:val="18"/>
          <w:color w:val="auto"/>
        </w:rPr>
        <w:t>, C</w:t>
      </w:r>
      <w:r>
        <w:rPr>
          <w:rFonts w:ascii="Arial" w:cs="Arial" w:eastAsia="Arial" w:hAnsi="Arial"/>
          <w:sz w:val="12"/>
          <w:szCs w:val="12"/>
          <w:color w:val="auto"/>
        </w:rPr>
        <w:t>OHN</w:t>
      </w:r>
      <w:r>
        <w:rPr>
          <w:rFonts w:ascii="Arial" w:cs="Arial" w:eastAsia="Arial" w:hAnsi="Arial"/>
          <w:sz w:val="18"/>
          <w:szCs w:val="18"/>
          <w:color w:val="auto"/>
        </w:rPr>
        <w:t>, F</w:t>
      </w:r>
      <w:r>
        <w:rPr>
          <w:rFonts w:ascii="Arial" w:cs="Arial" w:eastAsia="Arial" w:hAnsi="Arial"/>
          <w:sz w:val="12"/>
          <w:szCs w:val="12"/>
          <w:color w:val="auto"/>
        </w:rPr>
        <w:t>ERRIS</w:t>
      </w:r>
      <w:r>
        <w:rPr>
          <w:rFonts w:ascii="Arial" w:cs="Arial" w:eastAsia="Arial" w:hAnsi="Arial"/>
          <w:sz w:val="18"/>
          <w:szCs w:val="18"/>
          <w:color w:val="auto"/>
        </w:rPr>
        <w:t>, G</w:t>
      </w:r>
      <w:r>
        <w:rPr>
          <w:rFonts w:ascii="Arial" w:cs="Arial" w:eastAsia="Arial" w:hAnsi="Arial"/>
          <w:sz w:val="12"/>
          <w:szCs w:val="12"/>
          <w:color w:val="auto"/>
        </w:rPr>
        <w:t>LOVSKY AND</w:t>
      </w:r>
      <w:r>
        <w:rPr>
          <w:rFonts w:ascii="Arial" w:cs="Arial" w:eastAsia="Arial" w:hAnsi="Arial"/>
          <w:sz w:val="18"/>
          <w:szCs w:val="18"/>
          <w:color w:val="auto"/>
        </w:rPr>
        <w:t xml:space="preserve"> P</w:t>
      </w:r>
      <w:r>
        <w:rPr>
          <w:rFonts w:ascii="Arial" w:cs="Arial" w:eastAsia="Arial" w:hAnsi="Arial"/>
          <w:sz w:val="12"/>
          <w:szCs w:val="12"/>
          <w:color w:val="auto"/>
        </w:rPr>
        <w:t>OPEO</w:t>
      </w:r>
      <w:r>
        <w:rPr>
          <w:rFonts w:ascii="Arial" w:cs="Arial" w:eastAsia="Arial" w:hAnsi="Arial"/>
          <w:sz w:val="18"/>
          <w:szCs w:val="18"/>
          <w:color w:val="auto"/>
        </w:rPr>
        <w:t>,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7" w:lineRule="exact"/>
        <w:rPr>
          <w:sz w:val="20"/>
          <w:szCs w:val="20"/>
          <w:color w:val="auto"/>
        </w:rPr>
      </w:pPr>
    </w:p>
    <w:p>
      <w:pPr>
        <w:ind w:firstLine="414"/>
        <w:spacing w:after="0" w:line="291" w:lineRule="auto"/>
        <w:rPr>
          <w:sz w:val="20"/>
          <w:szCs w:val="20"/>
          <w:color w:val="auto"/>
        </w:rPr>
      </w:pPr>
      <w:r>
        <w:rPr>
          <w:rFonts w:ascii="Arial" w:cs="Arial" w:eastAsia="Arial" w:hAnsi="Arial"/>
          <w:sz w:val="16"/>
          <w:szCs w:val="16"/>
          <w:color w:val="auto"/>
        </w:rPr>
        <w:t>The opinions set forth below are subject to the following exceptions, limitations and qualifications: (i) the effect of bankruptcy, insolvency, reorganization, fraudulent conveyance, moratorium or other similar laws now or hereafter in effect relating to or affecting the rights and remedies of creditors;</w:t>
      </w:r>
    </w:p>
    <w:p>
      <w:pPr>
        <w:ind w:right="40" w:firstLine="8"/>
        <w:spacing w:after="0" w:line="252" w:lineRule="auto"/>
        <w:tabs>
          <w:tab w:leader="none" w:pos="2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effect of general principles of equity, whether enforcement is considered in a proceeding in equity or at law,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(iv) we express no opinion concerning the enforceability of any waiver of rights or defenses with respect to stay, extension or usury laws; and (v) we express no opinion with respect to whether acceleration of any Debt Securities may affect the ability to collect any portion of the stated principal amount thereof which might be determined to constitute unearned interest thereon.</w:t>
      </w:r>
    </w:p>
    <w:p>
      <w:pPr>
        <w:spacing w:after="0" w:line="194" w:lineRule="exact"/>
        <w:rPr>
          <w:sz w:val="20"/>
          <w:szCs w:val="20"/>
          <w:color w:val="auto"/>
        </w:rPr>
      </w:pPr>
    </w:p>
    <w:p>
      <w:pPr>
        <w:ind w:firstLine="414"/>
        <w:spacing w:after="0" w:line="286" w:lineRule="auto"/>
        <w:rPr>
          <w:sz w:val="20"/>
          <w:szCs w:val="20"/>
          <w:color w:val="auto"/>
        </w:rPr>
      </w:pPr>
      <w:r>
        <w:rPr>
          <w:rFonts w:ascii="Arial" w:cs="Arial" w:eastAsia="Arial" w:hAnsi="Arial"/>
          <w:sz w:val="16"/>
          <w:szCs w:val="16"/>
          <w:color w:val="auto"/>
        </w:rPr>
        <w:t>We have relied as to certain matters on information obtained from public officials, officers of the Company, and other sources believed by us to be responsible and we have assumed that the Senior Indenture and the Subordinated Indenture will be duly authorized, executed, and delivered by the respective trustees thereunder and the Warrant Agreement, Rights Agreement and Unit Agreement will be duly authorized, executed, and delivered by the warrant agent, rights agent and unit agent, respectively, thereunder and the Purchase Contracts will be duly authorized, executed, and delivered by the other parties thereto. With respect to our opinion as to the Common Stock and Securities convertible into or exercisable for shares of Common Stock, we have assumed that, at the time of issuance and sale, a sufficient number of shares of Common Stock are authorized and available for issuance under the Company’s Certificate of Incorporation as then in effect and that the consideration for the issuance and sale of the Common Stock (or Purchase Contracts, Preferred Stock, Debt Securities convertible into Common Stock or Warrants or Rights exercisable for Common Stock or any Units of such Securities) is in an amount that is not less than the par value of the Common Stock. With respect to our opinion as to the Preferred Stock and Securities convertible into or exercisable for shares of Preferred Stock, we have assumed that, at the time of issuance and sale, a sufficient number of shares of Preferred Stock are authorized, designated and available for issuance and that the consideration for the issuance and sale of the Preferred Stock (or Purchase Contracts, Debt Securities convertible into Preferred Stock or Warrants or Rights exercisable for Preferred Stock or any Units of such Securities) is in an amount that is not less than the par value of the Preferred Stock. We have also assumed that any Warrants, Rights, Purchase Contracts and Units offered under the Registration Statement, and the related Warrant Agreement, Rights Agreement, Purchase Contract and Unit Agreement, as applicable, will be executed in the forms to be filed as exhibits to the Registration Statement or incorporated by reference therein. We have not independently verified any of the foregoing assumptions.</w:t>
      </w:r>
    </w:p>
    <w:p>
      <w:pPr>
        <w:spacing w:after="0" w:line="169" w:lineRule="exact"/>
        <w:rPr>
          <w:sz w:val="20"/>
          <w:szCs w:val="20"/>
          <w:color w:val="auto"/>
        </w:rPr>
      </w:pPr>
    </w:p>
    <w:p>
      <w:pPr>
        <w:ind w:right="20" w:firstLine="414"/>
        <w:spacing w:after="0" w:line="277" w:lineRule="auto"/>
        <w:rPr>
          <w:sz w:val="20"/>
          <w:szCs w:val="20"/>
          <w:color w:val="auto"/>
        </w:rPr>
      </w:pPr>
      <w:r>
        <w:rPr>
          <w:rFonts w:ascii="Arial" w:cs="Arial" w:eastAsia="Arial" w:hAnsi="Arial"/>
          <w:sz w:val="18"/>
          <w:szCs w:val="18"/>
          <w:color w:val="auto"/>
        </w:rPr>
        <w:t>It is understood that this opinion is to be used only in connection with the offer and sale of Securities while the Registration Statement is effective under the Securities Act.</w:t>
      </w:r>
    </w:p>
    <w:p>
      <w:pPr>
        <w:spacing w:after="0" w:line="170" w:lineRule="exact"/>
        <w:rPr>
          <w:sz w:val="20"/>
          <w:szCs w:val="20"/>
          <w:color w:val="auto"/>
        </w:rPr>
      </w:pPr>
    </w:p>
    <w:p>
      <w:pPr>
        <w:ind w:right="140" w:firstLine="414"/>
        <w:spacing w:after="0" w:line="286" w:lineRule="auto"/>
        <w:rPr>
          <w:sz w:val="20"/>
          <w:szCs w:val="20"/>
          <w:color w:val="auto"/>
        </w:rPr>
      </w:pPr>
      <w:r>
        <w:rPr>
          <w:rFonts w:ascii="Arial" w:cs="Arial" w:eastAsia="Arial" w:hAnsi="Arial"/>
          <w:sz w:val="17"/>
          <w:szCs w:val="17"/>
          <w:color w:val="auto"/>
        </w:rPr>
        <w:t>Our opinion is limited to the General Corporation Law of the State of Delaware and the laws of the State of New York. Without limiting the generality of the foregoing, we express no opinion with respect to (i) the qualification of the Shares under the securities or blue sky laws of any state or any foreign jurisdiction or (ii) the compliance with any federal or state law, rule or regulation relating to securities, or to the sale or issuance thereof.</w:t>
      </w:r>
    </w:p>
    <w:p>
      <w:pPr>
        <w:spacing w:after="0" w:line="166" w:lineRule="exact"/>
        <w:rPr>
          <w:sz w:val="20"/>
          <w:szCs w:val="20"/>
          <w:color w:val="auto"/>
        </w:rPr>
      </w:pPr>
    </w:p>
    <w:p>
      <w:pPr>
        <w:ind w:right="140" w:firstLine="414"/>
        <w:spacing w:after="0" w:line="259" w:lineRule="auto"/>
        <w:rPr>
          <w:sz w:val="20"/>
          <w:szCs w:val="20"/>
          <w:color w:val="auto"/>
        </w:rPr>
      </w:pPr>
      <w:r>
        <w:rPr>
          <w:rFonts w:ascii="Arial" w:cs="Arial" w:eastAsia="Arial" w:hAnsi="Arial"/>
          <w:sz w:val="18"/>
          <w:szCs w:val="18"/>
          <w:color w:val="auto"/>
        </w:rPr>
        <w:t>Please note that we are opining only as to the matters expressly set forth herein, and no opinion should be inferred as to any other matters. The Securities may be issued from time to time on a delayed or continuous basis, but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M</w:t>
      </w:r>
      <w:r>
        <w:rPr>
          <w:rFonts w:ascii="Arial" w:cs="Arial" w:eastAsia="Arial" w:hAnsi="Arial"/>
          <w:sz w:val="12"/>
          <w:szCs w:val="12"/>
          <w:color w:val="auto"/>
        </w:rPr>
        <w:t>INTZ</w:t>
      </w:r>
      <w:r>
        <w:rPr>
          <w:rFonts w:ascii="Arial" w:cs="Arial" w:eastAsia="Arial" w:hAnsi="Arial"/>
          <w:sz w:val="18"/>
          <w:szCs w:val="18"/>
          <w:color w:val="auto"/>
        </w:rPr>
        <w:t>, L</w:t>
      </w:r>
      <w:r>
        <w:rPr>
          <w:rFonts w:ascii="Arial" w:cs="Arial" w:eastAsia="Arial" w:hAnsi="Arial"/>
          <w:sz w:val="12"/>
          <w:szCs w:val="12"/>
          <w:color w:val="auto"/>
        </w:rPr>
        <w:t>EVIN</w:t>
      </w:r>
      <w:r>
        <w:rPr>
          <w:rFonts w:ascii="Arial" w:cs="Arial" w:eastAsia="Arial" w:hAnsi="Arial"/>
          <w:sz w:val="18"/>
          <w:szCs w:val="18"/>
          <w:color w:val="auto"/>
        </w:rPr>
        <w:t>, C</w:t>
      </w:r>
      <w:r>
        <w:rPr>
          <w:rFonts w:ascii="Arial" w:cs="Arial" w:eastAsia="Arial" w:hAnsi="Arial"/>
          <w:sz w:val="12"/>
          <w:szCs w:val="12"/>
          <w:color w:val="auto"/>
        </w:rPr>
        <w:t>OHN</w:t>
      </w:r>
      <w:r>
        <w:rPr>
          <w:rFonts w:ascii="Arial" w:cs="Arial" w:eastAsia="Arial" w:hAnsi="Arial"/>
          <w:sz w:val="18"/>
          <w:szCs w:val="18"/>
          <w:color w:val="auto"/>
        </w:rPr>
        <w:t>, F</w:t>
      </w:r>
      <w:r>
        <w:rPr>
          <w:rFonts w:ascii="Arial" w:cs="Arial" w:eastAsia="Arial" w:hAnsi="Arial"/>
          <w:sz w:val="12"/>
          <w:szCs w:val="12"/>
          <w:color w:val="auto"/>
        </w:rPr>
        <w:t>ERRIS</w:t>
      </w:r>
      <w:r>
        <w:rPr>
          <w:rFonts w:ascii="Arial" w:cs="Arial" w:eastAsia="Arial" w:hAnsi="Arial"/>
          <w:sz w:val="18"/>
          <w:szCs w:val="18"/>
          <w:color w:val="auto"/>
        </w:rPr>
        <w:t>, G</w:t>
      </w:r>
      <w:r>
        <w:rPr>
          <w:rFonts w:ascii="Arial" w:cs="Arial" w:eastAsia="Arial" w:hAnsi="Arial"/>
          <w:sz w:val="12"/>
          <w:szCs w:val="12"/>
          <w:color w:val="auto"/>
        </w:rPr>
        <w:t>LOVSKY AND</w:t>
      </w:r>
      <w:r>
        <w:rPr>
          <w:rFonts w:ascii="Arial" w:cs="Arial" w:eastAsia="Arial" w:hAnsi="Arial"/>
          <w:sz w:val="18"/>
          <w:szCs w:val="18"/>
          <w:color w:val="auto"/>
        </w:rPr>
        <w:t xml:space="preserve"> P</w:t>
      </w:r>
      <w:r>
        <w:rPr>
          <w:rFonts w:ascii="Arial" w:cs="Arial" w:eastAsia="Arial" w:hAnsi="Arial"/>
          <w:sz w:val="12"/>
          <w:szCs w:val="12"/>
          <w:color w:val="auto"/>
        </w:rPr>
        <w:t>OPEO</w:t>
      </w:r>
      <w:r>
        <w:rPr>
          <w:rFonts w:ascii="Arial" w:cs="Arial" w:eastAsia="Arial" w:hAnsi="Arial"/>
          <w:sz w:val="18"/>
          <w:szCs w:val="18"/>
          <w:color w:val="auto"/>
        </w:rPr>
        <w:t>,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Based upon the foregoing, we are of the opinion that:</w:t>
      </w:r>
    </w:p>
    <w:p>
      <w:pPr>
        <w:spacing w:after="0" w:line="225" w:lineRule="exact"/>
        <w:rPr>
          <w:sz w:val="20"/>
          <w:szCs w:val="20"/>
          <w:color w:val="auto"/>
        </w:rPr>
      </w:pPr>
    </w:p>
    <w:p>
      <w:pPr>
        <w:ind w:right="100" w:firstLine="422"/>
        <w:spacing w:after="0" w:line="284" w:lineRule="auto"/>
        <w:tabs>
          <w:tab w:leader="none" w:pos="594" w:val="left"/>
        </w:tabs>
        <w:numPr>
          <w:ilvl w:val="1"/>
          <w:numId w:val="135"/>
        </w:numPr>
        <w:rPr>
          <w:rFonts w:ascii="Arial" w:cs="Arial" w:eastAsia="Arial" w:hAnsi="Arial"/>
          <w:sz w:val="16"/>
          <w:szCs w:val="16"/>
          <w:color w:val="auto"/>
        </w:rPr>
      </w:pPr>
      <w:r>
        <w:rPr>
          <w:rFonts w:ascii="Arial" w:cs="Arial" w:eastAsia="Arial" w:hAnsi="Arial"/>
          <w:sz w:val="16"/>
          <w:szCs w:val="16"/>
          <w:color w:val="auto"/>
        </w:rPr>
        <w:t>With respect to the Common Stock, when (i) specifically authorized for issuance by the Company’s Board of Directors or an authorized committee thereof (the “Authorizing Resolutions”), (ii) the Registration Statement, as finally amended (including all post-effective amendments), has become effective under the Securities Act, (iii) an appropriate prospectus supplement with respect to the applicable shares of Common Stock has been prepared, delivered and filed in compliance with the Securities Act and the applicable rules and regulations thereunder, (iv) if the applicable shares of Common Stock are to be sold pursuant to a purchase, underwriting or similar agreement (an “Underwriting Agreement”), such Underwriting Agreement with respect to the applicable shares of Common Stock in the form filed as an exhibit to the Registration Statement, any post-effective amendment thereto or to a Current Report on Form</w:t>
      </w:r>
    </w:p>
    <w:p>
      <w:pPr>
        <w:spacing w:after="0" w:line="4" w:lineRule="exact"/>
        <w:rPr>
          <w:rFonts w:ascii="Arial" w:cs="Arial" w:eastAsia="Arial" w:hAnsi="Arial"/>
          <w:sz w:val="16"/>
          <w:szCs w:val="16"/>
          <w:color w:val="auto"/>
        </w:rPr>
      </w:pPr>
    </w:p>
    <w:p>
      <w:pPr>
        <w:spacing w:after="0" w:line="270" w:lineRule="auto"/>
        <w:rPr>
          <w:rFonts w:ascii="Arial" w:cs="Arial" w:eastAsia="Arial" w:hAnsi="Arial"/>
          <w:sz w:val="16"/>
          <w:szCs w:val="16"/>
          <w:color w:val="auto"/>
        </w:rPr>
      </w:pPr>
      <w:r>
        <w:rPr>
          <w:rFonts w:ascii="Arial" w:cs="Arial" w:eastAsia="Arial" w:hAnsi="Arial"/>
          <w:sz w:val="17"/>
          <w:szCs w:val="17"/>
          <w:color w:val="auto"/>
        </w:rPr>
        <w:t>8-K, has been duly authorized, executed and delivered by the Company and the other parties thereto, (v) the terms of the sale of the Common Stock have been duly established in conformity with the Company’s then operative Certificate of Incorporation and By-laws and do not violate any applicable law or result in a default under or breach of any agreement or instrument binding on the Company and comply with any requirement or restriction imposed by any court or governmental body having jurisdiction over the Company, (vi) the Common Stock has been issued and sold as contemplated by the Registration Statement and the prospectus included therein, and (vii) the Company has received the consideration provided for in the Authorizing Resolutions and, if applicable, the Underwriting Agreement, the Common Stock will be validly issued, fully paid and nonassessable.</w:t>
      </w:r>
    </w:p>
    <w:p>
      <w:pPr>
        <w:spacing w:after="0" w:line="178" w:lineRule="exact"/>
        <w:rPr>
          <w:rFonts w:ascii="Arial" w:cs="Arial" w:eastAsia="Arial" w:hAnsi="Arial"/>
          <w:sz w:val="16"/>
          <w:szCs w:val="16"/>
          <w:color w:val="auto"/>
        </w:rPr>
      </w:pPr>
    </w:p>
    <w:p>
      <w:pPr>
        <w:ind w:right="40" w:firstLine="422"/>
        <w:spacing w:after="0" w:line="283" w:lineRule="auto"/>
        <w:tabs>
          <w:tab w:leader="none" w:pos="594" w:val="left"/>
        </w:tabs>
        <w:numPr>
          <w:ilvl w:val="1"/>
          <w:numId w:val="135"/>
        </w:numPr>
        <w:rPr>
          <w:rFonts w:ascii="Arial" w:cs="Arial" w:eastAsia="Arial" w:hAnsi="Arial"/>
          <w:sz w:val="16"/>
          <w:szCs w:val="16"/>
          <w:color w:val="auto"/>
        </w:rPr>
      </w:pPr>
      <w:r>
        <w:rPr>
          <w:rFonts w:ascii="Arial" w:cs="Arial" w:eastAsia="Arial" w:hAnsi="Arial"/>
          <w:sz w:val="16"/>
          <w:szCs w:val="16"/>
          <w:color w:val="auto"/>
        </w:rPr>
        <w:t>With respect to the Preferred Stock, when (i) specifically authorized for issuance by the Authorizing Resolutions, (ii) the Registration Statement, as finally amended (including all post-effective amendments), has become effective under the Securities Act, (iii) an appropriate prospectus supplement with respect to the applicable shares of Preferred Stock has been prepared, delivered and filed in compliance with the Securities Act and the applicable rules and regulations thereunder, (iv) if the applicable shares of Preferred Stock are to be sold pursuant to an Underwriting Agreement, such Underwriting Agreement with respect to the applicable shares of Preferred Stock in the form filed as an exhibit to the Registration Statement, any post-effective amendment thereto or to a Current Report on Form 8-K, has been duly authorized, executed and delivered by the Company and the other parties thereto, (v) an appropriate Certificate or Certificates of Amendment or Designation relating to a class or series of the Preferred Stock to be sold under the Registration Statement has been duly authorized and adopted and filed with the Secretary of State of the State of Delaware prior to the issuance of the Preferred Stock, (vi) the terms of issuance and sale of shares of such class or series of Preferred Stock have been duly established in conformity with the Company’s then operative Certificate of Incorporation and By-laws and do not violate any applicable law or result in a default under or breach of any agreement or instrument binding upon the Company and comply with any requirement or restriction imposed by any court or governmental body having jurisdiction over the Company, (vii) shares of such class or series of Preferred Stock have been duly issued and sold as contemplated by the Registration Statement and the prospectus included therein, and</w:t>
      </w:r>
    </w:p>
    <w:p>
      <w:pPr>
        <w:spacing w:after="0" w:line="3" w:lineRule="exact"/>
        <w:rPr>
          <w:rFonts w:ascii="Arial" w:cs="Arial" w:eastAsia="Arial" w:hAnsi="Arial"/>
          <w:sz w:val="16"/>
          <w:szCs w:val="16"/>
          <w:color w:val="auto"/>
        </w:rPr>
      </w:pPr>
    </w:p>
    <w:p>
      <w:pPr>
        <w:ind w:right="120" w:firstLine="8"/>
        <w:spacing w:after="0" w:line="261" w:lineRule="auto"/>
        <w:tabs>
          <w:tab w:leader="none" w:pos="4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has received the consideration provided for in the Authorizing Resolutions and, if applicable, the Underwriting Agreement, the Preferred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M</w:t>
      </w:r>
      <w:r>
        <w:rPr>
          <w:rFonts w:ascii="Arial" w:cs="Arial" w:eastAsia="Arial" w:hAnsi="Arial"/>
          <w:sz w:val="12"/>
          <w:szCs w:val="12"/>
          <w:color w:val="auto"/>
        </w:rPr>
        <w:t>INTZ</w:t>
      </w:r>
      <w:r>
        <w:rPr>
          <w:rFonts w:ascii="Arial" w:cs="Arial" w:eastAsia="Arial" w:hAnsi="Arial"/>
          <w:sz w:val="18"/>
          <w:szCs w:val="18"/>
          <w:color w:val="auto"/>
        </w:rPr>
        <w:t>, L</w:t>
      </w:r>
      <w:r>
        <w:rPr>
          <w:rFonts w:ascii="Arial" w:cs="Arial" w:eastAsia="Arial" w:hAnsi="Arial"/>
          <w:sz w:val="12"/>
          <w:szCs w:val="12"/>
          <w:color w:val="auto"/>
        </w:rPr>
        <w:t>EVIN</w:t>
      </w:r>
      <w:r>
        <w:rPr>
          <w:rFonts w:ascii="Arial" w:cs="Arial" w:eastAsia="Arial" w:hAnsi="Arial"/>
          <w:sz w:val="18"/>
          <w:szCs w:val="18"/>
          <w:color w:val="auto"/>
        </w:rPr>
        <w:t>, C</w:t>
      </w:r>
      <w:r>
        <w:rPr>
          <w:rFonts w:ascii="Arial" w:cs="Arial" w:eastAsia="Arial" w:hAnsi="Arial"/>
          <w:sz w:val="12"/>
          <w:szCs w:val="12"/>
          <w:color w:val="auto"/>
        </w:rPr>
        <w:t>OHN</w:t>
      </w:r>
      <w:r>
        <w:rPr>
          <w:rFonts w:ascii="Arial" w:cs="Arial" w:eastAsia="Arial" w:hAnsi="Arial"/>
          <w:sz w:val="18"/>
          <w:szCs w:val="18"/>
          <w:color w:val="auto"/>
        </w:rPr>
        <w:t>, F</w:t>
      </w:r>
      <w:r>
        <w:rPr>
          <w:rFonts w:ascii="Arial" w:cs="Arial" w:eastAsia="Arial" w:hAnsi="Arial"/>
          <w:sz w:val="12"/>
          <w:szCs w:val="12"/>
          <w:color w:val="auto"/>
        </w:rPr>
        <w:t>ERRIS</w:t>
      </w:r>
      <w:r>
        <w:rPr>
          <w:rFonts w:ascii="Arial" w:cs="Arial" w:eastAsia="Arial" w:hAnsi="Arial"/>
          <w:sz w:val="18"/>
          <w:szCs w:val="18"/>
          <w:color w:val="auto"/>
        </w:rPr>
        <w:t>, G</w:t>
      </w:r>
      <w:r>
        <w:rPr>
          <w:rFonts w:ascii="Arial" w:cs="Arial" w:eastAsia="Arial" w:hAnsi="Arial"/>
          <w:sz w:val="12"/>
          <w:szCs w:val="12"/>
          <w:color w:val="auto"/>
        </w:rPr>
        <w:t>LOVSKY AND</w:t>
      </w:r>
      <w:r>
        <w:rPr>
          <w:rFonts w:ascii="Arial" w:cs="Arial" w:eastAsia="Arial" w:hAnsi="Arial"/>
          <w:sz w:val="18"/>
          <w:szCs w:val="18"/>
          <w:color w:val="auto"/>
        </w:rPr>
        <w:t xml:space="preserve"> P</w:t>
      </w:r>
      <w:r>
        <w:rPr>
          <w:rFonts w:ascii="Arial" w:cs="Arial" w:eastAsia="Arial" w:hAnsi="Arial"/>
          <w:sz w:val="12"/>
          <w:szCs w:val="12"/>
          <w:color w:val="auto"/>
        </w:rPr>
        <w:t>OPEO</w:t>
      </w:r>
      <w:r>
        <w:rPr>
          <w:rFonts w:ascii="Arial" w:cs="Arial" w:eastAsia="Arial" w:hAnsi="Arial"/>
          <w:sz w:val="18"/>
          <w:szCs w:val="18"/>
          <w:color w:val="auto"/>
        </w:rPr>
        <w:t>,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27" w:lineRule="exact"/>
        <w:rPr>
          <w:sz w:val="20"/>
          <w:szCs w:val="20"/>
          <w:color w:val="auto"/>
        </w:rPr>
      </w:pPr>
    </w:p>
    <w:p>
      <w:pPr>
        <w:ind w:right="80" w:firstLine="422"/>
        <w:spacing w:after="0" w:line="284" w:lineRule="auto"/>
        <w:tabs>
          <w:tab w:leader="none" w:pos="59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With respect to the Debt Securities, when (i) specifically authorized for issuance by the Authorizing Resolutions, (ii) the Registration Statement, as finally amended (including all post-effective amendments), has become effective under the Securities Act, (iii) the Senior Indenture or the Subordinated Indenture, whichever the case may be, has been duly authorized, executed and delivered by the Company, (iv) an appropriate prospectus supplement with respect to the applicable Debt Securities has been prepared, delivered and filed in compliance with the Securities Act and the applicable rules and regulations thereunder, (v) if the applicable Debt Securities are to be sold pursuant to an Underwriting Agreement, such Underwriting Agreement with respect to the applicable Debt Securities in the form filed as an exhibit to the Registration Statement, any post-effective amendment thereto or to a Current Report on Form</w:t>
      </w:r>
    </w:p>
    <w:p>
      <w:pPr>
        <w:spacing w:after="0" w:line="4"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8-K, has been duly authorized, executed and delivered by the Company and the other parties thereto; (vi) the terms of the Debt Securities and of their issuance and sale have been duly established in conformity with the Senior Indenture or the Subordinated Indenture, whichever the case may be, and do not violate any applicable law or result in a default under or breach of any agreement or instrument binding upon the Company and comply with any requirement or restriction imposed by any court or governmental body having jurisdiction over the Company, (vii) such Debt Securities have been duly executed and authenticated in accordance with the Senior Indenture or the Subordinated Indenture, whichever the case may be, and issued and sold as contemplated in the Registration Statement and the prospectus included therein, (viii) the Senior Indenture or the Subordinated Indenture, whichever the case may be, relating to the Debt Securities has been qualified under the Trust Indenture Act of 1939, as amended, and (ix) the Company has received the consideration provided for in the Authorizing Resolutions and, if applicable, the Underwriting Agreement, the Debt Securities will constitute binding obligations of the Company.</w:t>
      </w:r>
    </w:p>
    <w:p>
      <w:pPr>
        <w:spacing w:after="0" w:line="170" w:lineRule="exact"/>
        <w:rPr>
          <w:rFonts w:ascii="Arial" w:cs="Arial" w:eastAsia="Arial" w:hAnsi="Arial"/>
          <w:sz w:val="16"/>
          <w:szCs w:val="16"/>
          <w:color w:val="auto"/>
        </w:rPr>
      </w:pPr>
    </w:p>
    <w:p>
      <w:pPr>
        <w:ind w:firstLine="422"/>
        <w:spacing w:after="0" w:line="287" w:lineRule="auto"/>
        <w:tabs>
          <w:tab w:leader="none" w:pos="59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With respect to the Warrants, when (i) specifically authorized for issuance by the Authorizing Resolutions, (ii) the Registration Statement, as finally amended (including all post-effective amendments), has become effective under the Securities Act, (iii) the Warrant Agreement relating to the Warrants has been duly authorized, executed, and delivered by the Company, (iv) an appropriate prospectus supplement with respect to the applicable Warrants has been prepared, delivered and filed in compliance with the Securities Act and the applicable rules and regulations thereunder, (v) if the applicable Warrants are to be sold pursuant to an Underwriting Agreement, such Underwriting Agreement with respect to the applicable Warrants in the form filed as an exhibit to the Registration Statement, any post-effective amendment thereto or to a Current Report on Form 8-K, has been duly authorized, executed and delivered by the Company and the other parties thereto, (vi) the terms of the Warrants and of their issuance and sale have been duly established in conformity with the Warrant Agreement and do not violate any applicable law or result in a default under or breach of any agreement or instrument binding upon the Company and comply with any requirement or restriction imposed by any court or governmental body having jurisdiction over the Company, (vii) the Warrants have been duly executed and countersigned in accordance with the Warrant Agreement and issued and sold as contemplated by the Registration Statement and the prospectus included therein, and (viii) the Company has received the consideration provided for in the Authorizing Resolutions and, if applicable, the Underwriting Agreement, the Warrants will constitute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M</w:t>
      </w:r>
      <w:r>
        <w:rPr>
          <w:rFonts w:ascii="Arial" w:cs="Arial" w:eastAsia="Arial" w:hAnsi="Arial"/>
          <w:sz w:val="12"/>
          <w:szCs w:val="12"/>
          <w:color w:val="auto"/>
        </w:rPr>
        <w:t>INTZ</w:t>
      </w:r>
      <w:r>
        <w:rPr>
          <w:rFonts w:ascii="Arial" w:cs="Arial" w:eastAsia="Arial" w:hAnsi="Arial"/>
          <w:sz w:val="18"/>
          <w:szCs w:val="18"/>
          <w:color w:val="auto"/>
        </w:rPr>
        <w:t>, L</w:t>
      </w:r>
      <w:r>
        <w:rPr>
          <w:rFonts w:ascii="Arial" w:cs="Arial" w:eastAsia="Arial" w:hAnsi="Arial"/>
          <w:sz w:val="12"/>
          <w:szCs w:val="12"/>
          <w:color w:val="auto"/>
        </w:rPr>
        <w:t>EVIN</w:t>
      </w:r>
      <w:r>
        <w:rPr>
          <w:rFonts w:ascii="Arial" w:cs="Arial" w:eastAsia="Arial" w:hAnsi="Arial"/>
          <w:sz w:val="18"/>
          <w:szCs w:val="18"/>
          <w:color w:val="auto"/>
        </w:rPr>
        <w:t>, C</w:t>
      </w:r>
      <w:r>
        <w:rPr>
          <w:rFonts w:ascii="Arial" w:cs="Arial" w:eastAsia="Arial" w:hAnsi="Arial"/>
          <w:sz w:val="12"/>
          <w:szCs w:val="12"/>
          <w:color w:val="auto"/>
        </w:rPr>
        <w:t>OHN</w:t>
      </w:r>
      <w:r>
        <w:rPr>
          <w:rFonts w:ascii="Arial" w:cs="Arial" w:eastAsia="Arial" w:hAnsi="Arial"/>
          <w:sz w:val="18"/>
          <w:szCs w:val="18"/>
          <w:color w:val="auto"/>
        </w:rPr>
        <w:t>, F</w:t>
      </w:r>
      <w:r>
        <w:rPr>
          <w:rFonts w:ascii="Arial" w:cs="Arial" w:eastAsia="Arial" w:hAnsi="Arial"/>
          <w:sz w:val="12"/>
          <w:szCs w:val="12"/>
          <w:color w:val="auto"/>
        </w:rPr>
        <w:t>ERRIS</w:t>
      </w:r>
      <w:r>
        <w:rPr>
          <w:rFonts w:ascii="Arial" w:cs="Arial" w:eastAsia="Arial" w:hAnsi="Arial"/>
          <w:sz w:val="18"/>
          <w:szCs w:val="18"/>
          <w:color w:val="auto"/>
        </w:rPr>
        <w:t>, G</w:t>
      </w:r>
      <w:r>
        <w:rPr>
          <w:rFonts w:ascii="Arial" w:cs="Arial" w:eastAsia="Arial" w:hAnsi="Arial"/>
          <w:sz w:val="12"/>
          <w:szCs w:val="12"/>
          <w:color w:val="auto"/>
        </w:rPr>
        <w:t>LOVSKY AND</w:t>
      </w:r>
      <w:r>
        <w:rPr>
          <w:rFonts w:ascii="Arial" w:cs="Arial" w:eastAsia="Arial" w:hAnsi="Arial"/>
          <w:sz w:val="18"/>
          <w:szCs w:val="18"/>
          <w:color w:val="auto"/>
        </w:rPr>
        <w:t xml:space="preserve"> P</w:t>
      </w:r>
      <w:r>
        <w:rPr>
          <w:rFonts w:ascii="Arial" w:cs="Arial" w:eastAsia="Arial" w:hAnsi="Arial"/>
          <w:sz w:val="12"/>
          <w:szCs w:val="12"/>
          <w:color w:val="auto"/>
        </w:rPr>
        <w:t>OPEO</w:t>
      </w:r>
      <w:r>
        <w:rPr>
          <w:rFonts w:ascii="Arial" w:cs="Arial" w:eastAsia="Arial" w:hAnsi="Arial"/>
          <w:sz w:val="18"/>
          <w:szCs w:val="18"/>
          <w:color w:val="auto"/>
        </w:rPr>
        <w:t>,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27" w:lineRule="exact"/>
        <w:rPr>
          <w:sz w:val="20"/>
          <w:szCs w:val="20"/>
          <w:color w:val="auto"/>
        </w:rPr>
      </w:pPr>
    </w:p>
    <w:p>
      <w:pPr>
        <w:ind w:right="80" w:firstLine="422"/>
        <w:spacing w:after="0" w:line="287" w:lineRule="auto"/>
        <w:tabs>
          <w:tab w:leader="none" w:pos="59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With respect to the Rights, when (i) specifically authorized for issuance by the Authorizing Resolutions, (ii) the Registration Statement, as finally amended (including all post-effective amendments), has become effective under the Securities Act, (iii) the Rights Agreement and any certificates relating to the Rights have been duly authorized, executed, and delivered by the Company, (iv) an appropriate prospectus supplement with respect to the applicable Rights has been prepared, delivered and filed in compliance with the Securities Act and the applicable rules and regulations thereunder, (v) if the applicable Rights are to be sold pursuant to an Underwriting Agreement, such Underwriting Agreement with respect to the applicable Rights in the form filed as an exhibit to the Registration Statement, any post-effective amendment thereto or to a Current Report on Form 8-K, has been duly authorized, executed and delivered by the Company and the other parties thereto, (vi) the terms of the Rights and of their issuance and sale have been duly established in conformity with the Rights Agreement and any rights certificates and do not violate any applicable law or result in a default under or breach of any agreement or instrument binding upon the Company and comply with any requirement or restriction imposed by any court or governmental body having jurisdiction over the Company, (vii) the Rights have been duly executed and countersigned in accordance with the Rights Agreement and issued and sold as contemplated by the Registration Statement and the prospectus included therein, and (viii) the Company has received the consideration provided for in the Authorizing Resolutions and, if applicable, the Underwriting Agreement, the Rights will constitute binding obligations of the Company.</w:t>
      </w:r>
    </w:p>
    <w:p>
      <w:pPr>
        <w:spacing w:after="0" w:line="168" w:lineRule="exact"/>
        <w:rPr>
          <w:rFonts w:ascii="Arial" w:cs="Arial" w:eastAsia="Arial" w:hAnsi="Arial"/>
          <w:sz w:val="16"/>
          <w:szCs w:val="16"/>
          <w:color w:val="auto"/>
        </w:rPr>
      </w:pPr>
    </w:p>
    <w:p>
      <w:pPr>
        <w:ind w:right="40" w:firstLine="422"/>
        <w:spacing w:after="0" w:line="287" w:lineRule="auto"/>
        <w:tabs>
          <w:tab w:leader="none" w:pos="59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With respect to the Purchase Contracts, when (i) specifically authorized for issuance by the Authorizing Resolutions, (ii) the Registration Statement, as finally amended (including all post-effective amendments), has become effective under the Securities Act, (iii) the Purchase Contracts have been duly authorized, executed, and delivered by the Company, (iv) an appropriate prospectus supplement with respect to the applicable Purchase Contracts has been prepared, delivered and filed in compliance with the Securities Act and the applicable rules and regulations thereunder, (v) if the applicable Purchase Contracts are to be sold pursuant to an Underwriting Agreement, such Underwriting Agreement with respect to the applicable Purchase Contracts in the form filed as an exhibit to the Registration Statement, any post-effective amendment thereto or to a Current Report on Form 8-K, has been duly authorized, executed and delivered by the Company and the other parties thereto, (vi) the terms of the Purchase Contracts and of their issuance and sale have been duly established in conformity with the Purchase Contracts and do not violate any applicable law or result in a default under or breach of any agreement or instrument binding upon the Company and comply with any requirement or restriction imposed by any court or governmental body having jurisdiction over the Company, (vii) the Purchase Contracts have been duly executed, countersigned, issued and sold as contemplated by the Registration Statement and the prospectus included therein, and (viii) the Company has received the consideration provided for in the Authorizing Resolutions and, if applicable, the Underwriting Agreement, the Purchase Contracts will constitute binding obligations of the Company.</w:t>
      </w:r>
    </w:p>
    <w:p>
      <w:pPr>
        <w:spacing w:after="0" w:line="168" w:lineRule="exact"/>
        <w:rPr>
          <w:rFonts w:ascii="Arial" w:cs="Arial" w:eastAsia="Arial" w:hAnsi="Arial"/>
          <w:sz w:val="16"/>
          <w:szCs w:val="16"/>
          <w:color w:val="auto"/>
        </w:rPr>
      </w:pPr>
    </w:p>
    <w:p>
      <w:pPr>
        <w:ind w:firstLine="422"/>
        <w:spacing w:after="0" w:line="269" w:lineRule="auto"/>
        <w:tabs>
          <w:tab w:leader="none" w:pos="59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With respect to the Units, when (i) specifically authorized for issuance by the Authorizing Resolutions, (ii) the Registration Statement, as finally amended (including all post-effective amendments), has become effective under the Securities Act, (iii) the Unit Agreement relating to the Units has been duly authorized, executed, and delivered by the Company, (iv) an appropriate prospectus supplement with respect to the applicable Units has been prepared, delivered and filed in compliance with the Securities Act and the applicable rules and regulations thereunder, (v) if the applicable Units are to be sold pursuant to an Underwriting Agreement, such Underwriting Agreement with respect to the applicable Units in the form filed as an exhibit to the Registration Statement, any post-effective amendment thereto or to a Current Report on Form 8-K, has been duly authorized, executed and delivered by the Company and the other parties thereto, (vi) the terms of the Units and of their issuance and sale have been duly established in conformity with the Unit Agreement and do not violate any applicable law or result in a default under or breach of any agreement or instrument binding upon the Company and comply with any requirement or restriction imposed by any court or governmental body having jurisdiction over the Company, (vii) the Units have been duly executed and countersigned in accordance with the Unit Agreement and issued and sold as contemplated by the Registration Statement and the prospectus included therein, and (viii) the Company has received the consideration provided for in the Authorizing Resolutions and, if applicable, the Underwriting Agreement, the Units will constitute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M</w:t>
      </w:r>
      <w:r>
        <w:rPr>
          <w:rFonts w:ascii="Arial" w:cs="Arial" w:eastAsia="Arial" w:hAnsi="Arial"/>
          <w:sz w:val="12"/>
          <w:szCs w:val="12"/>
          <w:color w:val="auto"/>
        </w:rPr>
        <w:t>INTZ</w:t>
      </w:r>
      <w:r>
        <w:rPr>
          <w:rFonts w:ascii="Arial" w:cs="Arial" w:eastAsia="Arial" w:hAnsi="Arial"/>
          <w:sz w:val="18"/>
          <w:szCs w:val="18"/>
          <w:color w:val="auto"/>
        </w:rPr>
        <w:t>, L</w:t>
      </w:r>
      <w:r>
        <w:rPr>
          <w:rFonts w:ascii="Arial" w:cs="Arial" w:eastAsia="Arial" w:hAnsi="Arial"/>
          <w:sz w:val="12"/>
          <w:szCs w:val="12"/>
          <w:color w:val="auto"/>
        </w:rPr>
        <w:t>EVIN</w:t>
      </w:r>
      <w:r>
        <w:rPr>
          <w:rFonts w:ascii="Arial" w:cs="Arial" w:eastAsia="Arial" w:hAnsi="Arial"/>
          <w:sz w:val="18"/>
          <w:szCs w:val="18"/>
          <w:color w:val="auto"/>
        </w:rPr>
        <w:t>, C</w:t>
      </w:r>
      <w:r>
        <w:rPr>
          <w:rFonts w:ascii="Arial" w:cs="Arial" w:eastAsia="Arial" w:hAnsi="Arial"/>
          <w:sz w:val="12"/>
          <w:szCs w:val="12"/>
          <w:color w:val="auto"/>
        </w:rPr>
        <w:t>OHN</w:t>
      </w:r>
      <w:r>
        <w:rPr>
          <w:rFonts w:ascii="Arial" w:cs="Arial" w:eastAsia="Arial" w:hAnsi="Arial"/>
          <w:sz w:val="18"/>
          <w:szCs w:val="18"/>
          <w:color w:val="auto"/>
        </w:rPr>
        <w:t>, F</w:t>
      </w:r>
      <w:r>
        <w:rPr>
          <w:rFonts w:ascii="Arial" w:cs="Arial" w:eastAsia="Arial" w:hAnsi="Arial"/>
          <w:sz w:val="12"/>
          <w:szCs w:val="12"/>
          <w:color w:val="auto"/>
        </w:rPr>
        <w:t>ERRIS</w:t>
      </w:r>
      <w:r>
        <w:rPr>
          <w:rFonts w:ascii="Arial" w:cs="Arial" w:eastAsia="Arial" w:hAnsi="Arial"/>
          <w:sz w:val="18"/>
          <w:szCs w:val="18"/>
          <w:color w:val="auto"/>
        </w:rPr>
        <w:t>, G</w:t>
      </w:r>
      <w:r>
        <w:rPr>
          <w:rFonts w:ascii="Arial" w:cs="Arial" w:eastAsia="Arial" w:hAnsi="Arial"/>
          <w:sz w:val="12"/>
          <w:szCs w:val="12"/>
          <w:color w:val="auto"/>
        </w:rPr>
        <w:t>LOVSKY AND</w:t>
      </w:r>
      <w:r>
        <w:rPr>
          <w:rFonts w:ascii="Arial" w:cs="Arial" w:eastAsia="Arial" w:hAnsi="Arial"/>
          <w:sz w:val="18"/>
          <w:szCs w:val="18"/>
          <w:color w:val="auto"/>
        </w:rPr>
        <w:t xml:space="preserve"> P</w:t>
      </w:r>
      <w:r>
        <w:rPr>
          <w:rFonts w:ascii="Arial" w:cs="Arial" w:eastAsia="Arial" w:hAnsi="Arial"/>
          <w:sz w:val="12"/>
          <w:szCs w:val="12"/>
          <w:color w:val="auto"/>
        </w:rPr>
        <w:t>OPEO</w:t>
      </w:r>
      <w:r>
        <w:rPr>
          <w:rFonts w:ascii="Arial" w:cs="Arial" w:eastAsia="Arial" w:hAnsi="Arial"/>
          <w:sz w:val="18"/>
          <w:szCs w:val="18"/>
          <w:color w:val="auto"/>
        </w:rPr>
        <w:t>,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227" w:lineRule="exact"/>
        <w:rPr>
          <w:sz w:val="20"/>
          <w:szCs w:val="20"/>
          <w:color w:val="auto"/>
        </w:rPr>
      </w:pPr>
    </w:p>
    <w:p>
      <w:pPr>
        <w:ind w:firstLine="414"/>
        <w:spacing w:after="0" w:line="302" w:lineRule="auto"/>
        <w:rPr>
          <w:sz w:val="20"/>
          <w:szCs w:val="20"/>
          <w:color w:val="auto"/>
        </w:rPr>
      </w:pPr>
      <w:r>
        <w:rPr>
          <w:rFonts w:ascii="Arial" w:cs="Arial" w:eastAsia="Arial" w:hAnsi="Arial"/>
          <w:sz w:val="16"/>
          <w:szCs w:val="16"/>
          <w:color w:val="auto"/>
        </w:rPr>
        <w:t>We understand that you wish to file this opinion with the Commission as an exhibit to the Registration Statement in accordance with the requirements of Item 601(b)(5) of Regulation S-K promulgated under the Securities Act and to reference the firm’s name under the caption “Legal Matters” in the prospectus which forms part of the Registration Statement,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Mintz, Levin, Cohn, Ferris,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Glovsky and Popeo, P.C.</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Mintz, Levin, Cohn, Ferris,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consent to the use of our report dated March 30, 2012, with respect to the consolidated balance sheets of Vringo, Inc. and Subsidiary (a Development Stage Company) (“the Company”) as of December 31, 2011 and 2010, and the related consolidated statements of operations, stockholders' equity (deficit) and cash flows for each of the years in the two-year period ended December 31, 2011, and for the cumulative period from January 9, 2006 (inception of operations) through December 31, 2011, incorporated herein by reference and to the reference to our firm under the heading "Experts" in the prospectus.</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report contains an explanatory paragraph that states that the Company has suffered recurring losses from operations and has a deficit in stockholders’ equity, that raise substantial doubt about its ability to continue as a going concern. The consolidated financial statements do not include any adjustments that might result from the outcome of that uncertainty.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have issued our report dated March 2, 2012 with respect to the consolidated financial statements of Innovate/Protect Inc. included in the Current Report on Form 8-K, dated July 20, 2012, of Vringo Inc., which is incorporated by reference in this Registration Statement. We consent to the incorporation by reference in the Registration Statement of the aforementioned report, and to the use of our name as it appears under the caption "Experts.”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City,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1)"/>
      <w:numFmt w:val="decimal"/>
      <w:start w:val="1"/>
    </w:lvl>
  </w:abstractNum>
  <w:abstractNum w:abstractNumId="1">
    <w:nsid w:val="5F5E7FD0"/>
    <w:multiLevelType w:val="hybridMultilevel"/>
    <w:lvl w:ilvl="0">
      <w:lvlJc w:val="left"/>
      <w:lvlText w:val="(%1)"/>
      <w:numFmt w:val="decimal"/>
      <w:start w:val="3"/>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1)"/>
      <w:numFmt w:val="lowerLetter"/>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1)"/>
      <w:numFmt w:val="lowerRoman"/>
      <w:start w:val="3"/>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9">
    <w:nsid w:val="3222E7CD"/>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40">
    <w:nsid w:val="74DE0EE3"/>
    <w:multiLevelType w:val="hybridMultilevel"/>
    <w:lvl w:ilvl="0">
      <w:lvlJc w:val="left"/>
      <w:lvlText w:val="(%1)"/>
      <w:numFmt w:val="decimal"/>
      <w:start w:val="3"/>
    </w:lvl>
    <w:lvl w:ilvl="1">
      <w:lvlJc w:val="left"/>
      <w:lvlText w:val="%2"/>
      <w:numFmt w:val="decimal"/>
      <w:start w:val="1"/>
    </w:lvl>
    <w:lvl w:ilvl="2">
      <w:lvlJc w:val="left"/>
      <w:lvlText w:val="(%3)"/>
      <w:numFmt w:val="lowerRoman"/>
      <w:start w:val="1"/>
    </w:lvl>
  </w:abstractNum>
  <w:abstractNum w:abstractNumId="41">
    <w:nsid w:val="68EBC550"/>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42">
    <w:nsid w:val="2DF6D64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
      <w:numFmt w:val="bullet"/>
      <w:start w:val="1"/>
    </w:lvl>
  </w:abstractNum>
  <w:abstractNum w:abstractNumId="45">
    <w:nsid w:val="39EE015C"/>
    <w:multiLevelType w:val="hybridMultilevel"/>
    <w:lvl w:ilvl="0">
      <w:lvlJc w:val="left"/>
      <w:lvlText w:val="(%1)"/>
      <w:numFmt w:val="decimal"/>
      <w:start w:val="1"/>
    </w:lvl>
  </w:abstractNum>
  <w:abstractNum w:abstractNumId="46">
    <w:nsid w:val="57FC4FBB"/>
    <w:multiLevelType w:val="hybridMultilevel"/>
    <w:lvl w:ilvl="0">
      <w:lvlJc w:val="left"/>
      <w:lvlText w:val="(%1)"/>
      <w:numFmt w:val="decimal"/>
      <w:start w:val="2"/>
    </w:lvl>
  </w:abstractNum>
  <w:abstractNum w:abstractNumId="47">
    <w:nsid w:val="CC1016F"/>
    <w:multiLevelType w:val="hybridMultilevel"/>
    <w:lvl w:ilvl="0">
      <w:lvlJc w:val="left"/>
      <w:lvlText w:val="(%1)"/>
      <w:numFmt w:val="lowerLetter"/>
      <w:start w:val="1"/>
    </w:lvl>
    <w:lvl w:ilvl="1">
      <w:lvlJc w:val="left"/>
      <w:lvlText w:val="(%2)"/>
      <w:numFmt w:val="decimal"/>
      <w:start w:val="1"/>
    </w:lvl>
  </w:abstractNum>
  <w:abstractNum w:abstractNumId="48">
    <w:nsid w:val="43F18422"/>
    <w:multiLevelType w:val="hybridMultilevel"/>
    <w:lvl w:ilvl="0">
      <w:lvlJc w:val="left"/>
      <w:lvlText w:val="(%1)"/>
      <w:numFmt w:val="decimal"/>
      <w:start w:val="10"/>
    </w:lvl>
  </w:abstractNum>
  <w:abstractNum w:abstractNumId="49">
    <w:nsid w:val="60EF0119"/>
    <w:multiLevelType w:val="hybridMultilevel"/>
    <w:lvl w:ilvl="0">
      <w:lvlJc w:val="left"/>
      <w:lvlText w:val="(%1)"/>
      <w:numFmt w:val="decimal"/>
      <w:start w:val="1"/>
    </w:lvl>
  </w:abstractNum>
  <w:abstractNum w:abstractNumId="50">
    <w:nsid w:val="26F324BA"/>
    <w:multiLevelType w:val="hybridMultilevel"/>
    <w:lvl w:ilvl="0">
      <w:lvlJc w:val="left"/>
      <w:lvlText w:val="(%1)"/>
      <w:numFmt w:val="lowerLetter"/>
      <w:start w:val="1"/>
    </w:lvl>
  </w:abstractNum>
  <w:abstractNum w:abstractNumId="51">
    <w:nsid w:val="7F01579B"/>
    <w:multiLevelType w:val="hybridMultilevel"/>
    <w:lvl w:ilvl="0">
      <w:lvlJc w:val="left"/>
      <w:lvlText w:val="(%1)"/>
      <w:numFmt w:val="lowerLetter"/>
      <w:start w:val="2"/>
    </w:lvl>
  </w:abstractNum>
  <w:abstractNum w:abstractNumId="52">
    <w:nsid w:val="49DA307D"/>
    <w:multiLevelType w:val="hybridMultilevel"/>
    <w:lvl w:ilvl="0">
      <w:lvlJc w:val="left"/>
      <w:lvlText w:val="(%1)"/>
      <w:numFmt w:val="lowerLetter"/>
      <w:start w:val="3"/>
    </w:lvl>
  </w:abstractNum>
  <w:abstractNum w:abstractNumId="53">
    <w:nsid w:val="7055A5F5"/>
    <w:multiLevelType w:val="hybridMultilevel"/>
    <w:lvl w:ilvl="0">
      <w:lvlJc w:val="left"/>
      <w:lvlText w:val="(%1)"/>
      <w:numFmt w:val="lowerLetter"/>
      <w:start w:val="1"/>
    </w:lvl>
  </w:abstractNum>
  <w:abstractNum w:abstractNumId="54">
    <w:nsid w:val="5FB8370B"/>
    <w:multiLevelType w:val="hybridMultilevel"/>
    <w:lvl w:ilvl="0">
      <w:lvlJc w:val="left"/>
      <w:lvlText w:val="(%1)"/>
      <w:numFmt w:val="lowerLetter"/>
      <w:start w:val="1"/>
    </w:lvl>
  </w:abstractNum>
  <w:abstractNum w:abstractNumId="55">
    <w:nsid w:val="50801EE1"/>
    <w:multiLevelType w:val="hybridMultilevel"/>
    <w:lvl w:ilvl="0">
      <w:lvlJc w:val="left"/>
      <w:lvlText w:val="(%1)"/>
      <w:numFmt w:val="lowerLetter"/>
      <w:start w:val="2"/>
    </w:lvl>
  </w:abstractNum>
  <w:abstractNum w:abstractNumId="56">
    <w:nsid w:val="488AC1A"/>
    <w:multiLevelType w:val="hybridMultilevel"/>
    <w:lvl w:ilvl="0">
      <w:lvlJc w:val="left"/>
      <w:lvlText w:val="(%1)"/>
      <w:numFmt w:val="lowerLetter"/>
      <w:start w:val="1"/>
    </w:lvl>
  </w:abstractNum>
  <w:abstractNum w:abstractNumId="57">
    <w:nsid w:val="5FB8011C"/>
    <w:multiLevelType w:val="hybridMultilevel"/>
    <w:lvl w:ilvl="0">
      <w:lvlJc w:val="left"/>
      <w:lvlText w:val="(%1)"/>
      <w:numFmt w:val="lowerRoman"/>
      <w:start w:val="1"/>
    </w:lvl>
  </w:abstractNum>
  <w:abstractNum w:abstractNumId="58">
    <w:nsid w:val="6AA78F7F"/>
    <w:multiLevelType w:val="hybridMultilevel"/>
    <w:lvl w:ilvl="0">
      <w:lvlJc w:val="left"/>
      <w:lvlText w:val="(%1)"/>
      <w:numFmt w:val="lowerLetter"/>
      <w:start w:val="1"/>
    </w:lvl>
    <w:lvl w:ilvl="1">
      <w:lvlJc w:val="left"/>
      <w:lvlText w:val="(%2)"/>
      <w:numFmt w:val="decimal"/>
      <w:start w:val="1"/>
    </w:lvl>
  </w:abstractNum>
  <w:abstractNum w:abstractNumId="59">
    <w:nsid w:val="7672BD23"/>
    <w:multiLevelType w:val="hybridMultilevel"/>
    <w:lvl w:ilvl="0">
      <w:lvlJc w:val="left"/>
      <w:lvlText w:val="(%1)"/>
      <w:numFmt w:val="lowerLetter"/>
      <w:start w:val="2"/>
    </w:lvl>
  </w:abstractNum>
  <w:abstractNum w:abstractNumId="60">
    <w:nsid w:val="6FC75AF8"/>
    <w:multiLevelType w:val="hybridMultilevel"/>
    <w:lvl w:ilvl="0">
      <w:lvlJc w:val="left"/>
      <w:lvlText w:val="(%1)"/>
      <w:numFmt w:val="lowerLetter"/>
      <w:start w:val="1"/>
    </w:lvl>
  </w:abstractNum>
  <w:abstractNum w:abstractNumId="61">
    <w:nsid w:val="6A5F7029"/>
    <w:multiLevelType w:val="hybridMultilevel"/>
    <w:lvl w:ilvl="0">
      <w:lvlJc w:val="left"/>
      <w:lvlText w:val="(%1)"/>
      <w:numFmt w:val="lowerLetter"/>
      <w:start w:val="2"/>
    </w:lvl>
  </w:abstractNum>
  <w:abstractNum w:abstractNumId="62">
    <w:nsid w:val="7D5E18F8"/>
    <w:multiLevelType w:val="hybridMultilevel"/>
    <w:lvl w:ilvl="0">
      <w:lvlJc w:val="left"/>
      <w:lvlText w:val="(%1)"/>
      <w:numFmt w:val="lowerLetter"/>
      <w:start w:val="1"/>
    </w:lvl>
  </w:abstractNum>
  <w:abstractNum w:abstractNumId="63">
    <w:nsid w:val="5F3534A4"/>
    <w:multiLevelType w:val="hybridMultilevel"/>
    <w:lvl w:ilvl="0">
      <w:lvlJc w:val="left"/>
      <w:lvlText w:val="(%1)"/>
      <w:numFmt w:val="lowerLetter"/>
      <w:start w:val="1"/>
    </w:lvl>
  </w:abstractNum>
  <w:abstractNum w:abstractNumId="64">
    <w:nsid w:val="73A1821B"/>
    <w:multiLevelType w:val="hybridMultilevel"/>
    <w:lvl w:ilvl="0">
      <w:lvlJc w:val="left"/>
      <w:lvlText w:val="(%1)"/>
      <w:numFmt w:val="lowerLetter"/>
      <w:start w:val="1"/>
    </w:lvl>
    <w:lvl w:ilvl="1">
      <w:lvlJc w:val="left"/>
      <w:lvlText w:val="(%2)"/>
      <w:numFmt w:val="decimal"/>
      <w:start w:val="1"/>
    </w:lvl>
  </w:abstractNum>
  <w:abstractNum w:abstractNumId="65">
    <w:nsid w:val="7DE67713"/>
    <w:multiLevelType w:val="hybridMultilevel"/>
    <w:lvl w:ilvl="0">
      <w:lvlJc w:val="left"/>
      <w:lvlText w:val="(%1)"/>
      <w:numFmt w:val="lowerLetter"/>
      <w:start w:val="3"/>
    </w:lvl>
  </w:abstractNum>
  <w:abstractNum w:abstractNumId="66">
    <w:nsid w:val="555C55B5"/>
    <w:multiLevelType w:val="hybridMultilevel"/>
    <w:lvl w:ilvl="0">
      <w:lvlJc w:val="left"/>
      <w:lvlText w:val="(%1)"/>
      <w:numFmt w:val="lowerLetter"/>
      <w:start w:val="1"/>
    </w:lvl>
  </w:abstractNum>
  <w:abstractNum w:abstractNumId="67">
    <w:nsid w:val="3FA62ACA"/>
    <w:multiLevelType w:val="hybridMultilevel"/>
    <w:lvl w:ilvl="0">
      <w:lvlJc w:val="left"/>
      <w:lvlText w:val="(%1)"/>
      <w:numFmt w:val="lowerLetter"/>
      <w:start w:val="4"/>
    </w:lvl>
  </w:abstractNum>
  <w:abstractNum w:abstractNumId="68">
    <w:nsid w:val="14FCE74E"/>
    <w:multiLevelType w:val="hybridMultilevel"/>
    <w:lvl w:ilvl="0">
      <w:lvlJc w:val="left"/>
      <w:lvlText w:val="(%1)"/>
      <w:numFmt w:val="lowerLetter"/>
      <w:start w:val="1"/>
    </w:lvl>
  </w:abstractNum>
  <w:abstractNum w:abstractNumId="69">
    <w:nsid w:val="6A3DD3E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0">
    <w:nsid w:val="71C91298"/>
    <w:multiLevelType w:val="hybridMultilevel"/>
    <w:lvl w:ilvl="0">
      <w:lvlJc w:val="left"/>
      <w:lvlText w:val="%1"/>
      <w:numFmt w:val="decimal"/>
      <w:start w:val="1"/>
    </w:lvl>
    <w:lvl w:ilvl="1">
      <w:lvlJc w:val="left"/>
      <w:lvlText w:val="(%2)"/>
      <w:numFmt w:val="lowerRoman"/>
      <w:start w:val="2"/>
    </w:lvl>
  </w:abstractNum>
  <w:abstractNum w:abstractNumId="71">
    <w:nsid w:val="9DAF632"/>
    <w:multiLevelType w:val="hybridMultilevel"/>
    <w:lvl w:ilvl="0">
      <w:lvlJc w:val="left"/>
      <w:lvlText w:val="(%1)"/>
      <w:numFmt w:val="decimal"/>
      <w:start w:val="2"/>
    </w:lvl>
    <w:lvl w:ilvl="1">
      <w:lvlJc w:val="left"/>
      <w:lvlText w:val="%2"/>
      <w:numFmt w:val="lowerRoman"/>
      <w:start w:val="1"/>
    </w:lvl>
  </w:abstractNum>
  <w:abstractNum w:abstractNumId="72">
    <w:nsid w:val="53299938"/>
    <w:multiLevelType w:val="hybridMultilevel"/>
    <w:lvl w:ilvl="0">
      <w:lvlJc w:val="left"/>
      <w:lvlText w:val="(%1)"/>
      <w:numFmt w:val="lowerLetter"/>
      <w:start w:val="1"/>
    </w:lvl>
  </w:abstractNum>
  <w:abstractNum w:abstractNumId="73">
    <w:nsid w:val="1FBFE8E0"/>
    <w:multiLevelType w:val="hybridMultilevel"/>
    <w:lvl w:ilvl="0">
      <w:lvlJc w:val="left"/>
      <w:lvlText w:val="(%1)"/>
      <w:numFmt w:val="lowerLetter"/>
      <w:start w:val="5"/>
    </w:lvl>
  </w:abstractNum>
  <w:abstractNum w:abstractNumId="74">
    <w:nsid w:val="5092CA79"/>
    <w:multiLevelType w:val="hybridMultilevel"/>
    <w:lvl w:ilvl="0">
      <w:lvlJc w:val="left"/>
      <w:lvlText w:val="(%1)"/>
      <w:numFmt w:val="lowerLetter"/>
      <w:start w:val="1"/>
    </w:lvl>
  </w:abstractNum>
  <w:abstractNum w:abstractNumId="75">
    <w:nsid w:val="1D545C4D"/>
    <w:multiLevelType w:val="hybridMultilevel"/>
    <w:lvl w:ilvl="0">
      <w:lvlJc w:val="left"/>
      <w:lvlText w:val="(%1)"/>
      <w:numFmt w:val="lowerLetter"/>
      <w:start w:val="1"/>
    </w:lvl>
  </w:abstractNum>
  <w:abstractNum w:abstractNumId="76">
    <w:nsid w:val="59ADEA3D"/>
    <w:multiLevelType w:val="hybridMultilevel"/>
    <w:lvl w:ilvl="0">
      <w:lvlJc w:val="left"/>
      <w:lvlText w:val="(%1)"/>
      <w:numFmt w:val="lowerLetter"/>
      <w:start w:val="1"/>
    </w:lvl>
    <w:lvl w:ilvl="1">
      <w:lvlJc w:val="left"/>
      <w:lvlText w:val="(%2)"/>
      <w:numFmt w:val="decimal"/>
      <w:start w:val="1"/>
    </w:lvl>
  </w:abstractNum>
  <w:abstractNum w:abstractNumId="77">
    <w:nsid w:val="288F1A34"/>
    <w:multiLevelType w:val="hybridMultilevel"/>
    <w:lvl w:ilvl="0">
      <w:lvlJc w:val="left"/>
      <w:lvlText w:val="(%1)"/>
      <w:numFmt w:val="lowerLetter"/>
      <w:start w:val="1"/>
    </w:lvl>
  </w:abstractNum>
  <w:abstractNum w:abstractNumId="78">
    <w:nsid w:val="2A155DBC"/>
    <w:multiLevelType w:val="hybridMultilevel"/>
    <w:lvl w:ilvl="0">
      <w:lvlJc w:val="left"/>
      <w:lvlText w:val="(%1)"/>
      <w:numFmt w:val="lowerLetter"/>
      <w:start w:val="2"/>
    </w:lvl>
  </w:abstractNum>
  <w:abstractNum w:abstractNumId="79">
    <w:nsid w:val="1D9F6E5F"/>
    <w:multiLevelType w:val="hybridMultilevel"/>
    <w:lvl w:ilvl="0">
      <w:lvlJc w:val="left"/>
      <w:lvlText w:val="(%1)"/>
      <w:numFmt w:val="lowerLetter"/>
      <w:start w:val="1"/>
    </w:lvl>
  </w:abstractNum>
  <w:abstractNum w:abstractNumId="80">
    <w:nsid w:val="97E1B4E"/>
    <w:multiLevelType w:val="hybridMultilevel"/>
    <w:lvl w:ilvl="0">
      <w:lvlJc w:val="left"/>
      <w:lvlText w:val="(%1)"/>
      <w:numFmt w:val="lowerLetter"/>
      <w:start w:val="1"/>
    </w:lvl>
  </w:abstractNum>
  <w:abstractNum w:abstractNumId="81">
    <w:nsid w:val="51088277"/>
    <w:multiLevelType w:val="hybridMultilevel"/>
    <w:lvl w:ilvl="0">
      <w:lvlJc w:val="left"/>
      <w:lvlText w:val="(%1)"/>
      <w:numFmt w:val="lowerLetter"/>
      <w:start w:val="2"/>
    </w:lvl>
  </w:abstractNum>
  <w:abstractNum w:abstractNumId="82">
    <w:nsid w:val="1CA0C5FA"/>
    <w:multiLevelType w:val="hybridMultilevel"/>
    <w:lvl w:ilvl="0">
      <w:lvlJc w:val="left"/>
      <w:lvlText w:val="(%1)"/>
      <w:numFmt w:val="lowerLetter"/>
      <w:start w:val="1"/>
    </w:lvl>
  </w:abstractNum>
  <w:abstractNum w:abstractNumId="83">
    <w:nsid w:val="53584BCB"/>
    <w:multiLevelType w:val="hybridMultilevel"/>
    <w:lvl w:ilvl="0">
      <w:lvlJc w:val="left"/>
      <w:lvlText w:val="(%1)"/>
      <w:numFmt w:val="lowerLetter"/>
      <w:start w:val="2"/>
    </w:lvl>
  </w:abstractNum>
  <w:abstractNum w:abstractNumId="84">
    <w:nsid w:val="415E286C"/>
    <w:multiLevelType w:val="hybridMultilevel"/>
    <w:lvl w:ilvl="0">
      <w:lvlJc w:val="left"/>
      <w:lvlText w:val="(%1)"/>
      <w:numFmt w:val="lowerLetter"/>
      <w:start w:val="1"/>
    </w:lvl>
  </w:abstractNum>
  <w:abstractNum w:abstractNumId="85">
    <w:nsid w:val="7C58FD05"/>
    <w:multiLevelType w:val="hybridMultilevel"/>
    <w:lvl w:ilvl="0">
      <w:lvlJc w:val="left"/>
      <w:lvlText w:val="(%1)"/>
      <w:numFmt w:val="lowerLetter"/>
      <w:start w:val="2"/>
    </w:lvl>
  </w:abstractNum>
  <w:abstractNum w:abstractNumId="86">
    <w:nsid w:val="23D86AAC"/>
    <w:multiLevelType w:val="hybridMultilevel"/>
    <w:lvl w:ilvl="0">
      <w:lvlJc w:val="left"/>
      <w:lvlText w:val="(%1)"/>
      <w:numFmt w:val="lowerLetter"/>
      <w:start w:val="1"/>
    </w:lvl>
  </w:abstractNum>
  <w:abstractNum w:abstractNumId="87">
    <w:nsid w:val="45E6D486"/>
    <w:multiLevelType w:val="hybridMultilevel"/>
    <w:lvl w:ilvl="0">
      <w:lvlJc w:val="left"/>
      <w:lvlText w:val="(%1)"/>
      <w:numFmt w:val="lowerLetter"/>
      <w:start w:val="1"/>
    </w:lvl>
  </w:abstractNum>
  <w:abstractNum w:abstractNumId="88">
    <w:nsid w:val="5C10FE21"/>
    <w:multiLevelType w:val="hybridMultilevel"/>
    <w:lvl w:ilvl="0">
      <w:lvlJc w:val="left"/>
      <w:lvlText w:val="["/>
      <w:numFmt w:val="bullet"/>
      <w:start w:val="1"/>
    </w:lvl>
  </w:abstractNum>
  <w:abstractNum w:abstractNumId="89">
    <w:nsid w:val="E7FFA2B"/>
    <w:multiLevelType w:val="hybridMultilevel"/>
    <w:lvl w:ilvl="0">
      <w:lvlJc w:val="left"/>
      <w:lvlText w:val="(%1)"/>
      <w:numFmt w:val="decimal"/>
      <w:start w:val="1"/>
    </w:lvl>
  </w:abstractNum>
  <w:abstractNum w:abstractNumId="90">
    <w:nsid w:val="3C5991AA"/>
    <w:multiLevelType w:val="hybridMultilevel"/>
    <w:lvl w:ilvl="0">
      <w:lvlJc w:val="left"/>
      <w:lvlText w:val="(%1)"/>
      <w:numFmt w:val="decimal"/>
      <w:start w:val="2"/>
    </w:lvl>
  </w:abstractNum>
  <w:abstractNum w:abstractNumId="91">
    <w:nsid w:val="4BD8591A"/>
    <w:multiLevelType w:val="hybridMultilevel"/>
    <w:lvl w:ilvl="0">
      <w:lvlJc w:val="left"/>
      <w:lvlText w:val="(%1)"/>
      <w:numFmt w:val="lowerLetter"/>
      <w:start w:val="1"/>
    </w:lvl>
    <w:lvl w:ilvl="1">
      <w:lvlJc w:val="left"/>
      <w:lvlText w:val="(%2)"/>
      <w:numFmt w:val="decimal"/>
      <w:start w:val="1"/>
    </w:lvl>
  </w:abstractNum>
  <w:abstractNum w:abstractNumId="92">
    <w:nsid w:val="78DF6A55"/>
    <w:multiLevelType w:val="hybridMultilevel"/>
    <w:lvl w:ilvl="0">
      <w:lvlJc w:val="left"/>
      <w:lvlText w:val="(%1)"/>
      <w:numFmt w:val="decimal"/>
      <w:start w:val="8"/>
    </w:lvl>
  </w:abstractNum>
  <w:abstractNum w:abstractNumId="93">
    <w:nsid w:val="39B7AAA2"/>
    <w:multiLevelType w:val="hybridMultilevel"/>
    <w:lvl w:ilvl="0">
      <w:lvlJc w:val="left"/>
      <w:lvlText w:val="(%1)"/>
      <w:numFmt w:val="decimal"/>
      <w:start w:val="1"/>
    </w:lvl>
  </w:abstractNum>
  <w:abstractNum w:abstractNumId="94">
    <w:nsid w:val="2B0D8DBE"/>
    <w:multiLevelType w:val="hybridMultilevel"/>
    <w:lvl w:ilvl="0">
      <w:lvlJc w:val="left"/>
      <w:lvlText w:val="(%1)"/>
      <w:numFmt w:val="decimal"/>
      <w:start w:val="2"/>
    </w:lvl>
  </w:abstractNum>
  <w:abstractNum w:abstractNumId="95">
    <w:nsid w:val="6C80EC70"/>
    <w:multiLevelType w:val="hybridMultilevel"/>
    <w:lvl w:ilvl="0">
      <w:lvlJc w:val="left"/>
      <w:lvlText w:val="(%1)"/>
      <w:numFmt w:val="lowerLetter"/>
      <w:start w:val="1"/>
    </w:lvl>
  </w:abstractNum>
  <w:abstractNum w:abstractNumId="96">
    <w:nsid w:val="379E21B5"/>
    <w:multiLevelType w:val="hybridMultilevel"/>
    <w:lvl w:ilvl="0">
      <w:lvlJc w:val="left"/>
      <w:lvlText w:val="(%1)"/>
      <w:numFmt w:val="lowerLetter"/>
      <w:start w:val="1"/>
    </w:lvl>
  </w:abstractNum>
  <w:abstractNum w:abstractNumId="97">
    <w:nsid w:val="69E373"/>
    <w:multiLevelType w:val="hybridMultilevel"/>
    <w:lvl w:ilvl="0">
      <w:lvlJc w:val="left"/>
      <w:lvlText w:val="(%1)"/>
      <w:numFmt w:val="lowerLetter"/>
      <w:start w:val="3"/>
    </w:lvl>
  </w:abstractNum>
  <w:abstractNum w:abstractNumId="98">
    <w:nsid w:val="2C27173B"/>
    <w:multiLevelType w:val="hybridMultilevel"/>
    <w:lvl w:ilvl="0">
      <w:lvlJc w:val="left"/>
      <w:lvlText w:val="(%1)"/>
      <w:numFmt w:val="lowerLetter"/>
      <w:start w:val="1"/>
    </w:lvl>
  </w:abstractNum>
  <w:abstractNum w:abstractNumId="99">
    <w:nsid w:val="4C9B0904"/>
    <w:multiLevelType w:val="hybridMultilevel"/>
    <w:lvl w:ilvl="0">
      <w:lvlJc w:val="left"/>
      <w:lvlText w:val="(%1)"/>
      <w:numFmt w:val="lowerLetter"/>
      <w:start w:val="2"/>
    </w:lvl>
  </w:abstractNum>
  <w:abstractNum w:abstractNumId="100">
    <w:nsid w:val="6AA7B75C"/>
    <w:multiLevelType w:val="hybridMultilevel"/>
    <w:lvl w:ilvl="0">
      <w:lvlJc w:val="left"/>
      <w:lvlText w:val="(%1)"/>
      <w:numFmt w:val="lowerLetter"/>
      <w:start w:val="1"/>
    </w:lvl>
  </w:abstractNum>
  <w:abstractNum w:abstractNumId="101">
    <w:nsid w:val="1DF029D3"/>
    <w:multiLevelType w:val="hybridMultilevel"/>
    <w:lvl w:ilvl="0">
      <w:lvlJc w:val="left"/>
      <w:lvlText w:val="(%1)"/>
      <w:numFmt w:val="lowerRoman"/>
      <w:start w:val="1"/>
    </w:lvl>
  </w:abstractNum>
  <w:abstractNum w:abstractNumId="102">
    <w:nsid w:val="5675FF36"/>
    <w:multiLevelType w:val="hybridMultilevel"/>
    <w:lvl w:ilvl="0">
      <w:lvlJc w:val="left"/>
      <w:lvlText w:val="(%1)"/>
      <w:numFmt w:val="lowerLetter"/>
      <w:start w:val="1"/>
    </w:lvl>
    <w:lvl w:ilvl="1">
      <w:lvlJc w:val="left"/>
      <w:lvlText w:val="(%2)"/>
      <w:numFmt w:val="decimal"/>
      <w:start w:val="1"/>
    </w:lvl>
  </w:abstractNum>
  <w:abstractNum w:abstractNumId="103">
    <w:nsid w:val="3DD15094"/>
    <w:multiLevelType w:val="hybridMultilevel"/>
    <w:lvl w:ilvl="0">
      <w:lvlJc w:val="left"/>
      <w:lvlText w:val="%1"/>
      <w:numFmt w:val="lowerLetter"/>
      <w:start w:val="1"/>
    </w:lvl>
    <w:lvl w:ilvl="1">
      <w:lvlJc w:val="left"/>
      <w:lvlText w:val="(%2)"/>
      <w:numFmt w:val="decimal"/>
      <w:start w:val="2"/>
    </w:lvl>
  </w:abstractNum>
  <w:abstractNum w:abstractNumId="104">
    <w:nsid w:val="3DB012B3"/>
    <w:multiLevelType w:val="hybridMultilevel"/>
    <w:lvl w:ilvl="0">
      <w:lvlJc w:val="left"/>
      <w:lvlText w:val="(%1)"/>
      <w:numFmt w:val="lowerLetter"/>
      <w:start w:val="2"/>
    </w:lvl>
    <w:lvl w:ilvl="1">
      <w:lvlJc w:val="left"/>
      <w:lvlText w:val="%2"/>
      <w:numFmt w:val="decimal"/>
      <w:start w:val="1"/>
    </w:lvl>
  </w:abstractNum>
  <w:abstractNum w:abstractNumId="105">
    <w:nsid w:val="2708C9AF"/>
    <w:multiLevelType w:val="hybridMultilevel"/>
    <w:lvl w:ilvl="0">
      <w:lvlJc w:val="left"/>
      <w:lvlText w:val="(%1)"/>
      <w:numFmt w:val="lowerLetter"/>
      <w:start w:val="1"/>
    </w:lvl>
  </w:abstractNum>
  <w:abstractNum w:abstractNumId="106">
    <w:nsid w:val="5B25ACE2"/>
    <w:multiLevelType w:val="hybridMultilevel"/>
    <w:lvl w:ilvl="0">
      <w:lvlJc w:val="left"/>
      <w:lvlText w:val="(%1)"/>
      <w:numFmt w:val="lowerLetter"/>
      <w:start w:val="1"/>
    </w:lvl>
  </w:abstractNum>
  <w:abstractNum w:abstractNumId="107">
    <w:nsid w:val="175DFCF0"/>
    <w:multiLevelType w:val="hybridMultilevel"/>
    <w:lvl w:ilvl="0">
      <w:lvlJc w:val="left"/>
      <w:lvlText w:val="(%1)"/>
      <w:numFmt w:val="lowerLetter"/>
      <w:start w:val="1"/>
    </w:lvl>
  </w:abstractNum>
  <w:abstractNum w:abstractNumId="108">
    <w:nsid w:val="4F97E3E4"/>
    <w:multiLevelType w:val="hybridMultilevel"/>
    <w:lvl w:ilvl="0">
      <w:lvlJc w:val="left"/>
      <w:lvlText w:val="(%1)"/>
      <w:numFmt w:val="lowerLetter"/>
      <w:start w:val="1"/>
    </w:lvl>
    <w:lvl w:ilvl="1">
      <w:lvlJc w:val="left"/>
      <w:lvlText w:val="(%2)"/>
      <w:numFmt w:val="decimal"/>
      <w:start w:val="1"/>
    </w:lvl>
  </w:abstractNum>
  <w:abstractNum w:abstractNumId="109">
    <w:nsid w:val="53B0A9E"/>
    <w:multiLevelType w:val="hybridMultilevel"/>
    <w:lvl w:ilvl="0">
      <w:lvlJc w:val="left"/>
      <w:lvlText w:val="%1"/>
      <w:numFmt w:val="lowerLetter"/>
      <w:start w:val="1"/>
    </w:lvl>
    <w:lvl w:ilvl="1">
      <w:lvlJc w:val="left"/>
      <w:lvlText w:val="(%2)"/>
      <w:numFmt w:val="decimal"/>
      <w:start w:val="5"/>
    </w:lvl>
  </w:abstractNum>
  <w:abstractNum w:abstractNumId="110">
    <w:nsid w:val="34FD6B4F"/>
    <w:multiLevelType w:val="hybridMultilevel"/>
    <w:lvl w:ilvl="0">
      <w:lvlJc w:val="left"/>
      <w:lvlText w:val="(%1)"/>
      <w:numFmt w:val="lowerLetter"/>
      <w:start w:val="2"/>
    </w:lvl>
    <w:lvl w:ilvl="1">
      <w:lvlJc w:val="left"/>
      <w:lvlText w:val="%2"/>
      <w:numFmt w:val="decimal"/>
      <w:start w:val="1"/>
    </w:lvl>
  </w:abstractNum>
  <w:abstractNum w:abstractNumId="111">
    <w:nsid w:val="5915FF32"/>
    <w:multiLevelType w:val="hybridMultilevel"/>
    <w:lvl w:ilvl="0">
      <w:lvlJc w:val="left"/>
      <w:lvlText w:val="(%1)"/>
      <w:numFmt w:val="lowerLetter"/>
      <w:start w:val="1"/>
    </w:lvl>
  </w:abstractNum>
  <w:abstractNum w:abstractNumId="112">
    <w:nsid w:val="56438D15"/>
    <w:multiLevelType w:val="hybridMultilevel"/>
    <w:lvl w:ilvl="0">
      <w:lvlJc w:val="left"/>
      <w:lvlText w:val="(%1)"/>
      <w:numFmt w:val="lowerLetter"/>
      <w:start w:val="1"/>
    </w:lvl>
  </w:abstractNum>
  <w:abstractNum w:abstractNumId="113">
    <w:nsid w:val="519E314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4">
    <w:nsid w:val="2C6E4AFD"/>
    <w:multiLevelType w:val="hybridMultilevel"/>
    <w:lvl w:ilvl="0">
      <w:lvlJc w:val="left"/>
      <w:lvlText w:val="(%1)"/>
      <w:numFmt w:val="lowerLetter"/>
      <w:start w:val="1"/>
    </w:lvl>
  </w:abstractNum>
  <w:abstractNum w:abstractNumId="115">
    <w:nsid w:val="17A1B582"/>
    <w:multiLevelType w:val="hybridMultilevel"/>
    <w:lvl w:ilvl="0">
      <w:lvlJc w:val="left"/>
      <w:lvlText w:val="(%1)"/>
      <w:numFmt w:val="lowerLetter"/>
      <w:start w:val="1"/>
    </w:lvl>
  </w:abstractNum>
  <w:abstractNum w:abstractNumId="116">
    <w:nsid w:val="4DF72E4E"/>
    <w:multiLevelType w:val="hybridMultilevel"/>
    <w:lvl w:ilvl="0">
      <w:lvlJc w:val="left"/>
      <w:lvlText w:val="(%1)"/>
      <w:numFmt w:val="lowerLetter"/>
      <w:start w:val="1"/>
    </w:lvl>
  </w:abstractNum>
  <w:abstractNum w:abstractNumId="117">
    <w:nsid w:val="5046B5A9"/>
    <w:multiLevelType w:val="hybridMultilevel"/>
    <w:lvl w:ilvl="0">
      <w:lvlJc w:val="left"/>
      <w:lvlText w:val="(%1)"/>
      <w:numFmt w:val="lowerLetter"/>
      <w:start w:val="1"/>
    </w:lvl>
    <w:lvl w:ilvl="1">
      <w:lvlJc w:val="left"/>
      <w:lvlText w:val="(%2)"/>
      <w:numFmt w:val="decimal"/>
      <w:start w:val="1"/>
    </w:lvl>
  </w:abstractNum>
  <w:abstractNum w:abstractNumId="118">
    <w:nsid w:val="5D888A08"/>
    <w:multiLevelType w:val="hybridMultilevel"/>
    <w:lvl w:ilvl="0">
      <w:lvlJc w:val="left"/>
      <w:lvlText w:val="%1"/>
      <w:numFmt w:val="lowerLetter"/>
      <w:start w:val="1"/>
    </w:lvl>
    <w:lvl w:ilvl="1">
      <w:lvlJc w:val="left"/>
      <w:lvlText w:val="(%2)"/>
      <w:numFmt w:val="decimal"/>
      <w:start w:val="3"/>
    </w:lvl>
  </w:abstractNum>
  <w:abstractNum w:abstractNumId="119">
    <w:nsid w:val="2A082C70"/>
    <w:multiLevelType w:val="hybridMultilevel"/>
    <w:lvl w:ilvl="0">
      <w:lvlJc w:val="left"/>
      <w:lvlText w:val="(%1)"/>
      <w:numFmt w:val="lowerLetter"/>
      <w:start w:val="3"/>
    </w:lvl>
    <w:lvl w:ilvl="1">
      <w:lvlJc w:val="left"/>
      <w:lvlText w:val="%2"/>
      <w:numFmt w:val="decimal"/>
      <w:start w:val="1"/>
    </w:lvl>
  </w:abstractNum>
  <w:abstractNum w:abstractNumId="120">
    <w:nsid w:val="5EC6AFD4"/>
    <w:multiLevelType w:val="hybridMultilevel"/>
    <w:lvl w:ilvl="0">
      <w:lvlJc w:val="left"/>
      <w:lvlText w:val="(%1)"/>
      <w:numFmt w:val="lowerLetter"/>
      <w:start w:val="1"/>
    </w:lvl>
  </w:abstractNum>
  <w:abstractNum w:abstractNumId="121">
    <w:nsid w:val="19E21BB2"/>
    <w:multiLevelType w:val="hybridMultilevel"/>
    <w:lvl w:ilvl="0">
      <w:lvlJc w:val="left"/>
      <w:lvlText w:val="(%1)"/>
      <w:numFmt w:val="lowerLetter"/>
      <w:start w:val="3"/>
    </w:lvl>
  </w:abstractNum>
  <w:abstractNum w:abstractNumId="122">
    <w:nsid w:val="75E0858A"/>
    <w:multiLevelType w:val="hybridMultilevel"/>
    <w:lvl w:ilvl="0">
      <w:lvlJc w:val="left"/>
      <w:lvlText w:val="(%1)"/>
      <w:numFmt w:val="lowerLetter"/>
      <w:start w:val="1"/>
    </w:lvl>
  </w:abstractNum>
  <w:abstractNum w:abstractNumId="123">
    <w:nsid w:val="57A61A29"/>
    <w:multiLevelType w:val="hybridMultilevel"/>
    <w:lvl w:ilvl="0">
      <w:lvlJc w:val="left"/>
      <w:lvlText w:val="(%1)"/>
      <w:numFmt w:val="lowerLetter"/>
      <w:start w:val="1"/>
    </w:lvl>
  </w:abstractNum>
  <w:abstractNum w:abstractNumId="124">
    <w:nsid w:val="5399C654"/>
    <w:multiLevelType w:val="hybridMultilevel"/>
    <w:lvl w:ilvl="0">
      <w:lvlJc w:val="left"/>
      <w:lvlText w:val="(%1)"/>
      <w:numFmt w:val="lowerLetter"/>
      <w:start w:val="1"/>
    </w:lvl>
  </w:abstractNum>
  <w:abstractNum w:abstractNumId="125">
    <w:nsid w:val="20EE1348"/>
    <w:multiLevelType w:val="hybridMultilevel"/>
    <w:lvl w:ilvl="0">
      <w:lvlJc w:val="left"/>
      <w:lvlText w:val="(%1)"/>
      <w:numFmt w:val="lowerLetter"/>
      <w:start w:val="1"/>
    </w:lvl>
  </w:abstractNum>
  <w:abstractNum w:abstractNumId="126">
    <w:nsid w:val="4427069A"/>
    <w:multiLevelType w:val="hybridMultilevel"/>
    <w:lvl w:ilvl="0">
      <w:lvlJc w:val="left"/>
      <w:lvlText w:val="(%1)"/>
      <w:numFmt w:val="lowerLetter"/>
      <w:start w:val="8"/>
    </w:lvl>
  </w:abstractNum>
  <w:abstractNum w:abstractNumId="127">
    <w:nsid w:val="B37E80A"/>
    <w:multiLevelType w:val="hybridMultilevel"/>
    <w:lvl w:ilvl="0">
      <w:lvlJc w:val="left"/>
      <w:lvlText w:val="(%1)"/>
      <w:numFmt w:val="lowerLetter"/>
      <w:start w:val="1"/>
    </w:lvl>
  </w:abstractNum>
  <w:abstractNum w:abstractNumId="128">
    <w:nsid w:val="2157F6BC"/>
    <w:multiLevelType w:val="hybridMultilevel"/>
    <w:lvl w:ilvl="0">
      <w:lvlJc w:val="left"/>
      <w:lvlText w:val="(%1)"/>
      <w:numFmt w:val="lowerLetter"/>
      <w:start w:val="2"/>
    </w:lvl>
  </w:abstractNum>
  <w:abstractNum w:abstractNumId="129">
    <w:nsid w:val="704E1DD5"/>
    <w:multiLevelType w:val="hybridMultilevel"/>
    <w:lvl w:ilvl="0">
      <w:lvlJc w:val="left"/>
      <w:lvlText w:val="(%1)"/>
      <w:numFmt w:val="lowerLetter"/>
      <w:start w:val="1"/>
    </w:lvl>
  </w:abstractNum>
  <w:abstractNum w:abstractNumId="130">
    <w:nsid w:val="57D2F10E"/>
    <w:multiLevelType w:val="hybridMultilevel"/>
    <w:lvl w:ilvl="0">
      <w:lvlJc w:val="left"/>
      <w:lvlText w:val="(%1)"/>
      <w:numFmt w:val="lowerLetter"/>
      <w:start w:val="2"/>
    </w:lvl>
  </w:abstractNum>
  <w:abstractNum w:abstractNumId="131">
    <w:nsid w:val="BFFAE18"/>
    <w:multiLevelType w:val="hybridMultilevel"/>
    <w:lvl w:ilvl="0">
      <w:lvlJc w:val="left"/>
      <w:lvlText w:val="(%1)"/>
      <w:numFmt w:val="lowerRoman"/>
      <w:start w:val="1"/>
    </w:lvl>
  </w:abstractNum>
  <w:abstractNum w:abstractNumId="132">
    <w:nsid w:val="E3E47A8"/>
    <w:multiLevelType w:val="hybridMultilevel"/>
    <w:lvl w:ilvl="0">
      <w:lvlJc w:val="left"/>
      <w:lvlText w:val="(%1)"/>
      <w:numFmt w:val="lowerRoman"/>
      <w:start w:val="7"/>
    </w:lvl>
  </w:abstractNum>
  <w:abstractNum w:abstractNumId="133">
    <w:nsid w:val="2E48F044"/>
    <w:multiLevelType w:val="hybridMultilevel"/>
    <w:lvl w:ilvl="0">
      <w:lvlJc w:val="left"/>
      <w:lvlText w:val="(%1)"/>
      <w:numFmt w:val="lowerRoman"/>
      <w:start w:val="2"/>
    </w:lvl>
  </w:abstractNum>
  <w:abstractNum w:abstractNumId="134">
    <w:nsid w:val="49D0FEAC"/>
    <w:multiLevelType w:val="hybridMultilevel"/>
    <w:lvl w:ilvl="0">
      <w:lvlJc w:val="left"/>
      <w:lvlText w:val="%1"/>
      <w:numFmt w:val="lowerRoman"/>
      <w:start w:val="1"/>
    </w:lvl>
    <w:lvl w:ilvl="1">
      <w:lvlJc w:val="left"/>
      <w:lvlText w:val="%2."/>
      <w:numFmt w:val="decimal"/>
      <w:start w:val="1"/>
    </w:lvl>
  </w:abstractNum>
  <w:abstractNum w:abstractNumId="135">
    <w:nsid w:val="4BEE5A5B"/>
    <w:multiLevelType w:val="hybridMultilevel"/>
    <w:lvl w:ilvl="0">
      <w:lvlJc w:val="left"/>
      <w:lvlText w:val="(%1)"/>
      <w:numFmt w:val="lowerRoman"/>
      <w:start w:val="8"/>
    </w:lvl>
    <w:lvl w:ilvl="1">
      <w:lvlJc w:val="left"/>
      <w:lvlText w:val="%2"/>
      <w:numFmt w:val="decimal"/>
      <w:start w:val="1"/>
    </w:lvl>
  </w:abstractNum>
  <w:abstractNum w:abstractNumId="136">
    <w:nsid w:val="5551B9F3"/>
    <w:multiLevelType w:val="hybridMultilevel"/>
    <w:lvl w:ilvl="0">
      <w:lvlJc w:val="left"/>
      <w:lvlText w:val="%1."/>
      <w:numFmt w:val="decimal"/>
      <w:start w:val="3"/>
    </w:lvl>
  </w:abstractNum>
  <w:abstractNum w:abstractNumId="137">
    <w:nsid w:val="24F6AB8E"/>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2019-12-09T18:53:32Z</dcterms:created>
  <dcterms:modified xsi:type="dcterms:W3CDTF">2019-12-09T18:53:32Z</dcterms:modified>
</cp:coreProperties>
</file>